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caps w:val="0"/>
          <w:color w:val="auto"/>
          <w:kern w:val="21"/>
          <w:sz w:val="36"/>
          <w:szCs w:val="36"/>
          <w:lang w:bidi="ar"/>
        </w:rPr>
      </w:pPr>
    </w:p>
    <w:p>
      <w:pPr>
        <w:pStyle w:val="2"/>
        <w:rPr>
          <w:caps w:val="0"/>
          <w:color w:val="auto"/>
          <w:kern w:val="21"/>
          <w:sz w:val="36"/>
          <w:szCs w:val="36"/>
          <w:lang w:bidi="ar"/>
        </w:rPr>
      </w:pPr>
    </w:p>
    <w:p>
      <w:pPr>
        <w:pStyle w:val="2"/>
        <w:rPr>
          <w:caps w:val="0"/>
          <w:color w:val="auto"/>
          <w:kern w:val="21"/>
          <w:sz w:val="36"/>
          <w:szCs w:val="36"/>
          <w:lang w:bidi="ar"/>
        </w:rPr>
      </w:pPr>
    </w:p>
    <w:p>
      <w:pPr>
        <w:pStyle w:val="2"/>
        <w:spacing w:line="360" w:lineRule="auto"/>
        <w:rPr>
          <w:caps w:val="0"/>
          <w:color w:val="auto"/>
          <w:kern w:val="21"/>
          <w:sz w:val="48"/>
          <w:szCs w:val="48"/>
          <w:lang w:bidi="ar"/>
        </w:rPr>
      </w:pPr>
      <w:r>
        <w:rPr>
          <w:caps w:val="0"/>
          <w:color w:val="auto"/>
          <w:kern w:val="21"/>
          <w:sz w:val="48"/>
          <w:szCs w:val="48"/>
          <w:lang w:bidi="ar"/>
        </w:rPr>
        <w:t>楚雄市富民工业园区污水处理厂工程</w:t>
      </w:r>
    </w:p>
    <w:p>
      <w:pPr>
        <w:pStyle w:val="2"/>
        <w:spacing w:line="360" w:lineRule="auto"/>
        <w:rPr>
          <w:caps w:val="0"/>
          <w:color w:val="auto"/>
          <w:kern w:val="21"/>
          <w:sz w:val="72"/>
          <w:szCs w:val="72"/>
          <w:lang w:bidi="ar"/>
        </w:rPr>
      </w:pPr>
      <w:r>
        <w:rPr>
          <w:caps w:val="0"/>
          <w:color w:val="auto"/>
          <w:kern w:val="21"/>
          <w:sz w:val="72"/>
          <w:szCs w:val="72"/>
          <w:lang w:bidi="ar"/>
        </w:rPr>
        <w:t>环境影响报告书</w:t>
      </w:r>
    </w:p>
    <w:p>
      <w:pPr>
        <w:ind w:firstLine="0" w:firstLineChars="0"/>
        <w:jc w:val="center"/>
        <w:rPr>
          <w:b/>
          <w:bCs/>
          <w:color w:val="auto"/>
          <w:kern w:val="21"/>
          <w:sz w:val="52"/>
          <w:szCs w:val="52"/>
        </w:rPr>
      </w:pPr>
      <w:r>
        <w:rPr>
          <w:b/>
          <w:bCs/>
          <w:color w:val="auto"/>
          <w:kern w:val="21"/>
          <w:sz w:val="52"/>
          <w:szCs w:val="52"/>
          <w:lang w:bidi="ar"/>
        </w:rPr>
        <w:t>（</w:t>
      </w:r>
      <w:r>
        <w:rPr>
          <w:rFonts w:hint="eastAsia"/>
          <w:b/>
          <w:bCs/>
          <w:color w:val="auto"/>
          <w:kern w:val="21"/>
          <w:sz w:val="52"/>
          <w:szCs w:val="52"/>
          <w:lang w:bidi="ar"/>
        </w:rPr>
        <w:t>报批</w:t>
      </w:r>
      <w:r>
        <w:rPr>
          <w:b/>
          <w:bCs/>
          <w:color w:val="auto"/>
          <w:kern w:val="21"/>
          <w:sz w:val="52"/>
          <w:szCs w:val="52"/>
          <w:lang w:bidi="ar"/>
        </w:rPr>
        <w:t>稿）</w:t>
      </w:r>
    </w:p>
    <w:p>
      <w:pPr>
        <w:pStyle w:val="2"/>
        <w:rPr>
          <w:caps w:val="0"/>
          <w:color w:val="auto"/>
          <w:kern w:val="21"/>
          <w:sz w:val="30"/>
          <w:szCs w:val="30"/>
        </w:rPr>
      </w:pPr>
    </w:p>
    <w:p>
      <w:pPr>
        <w:pStyle w:val="2"/>
        <w:rPr>
          <w:caps w:val="0"/>
          <w:color w:val="auto"/>
          <w:kern w:val="21"/>
          <w:sz w:val="28"/>
          <w:szCs w:val="28"/>
        </w:rPr>
      </w:pPr>
    </w:p>
    <w:p>
      <w:pPr>
        <w:pStyle w:val="2"/>
        <w:rPr>
          <w:caps w:val="0"/>
          <w:color w:val="auto"/>
          <w:kern w:val="21"/>
          <w:sz w:val="28"/>
          <w:szCs w:val="28"/>
        </w:rPr>
      </w:pPr>
    </w:p>
    <w:p>
      <w:pPr>
        <w:pStyle w:val="2"/>
        <w:rPr>
          <w:caps w:val="0"/>
          <w:color w:val="auto"/>
          <w:kern w:val="21"/>
          <w:sz w:val="28"/>
          <w:szCs w:val="28"/>
        </w:rPr>
      </w:pPr>
    </w:p>
    <w:p>
      <w:pPr>
        <w:ind w:firstLine="560"/>
        <w:rPr>
          <w:color w:val="auto"/>
          <w:kern w:val="21"/>
          <w:sz w:val="28"/>
          <w:szCs w:val="28"/>
        </w:rPr>
      </w:pPr>
    </w:p>
    <w:p>
      <w:pPr>
        <w:pStyle w:val="16"/>
        <w:rPr>
          <w:rFonts w:ascii="Times New Roman" w:hAnsi="Times New Roman"/>
          <w:color w:val="auto"/>
          <w:kern w:val="21"/>
          <w:szCs w:val="28"/>
        </w:rPr>
      </w:pPr>
    </w:p>
    <w:p>
      <w:pPr>
        <w:pStyle w:val="177"/>
        <w:rPr>
          <w:color w:val="auto"/>
          <w:kern w:val="21"/>
        </w:rPr>
      </w:pPr>
    </w:p>
    <w:p>
      <w:pPr>
        <w:pStyle w:val="16"/>
        <w:rPr>
          <w:rFonts w:ascii="Times New Roman" w:hAnsi="Times New Roman"/>
          <w:color w:val="auto"/>
          <w:kern w:val="21"/>
          <w:szCs w:val="28"/>
        </w:rPr>
      </w:pPr>
    </w:p>
    <w:p>
      <w:pPr>
        <w:pStyle w:val="177"/>
        <w:rPr>
          <w:color w:val="auto"/>
          <w:kern w:val="21"/>
          <w:sz w:val="28"/>
          <w:szCs w:val="28"/>
        </w:rPr>
      </w:pPr>
    </w:p>
    <w:p>
      <w:pPr>
        <w:pStyle w:val="16"/>
        <w:ind w:firstLine="0" w:firstLineChars="0"/>
        <w:jc w:val="center"/>
        <w:rPr>
          <w:rFonts w:ascii="Times New Roman" w:hAnsi="Times New Roman"/>
          <w:b/>
          <w:bCs/>
          <w:color w:val="auto"/>
          <w:kern w:val="21"/>
          <w:sz w:val="32"/>
          <w:szCs w:val="32"/>
        </w:rPr>
      </w:pPr>
      <w:r>
        <w:rPr>
          <w:rFonts w:ascii="Times New Roman" w:hAnsi="Times New Roman"/>
          <w:b/>
          <w:bCs/>
          <w:color w:val="auto"/>
          <w:kern w:val="21"/>
          <w:sz w:val="32"/>
          <w:szCs w:val="32"/>
        </w:rPr>
        <w:t>建设单位：楚雄市供排水有限公司</w:t>
      </w:r>
    </w:p>
    <w:p>
      <w:pPr>
        <w:pStyle w:val="16"/>
        <w:ind w:firstLine="0" w:firstLineChars="0"/>
        <w:jc w:val="center"/>
        <w:rPr>
          <w:rFonts w:ascii="Times New Roman" w:hAnsi="Times New Roman"/>
          <w:b/>
          <w:bCs/>
          <w:color w:val="auto"/>
          <w:kern w:val="21"/>
          <w:sz w:val="32"/>
          <w:szCs w:val="32"/>
        </w:rPr>
      </w:pPr>
      <w:r>
        <w:rPr>
          <w:rFonts w:ascii="Times New Roman" w:hAnsi="Times New Roman"/>
          <w:b/>
          <w:bCs/>
          <w:color w:val="auto"/>
          <w:kern w:val="21"/>
          <w:sz w:val="32"/>
          <w:szCs w:val="32"/>
        </w:rPr>
        <w:t>编制单位：</w:t>
      </w:r>
      <w:r>
        <w:rPr>
          <w:rFonts w:hint="eastAsia" w:ascii="Times New Roman" w:hAnsi="Times New Roman"/>
          <w:b/>
          <w:bCs/>
          <w:color w:val="auto"/>
          <w:kern w:val="21"/>
          <w:sz w:val="32"/>
          <w:szCs w:val="32"/>
        </w:rPr>
        <w:t>云南涛海环保工程有限公司</w:t>
      </w:r>
    </w:p>
    <w:p>
      <w:pPr>
        <w:pStyle w:val="16"/>
        <w:ind w:firstLine="0" w:firstLineChars="0"/>
        <w:jc w:val="center"/>
        <w:rPr>
          <w:rFonts w:ascii="Times New Roman" w:hAnsi="Times New Roman"/>
          <w:b/>
          <w:bCs/>
          <w:color w:val="auto"/>
          <w:kern w:val="21"/>
          <w:sz w:val="32"/>
          <w:szCs w:val="32"/>
        </w:rPr>
      </w:pPr>
      <w:r>
        <w:rPr>
          <w:rFonts w:ascii="Times New Roman" w:hAnsi="Times New Roman"/>
          <w:b/>
          <w:bCs/>
          <w:color w:val="auto"/>
          <w:kern w:val="21"/>
          <w:sz w:val="32"/>
          <w:szCs w:val="32"/>
        </w:rPr>
        <w:t>2022年</w:t>
      </w:r>
      <w:r>
        <w:rPr>
          <w:rFonts w:hint="eastAsia" w:ascii="Times New Roman" w:hAnsi="Times New Roman"/>
          <w:b/>
          <w:bCs/>
          <w:color w:val="auto"/>
          <w:kern w:val="21"/>
          <w:sz w:val="32"/>
          <w:szCs w:val="32"/>
          <w:lang w:val="en-US" w:eastAsia="zh-CN"/>
        </w:rPr>
        <w:t>9</w:t>
      </w:r>
      <w:r>
        <w:rPr>
          <w:rFonts w:ascii="Times New Roman" w:hAnsi="Times New Roman"/>
          <w:b/>
          <w:bCs/>
          <w:color w:val="auto"/>
          <w:kern w:val="21"/>
          <w:sz w:val="32"/>
          <w:szCs w:val="32"/>
        </w:rPr>
        <w:t>月</w:t>
      </w:r>
    </w:p>
    <w:p>
      <w:pPr>
        <w:pStyle w:val="177"/>
        <w:rPr>
          <w:color w:val="auto"/>
          <w:kern w:val="21"/>
          <w:sz w:val="28"/>
          <w:szCs w:val="28"/>
        </w:rPr>
      </w:pPr>
    </w:p>
    <w:p>
      <w:pPr>
        <w:rPr>
          <w:color w:val="auto"/>
          <w:kern w:val="21"/>
        </w:rPr>
      </w:pPr>
      <w:r>
        <w:rPr>
          <w:color w:val="auto"/>
          <w:kern w:val="21"/>
        </w:rPr>
        <w:br w:type="page"/>
      </w:r>
    </w:p>
    <w:p>
      <w:pPr>
        <w:rPr>
          <w:color w:val="auto"/>
        </w:rPr>
      </w:pPr>
      <w:r>
        <w:rPr>
          <w:color w:val="auto"/>
        </w:rPr>
        <w:br w:type="page"/>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304" w:right="1021" w:bottom="1021" w:left="1304" w:header="851" w:footer="992" w:gutter="0"/>
          <w:cols w:space="720" w:num="1"/>
          <w:docGrid w:type="lines" w:linePitch="312" w:charSpace="0"/>
        </w:sectPr>
      </w:pPr>
    </w:p>
    <w:p>
      <w:pPr>
        <w:pStyle w:val="2"/>
        <w:rPr>
          <w:caps w:val="0"/>
          <w:color w:val="auto"/>
          <w:kern w:val="21"/>
          <w:sz w:val="28"/>
          <w:szCs w:val="28"/>
        </w:rPr>
      </w:pPr>
      <w:r>
        <w:rPr>
          <w:caps w:val="0"/>
          <w:color w:val="auto"/>
          <w:kern w:val="21"/>
          <w:sz w:val="28"/>
          <w:szCs w:val="28"/>
        </w:rPr>
        <w:t>目录</w:t>
      </w:r>
    </w:p>
    <w:p>
      <w:pPr>
        <w:pStyle w:val="2"/>
        <w:tabs>
          <w:tab w:val="right" w:leader="dot" w:pos="9581"/>
          <w:tab w:val="clear" w:pos="9571"/>
        </w:tabs>
        <w:rPr>
          <w:color w:val="auto"/>
        </w:rPr>
      </w:pPr>
      <w:r>
        <w:rPr>
          <w:caps w:val="0"/>
          <w:color w:val="auto"/>
          <w:kern w:val="21"/>
        </w:rPr>
        <w:fldChar w:fldCharType="begin"/>
      </w:r>
      <w:r>
        <w:rPr>
          <w:caps w:val="0"/>
          <w:color w:val="auto"/>
          <w:kern w:val="21"/>
        </w:rPr>
        <w:instrText xml:space="preserve"> TOC \o "1-3" \h \z \u </w:instrText>
      </w:r>
      <w:r>
        <w:rPr>
          <w:caps w:val="0"/>
          <w:color w:val="auto"/>
          <w:kern w:val="21"/>
        </w:rPr>
        <w:fldChar w:fldCharType="separate"/>
      </w:r>
      <w:r>
        <w:rPr>
          <w:caps w:val="0"/>
          <w:color w:val="auto"/>
          <w:kern w:val="21"/>
        </w:rPr>
        <w:fldChar w:fldCharType="begin"/>
      </w:r>
      <w:r>
        <w:rPr>
          <w:caps w:val="0"/>
          <w:color w:val="auto"/>
          <w:kern w:val="21"/>
        </w:rPr>
        <w:instrText xml:space="preserve"> HYPERLINK \l _Toc24812 </w:instrText>
      </w:r>
      <w:r>
        <w:rPr>
          <w:caps w:val="0"/>
          <w:color w:val="auto"/>
          <w:kern w:val="21"/>
        </w:rPr>
        <w:fldChar w:fldCharType="separate"/>
      </w:r>
      <w:r>
        <w:rPr>
          <w:color w:val="auto"/>
          <w:kern w:val="21"/>
        </w:rPr>
        <w:t>1概述</w:t>
      </w:r>
      <w:r>
        <w:rPr>
          <w:color w:val="auto"/>
        </w:rPr>
        <w:tab/>
      </w:r>
      <w:r>
        <w:rPr>
          <w:color w:val="auto"/>
        </w:rPr>
        <w:fldChar w:fldCharType="begin"/>
      </w:r>
      <w:r>
        <w:rPr>
          <w:color w:val="auto"/>
        </w:rPr>
        <w:instrText xml:space="preserve"> PAGEREF _Toc24812 \h </w:instrText>
      </w:r>
      <w:r>
        <w:rPr>
          <w:color w:val="auto"/>
        </w:rPr>
        <w:fldChar w:fldCharType="separate"/>
      </w:r>
      <w:r>
        <w:rPr>
          <w:color w:val="auto"/>
        </w:rPr>
        <w:t>1</w:t>
      </w:r>
      <w:r>
        <w:rPr>
          <w:color w:val="auto"/>
        </w:rPr>
        <w:fldChar w:fldCharType="end"/>
      </w:r>
      <w:r>
        <w:rPr>
          <w:caps w:val="0"/>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_Toc27135 </w:instrText>
      </w:r>
      <w:r>
        <w:rPr>
          <w:color w:val="auto"/>
          <w:kern w:val="21"/>
        </w:rPr>
        <w:fldChar w:fldCharType="separate"/>
      </w:r>
      <w:r>
        <w:rPr>
          <w:color w:val="auto"/>
          <w:kern w:val="21"/>
          <w:szCs w:val="28"/>
        </w:rPr>
        <w:t>1.1项目由来及背景</w:t>
      </w:r>
      <w:r>
        <w:rPr>
          <w:color w:val="auto"/>
        </w:rPr>
        <w:tab/>
      </w:r>
      <w:r>
        <w:rPr>
          <w:color w:val="auto"/>
        </w:rPr>
        <w:fldChar w:fldCharType="begin"/>
      </w:r>
      <w:r>
        <w:rPr>
          <w:color w:val="auto"/>
        </w:rPr>
        <w:instrText xml:space="preserve"> PAGEREF _Toc27135 \h </w:instrText>
      </w:r>
      <w:r>
        <w:rPr>
          <w:color w:val="auto"/>
        </w:rPr>
        <w:fldChar w:fldCharType="separate"/>
      </w:r>
      <w:r>
        <w:rPr>
          <w:color w:val="auto"/>
        </w:rPr>
        <w:t>1</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_Toc4305 </w:instrText>
      </w:r>
      <w:r>
        <w:rPr>
          <w:color w:val="auto"/>
          <w:kern w:val="21"/>
        </w:rPr>
        <w:fldChar w:fldCharType="separate"/>
      </w:r>
      <w:r>
        <w:rPr>
          <w:color w:val="auto"/>
          <w:kern w:val="21"/>
          <w:szCs w:val="28"/>
        </w:rPr>
        <w:t>1.2环境影响评价的工作过程</w:t>
      </w:r>
      <w:r>
        <w:rPr>
          <w:color w:val="auto"/>
        </w:rPr>
        <w:tab/>
      </w:r>
      <w:r>
        <w:rPr>
          <w:color w:val="auto"/>
        </w:rPr>
        <w:fldChar w:fldCharType="begin"/>
      </w:r>
      <w:r>
        <w:rPr>
          <w:color w:val="auto"/>
        </w:rPr>
        <w:instrText xml:space="preserve"> PAGEREF _Toc4305 \h </w:instrText>
      </w:r>
      <w:r>
        <w:rPr>
          <w:color w:val="auto"/>
        </w:rPr>
        <w:fldChar w:fldCharType="separate"/>
      </w:r>
      <w:r>
        <w:rPr>
          <w:color w:val="auto"/>
        </w:rPr>
        <w:t>2</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_Toc10280 </w:instrText>
      </w:r>
      <w:r>
        <w:rPr>
          <w:color w:val="auto"/>
          <w:kern w:val="21"/>
        </w:rPr>
        <w:fldChar w:fldCharType="separate"/>
      </w:r>
      <w:r>
        <w:rPr>
          <w:color w:val="auto"/>
          <w:kern w:val="21"/>
          <w:szCs w:val="28"/>
        </w:rPr>
        <w:t>1.3</w:t>
      </w:r>
      <w:r>
        <w:rPr>
          <w:color w:val="auto"/>
          <w:kern w:val="21"/>
          <w:lang w:bidi="ar"/>
        </w:rPr>
        <w:t>分析判定相关情况</w:t>
      </w:r>
      <w:r>
        <w:rPr>
          <w:color w:val="auto"/>
        </w:rPr>
        <w:tab/>
      </w:r>
      <w:r>
        <w:rPr>
          <w:color w:val="auto"/>
        </w:rPr>
        <w:fldChar w:fldCharType="begin"/>
      </w:r>
      <w:r>
        <w:rPr>
          <w:color w:val="auto"/>
        </w:rPr>
        <w:instrText xml:space="preserve"> PAGEREF _Toc10280 \h </w:instrText>
      </w:r>
      <w:r>
        <w:rPr>
          <w:color w:val="auto"/>
        </w:rPr>
        <w:fldChar w:fldCharType="separate"/>
      </w:r>
      <w:r>
        <w:rPr>
          <w:color w:val="auto"/>
        </w:rPr>
        <w:t>3</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_Toc2286 </w:instrText>
      </w:r>
      <w:r>
        <w:rPr>
          <w:color w:val="auto"/>
          <w:kern w:val="21"/>
        </w:rPr>
        <w:fldChar w:fldCharType="separate"/>
      </w:r>
      <w:r>
        <w:rPr>
          <w:color w:val="auto"/>
          <w:kern w:val="21"/>
          <w:szCs w:val="28"/>
        </w:rPr>
        <w:t>1.4主要关注的环境问题</w:t>
      </w:r>
      <w:r>
        <w:rPr>
          <w:color w:val="auto"/>
        </w:rPr>
        <w:tab/>
      </w:r>
      <w:r>
        <w:rPr>
          <w:color w:val="auto"/>
        </w:rPr>
        <w:fldChar w:fldCharType="begin"/>
      </w:r>
      <w:r>
        <w:rPr>
          <w:color w:val="auto"/>
        </w:rPr>
        <w:instrText xml:space="preserve"> PAGEREF _Toc2286 \h </w:instrText>
      </w:r>
      <w:r>
        <w:rPr>
          <w:color w:val="auto"/>
        </w:rPr>
        <w:fldChar w:fldCharType="separate"/>
      </w:r>
      <w:r>
        <w:rPr>
          <w:color w:val="auto"/>
        </w:rPr>
        <w:t>4</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_Toc21423 </w:instrText>
      </w:r>
      <w:r>
        <w:rPr>
          <w:color w:val="auto"/>
          <w:kern w:val="21"/>
        </w:rPr>
        <w:fldChar w:fldCharType="separate"/>
      </w:r>
      <w:r>
        <w:rPr>
          <w:color w:val="auto"/>
          <w:kern w:val="21"/>
          <w:szCs w:val="28"/>
        </w:rPr>
        <w:t>1.5环评主要结论</w:t>
      </w:r>
      <w:r>
        <w:rPr>
          <w:color w:val="auto"/>
        </w:rPr>
        <w:tab/>
      </w:r>
      <w:r>
        <w:rPr>
          <w:color w:val="auto"/>
        </w:rPr>
        <w:fldChar w:fldCharType="begin"/>
      </w:r>
      <w:r>
        <w:rPr>
          <w:color w:val="auto"/>
        </w:rPr>
        <w:instrText xml:space="preserve"> PAGEREF _Toc21423 \h </w:instrText>
      </w:r>
      <w:r>
        <w:rPr>
          <w:color w:val="auto"/>
        </w:rPr>
        <w:fldChar w:fldCharType="separate"/>
      </w:r>
      <w:r>
        <w:rPr>
          <w:color w:val="auto"/>
        </w:rPr>
        <w:t>4</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_Toc18402 </w:instrText>
      </w:r>
      <w:r>
        <w:rPr>
          <w:color w:val="auto"/>
          <w:kern w:val="21"/>
        </w:rPr>
        <w:fldChar w:fldCharType="separate"/>
      </w:r>
      <w:r>
        <w:rPr>
          <w:color w:val="auto"/>
          <w:kern w:val="21"/>
        </w:rPr>
        <w:t>2总则</w:t>
      </w:r>
      <w:r>
        <w:rPr>
          <w:color w:val="auto"/>
        </w:rPr>
        <w:tab/>
      </w:r>
      <w:r>
        <w:rPr>
          <w:color w:val="auto"/>
        </w:rPr>
        <w:fldChar w:fldCharType="begin"/>
      </w:r>
      <w:r>
        <w:rPr>
          <w:color w:val="auto"/>
        </w:rPr>
        <w:instrText xml:space="preserve"> PAGEREF _Toc18402 \h </w:instrText>
      </w:r>
      <w:r>
        <w:rPr>
          <w:color w:val="auto"/>
        </w:rPr>
        <w:fldChar w:fldCharType="separate"/>
      </w:r>
      <w:r>
        <w:rPr>
          <w:color w:val="auto"/>
        </w:rPr>
        <w:t>6</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_Toc23255 </w:instrText>
      </w:r>
      <w:r>
        <w:rPr>
          <w:color w:val="auto"/>
          <w:kern w:val="21"/>
        </w:rPr>
        <w:fldChar w:fldCharType="separate"/>
      </w:r>
      <w:r>
        <w:rPr>
          <w:color w:val="auto"/>
          <w:kern w:val="21"/>
        </w:rPr>
        <w:t>2.1编制依据</w:t>
      </w:r>
      <w:r>
        <w:rPr>
          <w:color w:val="auto"/>
        </w:rPr>
        <w:tab/>
      </w:r>
      <w:r>
        <w:rPr>
          <w:color w:val="auto"/>
        </w:rPr>
        <w:fldChar w:fldCharType="begin"/>
      </w:r>
      <w:r>
        <w:rPr>
          <w:color w:val="auto"/>
        </w:rPr>
        <w:instrText xml:space="preserve"> PAGEREF _Toc23255 \h </w:instrText>
      </w:r>
      <w:r>
        <w:rPr>
          <w:color w:val="auto"/>
        </w:rPr>
        <w:fldChar w:fldCharType="separate"/>
      </w:r>
      <w:r>
        <w:rPr>
          <w:color w:val="auto"/>
        </w:rPr>
        <w:t>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_Toc19586 </w:instrText>
      </w:r>
      <w:r>
        <w:rPr>
          <w:color w:val="auto"/>
          <w:kern w:val="21"/>
        </w:rPr>
        <w:fldChar w:fldCharType="separate"/>
      </w:r>
      <w:r>
        <w:rPr>
          <w:rFonts w:eastAsia="宋体"/>
          <w:color w:val="auto"/>
          <w:kern w:val="21"/>
          <w:szCs w:val="24"/>
        </w:rPr>
        <w:t>2.1.1有关法律、法规</w:t>
      </w:r>
      <w:r>
        <w:rPr>
          <w:color w:val="auto"/>
        </w:rPr>
        <w:tab/>
      </w:r>
      <w:r>
        <w:rPr>
          <w:color w:val="auto"/>
        </w:rPr>
        <w:fldChar w:fldCharType="begin"/>
      </w:r>
      <w:r>
        <w:rPr>
          <w:color w:val="auto"/>
        </w:rPr>
        <w:instrText xml:space="preserve"> PAGEREF _Toc19586 \h </w:instrText>
      </w:r>
      <w:r>
        <w:rPr>
          <w:color w:val="auto"/>
        </w:rPr>
        <w:fldChar w:fldCharType="separate"/>
      </w:r>
      <w:r>
        <w:rPr>
          <w:color w:val="auto"/>
        </w:rPr>
        <w:t>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_Toc19537 </w:instrText>
      </w:r>
      <w:r>
        <w:rPr>
          <w:color w:val="auto"/>
          <w:kern w:val="21"/>
        </w:rPr>
        <w:fldChar w:fldCharType="separate"/>
      </w:r>
      <w:r>
        <w:rPr>
          <w:rFonts w:eastAsia="宋体"/>
          <w:color w:val="auto"/>
          <w:kern w:val="21"/>
          <w:szCs w:val="24"/>
        </w:rPr>
        <w:t>2.1.2部门规章</w:t>
      </w:r>
      <w:r>
        <w:rPr>
          <w:color w:val="auto"/>
        </w:rPr>
        <w:tab/>
      </w:r>
      <w:r>
        <w:rPr>
          <w:color w:val="auto"/>
        </w:rPr>
        <w:fldChar w:fldCharType="begin"/>
      </w:r>
      <w:r>
        <w:rPr>
          <w:color w:val="auto"/>
        </w:rPr>
        <w:instrText xml:space="preserve"> PAGEREF _Toc19537 \h </w:instrText>
      </w:r>
      <w:r>
        <w:rPr>
          <w:color w:val="auto"/>
        </w:rPr>
        <w:fldChar w:fldCharType="separate"/>
      </w:r>
      <w:r>
        <w:rPr>
          <w:color w:val="auto"/>
        </w:rPr>
        <w:t>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_Toc4385 </w:instrText>
      </w:r>
      <w:r>
        <w:rPr>
          <w:color w:val="auto"/>
          <w:kern w:val="21"/>
        </w:rPr>
        <w:fldChar w:fldCharType="separate"/>
      </w:r>
      <w:r>
        <w:rPr>
          <w:rFonts w:eastAsia="宋体"/>
          <w:color w:val="auto"/>
          <w:kern w:val="21"/>
          <w:szCs w:val="24"/>
        </w:rPr>
        <w:t>2.1.3地方性法规及规章</w:t>
      </w:r>
      <w:r>
        <w:rPr>
          <w:color w:val="auto"/>
        </w:rPr>
        <w:tab/>
      </w:r>
      <w:r>
        <w:rPr>
          <w:color w:val="auto"/>
        </w:rPr>
        <w:fldChar w:fldCharType="begin"/>
      </w:r>
      <w:r>
        <w:rPr>
          <w:color w:val="auto"/>
        </w:rPr>
        <w:instrText xml:space="preserve"> PAGEREF _Toc4385 \h </w:instrText>
      </w:r>
      <w:r>
        <w:rPr>
          <w:color w:val="auto"/>
        </w:rPr>
        <w:fldChar w:fldCharType="separate"/>
      </w:r>
      <w:r>
        <w:rPr>
          <w:color w:val="auto"/>
        </w:rPr>
        <w:t>7</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_Toc28137 </w:instrText>
      </w:r>
      <w:r>
        <w:rPr>
          <w:color w:val="auto"/>
          <w:kern w:val="21"/>
        </w:rPr>
        <w:fldChar w:fldCharType="separate"/>
      </w:r>
      <w:r>
        <w:rPr>
          <w:rFonts w:eastAsia="宋体"/>
          <w:color w:val="auto"/>
          <w:kern w:val="21"/>
          <w:szCs w:val="24"/>
        </w:rPr>
        <w:t>2.1.4环境影响评价技术导则及规范</w:t>
      </w:r>
      <w:r>
        <w:rPr>
          <w:color w:val="auto"/>
        </w:rPr>
        <w:tab/>
      </w:r>
      <w:r>
        <w:rPr>
          <w:color w:val="auto"/>
        </w:rPr>
        <w:fldChar w:fldCharType="begin"/>
      </w:r>
      <w:r>
        <w:rPr>
          <w:color w:val="auto"/>
        </w:rPr>
        <w:instrText xml:space="preserve"> PAGEREF _Toc28137 \h </w:instrText>
      </w:r>
      <w:r>
        <w:rPr>
          <w:color w:val="auto"/>
        </w:rPr>
        <w:fldChar w:fldCharType="separate"/>
      </w:r>
      <w:r>
        <w:rPr>
          <w:color w:val="auto"/>
        </w:rPr>
        <w:t>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_Toc11799 </w:instrText>
      </w:r>
      <w:r>
        <w:rPr>
          <w:color w:val="auto"/>
          <w:kern w:val="21"/>
        </w:rPr>
        <w:fldChar w:fldCharType="separate"/>
      </w:r>
      <w:r>
        <w:rPr>
          <w:rFonts w:eastAsia="宋体"/>
          <w:color w:val="auto"/>
          <w:kern w:val="21"/>
          <w:szCs w:val="24"/>
        </w:rPr>
        <w:t>2.1.5相关规划</w:t>
      </w:r>
      <w:r>
        <w:rPr>
          <w:color w:val="auto"/>
        </w:rPr>
        <w:tab/>
      </w:r>
      <w:r>
        <w:rPr>
          <w:color w:val="auto"/>
        </w:rPr>
        <w:fldChar w:fldCharType="begin"/>
      </w:r>
      <w:r>
        <w:rPr>
          <w:color w:val="auto"/>
        </w:rPr>
        <w:instrText xml:space="preserve"> PAGEREF _Toc11799 \h </w:instrText>
      </w:r>
      <w:r>
        <w:rPr>
          <w:color w:val="auto"/>
        </w:rPr>
        <w:fldChar w:fldCharType="separate"/>
      </w:r>
      <w:r>
        <w:rPr>
          <w:color w:val="auto"/>
        </w:rPr>
        <w:t>9</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_Toc8552 </w:instrText>
      </w:r>
      <w:r>
        <w:rPr>
          <w:color w:val="auto"/>
          <w:kern w:val="21"/>
        </w:rPr>
        <w:fldChar w:fldCharType="separate"/>
      </w:r>
      <w:r>
        <w:rPr>
          <w:rFonts w:eastAsia="宋体"/>
          <w:color w:val="auto"/>
          <w:kern w:val="21"/>
          <w:szCs w:val="24"/>
        </w:rPr>
        <w:t>2.1.6委托书、技术资料</w:t>
      </w:r>
      <w:r>
        <w:rPr>
          <w:color w:val="auto"/>
        </w:rPr>
        <w:tab/>
      </w:r>
      <w:r>
        <w:rPr>
          <w:color w:val="auto"/>
        </w:rPr>
        <w:fldChar w:fldCharType="begin"/>
      </w:r>
      <w:r>
        <w:rPr>
          <w:color w:val="auto"/>
        </w:rPr>
        <w:instrText xml:space="preserve"> PAGEREF _Toc8552 \h </w:instrText>
      </w:r>
      <w:r>
        <w:rPr>
          <w:color w:val="auto"/>
        </w:rPr>
        <w:fldChar w:fldCharType="separate"/>
      </w:r>
      <w:r>
        <w:rPr>
          <w:color w:val="auto"/>
        </w:rPr>
        <w:t>9</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_Toc17814 </w:instrText>
      </w:r>
      <w:r>
        <w:rPr>
          <w:color w:val="auto"/>
          <w:kern w:val="21"/>
        </w:rPr>
        <w:fldChar w:fldCharType="separate"/>
      </w:r>
      <w:r>
        <w:rPr>
          <w:color w:val="auto"/>
          <w:kern w:val="21"/>
        </w:rPr>
        <w:t>2.2评价重点和评价原则</w:t>
      </w:r>
      <w:r>
        <w:rPr>
          <w:color w:val="auto"/>
        </w:rPr>
        <w:tab/>
      </w:r>
      <w:r>
        <w:rPr>
          <w:color w:val="auto"/>
        </w:rPr>
        <w:fldChar w:fldCharType="begin"/>
      </w:r>
      <w:r>
        <w:rPr>
          <w:color w:val="auto"/>
        </w:rPr>
        <w:instrText xml:space="preserve"> PAGEREF _Toc17814 \h </w:instrText>
      </w:r>
      <w:r>
        <w:rPr>
          <w:color w:val="auto"/>
        </w:rPr>
        <w:fldChar w:fldCharType="separate"/>
      </w:r>
      <w:r>
        <w:rPr>
          <w:color w:val="auto"/>
        </w:rPr>
        <w:t>9</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_Toc20892 </w:instrText>
      </w:r>
      <w:r>
        <w:rPr>
          <w:color w:val="auto"/>
          <w:kern w:val="21"/>
        </w:rPr>
        <w:fldChar w:fldCharType="separate"/>
      </w:r>
      <w:r>
        <w:rPr>
          <w:rFonts w:eastAsia="宋体"/>
          <w:color w:val="auto"/>
          <w:kern w:val="21"/>
          <w:szCs w:val="24"/>
        </w:rPr>
        <w:t>2.2.1评价重点</w:t>
      </w:r>
      <w:r>
        <w:rPr>
          <w:color w:val="auto"/>
        </w:rPr>
        <w:tab/>
      </w:r>
      <w:r>
        <w:rPr>
          <w:color w:val="auto"/>
        </w:rPr>
        <w:fldChar w:fldCharType="begin"/>
      </w:r>
      <w:r>
        <w:rPr>
          <w:color w:val="auto"/>
        </w:rPr>
        <w:instrText xml:space="preserve"> PAGEREF _Toc20892 \h </w:instrText>
      </w:r>
      <w:r>
        <w:rPr>
          <w:color w:val="auto"/>
        </w:rPr>
        <w:fldChar w:fldCharType="separate"/>
      </w:r>
      <w:r>
        <w:rPr>
          <w:color w:val="auto"/>
        </w:rPr>
        <w:t>9</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_Toc11017 </w:instrText>
      </w:r>
      <w:r>
        <w:rPr>
          <w:color w:val="auto"/>
          <w:kern w:val="21"/>
        </w:rPr>
        <w:fldChar w:fldCharType="separate"/>
      </w:r>
      <w:r>
        <w:rPr>
          <w:rFonts w:eastAsia="宋体"/>
          <w:color w:val="auto"/>
          <w:kern w:val="21"/>
          <w:szCs w:val="24"/>
        </w:rPr>
        <w:t>2.2.2评价原则</w:t>
      </w:r>
      <w:r>
        <w:rPr>
          <w:color w:val="auto"/>
        </w:rPr>
        <w:tab/>
      </w:r>
      <w:r>
        <w:rPr>
          <w:color w:val="auto"/>
        </w:rPr>
        <w:fldChar w:fldCharType="begin"/>
      </w:r>
      <w:r>
        <w:rPr>
          <w:color w:val="auto"/>
        </w:rPr>
        <w:instrText xml:space="preserve"> PAGEREF _Toc11017 \h </w:instrText>
      </w:r>
      <w:r>
        <w:rPr>
          <w:color w:val="auto"/>
        </w:rPr>
        <w:fldChar w:fldCharType="separate"/>
      </w:r>
      <w:r>
        <w:rPr>
          <w:color w:val="auto"/>
        </w:rPr>
        <w:t>9</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_Toc12467 </w:instrText>
      </w:r>
      <w:r>
        <w:rPr>
          <w:color w:val="auto"/>
          <w:kern w:val="21"/>
        </w:rPr>
        <w:fldChar w:fldCharType="separate"/>
      </w:r>
      <w:r>
        <w:rPr>
          <w:color w:val="auto"/>
          <w:kern w:val="21"/>
        </w:rPr>
        <w:t>2.3环境影响因素识别、评价因子筛选、评价等级及评价范围</w:t>
      </w:r>
      <w:r>
        <w:rPr>
          <w:color w:val="auto"/>
        </w:rPr>
        <w:tab/>
      </w:r>
      <w:r>
        <w:rPr>
          <w:color w:val="auto"/>
        </w:rPr>
        <w:fldChar w:fldCharType="begin"/>
      </w:r>
      <w:r>
        <w:rPr>
          <w:color w:val="auto"/>
        </w:rPr>
        <w:instrText xml:space="preserve"> PAGEREF _Toc12467 \h </w:instrText>
      </w:r>
      <w:r>
        <w:rPr>
          <w:color w:val="auto"/>
        </w:rPr>
        <w:fldChar w:fldCharType="separate"/>
      </w:r>
      <w:r>
        <w:rPr>
          <w:color w:val="auto"/>
        </w:rPr>
        <w:t>10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_Toc2709 </w:instrText>
      </w:r>
      <w:r>
        <w:rPr>
          <w:color w:val="auto"/>
          <w:kern w:val="21"/>
        </w:rPr>
        <w:fldChar w:fldCharType="separate"/>
      </w:r>
      <w:r>
        <w:rPr>
          <w:rFonts w:eastAsia="宋体"/>
          <w:color w:val="auto"/>
          <w:kern w:val="21"/>
          <w:szCs w:val="24"/>
        </w:rPr>
        <w:t>2.3.1环境影响因素识别</w:t>
      </w:r>
      <w:r>
        <w:rPr>
          <w:color w:val="auto"/>
        </w:rPr>
        <w:tab/>
      </w:r>
      <w:r>
        <w:rPr>
          <w:color w:val="auto"/>
        </w:rPr>
        <w:fldChar w:fldCharType="begin"/>
      </w:r>
      <w:r>
        <w:rPr>
          <w:color w:val="auto"/>
        </w:rPr>
        <w:instrText xml:space="preserve"> PAGEREF _Toc2709 \h </w:instrText>
      </w:r>
      <w:r>
        <w:rPr>
          <w:color w:val="auto"/>
        </w:rPr>
        <w:fldChar w:fldCharType="separate"/>
      </w:r>
      <w:r>
        <w:rPr>
          <w:color w:val="auto"/>
        </w:rPr>
        <w:t>10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_Toc6721 </w:instrText>
      </w:r>
      <w:r>
        <w:rPr>
          <w:color w:val="auto"/>
          <w:kern w:val="21"/>
        </w:rPr>
        <w:fldChar w:fldCharType="separate"/>
      </w:r>
      <w:r>
        <w:rPr>
          <w:rFonts w:eastAsia="宋体"/>
          <w:color w:val="auto"/>
          <w:kern w:val="21"/>
          <w:szCs w:val="24"/>
        </w:rPr>
        <w:t>2.3.2评价因子筛选</w:t>
      </w:r>
      <w:r>
        <w:rPr>
          <w:color w:val="auto"/>
        </w:rPr>
        <w:tab/>
      </w:r>
      <w:r>
        <w:rPr>
          <w:color w:val="auto"/>
        </w:rPr>
        <w:fldChar w:fldCharType="begin"/>
      </w:r>
      <w:r>
        <w:rPr>
          <w:color w:val="auto"/>
        </w:rPr>
        <w:instrText xml:space="preserve"> PAGEREF _Toc6721 \h </w:instrText>
      </w:r>
      <w:r>
        <w:rPr>
          <w:color w:val="auto"/>
        </w:rPr>
        <w:fldChar w:fldCharType="separate"/>
      </w:r>
      <w:r>
        <w:rPr>
          <w:color w:val="auto"/>
        </w:rPr>
        <w:t>10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_Toc14707 </w:instrText>
      </w:r>
      <w:r>
        <w:rPr>
          <w:color w:val="auto"/>
          <w:kern w:val="21"/>
        </w:rPr>
        <w:fldChar w:fldCharType="separate"/>
      </w:r>
      <w:r>
        <w:rPr>
          <w:color w:val="auto"/>
          <w:kern w:val="21"/>
          <w:szCs w:val="24"/>
        </w:rPr>
        <w:t>2.3.3</w:t>
      </w:r>
      <w:r>
        <w:rPr>
          <w:rFonts w:eastAsia="宋体"/>
          <w:color w:val="auto"/>
          <w:kern w:val="21"/>
          <w:szCs w:val="24"/>
        </w:rPr>
        <w:t>评价等级</w:t>
      </w:r>
      <w:r>
        <w:rPr>
          <w:color w:val="auto"/>
        </w:rPr>
        <w:tab/>
      </w:r>
      <w:r>
        <w:rPr>
          <w:color w:val="auto"/>
        </w:rPr>
        <w:fldChar w:fldCharType="begin"/>
      </w:r>
      <w:r>
        <w:rPr>
          <w:color w:val="auto"/>
        </w:rPr>
        <w:instrText xml:space="preserve"> PAGEREF _Toc14707 \h </w:instrText>
      </w:r>
      <w:r>
        <w:rPr>
          <w:color w:val="auto"/>
        </w:rPr>
        <w:fldChar w:fldCharType="separate"/>
      </w:r>
      <w:r>
        <w:rPr>
          <w:color w:val="auto"/>
        </w:rPr>
        <w:t>12</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_Toc16046 </w:instrText>
      </w:r>
      <w:r>
        <w:rPr>
          <w:color w:val="auto"/>
          <w:kern w:val="21"/>
        </w:rPr>
        <w:fldChar w:fldCharType="separate"/>
      </w:r>
      <w:r>
        <w:rPr>
          <w:rFonts w:eastAsia="宋体"/>
          <w:color w:val="auto"/>
          <w:kern w:val="21"/>
          <w:szCs w:val="24"/>
        </w:rPr>
        <w:t>2.3.4评价范围</w:t>
      </w:r>
      <w:r>
        <w:rPr>
          <w:color w:val="auto"/>
        </w:rPr>
        <w:tab/>
      </w:r>
      <w:r>
        <w:rPr>
          <w:color w:val="auto"/>
        </w:rPr>
        <w:fldChar w:fldCharType="begin"/>
      </w:r>
      <w:r>
        <w:rPr>
          <w:color w:val="auto"/>
        </w:rPr>
        <w:instrText xml:space="preserve"> PAGEREF _Toc16046 \h </w:instrText>
      </w:r>
      <w:r>
        <w:rPr>
          <w:color w:val="auto"/>
        </w:rPr>
        <w:fldChar w:fldCharType="separate"/>
      </w:r>
      <w:r>
        <w:rPr>
          <w:color w:val="auto"/>
        </w:rPr>
        <w:t>18</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_Toc24118 </w:instrText>
      </w:r>
      <w:r>
        <w:rPr>
          <w:color w:val="auto"/>
          <w:kern w:val="21"/>
        </w:rPr>
        <w:fldChar w:fldCharType="separate"/>
      </w:r>
      <w:r>
        <w:rPr>
          <w:color w:val="auto"/>
          <w:kern w:val="21"/>
        </w:rPr>
        <w:t>2.4评价标准</w:t>
      </w:r>
      <w:r>
        <w:rPr>
          <w:color w:val="auto"/>
        </w:rPr>
        <w:tab/>
      </w:r>
      <w:r>
        <w:rPr>
          <w:color w:val="auto"/>
        </w:rPr>
        <w:fldChar w:fldCharType="begin"/>
      </w:r>
      <w:r>
        <w:rPr>
          <w:color w:val="auto"/>
        </w:rPr>
        <w:instrText xml:space="preserve"> PAGEREF _Toc24118 \h </w:instrText>
      </w:r>
      <w:r>
        <w:rPr>
          <w:color w:val="auto"/>
        </w:rPr>
        <w:fldChar w:fldCharType="separate"/>
      </w:r>
      <w:r>
        <w:rPr>
          <w:color w:val="auto"/>
        </w:rPr>
        <w:t>20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_Toc10978 </w:instrText>
      </w:r>
      <w:r>
        <w:rPr>
          <w:color w:val="auto"/>
          <w:kern w:val="21"/>
        </w:rPr>
        <w:fldChar w:fldCharType="separate"/>
      </w:r>
      <w:r>
        <w:rPr>
          <w:rFonts w:eastAsia="宋体"/>
          <w:color w:val="auto"/>
          <w:kern w:val="21"/>
          <w:szCs w:val="24"/>
        </w:rPr>
        <w:t>2.4.1环境质量标准</w:t>
      </w:r>
      <w:r>
        <w:rPr>
          <w:color w:val="auto"/>
        </w:rPr>
        <w:tab/>
      </w:r>
      <w:r>
        <w:rPr>
          <w:color w:val="auto"/>
        </w:rPr>
        <w:fldChar w:fldCharType="begin"/>
      </w:r>
      <w:r>
        <w:rPr>
          <w:color w:val="auto"/>
        </w:rPr>
        <w:instrText xml:space="preserve"> PAGEREF _Toc10978 \h </w:instrText>
      </w:r>
      <w:r>
        <w:rPr>
          <w:color w:val="auto"/>
        </w:rPr>
        <w:fldChar w:fldCharType="separate"/>
      </w:r>
      <w:r>
        <w:rPr>
          <w:color w:val="auto"/>
        </w:rPr>
        <w:t>20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_Toc22597 </w:instrText>
      </w:r>
      <w:r>
        <w:rPr>
          <w:color w:val="auto"/>
          <w:kern w:val="21"/>
        </w:rPr>
        <w:fldChar w:fldCharType="separate"/>
      </w:r>
      <w:r>
        <w:rPr>
          <w:rFonts w:eastAsia="宋体"/>
          <w:color w:val="auto"/>
          <w:kern w:val="21"/>
          <w:szCs w:val="24"/>
        </w:rPr>
        <w:t>2.4.2污染物排放标准</w:t>
      </w:r>
      <w:r>
        <w:rPr>
          <w:color w:val="auto"/>
        </w:rPr>
        <w:tab/>
      </w:r>
      <w:r>
        <w:rPr>
          <w:color w:val="auto"/>
        </w:rPr>
        <w:fldChar w:fldCharType="begin"/>
      </w:r>
      <w:r>
        <w:rPr>
          <w:color w:val="auto"/>
        </w:rPr>
        <w:instrText xml:space="preserve"> PAGEREF _Toc22597 \h </w:instrText>
      </w:r>
      <w:r>
        <w:rPr>
          <w:color w:val="auto"/>
        </w:rPr>
        <w:fldChar w:fldCharType="separate"/>
      </w:r>
      <w:r>
        <w:rPr>
          <w:color w:val="auto"/>
        </w:rPr>
        <w:t>23</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_Toc5724 </w:instrText>
      </w:r>
      <w:r>
        <w:rPr>
          <w:color w:val="auto"/>
          <w:kern w:val="21"/>
        </w:rPr>
        <w:fldChar w:fldCharType="separate"/>
      </w:r>
      <w:r>
        <w:rPr>
          <w:color w:val="auto"/>
          <w:kern w:val="21"/>
        </w:rPr>
        <w:t>2.5环境保护目标</w:t>
      </w:r>
      <w:r>
        <w:rPr>
          <w:color w:val="auto"/>
        </w:rPr>
        <w:tab/>
      </w:r>
      <w:r>
        <w:rPr>
          <w:color w:val="auto"/>
        </w:rPr>
        <w:fldChar w:fldCharType="begin"/>
      </w:r>
      <w:r>
        <w:rPr>
          <w:color w:val="auto"/>
        </w:rPr>
        <w:instrText xml:space="preserve"> PAGEREF _Toc5724 \h </w:instrText>
      </w:r>
      <w:r>
        <w:rPr>
          <w:color w:val="auto"/>
        </w:rPr>
        <w:fldChar w:fldCharType="separate"/>
      </w:r>
      <w:r>
        <w:rPr>
          <w:color w:val="auto"/>
        </w:rPr>
        <w:t>27</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_Toc18438 </w:instrText>
      </w:r>
      <w:r>
        <w:rPr>
          <w:color w:val="auto"/>
          <w:kern w:val="21"/>
        </w:rPr>
        <w:fldChar w:fldCharType="separate"/>
      </w:r>
      <w:r>
        <w:rPr>
          <w:color w:val="auto"/>
          <w:kern w:val="21"/>
        </w:rPr>
        <w:t>2.6评价时段</w:t>
      </w:r>
      <w:r>
        <w:rPr>
          <w:color w:val="auto"/>
        </w:rPr>
        <w:tab/>
      </w:r>
      <w:r>
        <w:rPr>
          <w:color w:val="auto"/>
        </w:rPr>
        <w:fldChar w:fldCharType="begin"/>
      </w:r>
      <w:r>
        <w:rPr>
          <w:color w:val="auto"/>
        </w:rPr>
        <w:instrText xml:space="preserve"> PAGEREF _Toc18438 \h </w:instrText>
      </w:r>
      <w:r>
        <w:rPr>
          <w:color w:val="auto"/>
        </w:rPr>
        <w:fldChar w:fldCharType="separate"/>
      </w:r>
      <w:r>
        <w:rPr>
          <w:color w:val="auto"/>
        </w:rPr>
        <w:t>29</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_Toc29479 </w:instrText>
      </w:r>
      <w:r>
        <w:rPr>
          <w:color w:val="auto"/>
          <w:kern w:val="21"/>
        </w:rPr>
        <w:fldChar w:fldCharType="separate"/>
      </w:r>
      <w:r>
        <w:rPr>
          <w:color w:val="auto"/>
          <w:kern w:val="21"/>
        </w:rPr>
        <w:t>2.7评价工作程序</w:t>
      </w:r>
      <w:r>
        <w:rPr>
          <w:color w:val="auto"/>
        </w:rPr>
        <w:tab/>
      </w:r>
      <w:r>
        <w:rPr>
          <w:color w:val="auto"/>
        </w:rPr>
        <w:fldChar w:fldCharType="begin"/>
      </w:r>
      <w:r>
        <w:rPr>
          <w:color w:val="auto"/>
        </w:rPr>
        <w:instrText xml:space="preserve"> PAGEREF _Toc29479 \h </w:instrText>
      </w:r>
      <w:r>
        <w:rPr>
          <w:color w:val="auto"/>
        </w:rPr>
        <w:fldChar w:fldCharType="separate"/>
      </w:r>
      <w:r>
        <w:rPr>
          <w:color w:val="auto"/>
        </w:rPr>
        <w:t>29</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_Toc26006 </w:instrText>
      </w:r>
      <w:r>
        <w:rPr>
          <w:color w:val="auto"/>
          <w:kern w:val="21"/>
        </w:rPr>
        <w:fldChar w:fldCharType="separate"/>
      </w:r>
      <w:r>
        <w:rPr>
          <w:color w:val="auto"/>
          <w:kern w:val="21"/>
          <w:szCs w:val="32"/>
        </w:rPr>
        <w:t>3建设项目工程分析</w:t>
      </w:r>
      <w:r>
        <w:rPr>
          <w:color w:val="auto"/>
        </w:rPr>
        <w:tab/>
      </w:r>
      <w:r>
        <w:rPr>
          <w:color w:val="auto"/>
        </w:rPr>
        <w:fldChar w:fldCharType="begin"/>
      </w:r>
      <w:r>
        <w:rPr>
          <w:color w:val="auto"/>
        </w:rPr>
        <w:instrText xml:space="preserve"> PAGEREF _Toc26006 \h </w:instrText>
      </w:r>
      <w:r>
        <w:rPr>
          <w:color w:val="auto"/>
        </w:rPr>
        <w:fldChar w:fldCharType="separate"/>
      </w:r>
      <w:r>
        <w:rPr>
          <w:color w:val="auto"/>
        </w:rPr>
        <w:t>31</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_Toc22084 </w:instrText>
      </w:r>
      <w:r>
        <w:rPr>
          <w:color w:val="auto"/>
          <w:kern w:val="21"/>
        </w:rPr>
        <w:fldChar w:fldCharType="separate"/>
      </w:r>
      <w:r>
        <w:rPr>
          <w:color w:val="auto"/>
          <w:kern w:val="21"/>
        </w:rPr>
        <w:t>3.1建项目概况</w:t>
      </w:r>
      <w:r>
        <w:rPr>
          <w:color w:val="auto"/>
        </w:rPr>
        <w:tab/>
      </w:r>
      <w:r>
        <w:rPr>
          <w:color w:val="auto"/>
        </w:rPr>
        <w:fldChar w:fldCharType="begin"/>
      </w:r>
      <w:r>
        <w:rPr>
          <w:color w:val="auto"/>
        </w:rPr>
        <w:instrText xml:space="preserve"> PAGEREF _Toc22084 \h </w:instrText>
      </w:r>
      <w:r>
        <w:rPr>
          <w:color w:val="auto"/>
        </w:rPr>
        <w:fldChar w:fldCharType="separate"/>
      </w:r>
      <w:r>
        <w:rPr>
          <w:color w:val="auto"/>
        </w:rPr>
        <w:t>31</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_Toc508 </w:instrText>
      </w:r>
      <w:r>
        <w:rPr>
          <w:color w:val="auto"/>
          <w:kern w:val="21"/>
        </w:rPr>
        <w:fldChar w:fldCharType="separate"/>
      </w:r>
      <w:r>
        <w:rPr>
          <w:rFonts w:eastAsia="宋体"/>
          <w:color w:val="auto"/>
          <w:kern w:val="21"/>
          <w:szCs w:val="24"/>
        </w:rPr>
        <w:t>3.1.1项目基本情况</w:t>
      </w:r>
      <w:r>
        <w:rPr>
          <w:color w:val="auto"/>
        </w:rPr>
        <w:tab/>
      </w:r>
      <w:r>
        <w:rPr>
          <w:color w:val="auto"/>
        </w:rPr>
        <w:fldChar w:fldCharType="begin"/>
      </w:r>
      <w:r>
        <w:rPr>
          <w:color w:val="auto"/>
        </w:rPr>
        <w:instrText xml:space="preserve"> PAGEREF _Toc508 \h </w:instrText>
      </w:r>
      <w:r>
        <w:rPr>
          <w:color w:val="auto"/>
        </w:rPr>
        <w:fldChar w:fldCharType="separate"/>
      </w:r>
      <w:r>
        <w:rPr>
          <w:color w:val="auto"/>
        </w:rPr>
        <w:t>31</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_Toc17530 </w:instrText>
      </w:r>
      <w:r>
        <w:rPr>
          <w:color w:val="auto"/>
          <w:kern w:val="21"/>
        </w:rPr>
        <w:fldChar w:fldCharType="separate"/>
      </w:r>
      <w:r>
        <w:rPr>
          <w:rFonts w:eastAsia="宋体"/>
          <w:color w:val="auto"/>
          <w:kern w:val="21"/>
          <w:szCs w:val="24"/>
        </w:rPr>
        <w:t>3.1.2服务对象</w:t>
      </w:r>
      <w:r>
        <w:rPr>
          <w:color w:val="auto"/>
        </w:rPr>
        <w:tab/>
      </w:r>
      <w:r>
        <w:rPr>
          <w:color w:val="auto"/>
        </w:rPr>
        <w:fldChar w:fldCharType="begin"/>
      </w:r>
      <w:r>
        <w:rPr>
          <w:color w:val="auto"/>
        </w:rPr>
        <w:instrText xml:space="preserve"> PAGEREF _Toc17530 \h </w:instrText>
      </w:r>
      <w:r>
        <w:rPr>
          <w:color w:val="auto"/>
        </w:rPr>
        <w:fldChar w:fldCharType="separate"/>
      </w:r>
      <w:r>
        <w:rPr>
          <w:color w:val="auto"/>
        </w:rPr>
        <w:t>31</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_Toc12091 </w:instrText>
      </w:r>
      <w:r>
        <w:rPr>
          <w:color w:val="auto"/>
          <w:kern w:val="21"/>
        </w:rPr>
        <w:fldChar w:fldCharType="separate"/>
      </w:r>
      <w:r>
        <w:rPr>
          <w:rFonts w:eastAsia="宋体"/>
          <w:color w:val="auto"/>
          <w:kern w:val="21"/>
          <w:szCs w:val="24"/>
        </w:rPr>
        <w:t>3.1.3项目处理</w:t>
      </w:r>
      <w:r>
        <w:rPr>
          <w:rFonts w:hint="eastAsia" w:eastAsia="宋体"/>
          <w:color w:val="auto"/>
          <w:kern w:val="21"/>
          <w:szCs w:val="24"/>
        </w:rPr>
        <w:t>规模合理性</w:t>
      </w:r>
      <w:r>
        <w:rPr>
          <w:color w:val="auto"/>
        </w:rPr>
        <w:tab/>
      </w:r>
      <w:r>
        <w:rPr>
          <w:color w:val="auto"/>
        </w:rPr>
        <w:fldChar w:fldCharType="begin"/>
      </w:r>
      <w:r>
        <w:rPr>
          <w:color w:val="auto"/>
        </w:rPr>
        <w:instrText xml:space="preserve"> PAGEREF _Toc12091 \h </w:instrText>
      </w:r>
      <w:r>
        <w:rPr>
          <w:color w:val="auto"/>
        </w:rPr>
        <w:fldChar w:fldCharType="separate"/>
      </w:r>
      <w:r>
        <w:rPr>
          <w:color w:val="auto"/>
        </w:rPr>
        <w:t>32</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_Toc3769 </w:instrText>
      </w:r>
      <w:r>
        <w:rPr>
          <w:color w:val="auto"/>
          <w:kern w:val="21"/>
        </w:rPr>
        <w:fldChar w:fldCharType="separate"/>
      </w:r>
      <w:r>
        <w:rPr>
          <w:rFonts w:eastAsia="宋体"/>
          <w:color w:val="auto"/>
          <w:kern w:val="21"/>
          <w:szCs w:val="24"/>
        </w:rPr>
        <w:t>3.1.4项目进水出水水质</w:t>
      </w:r>
      <w:r>
        <w:rPr>
          <w:rFonts w:hint="eastAsia" w:eastAsia="宋体"/>
          <w:color w:val="auto"/>
          <w:kern w:val="21"/>
          <w:szCs w:val="24"/>
          <w:lang w:eastAsia="zh-CN"/>
        </w:rPr>
        <w:t>标准</w:t>
      </w:r>
      <w:r>
        <w:rPr>
          <w:color w:val="auto"/>
        </w:rPr>
        <w:tab/>
      </w:r>
      <w:r>
        <w:rPr>
          <w:color w:val="auto"/>
        </w:rPr>
        <w:fldChar w:fldCharType="begin"/>
      </w:r>
      <w:r>
        <w:rPr>
          <w:color w:val="auto"/>
        </w:rPr>
        <w:instrText xml:space="preserve"> PAGEREF _Toc3769 \h </w:instrText>
      </w:r>
      <w:r>
        <w:rPr>
          <w:color w:val="auto"/>
        </w:rPr>
        <w:fldChar w:fldCharType="separate"/>
      </w:r>
      <w:r>
        <w:rPr>
          <w:color w:val="auto"/>
        </w:rPr>
        <w:t>32</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_Toc11695 </w:instrText>
      </w:r>
      <w:r>
        <w:rPr>
          <w:color w:val="auto"/>
          <w:kern w:val="21"/>
        </w:rPr>
        <w:fldChar w:fldCharType="separate"/>
      </w:r>
      <w:r>
        <w:rPr>
          <w:rFonts w:eastAsia="宋体"/>
          <w:color w:val="auto"/>
          <w:kern w:val="21"/>
          <w:szCs w:val="24"/>
        </w:rPr>
        <w:t>3.1.5处理工艺比选</w:t>
      </w:r>
      <w:r>
        <w:rPr>
          <w:color w:val="auto"/>
        </w:rPr>
        <w:tab/>
      </w:r>
      <w:r>
        <w:rPr>
          <w:color w:val="auto"/>
        </w:rPr>
        <w:fldChar w:fldCharType="begin"/>
      </w:r>
      <w:r>
        <w:rPr>
          <w:color w:val="auto"/>
        </w:rPr>
        <w:instrText xml:space="preserve"> PAGEREF _Toc11695 \h </w:instrText>
      </w:r>
      <w:r>
        <w:rPr>
          <w:color w:val="auto"/>
        </w:rPr>
        <w:fldChar w:fldCharType="separate"/>
      </w:r>
      <w:r>
        <w:rPr>
          <w:color w:val="auto"/>
        </w:rPr>
        <w:t>32</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_Toc618 </w:instrText>
      </w:r>
      <w:r>
        <w:rPr>
          <w:color w:val="auto"/>
          <w:kern w:val="21"/>
        </w:rPr>
        <w:fldChar w:fldCharType="separate"/>
      </w:r>
      <w:r>
        <w:rPr>
          <w:color w:val="auto"/>
          <w:kern w:val="21"/>
          <w:szCs w:val="24"/>
        </w:rPr>
        <w:t>3</w:t>
      </w:r>
      <w:r>
        <w:rPr>
          <w:rFonts w:eastAsia="宋体"/>
          <w:color w:val="auto"/>
          <w:kern w:val="21"/>
          <w:szCs w:val="24"/>
        </w:rPr>
        <w:t>.1.6污水处理工艺</w:t>
      </w:r>
      <w:r>
        <w:rPr>
          <w:color w:val="auto"/>
        </w:rPr>
        <w:tab/>
      </w:r>
      <w:r>
        <w:rPr>
          <w:color w:val="auto"/>
        </w:rPr>
        <w:fldChar w:fldCharType="begin"/>
      </w:r>
      <w:r>
        <w:rPr>
          <w:color w:val="auto"/>
        </w:rPr>
        <w:instrText xml:space="preserve"> PAGEREF _Toc618 \h </w:instrText>
      </w:r>
      <w:r>
        <w:rPr>
          <w:color w:val="auto"/>
        </w:rPr>
        <w:fldChar w:fldCharType="separate"/>
      </w:r>
      <w:r>
        <w:rPr>
          <w:color w:val="auto"/>
        </w:rPr>
        <w:t>35</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_Toc29080 </w:instrText>
      </w:r>
      <w:r>
        <w:rPr>
          <w:color w:val="auto"/>
          <w:kern w:val="21"/>
        </w:rPr>
        <w:fldChar w:fldCharType="separate"/>
      </w:r>
      <w:r>
        <w:rPr>
          <w:rFonts w:eastAsia="宋体"/>
          <w:color w:val="auto"/>
          <w:kern w:val="21"/>
          <w:szCs w:val="24"/>
        </w:rPr>
        <w:t>3.1.</w:t>
      </w:r>
      <w:r>
        <w:rPr>
          <w:rFonts w:hint="eastAsia" w:eastAsia="宋体"/>
          <w:color w:val="auto"/>
          <w:kern w:val="21"/>
          <w:szCs w:val="24"/>
        </w:rPr>
        <w:t>7</w:t>
      </w:r>
      <w:r>
        <w:rPr>
          <w:rFonts w:eastAsia="宋体"/>
          <w:color w:val="auto"/>
          <w:kern w:val="21"/>
          <w:szCs w:val="24"/>
        </w:rPr>
        <w:t>建设内容</w:t>
      </w:r>
      <w:r>
        <w:rPr>
          <w:color w:val="auto"/>
        </w:rPr>
        <w:tab/>
      </w:r>
      <w:r>
        <w:rPr>
          <w:color w:val="auto"/>
        </w:rPr>
        <w:fldChar w:fldCharType="begin"/>
      </w:r>
      <w:r>
        <w:rPr>
          <w:color w:val="auto"/>
        </w:rPr>
        <w:instrText xml:space="preserve"> PAGEREF _Toc29080 \h </w:instrText>
      </w:r>
      <w:r>
        <w:rPr>
          <w:color w:val="auto"/>
        </w:rPr>
        <w:fldChar w:fldCharType="separate"/>
      </w:r>
      <w:r>
        <w:rPr>
          <w:color w:val="auto"/>
        </w:rPr>
        <w:t>40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_Toc5471 </w:instrText>
      </w:r>
      <w:r>
        <w:rPr>
          <w:color w:val="auto"/>
          <w:kern w:val="21"/>
        </w:rPr>
        <w:fldChar w:fldCharType="separate"/>
      </w:r>
      <w:r>
        <w:rPr>
          <w:rFonts w:eastAsia="宋体"/>
          <w:color w:val="auto"/>
          <w:kern w:val="21"/>
          <w:szCs w:val="24"/>
        </w:rPr>
        <w:t>3.1.</w:t>
      </w:r>
      <w:r>
        <w:rPr>
          <w:rFonts w:hint="eastAsia" w:eastAsia="宋体"/>
          <w:color w:val="auto"/>
          <w:kern w:val="21"/>
          <w:szCs w:val="24"/>
        </w:rPr>
        <w:t>8</w:t>
      </w:r>
      <w:r>
        <w:rPr>
          <w:rFonts w:eastAsia="宋体"/>
          <w:color w:val="auto"/>
          <w:kern w:val="21"/>
          <w:szCs w:val="24"/>
        </w:rPr>
        <w:t>主要原辅材料及能源消耗</w:t>
      </w:r>
      <w:r>
        <w:rPr>
          <w:color w:val="auto"/>
        </w:rPr>
        <w:tab/>
      </w:r>
      <w:r>
        <w:rPr>
          <w:color w:val="auto"/>
        </w:rPr>
        <w:fldChar w:fldCharType="begin"/>
      </w:r>
      <w:r>
        <w:rPr>
          <w:color w:val="auto"/>
        </w:rPr>
        <w:instrText xml:space="preserve"> PAGEREF _Toc5471 \h </w:instrText>
      </w:r>
      <w:r>
        <w:rPr>
          <w:color w:val="auto"/>
        </w:rPr>
        <w:fldChar w:fldCharType="separate"/>
      </w:r>
      <w:r>
        <w:rPr>
          <w:color w:val="auto"/>
        </w:rPr>
        <w:t>44</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_Toc27077 </w:instrText>
      </w:r>
      <w:r>
        <w:rPr>
          <w:color w:val="auto"/>
          <w:kern w:val="21"/>
        </w:rPr>
        <w:fldChar w:fldCharType="separate"/>
      </w:r>
      <w:r>
        <w:rPr>
          <w:rFonts w:eastAsia="宋体"/>
          <w:color w:val="auto"/>
          <w:kern w:val="21"/>
          <w:szCs w:val="24"/>
        </w:rPr>
        <w:t>3.1.</w:t>
      </w:r>
      <w:r>
        <w:rPr>
          <w:rFonts w:hint="eastAsia" w:eastAsia="宋体"/>
          <w:color w:val="auto"/>
          <w:kern w:val="21"/>
          <w:szCs w:val="24"/>
        </w:rPr>
        <w:t>9</w:t>
      </w:r>
      <w:r>
        <w:rPr>
          <w:rFonts w:eastAsia="宋体"/>
          <w:color w:val="auto"/>
          <w:kern w:val="21"/>
          <w:szCs w:val="24"/>
        </w:rPr>
        <w:t>总平面布置</w:t>
      </w:r>
      <w:r>
        <w:rPr>
          <w:color w:val="auto"/>
        </w:rPr>
        <w:tab/>
      </w:r>
      <w:r>
        <w:rPr>
          <w:color w:val="auto"/>
        </w:rPr>
        <w:fldChar w:fldCharType="begin"/>
      </w:r>
      <w:r>
        <w:rPr>
          <w:color w:val="auto"/>
        </w:rPr>
        <w:instrText xml:space="preserve"> PAGEREF _Toc27077 \h </w:instrText>
      </w:r>
      <w:r>
        <w:rPr>
          <w:color w:val="auto"/>
        </w:rPr>
        <w:fldChar w:fldCharType="separate"/>
      </w:r>
      <w:r>
        <w:rPr>
          <w:color w:val="auto"/>
        </w:rPr>
        <w:t>44</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_Toc12877 </w:instrText>
      </w:r>
      <w:r>
        <w:rPr>
          <w:color w:val="auto"/>
          <w:kern w:val="21"/>
        </w:rPr>
        <w:fldChar w:fldCharType="separate"/>
      </w:r>
      <w:r>
        <w:rPr>
          <w:rFonts w:eastAsia="宋体"/>
          <w:color w:val="auto"/>
          <w:kern w:val="21"/>
          <w:szCs w:val="24"/>
        </w:rPr>
        <w:t>3.1.1</w:t>
      </w:r>
      <w:r>
        <w:rPr>
          <w:rFonts w:hint="eastAsia" w:eastAsia="宋体"/>
          <w:color w:val="auto"/>
          <w:kern w:val="21"/>
          <w:szCs w:val="24"/>
        </w:rPr>
        <w:t>0</w:t>
      </w:r>
      <w:r>
        <w:rPr>
          <w:rFonts w:eastAsia="宋体"/>
          <w:color w:val="auto"/>
          <w:kern w:val="21"/>
          <w:szCs w:val="24"/>
        </w:rPr>
        <w:t>项目主要机械设备</w:t>
      </w:r>
      <w:r>
        <w:rPr>
          <w:color w:val="auto"/>
        </w:rPr>
        <w:tab/>
      </w:r>
      <w:r>
        <w:rPr>
          <w:color w:val="auto"/>
        </w:rPr>
        <w:fldChar w:fldCharType="begin"/>
      </w:r>
      <w:r>
        <w:rPr>
          <w:color w:val="auto"/>
        </w:rPr>
        <w:instrText xml:space="preserve"> PAGEREF _Toc12877 \h </w:instrText>
      </w:r>
      <w:r>
        <w:rPr>
          <w:color w:val="auto"/>
        </w:rPr>
        <w:fldChar w:fldCharType="separate"/>
      </w:r>
      <w:r>
        <w:rPr>
          <w:color w:val="auto"/>
        </w:rPr>
        <w:t>45</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_Toc14518 </w:instrText>
      </w:r>
      <w:r>
        <w:rPr>
          <w:color w:val="auto"/>
          <w:kern w:val="21"/>
        </w:rPr>
        <w:fldChar w:fldCharType="separate"/>
      </w:r>
      <w:r>
        <w:rPr>
          <w:rFonts w:eastAsia="宋体"/>
          <w:color w:val="auto"/>
          <w:kern w:val="21"/>
          <w:szCs w:val="24"/>
        </w:rPr>
        <w:t>3.1.1</w:t>
      </w:r>
      <w:r>
        <w:rPr>
          <w:rFonts w:hint="eastAsia" w:eastAsia="宋体"/>
          <w:color w:val="auto"/>
          <w:kern w:val="21"/>
          <w:szCs w:val="24"/>
        </w:rPr>
        <w:t>1</w:t>
      </w:r>
      <w:r>
        <w:rPr>
          <w:rFonts w:eastAsia="宋体"/>
          <w:color w:val="auto"/>
          <w:kern w:val="21"/>
          <w:szCs w:val="24"/>
        </w:rPr>
        <w:t>生产制度及劳动定员</w:t>
      </w:r>
      <w:r>
        <w:rPr>
          <w:color w:val="auto"/>
        </w:rPr>
        <w:tab/>
      </w:r>
      <w:r>
        <w:rPr>
          <w:color w:val="auto"/>
        </w:rPr>
        <w:fldChar w:fldCharType="begin"/>
      </w:r>
      <w:r>
        <w:rPr>
          <w:color w:val="auto"/>
        </w:rPr>
        <w:instrText xml:space="preserve"> PAGEREF _Toc14518 \h </w:instrText>
      </w:r>
      <w:r>
        <w:rPr>
          <w:color w:val="auto"/>
        </w:rPr>
        <w:fldChar w:fldCharType="separate"/>
      </w:r>
      <w:r>
        <w:rPr>
          <w:color w:val="auto"/>
        </w:rPr>
        <w:t>46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_Toc12779 </w:instrText>
      </w:r>
      <w:r>
        <w:rPr>
          <w:color w:val="auto"/>
          <w:kern w:val="21"/>
        </w:rPr>
        <w:fldChar w:fldCharType="separate"/>
      </w:r>
      <w:r>
        <w:rPr>
          <w:rFonts w:eastAsia="宋体"/>
          <w:color w:val="auto"/>
          <w:kern w:val="21"/>
          <w:szCs w:val="24"/>
        </w:rPr>
        <w:t>3.1.1</w:t>
      </w:r>
      <w:r>
        <w:rPr>
          <w:rFonts w:hint="eastAsia" w:eastAsia="宋体"/>
          <w:color w:val="auto"/>
          <w:kern w:val="21"/>
          <w:szCs w:val="24"/>
        </w:rPr>
        <w:t>2</w:t>
      </w:r>
      <w:r>
        <w:rPr>
          <w:rFonts w:eastAsia="宋体"/>
          <w:color w:val="auto"/>
          <w:kern w:val="21"/>
          <w:szCs w:val="24"/>
        </w:rPr>
        <w:t>公用辅助工程</w:t>
      </w:r>
      <w:r>
        <w:rPr>
          <w:color w:val="auto"/>
        </w:rPr>
        <w:tab/>
      </w:r>
      <w:r>
        <w:rPr>
          <w:color w:val="auto"/>
        </w:rPr>
        <w:fldChar w:fldCharType="begin"/>
      </w:r>
      <w:r>
        <w:rPr>
          <w:color w:val="auto"/>
        </w:rPr>
        <w:instrText xml:space="preserve"> PAGEREF _Toc12779 \h </w:instrText>
      </w:r>
      <w:r>
        <w:rPr>
          <w:color w:val="auto"/>
        </w:rPr>
        <w:fldChar w:fldCharType="separate"/>
      </w:r>
      <w:r>
        <w:rPr>
          <w:color w:val="auto"/>
        </w:rPr>
        <w:t>46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_Toc23471 </w:instrText>
      </w:r>
      <w:r>
        <w:rPr>
          <w:color w:val="auto"/>
          <w:kern w:val="21"/>
        </w:rPr>
        <w:fldChar w:fldCharType="separate"/>
      </w:r>
      <w:r>
        <w:rPr>
          <w:rFonts w:eastAsia="宋体"/>
          <w:color w:val="auto"/>
          <w:kern w:val="21"/>
          <w:szCs w:val="24"/>
        </w:rPr>
        <w:t>3.1.1</w:t>
      </w:r>
      <w:r>
        <w:rPr>
          <w:rFonts w:hint="eastAsia" w:eastAsia="宋体"/>
          <w:color w:val="auto"/>
          <w:kern w:val="21"/>
          <w:szCs w:val="24"/>
        </w:rPr>
        <w:t>3</w:t>
      </w:r>
      <w:r>
        <w:rPr>
          <w:rFonts w:eastAsia="宋体"/>
          <w:color w:val="auto"/>
          <w:kern w:val="21"/>
          <w:szCs w:val="24"/>
        </w:rPr>
        <w:t>项目主要经济技术指标</w:t>
      </w:r>
      <w:r>
        <w:rPr>
          <w:color w:val="auto"/>
        </w:rPr>
        <w:tab/>
      </w:r>
      <w:r>
        <w:rPr>
          <w:color w:val="auto"/>
        </w:rPr>
        <w:fldChar w:fldCharType="begin"/>
      </w:r>
      <w:r>
        <w:rPr>
          <w:color w:val="auto"/>
        </w:rPr>
        <w:instrText xml:space="preserve"> PAGEREF _Toc23471 \h </w:instrText>
      </w:r>
      <w:r>
        <w:rPr>
          <w:color w:val="auto"/>
        </w:rPr>
        <w:fldChar w:fldCharType="separate"/>
      </w:r>
      <w:r>
        <w:rPr>
          <w:color w:val="auto"/>
        </w:rPr>
        <w:t>48</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_Toc11818 </w:instrText>
      </w:r>
      <w:r>
        <w:rPr>
          <w:color w:val="auto"/>
          <w:kern w:val="21"/>
        </w:rPr>
        <w:fldChar w:fldCharType="separate"/>
      </w:r>
      <w:r>
        <w:rPr>
          <w:color w:val="auto"/>
          <w:kern w:val="21"/>
        </w:rPr>
        <w:t>3.2工程分析</w:t>
      </w:r>
      <w:r>
        <w:rPr>
          <w:color w:val="auto"/>
        </w:rPr>
        <w:tab/>
      </w:r>
      <w:r>
        <w:rPr>
          <w:color w:val="auto"/>
        </w:rPr>
        <w:fldChar w:fldCharType="begin"/>
      </w:r>
      <w:r>
        <w:rPr>
          <w:color w:val="auto"/>
        </w:rPr>
        <w:instrText xml:space="preserve"> PAGEREF _Toc11818 \h </w:instrText>
      </w:r>
      <w:r>
        <w:rPr>
          <w:color w:val="auto"/>
        </w:rPr>
        <w:fldChar w:fldCharType="separate"/>
      </w:r>
      <w:r>
        <w:rPr>
          <w:color w:val="auto"/>
        </w:rPr>
        <w:t>48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_Toc22422 </w:instrText>
      </w:r>
      <w:r>
        <w:rPr>
          <w:color w:val="auto"/>
          <w:kern w:val="21"/>
        </w:rPr>
        <w:fldChar w:fldCharType="separate"/>
      </w:r>
      <w:r>
        <w:rPr>
          <w:rFonts w:eastAsia="宋体"/>
          <w:color w:val="auto"/>
          <w:kern w:val="21"/>
          <w:szCs w:val="24"/>
        </w:rPr>
        <w:t>3.2.1施工期</w:t>
      </w:r>
      <w:r>
        <w:rPr>
          <w:color w:val="auto"/>
        </w:rPr>
        <w:tab/>
      </w:r>
      <w:r>
        <w:rPr>
          <w:color w:val="auto"/>
        </w:rPr>
        <w:fldChar w:fldCharType="begin"/>
      </w:r>
      <w:r>
        <w:rPr>
          <w:color w:val="auto"/>
        </w:rPr>
        <w:instrText xml:space="preserve"> PAGEREF _Toc22422 \h </w:instrText>
      </w:r>
      <w:r>
        <w:rPr>
          <w:color w:val="auto"/>
        </w:rPr>
        <w:fldChar w:fldCharType="separate"/>
      </w:r>
      <w:r>
        <w:rPr>
          <w:color w:val="auto"/>
        </w:rPr>
        <w:t>48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_Toc2090 </w:instrText>
      </w:r>
      <w:r>
        <w:rPr>
          <w:color w:val="auto"/>
          <w:kern w:val="21"/>
        </w:rPr>
        <w:fldChar w:fldCharType="separate"/>
      </w:r>
      <w:r>
        <w:rPr>
          <w:rFonts w:eastAsia="宋体"/>
          <w:color w:val="auto"/>
          <w:kern w:val="21"/>
          <w:szCs w:val="24"/>
        </w:rPr>
        <w:t>3.2.2运营期</w:t>
      </w:r>
      <w:r>
        <w:rPr>
          <w:color w:val="auto"/>
        </w:rPr>
        <w:tab/>
      </w:r>
      <w:r>
        <w:rPr>
          <w:color w:val="auto"/>
        </w:rPr>
        <w:fldChar w:fldCharType="begin"/>
      </w:r>
      <w:r>
        <w:rPr>
          <w:color w:val="auto"/>
        </w:rPr>
        <w:instrText xml:space="preserve"> PAGEREF _Toc2090 \h </w:instrText>
      </w:r>
      <w:r>
        <w:rPr>
          <w:color w:val="auto"/>
        </w:rPr>
        <w:fldChar w:fldCharType="separate"/>
      </w:r>
      <w:r>
        <w:rPr>
          <w:color w:val="auto"/>
        </w:rPr>
        <w:t>48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_Toc404 </w:instrText>
      </w:r>
      <w:r>
        <w:rPr>
          <w:color w:val="auto"/>
          <w:kern w:val="21"/>
        </w:rPr>
        <w:fldChar w:fldCharType="separate"/>
      </w:r>
      <w:r>
        <w:rPr>
          <w:color w:val="auto"/>
          <w:kern w:val="21"/>
          <w:szCs w:val="24"/>
        </w:rPr>
        <w:t>3.3.</w:t>
      </w:r>
      <w:r>
        <w:rPr>
          <w:rFonts w:hint="eastAsia"/>
          <w:color w:val="auto"/>
          <w:kern w:val="21"/>
          <w:szCs w:val="24"/>
        </w:rPr>
        <w:t>3</w:t>
      </w:r>
      <w:r>
        <w:rPr>
          <w:rFonts w:eastAsia="宋体"/>
          <w:color w:val="auto"/>
          <w:kern w:val="21"/>
          <w:szCs w:val="24"/>
        </w:rPr>
        <w:t>项目“三废污染物”排放汇总及总量控制</w:t>
      </w:r>
      <w:r>
        <w:rPr>
          <w:color w:val="auto"/>
        </w:rPr>
        <w:tab/>
      </w:r>
      <w:r>
        <w:rPr>
          <w:color w:val="auto"/>
        </w:rPr>
        <w:fldChar w:fldCharType="begin"/>
      </w:r>
      <w:r>
        <w:rPr>
          <w:color w:val="auto"/>
        </w:rPr>
        <w:instrText xml:space="preserve"> PAGEREF _Toc404 \h </w:instrText>
      </w:r>
      <w:r>
        <w:rPr>
          <w:color w:val="auto"/>
        </w:rPr>
        <w:fldChar w:fldCharType="separate"/>
      </w:r>
      <w:r>
        <w:rPr>
          <w:color w:val="auto"/>
        </w:rPr>
        <w:t>66</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_Toc32470 </w:instrText>
      </w:r>
      <w:r>
        <w:rPr>
          <w:color w:val="auto"/>
          <w:kern w:val="21"/>
        </w:rPr>
        <w:fldChar w:fldCharType="separate"/>
      </w:r>
      <w:r>
        <w:rPr>
          <w:color w:val="auto"/>
          <w:kern w:val="21"/>
        </w:rPr>
        <w:t>4环境现状调查与评价</w:t>
      </w:r>
      <w:r>
        <w:rPr>
          <w:color w:val="auto"/>
        </w:rPr>
        <w:tab/>
      </w:r>
      <w:r>
        <w:rPr>
          <w:color w:val="auto"/>
        </w:rPr>
        <w:fldChar w:fldCharType="begin"/>
      </w:r>
      <w:r>
        <w:rPr>
          <w:color w:val="auto"/>
        </w:rPr>
        <w:instrText xml:space="preserve"> PAGEREF _Toc32470 \h </w:instrText>
      </w:r>
      <w:r>
        <w:rPr>
          <w:color w:val="auto"/>
        </w:rPr>
        <w:fldChar w:fldCharType="separate"/>
      </w:r>
      <w:r>
        <w:rPr>
          <w:color w:val="auto"/>
        </w:rPr>
        <w:t>68</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_Toc25413 </w:instrText>
      </w:r>
      <w:r>
        <w:rPr>
          <w:color w:val="auto"/>
          <w:kern w:val="21"/>
        </w:rPr>
        <w:fldChar w:fldCharType="separate"/>
      </w:r>
      <w:r>
        <w:rPr>
          <w:color w:val="auto"/>
          <w:kern w:val="21"/>
        </w:rPr>
        <w:t>4.1项目区域环境概况</w:t>
      </w:r>
      <w:r>
        <w:rPr>
          <w:color w:val="auto"/>
        </w:rPr>
        <w:tab/>
      </w:r>
      <w:r>
        <w:rPr>
          <w:color w:val="auto"/>
        </w:rPr>
        <w:fldChar w:fldCharType="begin"/>
      </w:r>
      <w:r>
        <w:rPr>
          <w:color w:val="auto"/>
        </w:rPr>
        <w:instrText xml:space="preserve"> PAGEREF _Toc25413 \h </w:instrText>
      </w:r>
      <w:r>
        <w:rPr>
          <w:color w:val="auto"/>
        </w:rPr>
        <w:fldChar w:fldCharType="separate"/>
      </w:r>
      <w:r>
        <w:rPr>
          <w:color w:val="auto"/>
        </w:rPr>
        <w:t>68</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_Toc24714 </w:instrText>
      </w:r>
      <w:r>
        <w:rPr>
          <w:color w:val="auto"/>
          <w:kern w:val="21"/>
        </w:rPr>
        <w:fldChar w:fldCharType="separate"/>
      </w:r>
      <w:r>
        <w:rPr>
          <w:color w:val="auto"/>
          <w:kern w:val="21"/>
        </w:rPr>
        <w:t>4.1自然环境概况</w:t>
      </w:r>
      <w:r>
        <w:rPr>
          <w:color w:val="auto"/>
        </w:rPr>
        <w:tab/>
      </w:r>
      <w:r>
        <w:rPr>
          <w:color w:val="auto"/>
        </w:rPr>
        <w:fldChar w:fldCharType="begin"/>
      </w:r>
      <w:r>
        <w:rPr>
          <w:color w:val="auto"/>
        </w:rPr>
        <w:instrText xml:space="preserve"> PAGEREF _Toc24714 \h </w:instrText>
      </w:r>
      <w:r>
        <w:rPr>
          <w:color w:val="auto"/>
        </w:rPr>
        <w:fldChar w:fldCharType="separate"/>
      </w:r>
      <w:r>
        <w:rPr>
          <w:color w:val="auto"/>
        </w:rPr>
        <w:t>68</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_Toc8540 </w:instrText>
      </w:r>
      <w:r>
        <w:rPr>
          <w:color w:val="auto"/>
          <w:kern w:val="21"/>
        </w:rPr>
        <w:fldChar w:fldCharType="separate"/>
      </w:r>
      <w:r>
        <w:rPr>
          <w:color w:val="auto"/>
          <w:kern w:val="21"/>
        </w:rPr>
        <w:t>4.2环境质量现状调查与评价</w:t>
      </w:r>
      <w:r>
        <w:rPr>
          <w:color w:val="auto"/>
        </w:rPr>
        <w:tab/>
      </w:r>
      <w:r>
        <w:rPr>
          <w:color w:val="auto"/>
        </w:rPr>
        <w:fldChar w:fldCharType="begin"/>
      </w:r>
      <w:r>
        <w:rPr>
          <w:color w:val="auto"/>
        </w:rPr>
        <w:instrText xml:space="preserve"> PAGEREF _Toc8540 \h </w:instrText>
      </w:r>
      <w:r>
        <w:rPr>
          <w:color w:val="auto"/>
        </w:rPr>
        <w:fldChar w:fldCharType="separate"/>
      </w:r>
      <w:r>
        <w:rPr>
          <w:color w:val="auto"/>
        </w:rPr>
        <w:t>82</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_Toc4913 </w:instrText>
      </w:r>
      <w:r>
        <w:rPr>
          <w:color w:val="auto"/>
          <w:kern w:val="21"/>
        </w:rPr>
        <w:fldChar w:fldCharType="separate"/>
      </w:r>
      <w:r>
        <w:rPr>
          <w:rFonts w:eastAsia="宋体"/>
          <w:color w:val="auto"/>
          <w:kern w:val="21"/>
          <w:szCs w:val="24"/>
        </w:rPr>
        <w:t>4.2.1环境空气质量现状调查</w:t>
      </w:r>
      <w:r>
        <w:rPr>
          <w:color w:val="auto"/>
        </w:rPr>
        <w:tab/>
      </w:r>
      <w:r>
        <w:rPr>
          <w:color w:val="auto"/>
        </w:rPr>
        <w:fldChar w:fldCharType="begin"/>
      </w:r>
      <w:r>
        <w:rPr>
          <w:color w:val="auto"/>
        </w:rPr>
        <w:instrText xml:space="preserve"> PAGEREF _Toc4913 \h </w:instrText>
      </w:r>
      <w:r>
        <w:rPr>
          <w:color w:val="auto"/>
        </w:rPr>
        <w:fldChar w:fldCharType="separate"/>
      </w:r>
      <w:r>
        <w:rPr>
          <w:color w:val="auto"/>
        </w:rPr>
        <w:t>82</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_Toc17987 </w:instrText>
      </w:r>
      <w:r>
        <w:rPr>
          <w:color w:val="auto"/>
          <w:kern w:val="21"/>
        </w:rPr>
        <w:fldChar w:fldCharType="separate"/>
      </w:r>
      <w:r>
        <w:rPr>
          <w:rFonts w:eastAsia="宋体"/>
          <w:color w:val="auto"/>
          <w:kern w:val="21"/>
          <w:szCs w:val="24"/>
        </w:rPr>
        <w:t>4.2.2地表水环境现状监测与评价</w:t>
      </w:r>
      <w:r>
        <w:rPr>
          <w:color w:val="auto"/>
        </w:rPr>
        <w:tab/>
      </w:r>
      <w:r>
        <w:rPr>
          <w:color w:val="auto"/>
        </w:rPr>
        <w:fldChar w:fldCharType="begin"/>
      </w:r>
      <w:r>
        <w:rPr>
          <w:color w:val="auto"/>
        </w:rPr>
        <w:instrText xml:space="preserve"> PAGEREF _Toc17987 \h </w:instrText>
      </w:r>
      <w:r>
        <w:rPr>
          <w:color w:val="auto"/>
        </w:rPr>
        <w:fldChar w:fldCharType="separate"/>
      </w:r>
      <w:r>
        <w:rPr>
          <w:color w:val="auto"/>
        </w:rPr>
        <w:t>86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_Toc25356 </w:instrText>
      </w:r>
      <w:r>
        <w:rPr>
          <w:color w:val="auto"/>
          <w:kern w:val="21"/>
        </w:rPr>
        <w:fldChar w:fldCharType="separate"/>
      </w:r>
      <w:r>
        <w:rPr>
          <w:rFonts w:eastAsia="宋体"/>
          <w:color w:val="auto"/>
          <w:kern w:val="21"/>
          <w:szCs w:val="24"/>
        </w:rPr>
        <w:t>4.2.3青龙河底泥现状调查与评价</w:t>
      </w:r>
      <w:r>
        <w:rPr>
          <w:color w:val="auto"/>
        </w:rPr>
        <w:tab/>
      </w:r>
      <w:r>
        <w:rPr>
          <w:color w:val="auto"/>
        </w:rPr>
        <w:fldChar w:fldCharType="begin"/>
      </w:r>
      <w:r>
        <w:rPr>
          <w:color w:val="auto"/>
        </w:rPr>
        <w:instrText xml:space="preserve"> PAGEREF _Toc25356 \h </w:instrText>
      </w:r>
      <w:r>
        <w:rPr>
          <w:color w:val="auto"/>
        </w:rPr>
        <w:fldChar w:fldCharType="separate"/>
      </w:r>
      <w:r>
        <w:rPr>
          <w:color w:val="auto"/>
        </w:rPr>
        <w:t>92</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_Toc15266 </w:instrText>
      </w:r>
      <w:r>
        <w:rPr>
          <w:color w:val="auto"/>
          <w:kern w:val="21"/>
        </w:rPr>
        <w:fldChar w:fldCharType="separate"/>
      </w:r>
      <w:r>
        <w:rPr>
          <w:rFonts w:eastAsia="宋体"/>
          <w:color w:val="auto"/>
          <w:kern w:val="21"/>
          <w:szCs w:val="24"/>
          <w:highlight w:val="none"/>
        </w:rPr>
        <w:t>4.2.</w:t>
      </w:r>
      <w:r>
        <w:rPr>
          <w:rFonts w:hint="eastAsia" w:eastAsia="宋体"/>
          <w:color w:val="auto"/>
          <w:kern w:val="21"/>
          <w:szCs w:val="24"/>
          <w:highlight w:val="none"/>
        </w:rPr>
        <w:t>4</w:t>
      </w:r>
      <w:r>
        <w:rPr>
          <w:rFonts w:eastAsia="宋体"/>
          <w:color w:val="auto"/>
          <w:kern w:val="21"/>
          <w:szCs w:val="24"/>
          <w:highlight w:val="none"/>
        </w:rPr>
        <w:t>地下水环境现状调查与评价</w:t>
      </w:r>
      <w:r>
        <w:rPr>
          <w:color w:val="auto"/>
        </w:rPr>
        <w:tab/>
      </w:r>
      <w:r>
        <w:rPr>
          <w:color w:val="auto"/>
        </w:rPr>
        <w:fldChar w:fldCharType="begin"/>
      </w:r>
      <w:r>
        <w:rPr>
          <w:color w:val="auto"/>
        </w:rPr>
        <w:instrText xml:space="preserve"> PAGEREF _Toc15266 \h </w:instrText>
      </w:r>
      <w:r>
        <w:rPr>
          <w:color w:val="auto"/>
        </w:rPr>
        <w:fldChar w:fldCharType="separate"/>
      </w:r>
      <w:r>
        <w:rPr>
          <w:color w:val="auto"/>
        </w:rPr>
        <w:t>97</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_Toc29243 </w:instrText>
      </w:r>
      <w:r>
        <w:rPr>
          <w:color w:val="auto"/>
          <w:kern w:val="21"/>
        </w:rPr>
        <w:fldChar w:fldCharType="separate"/>
      </w:r>
      <w:r>
        <w:rPr>
          <w:rFonts w:eastAsia="宋体"/>
          <w:color w:val="auto"/>
          <w:kern w:val="21"/>
          <w:szCs w:val="24"/>
        </w:rPr>
        <w:t>4.2.5声环境现状监测</w:t>
      </w:r>
      <w:r>
        <w:rPr>
          <w:color w:val="auto"/>
        </w:rPr>
        <w:tab/>
      </w:r>
      <w:r>
        <w:rPr>
          <w:color w:val="auto"/>
        </w:rPr>
        <w:fldChar w:fldCharType="begin"/>
      </w:r>
      <w:r>
        <w:rPr>
          <w:color w:val="auto"/>
        </w:rPr>
        <w:instrText xml:space="preserve"> PAGEREF _Toc29243 \h </w:instrText>
      </w:r>
      <w:r>
        <w:rPr>
          <w:color w:val="auto"/>
        </w:rPr>
        <w:fldChar w:fldCharType="separate"/>
      </w:r>
      <w:r>
        <w:rPr>
          <w:color w:val="auto"/>
        </w:rPr>
        <w:t>101</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_Toc26063 </w:instrText>
      </w:r>
      <w:r>
        <w:rPr>
          <w:color w:val="auto"/>
          <w:kern w:val="21"/>
        </w:rPr>
        <w:fldChar w:fldCharType="separate"/>
      </w:r>
      <w:r>
        <w:rPr>
          <w:rFonts w:eastAsia="宋体"/>
          <w:color w:val="auto"/>
          <w:kern w:val="21"/>
          <w:szCs w:val="24"/>
        </w:rPr>
        <w:t>4.2.6土壤环境现状</w:t>
      </w:r>
      <w:r>
        <w:rPr>
          <w:color w:val="auto"/>
        </w:rPr>
        <w:tab/>
      </w:r>
      <w:r>
        <w:rPr>
          <w:color w:val="auto"/>
        </w:rPr>
        <w:fldChar w:fldCharType="begin"/>
      </w:r>
      <w:r>
        <w:rPr>
          <w:color w:val="auto"/>
        </w:rPr>
        <w:instrText xml:space="preserve"> PAGEREF _Toc26063 \h </w:instrText>
      </w:r>
      <w:r>
        <w:rPr>
          <w:color w:val="auto"/>
        </w:rPr>
        <w:fldChar w:fldCharType="separate"/>
      </w:r>
      <w:r>
        <w:rPr>
          <w:color w:val="auto"/>
        </w:rPr>
        <w:t>102</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_Toc31657 </w:instrText>
      </w:r>
      <w:r>
        <w:rPr>
          <w:color w:val="auto"/>
          <w:kern w:val="21"/>
        </w:rPr>
        <w:fldChar w:fldCharType="separate"/>
      </w:r>
      <w:r>
        <w:rPr>
          <w:color w:val="auto"/>
          <w:kern w:val="21"/>
        </w:rPr>
        <w:t>4.3生态环境现状</w:t>
      </w:r>
      <w:r>
        <w:rPr>
          <w:color w:val="auto"/>
        </w:rPr>
        <w:tab/>
      </w:r>
      <w:r>
        <w:rPr>
          <w:color w:val="auto"/>
        </w:rPr>
        <w:fldChar w:fldCharType="begin"/>
      </w:r>
      <w:r>
        <w:rPr>
          <w:color w:val="auto"/>
        </w:rPr>
        <w:instrText xml:space="preserve"> PAGEREF _Toc31657 \h </w:instrText>
      </w:r>
      <w:r>
        <w:rPr>
          <w:color w:val="auto"/>
        </w:rPr>
        <w:fldChar w:fldCharType="separate"/>
      </w:r>
      <w:r>
        <w:rPr>
          <w:color w:val="auto"/>
        </w:rPr>
        <w:t>106</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_Toc1098 </w:instrText>
      </w:r>
      <w:r>
        <w:rPr>
          <w:color w:val="auto"/>
          <w:kern w:val="21"/>
        </w:rPr>
        <w:fldChar w:fldCharType="separate"/>
      </w:r>
      <w:r>
        <w:rPr>
          <w:color w:val="auto"/>
          <w:kern w:val="21"/>
        </w:rPr>
        <w:t>4.4项目周边污染源调查</w:t>
      </w:r>
      <w:r>
        <w:rPr>
          <w:color w:val="auto"/>
        </w:rPr>
        <w:tab/>
      </w:r>
      <w:r>
        <w:rPr>
          <w:color w:val="auto"/>
        </w:rPr>
        <w:fldChar w:fldCharType="begin"/>
      </w:r>
      <w:r>
        <w:rPr>
          <w:color w:val="auto"/>
        </w:rPr>
        <w:instrText xml:space="preserve"> PAGEREF _Toc1098 \h </w:instrText>
      </w:r>
      <w:r>
        <w:rPr>
          <w:color w:val="auto"/>
        </w:rPr>
        <w:fldChar w:fldCharType="separate"/>
      </w:r>
      <w:r>
        <w:rPr>
          <w:color w:val="auto"/>
        </w:rPr>
        <w:t>107</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_Toc30733 </w:instrText>
      </w:r>
      <w:r>
        <w:rPr>
          <w:color w:val="auto"/>
          <w:kern w:val="21"/>
        </w:rPr>
        <w:fldChar w:fldCharType="separate"/>
      </w:r>
      <w:r>
        <w:rPr>
          <w:color w:val="auto"/>
          <w:kern w:val="21"/>
        </w:rPr>
        <w:t>5环境影响预测与评价</w:t>
      </w:r>
      <w:r>
        <w:rPr>
          <w:color w:val="auto"/>
        </w:rPr>
        <w:tab/>
      </w:r>
      <w:r>
        <w:rPr>
          <w:color w:val="auto"/>
        </w:rPr>
        <w:fldChar w:fldCharType="begin"/>
      </w:r>
      <w:r>
        <w:rPr>
          <w:color w:val="auto"/>
        </w:rPr>
        <w:instrText xml:space="preserve"> PAGEREF _Toc30733 \h </w:instrText>
      </w:r>
      <w:r>
        <w:rPr>
          <w:color w:val="auto"/>
        </w:rPr>
        <w:fldChar w:fldCharType="separate"/>
      </w:r>
      <w:r>
        <w:rPr>
          <w:color w:val="auto"/>
        </w:rPr>
        <w:t>110</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_Toc28476 </w:instrText>
      </w:r>
      <w:r>
        <w:rPr>
          <w:color w:val="auto"/>
          <w:kern w:val="21"/>
        </w:rPr>
        <w:fldChar w:fldCharType="separate"/>
      </w:r>
      <w:r>
        <w:rPr>
          <w:rFonts w:hint="eastAsia"/>
          <w:color w:val="auto"/>
          <w:kern w:val="21"/>
        </w:rPr>
        <w:t>5.1施工期环境影响回顾分析</w:t>
      </w:r>
      <w:r>
        <w:rPr>
          <w:color w:val="auto"/>
        </w:rPr>
        <w:tab/>
      </w:r>
      <w:r>
        <w:rPr>
          <w:color w:val="auto"/>
        </w:rPr>
        <w:fldChar w:fldCharType="begin"/>
      </w:r>
      <w:r>
        <w:rPr>
          <w:color w:val="auto"/>
        </w:rPr>
        <w:instrText xml:space="preserve"> PAGEREF _Toc28476 \h </w:instrText>
      </w:r>
      <w:r>
        <w:rPr>
          <w:color w:val="auto"/>
        </w:rPr>
        <w:fldChar w:fldCharType="separate"/>
      </w:r>
      <w:r>
        <w:rPr>
          <w:color w:val="auto"/>
        </w:rPr>
        <w:t>110</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_Toc24569 </w:instrText>
      </w:r>
      <w:r>
        <w:rPr>
          <w:color w:val="auto"/>
          <w:kern w:val="21"/>
        </w:rPr>
        <w:fldChar w:fldCharType="separate"/>
      </w:r>
      <w:r>
        <w:rPr>
          <w:rFonts w:hint="eastAsia"/>
          <w:bCs/>
          <w:color w:val="auto"/>
          <w:szCs w:val="28"/>
        </w:rPr>
        <w:t>5.2运营期环境影响分析</w:t>
      </w:r>
      <w:r>
        <w:rPr>
          <w:color w:val="auto"/>
        </w:rPr>
        <w:tab/>
      </w:r>
      <w:r>
        <w:rPr>
          <w:color w:val="auto"/>
        </w:rPr>
        <w:fldChar w:fldCharType="begin"/>
      </w:r>
      <w:r>
        <w:rPr>
          <w:color w:val="auto"/>
        </w:rPr>
        <w:instrText xml:space="preserve"> PAGEREF _Toc24569 \h </w:instrText>
      </w:r>
      <w:r>
        <w:rPr>
          <w:color w:val="auto"/>
        </w:rPr>
        <w:fldChar w:fldCharType="separate"/>
      </w:r>
      <w:r>
        <w:rPr>
          <w:color w:val="auto"/>
        </w:rPr>
        <w:t>110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_Toc25047 </w:instrText>
      </w:r>
      <w:r>
        <w:rPr>
          <w:color w:val="auto"/>
          <w:kern w:val="21"/>
        </w:rPr>
        <w:fldChar w:fldCharType="separate"/>
      </w:r>
      <w:r>
        <w:rPr>
          <w:rFonts w:eastAsia="宋体"/>
          <w:color w:val="auto"/>
          <w:kern w:val="21"/>
          <w:szCs w:val="24"/>
        </w:rPr>
        <w:t>5.</w:t>
      </w:r>
      <w:r>
        <w:rPr>
          <w:rFonts w:hint="eastAsia" w:eastAsia="宋体"/>
          <w:color w:val="auto"/>
          <w:kern w:val="21"/>
          <w:szCs w:val="24"/>
        </w:rPr>
        <w:t>2</w:t>
      </w:r>
      <w:r>
        <w:rPr>
          <w:rFonts w:eastAsia="宋体"/>
          <w:color w:val="auto"/>
          <w:kern w:val="21"/>
          <w:szCs w:val="24"/>
        </w:rPr>
        <w:t>.</w:t>
      </w:r>
      <w:r>
        <w:rPr>
          <w:rFonts w:hint="eastAsia" w:eastAsia="宋体"/>
          <w:color w:val="auto"/>
          <w:kern w:val="21"/>
          <w:szCs w:val="24"/>
        </w:rPr>
        <w:t>1</w:t>
      </w:r>
      <w:r>
        <w:rPr>
          <w:rFonts w:eastAsia="宋体"/>
          <w:color w:val="auto"/>
          <w:kern w:val="21"/>
          <w:szCs w:val="24"/>
        </w:rPr>
        <w:t>运营期地表水环境影响评价</w:t>
      </w:r>
      <w:r>
        <w:rPr>
          <w:color w:val="auto"/>
        </w:rPr>
        <w:tab/>
      </w:r>
      <w:r>
        <w:rPr>
          <w:color w:val="auto"/>
        </w:rPr>
        <w:fldChar w:fldCharType="begin"/>
      </w:r>
      <w:r>
        <w:rPr>
          <w:color w:val="auto"/>
        </w:rPr>
        <w:instrText xml:space="preserve"> PAGEREF _Toc25047 \h </w:instrText>
      </w:r>
      <w:r>
        <w:rPr>
          <w:color w:val="auto"/>
        </w:rPr>
        <w:fldChar w:fldCharType="separate"/>
      </w:r>
      <w:r>
        <w:rPr>
          <w:color w:val="auto"/>
        </w:rPr>
        <w:t>110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_Toc6958 </w:instrText>
      </w:r>
      <w:r>
        <w:rPr>
          <w:color w:val="auto"/>
          <w:kern w:val="21"/>
        </w:rPr>
        <w:fldChar w:fldCharType="separate"/>
      </w:r>
      <w:r>
        <w:rPr>
          <w:rFonts w:eastAsia="宋体"/>
          <w:color w:val="auto"/>
          <w:kern w:val="21"/>
        </w:rPr>
        <w:t>5.2.2地下水环境影响评价</w:t>
      </w:r>
      <w:r>
        <w:rPr>
          <w:color w:val="auto"/>
        </w:rPr>
        <w:tab/>
      </w:r>
      <w:r>
        <w:rPr>
          <w:color w:val="auto"/>
        </w:rPr>
        <w:fldChar w:fldCharType="begin"/>
      </w:r>
      <w:r>
        <w:rPr>
          <w:color w:val="auto"/>
        </w:rPr>
        <w:instrText xml:space="preserve"> PAGEREF _Toc6958 \h </w:instrText>
      </w:r>
      <w:r>
        <w:rPr>
          <w:color w:val="auto"/>
        </w:rPr>
        <w:fldChar w:fldCharType="separate"/>
      </w:r>
      <w:r>
        <w:rPr>
          <w:color w:val="auto"/>
        </w:rPr>
        <w:t>128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_Toc16582 </w:instrText>
      </w:r>
      <w:r>
        <w:rPr>
          <w:color w:val="auto"/>
          <w:kern w:val="21"/>
        </w:rPr>
        <w:fldChar w:fldCharType="separate"/>
      </w:r>
      <w:r>
        <w:rPr>
          <w:rFonts w:eastAsia="宋体"/>
          <w:color w:val="auto"/>
          <w:kern w:val="21"/>
        </w:rPr>
        <w:t>5.</w:t>
      </w:r>
      <w:r>
        <w:rPr>
          <w:rFonts w:hint="eastAsia" w:eastAsia="宋体"/>
          <w:color w:val="auto"/>
          <w:kern w:val="21"/>
        </w:rPr>
        <w:t>2</w:t>
      </w:r>
      <w:r>
        <w:rPr>
          <w:rFonts w:eastAsia="宋体"/>
          <w:color w:val="auto"/>
          <w:kern w:val="21"/>
        </w:rPr>
        <w:t>.</w:t>
      </w:r>
      <w:r>
        <w:rPr>
          <w:rFonts w:hint="eastAsia" w:eastAsia="宋体"/>
          <w:color w:val="auto"/>
          <w:kern w:val="21"/>
        </w:rPr>
        <w:t>3</w:t>
      </w:r>
      <w:r>
        <w:rPr>
          <w:rFonts w:eastAsia="宋体"/>
          <w:color w:val="auto"/>
          <w:kern w:val="21"/>
        </w:rPr>
        <w:t>运营期</w:t>
      </w:r>
      <w:r>
        <w:rPr>
          <w:rFonts w:hint="eastAsia" w:eastAsia="宋体"/>
          <w:color w:val="auto"/>
          <w:kern w:val="21"/>
        </w:rPr>
        <w:t>大气</w:t>
      </w:r>
      <w:r>
        <w:rPr>
          <w:rFonts w:eastAsia="宋体"/>
          <w:color w:val="auto"/>
          <w:kern w:val="21"/>
        </w:rPr>
        <w:t>环境影响分析</w:t>
      </w:r>
      <w:r>
        <w:rPr>
          <w:color w:val="auto"/>
        </w:rPr>
        <w:tab/>
      </w:r>
      <w:r>
        <w:rPr>
          <w:color w:val="auto"/>
        </w:rPr>
        <w:fldChar w:fldCharType="begin"/>
      </w:r>
      <w:r>
        <w:rPr>
          <w:color w:val="auto"/>
        </w:rPr>
        <w:instrText xml:space="preserve"> PAGEREF _Toc16582 \h </w:instrText>
      </w:r>
      <w:r>
        <w:rPr>
          <w:color w:val="auto"/>
        </w:rPr>
        <w:fldChar w:fldCharType="separate"/>
      </w:r>
      <w:r>
        <w:rPr>
          <w:color w:val="auto"/>
        </w:rPr>
        <w:t>144</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_Toc28629 </w:instrText>
      </w:r>
      <w:r>
        <w:rPr>
          <w:color w:val="auto"/>
          <w:kern w:val="21"/>
        </w:rPr>
        <w:fldChar w:fldCharType="separate"/>
      </w:r>
      <w:r>
        <w:rPr>
          <w:rFonts w:eastAsia="宋体"/>
          <w:color w:val="auto"/>
          <w:kern w:val="21"/>
        </w:rPr>
        <w:t>5.</w:t>
      </w:r>
      <w:r>
        <w:rPr>
          <w:rFonts w:hint="eastAsia" w:eastAsia="宋体"/>
          <w:color w:val="auto"/>
          <w:kern w:val="21"/>
        </w:rPr>
        <w:t>2</w:t>
      </w:r>
      <w:r>
        <w:rPr>
          <w:rFonts w:eastAsia="宋体"/>
          <w:color w:val="auto"/>
          <w:kern w:val="21"/>
        </w:rPr>
        <w:t>.</w:t>
      </w:r>
      <w:r>
        <w:rPr>
          <w:rFonts w:hint="eastAsia" w:eastAsia="宋体"/>
          <w:color w:val="auto"/>
          <w:kern w:val="21"/>
        </w:rPr>
        <w:t>4</w:t>
      </w:r>
      <w:r>
        <w:rPr>
          <w:rFonts w:eastAsia="宋体"/>
          <w:color w:val="auto"/>
          <w:kern w:val="21"/>
        </w:rPr>
        <w:t>运营期噪声预测评价</w:t>
      </w:r>
      <w:r>
        <w:rPr>
          <w:color w:val="auto"/>
        </w:rPr>
        <w:tab/>
      </w:r>
      <w:r>
        <w:rPr>
          <w:color w:val="auto"/>
        </w:rPr>
        <w:fldChar w:fldCharType="begin"/>
      </w:r>
      <w:r>
        <w:rPr>
          <w:color w:val="auto"/>
        </w:rPr>
        <w:instrText xml:space="preserve"> PAGEREF _Toc28629 \h </w:instrText>
      </w:r>
      <w:r>
        <w:rPr>
          <w:color w:val="auto"/>
        </w:rPr>
        <w:fldChar w:fldCharType="separate"/>
      </w:r>
      <w:r>
        <w:rPr>
          <w:color w:val="auto"/>
        </w:rPr>
        <w:t>168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_Toc1297 </w:instrText>
      </w:r>
      <w:r>
        <w:rPr>
          <w:color w:val="auto"/>
          <w:kern w:val="21"/>
        </w:rPr>
        <w:fldChar w:fldCharType="separate"/>
      </w:r>
      <w:r>
        <w:rPr>
          <w:rFonts w:eastAsia="宋体"/>
          <w:color w:val="auto"/>
          <w:kern w:val="21"/>
        </w:rPr>
        <w:t>5.</w:t>
      </w:r>
      <w:r>
        <w:rPr>
          <w:rFonts w:hint="eastAsia" w:eastAsia="宋体"/>
          <w:color w:val="auto"/>
          <w:kern w:val="21"/>
        </w:rPr>
        <w:t>2</w:t>
      </w:r>
      <w:r>
        <w:rPr>
          <w:rFonts w:eastAsia="宋体"/>
          <w:color w:val="auto"/>
          <w:kern w:val="21"/>
        </w:rPr>
        <w:t>.</w:t>
      </w:r>
      <w:r>
        <w:rPr>
          <w:rFonts w:hint="eastAsia" w:eastAsia="宋体"/>
          <w:color w:val="auto"/>
          <w:kern w:val="21"/>
        </w:rPr>
        <w:t>5</w:t>
      </w:r>
      <w:r>
        <w:rPr>
          <w:rFonts w:eastAsia="宋体"/>
          <w:color w:val="auto"/>
          <w:kern w:val="21"/>
        </w:rPr>
        <w:t>运营期固废影响分析</w:t>
      </w:r>
      <w:r>
        <w:rPr>
          <w:color w:val="auto"/>
        </w:rPr>
        <w:tab/>
      </w:r>
      <w:r>
        <w:rPr>
          <w:color w:val="auto"/>
        </w:rPr>
        <w:fldChar w:fldCharType="begin"/>
      </w:r>
      <w:r>
        <w:rPr>
          <w:color w:val="auto"/>
        </w:rPr>
        <w:instrText xml:space="preserve"> PAGEREF _Toc1297 \h </w:instrText>
      </w:r>
      <w:r>
        <w:rPr>
          <w:color w:val="auto"/>
        </w:rPr>
        <w:fldChar w:fldCharType="separate"/>
      </w:r>
      <w:r>
        <w:rPr>
          <w:color w:val="auto"/>
        </w:rPr>
        <w:t>170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_Toc6227 </w:instrText>
      </w:r>
      <w:r>
        <w:rPr>
          <w:color w:val="auto"/>
          <w:kern w:val="21"/>
        </w:rPr>
        <w:fldChar w:fldCharType="separate"/>
      </w:r>
      <w:r>
        <w:rPr>
          <w:rFonts w:eastAsia="宋体"/>
          <w:color w:val="auto"/>
          <w:kern w:val="21"/>
        </w:rPr>
        <w:t>5.</w:t>
      </w:r>
      <w:r>
        <w:rPr>
          <w:rFonts w:hint="eastAsia" w:eastAsia="宋体"/>
          <w:color w:val="auto"/>
          <w:kern w:val="21"/>
        </w:rPr>
        <w:t>2.</w:t>
      </w:r>
      <w:r>
        <w:rPr>
          <w:rFonts w:eastAsia="宋体"/>
          <w:color w:val="auto"/>
          <w:kern w:val="21"/>
        </w:rPr>
        <w:t>6生态环境影响分析</w:t>
      </w:r>
      <w:r>
        <w:rPr>
          <w:color w:val="auto"/>
        </w:rPr>
        <w:tab/>
      </w:r>
      <w:r>
        <w:rPr>
          <w:color w:val="auto"/>
        </w:rPr>
        <w:fldChar w:fldCharType="begin"/>
      </w:r>
      <w:r>
        <w:rPr>
          <w:color w:val="auto"/>
        </w:rPr>
        <w:instrText xml:space="preserve"> PAGEREF _Toc6227 \h </w:instrText>
      </w:r>
      <w:r>
        <w:rPr>
          <w:color w:val="auto"/>
        </w:rPr>
        <w:fldChar w:fldCharType="separate"/>
      </w:r>
      <w:r>
        <w:rPr>
          <w:color w:val="auto"/>
        </w:rPr>
        <w:t>173</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_Toc30491 </w:instrText>
      </w:r>
      <w:r>
        <w:rPr>
          <w:color w:val="auto"/>
          <w:kern w:val="21"/>
        </w:rPr>
        <w:fldChar w:fldCharType="separate"/>
      </w:r>
      <w:r>
        <w:rPr>
          <w:rFonts w:eastAsia="宋体"/>
          <w:color w:val="auto"/>
          <w:kern w:val="21"/>
        </w:rPr>
        <w:t>5.</w:t>
      </w:r>
      <w:r>
        <w:rPr>
          <w:rFonts w:hint="eastAsia" w:eastAsia="宋体"/>
          <w:color w:val="auto"/>
          <w:kern w:val="21"/>
        </w:rPr>
        <w:t>2.</w:t>
      </w:r>
      <w:r>
        <w:rPr>
          <w:rFonts w:eastAsia="宋体"/>
          <w:color w:val="auto"/>
          <w:kern w:val="21"/>
        </w:rPr>
        <w:t>7土壤环境影响分析</w:t>
      </w:r>
      <w:r>
        <w:rPr>
          <w:color w:val="auto"/>
        </w:rPr>
        <w:tab/>
      </w:r>
      <w:r>
        <w:rPr>
          <w:color w:val="auto"/>
        </w:rPr>
        <w:fldChar w:fldCharType="begin"/>
      </w:r>
      <w:r>
        <w:rPr>
          <w:color w:val="auto"/>
        </w:rPr>
        <w:instrText xml:space="preserve"> PAGEREF _Toc30491 \h </w:instrText>
      </w:r>
      <w:r>
        <w:rPr>
          <w:color w:val="auto"/>
        </w:rPr>
        <w:fldChar w:fldCharType="separate"/>
      </w:r>
      <w:r>
        <w:rPr>
          <w:color w:val="auto"/>
        </w:rPr>
        <w:t>175</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_Toc7367 </w:instrText>
      </w:r>
      <w:r>
        <w:rPr>
          <w:color w:val="auto"/>
          <w:kern w:val="21"/>
        </w:rPr>
        <w:fldChar w:fldCharType="separate"/>
      </w:r>
      <w:r>
        <w:rPr>
          <w:rFonts w:hint="eastAsia"/>
          <w:bCs/>
          <w:color w:val="auto"/>
          <w:kern w:val="21"/>
          <w:szCs w:val="32"/>
        </w:rPr>
        <w:t>6</w:t>
      </w:r>
      <w:r>
        <w:rPr>
          <w:bCs/>
          <w:color w:val="auto"/>
          <w:kern w:val="21"/>
          <w:szCs w:val="32"/>
        </w:rPr>
        <w:t>环境风险分析</w:t>
      </w:r>
      <w:r>
        <w:rPr>
          <w:color w:val="auto"/>
        </w:rPr>
        <w:tab/>
      </w:r>
      <w:r>
        <w:rPr>
          <w:color w:val="auto"/>
        </w:rPr>
        <w:fldChar w:fldCharType="begin"/>
      </w:r>
      <w:r>
        <w:rPr>
          <w:color w:val="auto"/>
        </w:rPr>
        <w:instrText xml:space="preserve"> PAGEREF _Toc7367 \h </w:instrText>
      </w:r>
      <w:r>
        <w:rPr>
          <w:color w:val="auto"/>
        </w:rPr>
        <w:fldChar w:fldCharType="separate"/>
      </w:r>
      <w:r>
        <w:rPr>
          <w:color w:val="auto"/>
        </w:rPr>
        <w:t>180</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_Toc682 </w:instrText>
      </w:r>
      <w:r>
        <w:rPr>
          <w:color w:val="auto"/>
          <w:kern w:val="21"/>
        </w:rPr>
        <w:fldChar w:fldCharType="separate"/>
      </w:r>
      <w:r>
        <w:rPr>
          <w:rFonts w:hint="eastAsia"/>
          <w:bCs/>
          <w:color w:val="auto"/>
          <w:kern w:val="21"/>
          <w:szCs w:val="28"/>
        </w:rPr>
        <w:t>6</w:t>
      </w:r>
      <w:r>
        <w:rPr>
          <w:bCs/>
          <w:color w:val="auto"/>
          <w:kern w:val="21"/>
          <w:szCs w:val="28"/>
        </w:rPr>
        <w:t>.1概述</w:t>
      </w:r>
      <w:r>
        <w:rPr>
          <w:color w:val="auto"/>
        </w:rPr>
        <w:tab/>
      </w:r>
      <w:r>
        <w:rPr>
          <w:color w:val="auto"/>
        </w:rPr>
        <w:fldChar w:fldCharType="begin"/>
      </w:r>
      <w:r>
        <w:rPr>
          <w:color w:val="auto"/>
        </w:rPr>
        <w:instrText xml:space="preserve"> PAGEREF _Toc682 \h </w:instrText>
      </w:r>
      <w:r>
        <w:rPr>
          <w:color w:val="auto"/>
        </w:rPr>
        <w:fldChar w:fldCharType="separate"/>
      </w:r>
      <w:r>
        <w:rPr>
          <w:color w:val="auto"/>
        </w:rPr>
        <w:t>180</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_Toc13689 </w:instrText>
      </w:r>
      <w:r>
        <w:rPr>
          <w:color w:val="auto"/>
          <w:kern w:val="21"/>
        </w:rPr>
        <w:fldChar w:fldCharType="separate"/>
      </w:r>
      <w:r>
        <w:rPr>
          <w:rFonts w:hint="eastAsia"/>
          <w:bCs/>
          <w:color w:val="auto"/>
          <w:kern w:val="21"/>
          <w:szCs w:val="28"/>
        </w:rPr>
        <w:t>6</w:t>
      </w:r>
      <w:r>
        <w:rPr>
          <w:bCs/>
          <w:color w:val="auto"/>
          <w:kern w:val="21"/>
          <w:szCs w:val="28"/>
        </w:rPr>
        <w:t>.</w:t>
      </w:r>
      <w:r>
        <w:rPr>
          <w:rFonts w:hint="eastAsia"/>
          <w:bCs/>
          <w:color w:val="auto"/>
          <w:kern w:val="21"/>
          <w:szCs w:val="28"/>
          <w:lang w:val="en-US" w:eastAsia="zh-CN"/>
        </w:rPr>
        <w:t>2</w:t>
      </w:r>
      <w:r>
        <w:rPr>
          <w:rFonts w:hint="eastAsia"/>
          <w:bCs/>
          <w:color w:val="auto"/>
          <w:kern w:val="21"/>
          <w:szCs w:val="28"/>
          <w:lang w:eastAsia="zh-CN"/>
        </w:rPr>
        <w:t>评价依据</w:t>
      </w:r>
      <w:r>
        <w:rPr>
          <w:color w:val="auto"/>
        </w:rPr>
        <w:tab/>
      </w:r>
      <w:r>
        <w:rPr>
          <w:color w:val="auto"/>
        </w:rPr>
        <w:fldChar w:fldCharType="begin"/>
      </w:r>
      <w:r>
        <w:rPr>
          <w:color w:val="auto"/>
        </w:rPr>
        <w:instrText xml:space="preserve"> PAGEREF _Toc13689 \h </w:instrText>
      </w:r>
      <w:r>
        <w:rPr>
          <w:color w:val="auto"/>
        </w:rPr>
        <w:fldChar w:fldCharType="separate"/>
      </w:r>
      <w:r>
        <w:rPr>
          <w:color w:val="auto"/>
        </w:rPr>
        <w:t>180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_Toc29722 </w:instrText>
      </w:r>
      <w:r>
        <w:rPr>
          <w:color w:val="auto"/>
          <w:kern w:val="21"/>
        </w:rPr>
        <w:fldChar w:fldCharType="separate"/>
      </w:r>
      <w:r>
        <w:rPr>
          <w:rFonts w:hint="eastAsia"/>
          <w:bCs/>
          <w:color w:val="auto"/>
          <w:kern w:val="21"/>
        </w:rPr>
        <w:t>6</w:t>
      </w:r>
      <w:r>
        <w:rPr>
          <w:bCs/>
          <w:color w:val="auto"/>
          <w:kern w:val="21"/>
        </w:rPr>
        <w:t>.2.1风险</w:t>
      </w:r>
      <w:r>
        <w:rPr>
          <w:rFonts w:hint="eastAsia"/>
          <w:bCs/>
          <w:color w:val="auto"/>
          <w:kern w:val="21"/>
          <w:lang w:eastAsia="zh-CN"/>
        </w:rPr>
        <w:t>调查</w:t>
      </w:r>
      <w:r>
        <w:rPr>
          <w:color w:val="auto"/>
        </w:rPr>
        <w:tab/>
      </w:r>
      <w:r>
        <w:rPr>
          <w:color w:val="auto"/>
        </w:rPr>
        <w:fldChar w:fldCharType="begin"/>
      </w:r>
      <w:r>
        <w:rPr>
          <w:color w:val="auto"/>
        </w:rPr>
        <w:instrText xml:space="preserve"> PAGEREF _Toc29722 \h </w:instrText>
      </w:r>
      <w:r>
        <w:rPr>
          <w:color w:val="auto"/>
        </w:rPr>
        <w:fldChar w:fldCharType="separate"/>
      </w:r>
      <w:r>
        <w:rPr>
          <w:color w:val="auto"/>
        </w:rPr>
        <w:t>180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_Toc26048 </w:instrText>
      </w:r>
      <w:r>
        <w:rPr>
          <w:color w:val="auto"/>
          <w:kern w:val="21"/>
        </w:rPr>
        <w:fldChar w:fldCharType="separate"/>
      </w:r>
      <w:r>
        <w:rPr>
          <w:rFonts w:hint="eastAsia"/>
          <w:bCs/>
          <w:color w:val="auto"/>
          <w:kern w:val="21"/>
        </w:rPr>
        <w:t>6</w:t>
      </w:r>
      <w:r>
        <w:rPr>
          <w:bCs/>
          <w:color w:val="auto"/>
          <w:kern w:val="21"/>
        </w:rPr>
        <w:t>.2.</w:t>
      </w:r>
      <w:r>
        <w:rPr>
          <w:rFonts w:hint="eastAsia"/>
          <w:bCs/>
          <w:color w:val="auto"/>
          <w:kern w:val="21"/>
          <w:lang w:val="en-US" w:eastAsia="zh-CN"/>
        </w:rPr>
        <w:t>2</w:t>
      </w:r>
      <w:r>
        <w:rPr>
          <w:bCs/>
          <w:color w:val="auto"/>
          <w:kern w:val="21"/>
        </w:rPr>
        <w:t>风险</w:t>
      </w:r>
      <w:r>
        <w:rPr>
          <w:rFonts w:hint="eastAsia"/>
          <w:bCs/>
          <w:color w:val="auto"/>
          <w:kern w:val="21"/>
          <w:lang w:eastAsia="zh-CN"/>
        </w:rPr>
        <w:t>潜势初判及评价等级</w:t>
      </w:r>
      <w:r>
        <w:rPr>
          <w:color w:val="auto"/>
        </w:rPr>
        <w:tab/>
      </w:r>
      <w:r>
        <w:rPr>
          <w:color w:val="auto"/>
        </w:rPr>
        <w:fldChar w:fldCharType="begin"/>
      </w:r>
      <w:r>
        <w:rPr>
          <w:color w:val="auto"/>
        </w:rPr>
        <w:instrText xml:space="preserve"> PAGEREF _Toc26048 \h </w:instrText>
      </w:r>
      <w:r>
        <w:rPr>
          <w:color w:val="auto"/>
        </w:rPr>
        <w:fldChar w:fldCharType="separate"/>
      </w:r>
      <w:r>
        <w:rPr>
          <w:color w:val="auto"/>
        </w:rPr>
        <w:t>181</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_Toc12321 </w:instrText>
      </w:r>
      <w:r>
        <w:rPr>
          <w:color w:val="auto"/>
          <w:kern w:val="21"/>
        </w:rPr>
        <w:fldChar w:fldCharType="separate"/>
      </w:r>
      <w:r>
        <w:rPr>
          <w:rFonts w:hint="eastAsia"/>
          <w:bCs/>
          <w:color w:val="auto"/>
          <w:kern w:val="21"/>
          <w:szCs w:val="28"/>
        </w:rPr>
        <w:t>6</w:t>
      </w:r>
      <w:r>
        <w:rPr>
          <w:bCs/>
          <w:color w:val="auto"/>
          <w:kern w:val="21"/>
          <w:szCs w:val="28"/>
        </w:rPr>
        <w:t>.</w:t>
      </w:r>
      <w:r>
        <w:rPr>
          <w:rFonts w:hint="eastAsia"/>
          <w:bCs/>
          <w:color w:val="auto"/>
          <w:kern w:val="21"/>
          <w:szCs w:val="28"/>
          <w:lang w:val="en-US" w:eastAsia="zh-CN"/>
        </w:rPr>
        <w:t>3</w:t>
      </w:r>
      <w:r>
        <w:rPr>
          <w:bCs/>
          <w:color w:val="auto"/>
          <w:kern w:val="21"/>
          <w:szCs w:val="28"/>
        </w:rPr>
        <w:t>环境风险识别</w:t>
      </w:r>
      <w:r>
        <w:rPr>
          <w:color w:val="auto"/>
        </w:rPr>
        <w:tab/>
      </w:r>
      <w:r>
        <w:rPr>
          <w:color w:val="auto"/>
        </w:rPr>
        <w:fldChar w:fldCharType="begin"/>
      </w:r>
      <w:r>
        <w:rPr>
          <w:color w:val="auto"/>
        </w:rPr>
        <w:instrText xml:space="preserve"> PAGEREF _Toc12321 \h </w:instrText>
      </w:r>
      <w:r>
        <w:rPr>
          <w:color w:val="auto"/>
        </w:rPr>
        <w:fldChar w:fldCharType="separate"/>
      </w:r>
      <w:r>
        <w:rPr>
          <w:color w:val="auto"/>
        </w:rPr>
        <w:t>183</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_Toc15152 </w:instrText>
      </w:r>
      <w:r>
        <w:rPr>
          <w:color w:val="auto"/>
          <w:kern w:val="21"/>
        </w:rPr>
        <w:fldChar w:fldCharType="separate"/>
      </w:r>
      <w:r>
        <w:rPr>
          <w:rFonts w:hint="eastAsia"/>
          <w:bCs/>
          <w:color w:val="auto"/>
          <w:kern w:val="21"/>
          <w:lang w:val="en-US" w:eastAsia="zh-CN"/>
        </w:rPr>
        <w:t>6.3.1</w:t>
      </w:r>
      <w:r>
        <w:rPr>
          <w:rFonts w:hint="eastAsia"/>
          <w:bCs/>
          <w:color w:val="auto"/>
          <w:kern w:val="21"/>
        </w:rPr>
        <w:t>物质</w:t>
      </w:r>
      <w:r>
        <w:rPr>
          <w:rFonts w:hint="eastAsia"/>
          <w:bCs/>
          <w:color w:val="auto"/>
          <w:kern w:val="21"/>
          <w:lang w:eastAsia="zh-CN"/>
        </w:rPr>
        <w:t>风险性</w:t>
      </w:r>
      <w:r>
        <w:rPr>
          <w:rFonts w:hint="eastAsia"/>
          <w:bCs/>
          <w:color w:val="auto"/>
          <w:kern w:val="21"/>
        </w:rPr>
        <w:t>识别</w:t>
      </w:r>
      <w:r>
        <w:rPr>
          <w:color w:val="auto"/>
        </w:rPr>
        <w:tab/>
      </w:r>
      <w:r>
        <w:rPr>
          <w:color w:val="auto"/>
        </w:rPr>
        <w:fldChar w:fldCharType="begin"/>
      </w:r>
      <w:r>
        <w:rPr>
          <w:color w:val="auto"/>
        </w:rPr>
        <w:instrText xml:space="preserve"> PAGEREF _Toc15152 \h </w:instrText>
      </w:r>
      <w:r>
        <w:rPr>
          <w:color w:val="auto"/>
        </w:rPr>
        <w:fldChar w:fldCharType="separate"/>
      </w:r>
      <w:r>
        <w:rPr>
          <w:color w:val="auto"/>
        </w:rPr>
        <w:t>183</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_Toc17114 </w:instrText>
      </w:r>
      <w:r>
        <w:rPr>
          <w:color w:val="auto"/>
          <w:kern w:val="21"/>
        </w:rPr>
        <w:fldChar w:fldCharType="separate"/>
      </w:r>
      <w:r>
        <w:rPr>
          <w:rFonts w:hint="eastAsia"/>
          <w:bCs/>
          <w:color w:val="auto"/>
          <w:kern w:val="21"/>
          <w:lang w:val="en-US" w:eastAsia="zh-CN"/>
        </w:rPr>
        <w:t>6.3.2生产系统危险性识别</w:t>
      </w:r>
      <w:r>
        <w:rPr>
          <w:color w:val="auto"/>
        </w:rPr>
        <w:tab/>
      </w:r>
      <w:r>
        <w:rPr>
          <w:color w:val="auto"/>
        </w:rPr>
        <w:fldChar w:fldCharType="begin"/>
      </w:r>
      <w:r>
        <w:rPr>
          <w:color w:val="auto"/>
        </w:rPr>
        <w:instrText xml:space="preserve"> PAGEREF _Toc17114 \h </w:instrText>
      </w:r>
      <w:r>
        <w:rPr>
          <w:color w:val="auto"/>
        </w:rPr>
        <w:fldChar w:fldCharType="separate"/>
      </w:r>
      <w:r>
        <w:rPr>
          <w:color w:val="auto"/>
        </w:rPr>
        <w:t>183</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_Toc15113 </w:instrText>
      </w:r>
      <w:r>
        <w:rPr>
          <w:color w:val="auto"/>
          <w:kern w:val="21"/>
        </w:rPr>
        <w:fldChar w:fldCharType="separate"/>
      </w:r>
      <w:r>
        <w:rPr>
          <w:rFonts w:hint="eastAsia"/>
          <w:bCs/>
          <w:color w:val="auto"/>
          <w:kern w:val="21"/>
          <w:lang w:val="en-US" w:eastAsia="zh-CN"/>
        </w:rPr>
        <w:t>6.3.3危险物质向环境转移的途径识别</w:t>
      </w:r>
      <w:r>
        <w:rPr>
          <w:color w:val="auto"/>
        </w:rPr>
        <w:tab/>
      </w:r>
      <w:r>
        <w:rPr>
          <w:color w:val="auto"/>
        </w:rPr>
        <w:fldChar w:fldCharType="begin"/>
      </w:r>
      <w:r>
        <w:rPr>
          <w:color w:val="auto"/>
        </w:rPr>
        <w:instrText xml:space="preserve"> PAGEREF _Toc15113 \h </w:instrText>
      </w:r>
      <w:r>
        <w:rPr>
          <w:color w:val="auto"/>
        </w:rPr>
        <w:fldChar w:fldCharType="separate"/>
      </w:r>
      <w:r>
        <w:rPr>
          <w:color w:val="auto"/>
        </w:rPr>
        <w:t>184</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_Toc18407 </w:instrText>
      </w:r>
      <w:r>
        <w:rPr>
          <w:color w:val="auto"/>
          <w:kern w:val="21"/>
        </w:rPr>
        <w:fldChar w:fldCharType="separate"/>
      </w:r>
      <w:r>
        <w:rPr>
          <w:rFonts w:hint="eastAsia"/>
          <w:bCs/>
          <w:color w:val="auto"/>
          <w:kern w:val="21"/>
          <w:szCs w:val="28"/>
        </w:rPr>
        <w:t>6</w:t>
      </w:r>
      <w:r>
        <w:rPr>
          <w:bCs/>
          <w:color w:val="auto"/>
          <w:kern w:val="21"/>
          <w:szCs w:val="28"/>
        </w:rPr>
        <w:t>.</w:t>
      </w:r>
      <w:r>
        <w:rPr>
          <w:rFonts w:hint="eastAsia"/>
          <w:bCs/>
          <w:color w:val="auto"/>
          <w:kern w:val="21"/>
          <w:szCs w:val="28"/>
          <w:lang w:val="en-US" w:eastAsia="zh-CN"/>
        </w:rPr>
        <w:t>4</w:t>
      </w:r>
      <w:r>
        <w:rPr>
          <w:bCs/>
          <w:color w:val="auto"/>
          <w:kern w:val="21"/>
          <w:szCs w:val="28"/>
        </w:rPr>
        <w:t>环境风险影响分析</w:t>
      </w:r>
      <w:r>
        <w:rPr>
          <w:color w:val="auto"/>
        </w:rPr>
        <w:tab/>
      </w:r>
      <w:r>
        <w:rPr>
          <w:color w:val="auto"/>
        </w:rPr>
        <w:fldChar w:fldCharType="begin"/>
      </w:r>
      <w:r>
        <w:rPr>
          <w:color w:val="auto"/>
        </w:rPr>
        <w:instrText xml:space="preserve"> PAGEREF _Toc18407 \h </w:instrText>
      </w:r>
      <w:r>
        <w:rPr>
          <w:color w:val="auto"/>
        </w:rPr>
        <w:fldChar w:fldCharType="separate"/>
      </w:r>
      <w:r>
        <w:rPr>
          <w:color w:val="auto"/>
        </w:rPr>
        <w:t>184</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_Toc6202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4</w:t>
      </w:r>
      <w:r>
        <w:rPr>
          <w:bCs/>
          <w:color w:val="auto"/>
          <w:kern w:val="21"/>
        </w:rPr>
        <w:t>.1危险化学品风险分析</w:t>
      </w:r>
      <w:r>
        <w:rPr>
          <w:color w:val="auto"/>
        </w:rPr>
        <w:tab/>
      </w:r>
      <w:r>
        <w:rPr>
          <w:color w:val="auto"/>
        </w:rPr>
        <w:fldChar w:fldCharType="begin"/>
      </w:r>
      <w:r>
        <w:rPr>
          <w:color w:val="auto"/>
        </w:rPr>
        <w:instrText xml:space="preserve"> PAGEREF _Toc6202 \h </w:instrText>
      </w:r>
      <w:r>
        <w:rPr>
          <w:color w:val="auto"/>
        </w:rPr>
        <w:fldChar w:fldCharType="separate"/>
      </w:r>
      <w:r>
        <w:rPr>
          <w:color w:val="auto"/>
        </w:rPr>
        <w:t>184</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_Toc31982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4</w:t>
      </w:r>
      <w:r>
        <w:rPr>
          <w:bCs/>
          <w:color w:val="auto"/>
          <w:kern w:val="21"/>
        </w:rPr>
        <w:t>.2</w:t>
      </w:r>
      <w:r>
        <w:rPr>
          <w:rFonts w:hint="eastAsia"/>
          <w:bCs/>
          <w:color w:val="auto"/>
          <w:kern w:val="21"/>
        </w:rPr>
        <w:t>次氯酸钠</w:t>
      </w:r>
      <w:r>
        <w:rPr>
          <w:bCs/>
          <w:color w:val="auto"/>
          <w:kern w:val="21"/>
        </w:rPr>
        <w:t>泄漏对环境的影响</w:t>
      </w:r>
      <w:r>
        <w:rPr>
          <w:color w:val="auto"/>
        </w:rPr>
        <w:tab/>
      </w:r>
      <w:r>
        <w:rPr>
          <w:color w:val="auto"/>
        </w:rPr>
        <w:fldChar w:fldCharType="begin"/>
      </w:r>
      <w:r>
        <w:rPr>
          <w:color w:val="auto"/>
        </w:rPr>
        <w:instrText xml:space="preserve"> PAGEREF _Toc31982 \h </w:instrText>
      </w:r>
      <w:r>
        <w:rPr>
          <w:color w:val="auto"/>
        </w:rPr>
        <w:fldChar w:fldCharType="separate"/>
      </w:r>
      <w:r>
        <w:rPr>
          <w:color w:val="auto"/>
        </w:rPr>
        <w:t>185</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_Toc24188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4</w:t>
      </w:r>
      <w:r>
        <w:rPr>
          <w:bCs/>
          <w:color w:val="auto"/>
          <w:kern w:val="21"/>
        </w:rPr>
        <w:t>.3污水直排事故环境影响</w:t>
      </w:r>
      <w:r>
        <w:rPr>
          <w:color w:val="auto"/>
        </w:rPr>
        <w:tab/>
      </w:r>
      <w:r>
        <w:rPr>
          <w:color w:val="auto"/>
        </w:rPr>
        <w:fldChar w:fldCharType="begin"/>
      </w:r>
      <w:r>
        <w:rPr>
          <w:color w:val="auto"/>
        </w:rPr>
        <w:instrText xml:space="preserve"> PAGEREF _Toc24188 \h </w:instrText>
      </w:r>
      <w:r>
        <w:rPr>
          <w:color w:val="auto"/>
        </w:rPr>
        <w:fldChar w:fldCharType="separate"/>
      </w:r>
      <w:r>
        <w:rPr>
          <w:color w:val="auto"/>
        </w:rPr>
        <w:t>185</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_Toc6337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4</w:t>
      </w:r>
      <w:r>
        <w:rPr>
          <w:bCs/>
          <w:color w:val="auto"/>
          <w:kern w:val="21"/>
        </w:rPr>
        <w:t>.4污泥膨胀事故影响分析及措施</w:t>
      </w:r>
      <w:r>
        <w:rPr>
          <w:color w:val="auto"/>
        </w:rPr>
        <w:tab/>
      </w:r>
      <w:r>
        <w:rPr>
          <w:color w:val="auto"/>
        </w:rPr>
        <w:fldChar w:fldCharType="begin"/>
      </w:r>
      <w:r>
        <w:rPr>
          <w:color w:val="auto"/>
        </w:rPr>
        <w:instrText xml:space="preserve"> PAGEREF _Toc6337 \h </w:instrText>
      </w:r>
      <w:r>
        <w:rPr>
          <w:color w:val="auto"/>
        </w:rPr>
        <w:fldChar w:fldCharType="separate"/>
      </w:r>
      <w:r>
        <w:rPr>
          <w:color w:val="auto"/>
        </w:rPr>
        <w:t>185</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_Toc25428 </w:instrText>
      </w:r>
      <w:r>
        <w:rPr>
          <w:color w:val="auto"/>
          <w:kern w:val="21"/>
        </w:rPr>
        <w:fldChar w:fldCharType="separate"/>
      </w:r>
      <w:r>
        <w:rPr>
          <w:rFonts w:hint="eastAsia"/>
          <w:bCs/>
          <w:color w:val="auto"/>
          <w:kern w:val="21"/>
          <w:szCs w:val="28"/>
        </w:rPr>
        <w:t>6</w:t>
      </w:r>
      <w:r>
        <w:rPr>
          <w:bCs/>
          <w:color w:val="auto"/>
          <w:kern w:val="21"/>
          <w:szCs w:val="28"/>
        </w:rPr>
        <w:t>.</w:t>
      </w:r>
      <w:r>
        <w:rPr>
          <w:rFonts w:hint="eastAsia"/>
          <w:bCs/>
          <w:color w:val="auto"/>
          <w:kern w:val="21"/>
          <w:szCs w:val="28"/>
          <w:lang w:val="en-US" w:eastAsia="zh-CN"/>
        </w:rPr>
        <w:t>5</w:t>
      </w:r>
      <w:r>
        <w:rPr>
          <w:bCs/>
          <w:color w:val="auto"/>
          <w:kern w:val="21"/>
          <w:szCs w:val="28"/>
        </w:rPr>
        <w:t>环境</w:t>
      </w:r>
      <w:r>
        <w:rPr>
          <w:rFonts w:hint="eastAsia"/>
          <w:bCs/>
          <w:color w:val="auto"/>
          <w:kern w:val="21"/>
          <w:szCs w:val="28"/>
          <w:lang w:eastAsia="zh-CN"/>
        </w:rPr>
        <w:t>防范措施</w:t>
      </w:r>
      <w:r>
        <w:rPr>
          <w:color w:val="auto"/>
        </w:rPr>
        <w:tab/>
      </w:r>
      <w:r>
        <w:rPr>
          <w:color w:val="auto"/>
        </w:rPr>
        <w:fldChar w:fldCharType="begin"/>
      </w:r>
      <w:r>
        <w:rPr>
          <w:color w:val="auto"/>
        </w:rPr>
        <w:instrText xml:space="preserve"> PAGEREF _Toc25428 \h </w:instrText>
      </w:r>
      <w:r>
        <w:rPr>
          <w:color w:val="auto"/>
        </w:rPr>
        <w:fldChar w:fldCharType="separate"/>
      </w:r>
      <w:r>
        <w:rPr>
          <w:color w:val="auto"/>
        </w:rPr>
        <w:t>186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_Toc5351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5</w:t>
      </w:r>
      <w:r>
        <w:rPr>
          <w:bCs/>
          <w:color w:val="auto"/>
          <w:kern w:val="21"/>
        </w:rPr>
        <w:t>.1</w:t>
      </w:r>
      <w:r>
        <w:rPr>
          <w:rFonts w:hint="eastAsia"/>
          <w:bCs/>
          <w:color w:val="auto"/>
          <w:kern w:val="21"/>
          <w:lang w:eastAsia="zh-CN"/>
        </w:rPr>
        <w:t>化学品风险防范和减缓措施</w:t>
      </w:r>
      <w:r>
        <w:rPr>
          <w:color w:val="auto"/>
        </w:rPr>
        <w:tab/>
      </w:r>
      <w:r>
        <w:rPr>
          <w:color w:val="auto"/>
        </w:rPr>
        <w:fldChar w:fldCharType="begin"/>
      </w:r>
      <w:r>
        <w:rPr>
          <w:color w:val="auto"/>
        </w:rPr>
        <w:instrText xml:space="preserve"> PAGEREF _Toc5351 \h </w:instrText>
      </w:r>
      <w:r>
        <w:rPr>
          <w:color w:val="auto"/>
        </w:rPr>
        <w:fldChar w:fldCharType="separate"/>
      </w:r>
      <w:r>
        <w:rPr>
          <w:color w:val="auto"/>
        </w:rPr>
        <w:t>186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_Toc5108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5</w:t>
      </w:r>
      <w:r>
        <w:rPr>
          <w:bCs/>
          <w:color w:val="auto"/>
          <w:kern w:val="21"/>
        </w:rPr>
        <w:t>.</w:t>
      </w:r>
      <w:r>
        <w:rPr>
          <w:rFonts w:hint="eastAsia"/>
          <w:bCs/>
          <w:color w:val="auto"/>
          <w:kern w:val="21"/>
          <w:lang w:val="en-US" w:eastAsia="zh-CN"/>
        </w:rPr>
        <w:t>2</w:t>
      </w:r>
      <w:r>
        <w:rPr>
          <w:rFonts w:hint="eastAsia"/>
          <w:bCs/>
          <w:color w:val="auto"/>
          <w:kern w:val="21"/>
          <w:lang w:eastAsia="zh-CN"/>
        </w:rPr>
        <w:t>次氯化钠泄漏的风险防范措施</w:t>
      </w:r>
      <w:r>
        <w:rPr>
          <w:color w:val="auto"/>
        </w:rPr>
        <w:tab/>
      </w:r>
      <w:r>
        <w:rPr>
          <w:color w:val="auto"/>
        </w:rPr>
        <w:fldChar w:fldCharType="begin"/>
      </w:r>
      <w:r>
        <w:rPr>
          <w:color w:val="auto"/>
        </w:rPr>
        <w:instrText xml:space="preserve"> PAGEREF _Toc5108 \h </w:instrText>
      </w:r>
      <w:r>
        <w:rPr>
          <w:color w:val="auto"/>
        </w:rPr>
        <w:fldChar w:fldCharType="separate"/>
      </w:r>
      <w:r>
        <w:rPr>
          <w:color w:val="auto"/>
        </w:rPr>
        <w:t>186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_Toc17517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5.3</w:t>
      </w:r>
      <w:r>
        <w:rPr>
          <w:rFonts w:hint="eastAsia"/>
          <w:bCs/>
          <w:color w:val="auto"/>
          <w:kern w:val="21"/>
          <w:lang w:eastAsia="zh-CN"/>
        </w:rPr>
        <w:t>污水直排事故的风险防范措施</w:t>
      </w:r>
      <w:r>
        <w:rPr>
          <w:color w:val="auto"/>
        </w:rPr>
        <w:tab/>
      </w:r>
      <w:r>
        <w:rPr>
          <w:color w:val="auto"/>
        </w:rPr>
        <w:fldChar w:fldCharType="begin"/>
      </w:r>
      <w:r>
        <w:rPr>
          <w:color w:val="auto"/>
        </w:rPr>
        <w:instrText xml:space="preserve"> PAGEREF _Toc17517 \h </w:instrText>
      </w:r>
      <w:r>
        <w:rPr>
          <w:color w:val="auto"/>
        </w:rPr>
        <w:fldChar w:fldCharType="separate"/>
      </w:r>
      <w:r>
        <w:rPr>
          <w:color w:val="auto"/>
        </w:rPr>
        <w:t>187</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_Toc12116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5</w:t>
      </w:r>
      <w:r>
        <w:rPr>
          <w:bCs/>
          <w:color w:val="auto"/>
          <w:kern w:val="21"/>
        </w:rPr>
        <w:t>.</w:t>
      </w:r>
      <w:r>
        <w:rPr>
          <w:rFonts w:hint="eastAsia"/>
          <w:bCs/>
          <w:color w:val="auto"/>
          <w:kern w:val="21"/>
          <w:lang w:val="en-US" w:eastAsia="zh-CN"/>
        </w:rPr>
        <w:t>4</w:t>
      </w:r>
      <w:r>
        <w:rPr>
          <w:rFonts w:hint="eastAsia"/>
          <w:bCs/>
          <w:color w:val="auto"/>
          <w:kern w:val="21"/>
          <w:lang w:eastAsia="zh-CN"/>
        </w:rPr>
        <w:t>污泥膨化事故的风险防范措施</w:t>
      </w:r>
      <w:r>
        <w:rPr>
          <w:color w:val="auto"/>
        </w:rPr>
        <w:tab/>
      </w:r>
      <w:r>
        <w:rPr>
          <w:color w:val="auto"/>
        </w:rPr>
        <w:fldChar w:fldCharType="begin"/>
      </w:r>
      <w:r>
        <w:rPr>
          <w:color w:val="auto"/>
        </w:rPr>
        <w:instrText xml:space="preserve"> PAGEREF _Toc12116 \h </w:instrText>
      </w:r>
      <w:r>
        <w:rPr>
          <w:color w:val="auto"/>
        </w:rPr>
        <w:fldChar w:fldCharType="separate"/>
      </w:r>
      <w:r>
        <w:rPr>
          <w:color w:val="auto"/>
        </w:rPr>
        <w:t>188</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_Toc10779 </w:instrText>
      </w:r>
      <w:r>
        <w:rPr>
          <w:color w:val="auto"/>
          <w:kern w:val="21"/>
        </w:rPr>
        <w:fldChar w:fldCharType="separate"/>
      </w:r>
      <w:r>
        <w:rPr>
          <w:rFonts w:hint="eastAsia"/>
          <w:bCs/>
          <w:color w:val="auto"/>
          <w:kern w:val="21"/>
          <w:szCs w:val="28"/>
        </w:rPr>
        <w:t>6</w:t>
      </w:r>
      <w:r>
        <w:rPr>
          <w:bCs/>
          <w:color w:val="auto"/>
          <w:kern w:val="21"/>
          <w:szCs w:val="28"/>
        </w:rPr>
        <w:t>.</w:t>
      </w:r>
      <w:r>
        <w:rPr>
          <w:rFonts w:hint="eastAsia"/>
          <w:bCs/>
          <w:color w:val="auto"/>
          <w:kern w:val="21"/>
          <w:szCs w:val="28"/>
          <w:lang w:val="en-US" w:eastAsia="zh-CN"/>
        </w:rPr>
        <w:t>6</w:t>
      </w:r>
      <w:r>
        <w:rPr>
          <w:bCs/>
          <w:color w:val="auto"/>
          <w:kern w:val="21"/>
          <w:szCs w:val="28"/>
        </w:rPr>
        <w:t>环境风险应急预案</w:t>
      </w:r>
      <w:r>
        <w:rPr>
          <w:color w:val="auto"/>
        </w:rPr>
        <w:tab/>
      </w:r>
      <w:r>
        <w:rPr>
          <w:color w:val="auto"/>
        </w:rPr>
        <w:fldChar w:fldCharType="begin"/>
      </w:r>
      <w:r>
        <w:rPr>
          <w:color w:val="auto"/>
        </w:rPr>
        <w:instrText xml:space="preserve"> PAGEREF _Toc10779 \h </w:instrText>
      </w:r>
      <w:r>
        <w:rPr>
          <w:color w:val="auto"/>
        </w:rPr>
        <w:fldChar w:fldCharType="separate"/>
      </w:r>
      <w:r>
        <w:rPr>
          <w:color w:val="auto"/>
        </w:rPr>
        <w:t>188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_Toc13826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6</w:t>
      </w:r>
      <w:r>
        <w:rPr>
          <w:bCs/>
          <w:color w:val="auto"/>
          <w:kern w:val="21"/>
        </w:rPr>
        <w:t>.1应急预案制定依据</w:t>
      </w:r>
      <w:r>
        <w:rPr>
          <w:color w:val="auto"/>
        </w:rPr>
        <w:tab/>
      </w:r>
      <w:r>
        <w:rPr>
          <w:color w:val="auto"/>
        </w:rPr>
        <w:fldChar w:fldCharType="begin"/>
      </w:r>
      <w:r>
        <w:rPr>
          <w:color w:val="auto"/>
        </w:rPr>
        <w:instrText xml:space="preserve"> PAGEREF _Toc13826 \h </w:instrText>
      </w:r>
      <w:r>
        <w:rPr>
          <w:color w:val="auto"/>
        </w:rPr>
        <w:fldChar w:fldCharType="separate"/>
      </w:r>
      <w:r>
        <w:rPr>
          <w:color w:val="auto"/>
        </w:rPr>
        <w:t>188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_Toc20872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6</w:t>
      </w:r>
      <w:r>
        <w:rPr>
          <w:bCs/>
          <w:color w:val="auto"/>
          <w:kern w:val="21"/>
        </w:rPr>
        <w:t>.2组织机构及职责任务</w:t>
      </w:r>
      <w:r>
        <w:rPr>
          <w:color w:val="auto"/>
        </w:rPr>
        <w:tab/>
      </w:r>
      <w:r>
        <w:rPr>
          <w:color w:val="auto"/>
        </w:rPr>
        <w:fldChar w:fldCharType="begin"/>
      </w:r>
      <w:r>
        <w:rPr>
          <w:color w:val="auto"/>
        </w:rPr>
        <w:instrText xml:space="preserve"> PAGEREF _Toc20872 \h </w:instrText>
      </w:r>
      <w:r>
        <w:rPr>
          <w:color w:val="auto"/>
        </w:rPr>
        <w:fldChar w:fldCharType="separate"/>
      </w:r>
      <w:r>
        <w:rPr>
          <w:color w:val="auto"/>
        </w:rPr>
        <w:t>188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_Toc25972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6</w:t>
      </w:r>
      <w:r>
        <w:rPr>
          <w:bCs/>
          <w:color w:val="auto"/>
          <w:kern w:val="21"/>
        </w:rPr>
        <w:t>.3处置程序</w:t>
      </w:r>
      <w:r>
        <w:rPr>
          <w:color w:val="auto"/>
        </w:rPr>
        <w:tab/>
      </w:r>
      <w:r>
        <w:rPr>
          <w:color w:val="auto"/>
        </w:rPr>
        <w:fldChar w:fldCharType="begin"/>
      </w:r>
      <w:r>
        <w:rPr>
          <w:color w:val="auto"/>
        </w:rPr>
        <w:instrText xml:space="preserve"> PAGEREF _Toc25972 \h </w:instrText>
      </w:r>
      <w:r>
        <w:rPr>
          <w:color w:val="auto"/>
        </w:rPr>
        <w:fldChar w:fldCharType="separate"/>
      </w:r>
      <w:r>
        <w:rPr>
          <w:color w:val="auto"/>
        </w:rPr>
        <w:t>189</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_Toc18853 </w:instrText>
      </w:r>
      <w:r>
        <w:rPr>
          <w:color w:val="auto"/>
          <w:kern w:val="21"/>
        </w:rPr>
        <w:fldChar w:fldCharType="separate"/>
      </w:r>
      <w:r>
        <w:rPr>
          <w:rFonts w:hint="eastAsia"/>
          <w:bCs/>
          <w:color w:val="auto"/>
          <w:kern w:val="21"/>
        </w:rPr>
        <w:t>6</w:t>
      </w:r>
      <w:r>
        <w:rPr>
          <w:bCs/>
          <w:color w:val="auto"/>
          <w:kern w:val="21"/>
        </w:rPr>
        <w:t>.</w:t>
      </w:r>
      <w:r>
        <w:rPr>
          <w:rFonts w:hint="eastAsia"/>
          <w:bCs/>
          <w:color w:val="auto"/>
          <w:kern w:val="21"/>
          <w:lang w:val="en-US" w:eastAsia="zh-CN"/>
        </w:rPr>
        <w:t>6</w:t>
      </w:r>
      <w:r>
        <w:rPr>
          <w:bCs/>
          <w:color w:val="auto"/>
          <w:kern w:val="21"/>
        </w:rPr>
        <w:t>.4应急处置工作保障</w:t>
      </w:r>
      <w:r>
        <w:rPr>
          <w:color w:val="auto"/>
        </w:rPr>
        <w:tab/>
      </w:r>
      <w:r>
        <w:rPr>
          <w:color w:val="auto"/>
        </w:rPr>
        <w:fldChar w:fldCharType="begin"/>
      </w:r>
      <w:r>
        <w:rPr>
          <w:color w:val="auto"/>
        </w:rPr>
        <w:instrText xml:space="preserve"> PAGEREF _Toc18853 \h </w:instrText>
      </w:r>
      <w:r>
        <w:rPr>
          <w:color w:val="auto"/>
        </w:rPr>
        <w:fldChar w:fldCharType="separate"/>
      </w:r>
      <w:r>
        <w:rPr>
          <w:color w:val="auto"/>
        </w:rPr>
        <w:t>191</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_Toc738 </w:instrText>
      </w:r>
      <w:r>
        <w:rPr>
          <w:color w:val="auto"/>
          <w:kern w:val="21"/>
        </w:rPr>
        <w:fldChar w:fldCharType="separate"/>
      </w:r>
      <w:r>
        <w:rPr>
          <w:rFonts w:hint="eastAsia"/>
          <w:bCs/>
          <w:color w:val="auto"/>
          <w:kern w:val="21"/>
          <w:szCs w:val="28"/>
        </w:rPr>
        <w:t>6</w:t>
      </w:r>
      <w:r>
        <w:rPr>
          <w:bCs/>
          <w:color w:val="auto"/>
          <w:kern w:val="21"/>
          <w:szCs w:val="28"/>
        </w:rPr>
        <w:t>.</w:t>
      </w:r>
      <w:r>
        <w:rPr>
          <w:rFonts w:hint="eastAsia"/>
          <w:bCs/>
          <w:color w:val="auto"/>
          <w:kern w:val="21"/>
          <w:szCs w:val="28"/>
          <w:lang w:val="en-US" w:eastAsia="zh-CN"/>
        </w:rPr>
        <w:t>7</w:t>
      </w:r>
      <w:r>
        <w:rPr>
          <w:bCs/>
          <w:color w:val="auto"/>
          <w:kern w:val="21"/>
          <w:szCs w:val="28"/>
        </w:rPr>
        <w:t>环境风险分析结论</w:t>
      </w:r>
      <w:r>
        <w:rPr>
          <w:color w:val="auto"/>
        </w:rPr>
        <w:tab/>
      </w:r>
      <w:r>
        <w:rPr>
          <w:color w:val="auto"/>
        </w:rPr>
        <w:fldChar w:fldCharType="begin"/>
      </w:r>
      <w:r>
        <w:rPr>
          <w:color w:val="auto"/>
        </w:rPr>
        <w:instrText xml:space="preserve"> PAGEREF _Toc738 \h </w:instrText>
      </w:r>
      <w:r>
        <w:rPr>
          <w:color w:val="auto"/>
        </w:rPr>
        <w:fldChar w:fldCharType="separate"/>
      </w:r>
      <w:r>
        <w:rPr>
          <w:color w:val="auto"/>
        </w:rPr>
        <w:t>191</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_Toc5295 </w:instrText>
      </w:r>
      <w:r>
        <w:rPr>
          <w:color w:val="auto"/>
          <w:kern w:val="21"/>
        </w:rPr>
        <w:fldChar w:fldCharType="separate"/>
      </w:r>
      <w:r>
        <w:rPr>
          <w:color w:val="auto"/>
          <w:kern w:val="21"/>
        </w:rPr>
        <w:t>7产业政策、相关规划符合性及选址合理性分析</w:t>
      </w:r>
      <w:r>
        <w:rPr>
          <w:color w:val="auto"/>
        </w:rPr>
        <w:tab/>
      </w:r>
      <w:r>
        <w:rPr>
          <w:color w:val="auto"/>
        </w:rPr>
        <w:fldChar w:fldCharType="begin"/>
      </w:r>
      <w:r>
        <w:rPr>
          <w:color w:val="auto"/>
        </w:rPr>
        <w:instrText xml:space="preserve"> PAGEREF _Toc5295 \h </w:instrText>
      </w:r>
      <w:r>
        <w:rPr>
          <w:color w:val="auto"/>
        </w:rPr>
        <w:fldChar w:fldCharType="separate"/>
      </w:r>
      <w:r>
        <w:rPr>
          <w:color w:val="auto"/>
        </w:rPr>
        <w:t>193</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_Toc6638 </w:instrText>
      </w:r>
      <w:r>
        <w:rPr>
          <w:color w:val="auto"/>
          <w:kern w:val="21"/>
        </w:rPr>
        <w:fldChar w:fldCharType="separate"/>
      </w:r>
      <w:r>
        <w:rPr>
          <w:color w:val="auto"/>
          <w:kern w:val="21"/>
        </w:rPr>
        <w:t>7.1产业政策符合性</w:t>
      </w:r>
      <w:r>
        <w:rPr>
          <w:color w:val="auto"/>
        </w:rPr>
        <w:tab/>
      </w:r>
      <w:r>
        <w:rPr>
          <w:color w:val="auto"/>
        </w:rPr>
        <w:fldChar w:fldCharType="begin"/>
      </w:r>
      <w:r>
        <w:rPr>
          <w:color w:val="auto"/>
        </w:rPr>
        <w:instrText xml:space="preserve"> PAGEREF _Toc6638 \h </w:instrText>
      </w:r>
      <w:r>
        <w:rPr>
          <w:color w:val="auto"/>
        </w:rPr>
        <w:fldChar w:fldCharType="separate"/>
      </w:r>
      <w:r>
        <w:rPr>
          <w:color w:val="auto"/>
        </w:rPr>
        <w:t>193</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_Toc16557 </w:instrText>
      </w:r>
      <w:r>
        <w:rPr>
          <w:color w:val="auto"/>
          <w:kern w:val="21"/>
        </w:rPr>
        <w:fldChar w:fldCharType="separate"/>
      </w:r>
      <w:r>
        <w:rPr>
          <w:color w:val="auto"/>
          <w:kern w:val="21"/>
        </w:rPr>
        <w:t>7.2相关规划符合性</w:t>
      </w:r>
      <w:r>
        <w:rPr>
          <w:color w:val="auto"/>
        </w:rPr>
        <w:tab/>
      </w:r>
      <w:r>
        <w:rPr>
          <w:color w:val="auto"/>
        </w:rPr>
        <w:fldChar w:fldCharType="begin"/>
      </w:r>
      <w:r>
        <w:rPr>
          <w:color w:val="auto"/>
        </w:rPr>
        <w:instrText xml:space="preserve"> PAGEREF _Toc16557 \h </w:instrText>
      </w:r>
      <w:r>
        <w:rPr>
          <w:color w:val="auto"/>
        </w:rPr>
        <w:fldChar w:fldCharType="separate"/>
      </w:r>
      <w:r>
        <w:rPr>
          <w:color w:val="auto"/>
        </w:rPr>
        <w:t>193</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_Toc13741 </w:instrText>
      </w:r>
      <w:r>
        <w:rPr>
          <w:color w:val="auto"/>
          <w:kern w:val="21"/>
        </w:rPr>
        <w:fldChar w:fldCharType="separate"/>
      </w:r>
      <w:r>
        <w:rPr>
          <w:rFonts w:hint="eastAsia" w:eastAsia="宋体"/>
          <w:color w:val="auto"/>
          <w:kern w:val="21"/>
          <w:szCs w:val="24"/>
        </w:rPr>
        <w:t>7.2.1与《关于发布长江经济带发展负面清单指南（试行）的通知》的符合性分析</w:t>
      </w:r>
      <w:r>
        <w:rPr>
          <w:color w:val="auto"/>
        </w:rPr>
        <w:tab/>
      </w:r>
      <w:r>
        <w:rPr>
          <w:color w:val="auto"/>
        </w:rPr>
        <w:fldChar w:fldCharType="begin"/>
      </w:r>
      <w:r>
        <w:rPr>
          <w:color w:val="auto"/>
        </w:rPr>
        <w:instrText xml:space="preserve"> PAGEREF _Toc13741 \h </w:instrText>
      </w:r>
      <w:r>
        <w:rPr>
          <w:color w:val="auto"/>
        </w:rPr>
        <w:fldChar w:fldCharType="separate"/>
      </w:r>
      <w:r>
        <w:rPr>
          <w:color w:val="auto"/>
        </w:rPr>
        <w:t>193</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_Toc13541 </w:instrText>
      </w:r>
      <w:r>
        <w:rPr>
          <w:color w:val="auto"/>
          <w:kern w:val="21"/>
        </w:rPr>
        <w:fldChar w:fldCharType="separate"/>
      </w:r>
      <w:r>
        <w:rPr>
          <w:rFonts w:hint="eastAsia" w:eastAsia="宋体"/>
          <w:color w:val="auto"/>
          <w:kern w:val="21"/>
          <w:szCs w:val="24"/>
        </w:rPr>
        <w:t>7.2.2 与 《楚雄工业园区总体规划修改（2018-2035）》符合性分析</w:t>
      </w:r>
      <w:r>
        <w:rPr>
          <w:color w:val="auto"/>
        </w:rPr>
        <w:tab/>
      </w:r>
      <w:r>
        <w:rPr>
          <w:color w:val="auto"/>
        </w:rPr>
        <w:fldChar w:fldCharType="begin"/>
      </w:r>
      <w:r>
        <w:rPr>
          <w:color w:val="auto"/>
        </w:rPr>
        <w:instrText xml:space="preserve"> PAGEREF _Toc13541 \h </w:instrText>
      </w:r>
      <w:r>
        <w:rPr>
          <w:color w:val="auto"/>
        </w:rPr>
        <w:fldChar w:fldCharType="separate"/>
      </w:r>
      <w:r>
        <w:rPr>
          <w:color w:val="auto"/>
        </w:rPr>
        <w:t>194</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_Toc3785 </w:instrText>
      </w:r>
      <w:r>
        <w:rPr>
          <w:color w:val="auto"/>
          <w:kern w:val="21"/>
        </w:rPr>
        <w:fldChar w:fldCharType="separate"/>
      </w:r>
      <w:r>
        <w:rPr>
          <w:rFonts w:eastAsia="宋体"/>
          <w:color w:val="auto"/>
          <w:kern w:val="21"/>
          <w:szCs w:val="24"/>
        </w:rPr>
        <w:t>7.2.</w:t>
      </w:r>
      <w:r>
        <w:rPr>
          <w:rFonts w:hint="eastAsia" w:eastAsia="宋体"/>
          <w:color w:val="auto"/>
          <w:kern w:val="21"/>
          <w:szCs w:val="24"/>
        </w:rPr>
        <w:t>3</w:t>
      </w:r>
      <w:r>
        <w:rPr>
          <w:rFonts w:eastAsia="宋体"/>
          <w:color w:val="auto"/>
          <w:kern w:val="21"/>
          <w:szCs w:val="24"/>
        </w:rPr>
        <w:t>与《楚雄工业园区中体规划修改（2018-2035）环境影响报告书》符合性分析</w:t>
      </w:r>
      <w:r>
        <w:rPr>
          <w:color w:val="auto"/>
        </w:rPr>
        <w:tab/>
      </w:r>
      <w:r>
        <w:rPr>
          <w:color w:val="auto"/>
        </w:rPr>
        <w:fldChar w:fldCharType="begin"/>
      </w:r>
      <w:r>
        <w:rPr>
          <w:color w:val="auto"/>
        </w:rPr>
        <w:instrText xml:space="preserve"> PAGEREF _Toc3785 \h </w:instrText>
      </w:r>
      <w:r>
        <w:rPr>
          <w:color w:val="auto"/>
        </w:rPr>
        <w:fldChar w:fldCharType="separate"/>
      </w:r>
      <w:r>
        <w:rPr>
          <w:color w:val="auto"/>
        </w:rPr>
        <w:t>195</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_Toc25578 </w:instrText>
      </w:r>
      <w:r>
        <w:rPr>
          <w:color w:val="auto"/>
          <w:kern w:val="21"/>
        </w:rPr>
        <w:fldChar w:fldCharType="separate"/>
      </w:r>
      <w:r>
        <w:rPr>
          <w:rFonts w:eastAsia="宋体"/>
          <w:color w:val="auto"/>
          <w:kern w:val="21"/>
          <w:szCs w:val="24"/>
        </w:rPr>
        <w:t>7.2.</w:t>
      </w:r>
      <w:r>
        <w:rPr>
          <w:rFonts w:hint="eastAsia" w:eastAsia="宋体"/>
          <w:color w:val="auto"/>
          <w:kern w:val="21"/>
          <w:szCs w:val="24"/>
        </w:rPr>
        <w:t>4</w:t>
      </w:r>
      <w:r>
        <w:rPr>
          <w:rFonts w:eastAsia="宋体"/>
          <w:color w:val="auto"/>
          <w:kern w:val="21"/>
          <w:szCs w:val="24"/>
        </w:rPr>
        <w:t>与《楚雄工业园富民庄甸工业园富民片区控制性详细规划》符合性分析</w:t>
      </w:r>
      <w:r>
        <w:rPr>
          <w:color w:val="auto"/>
        </w:rPr>
        <w:tab/>
      </w:r>
      <w:r>
        <w:rPr>
          <w:color w:val="auto"/>
        </w:rPr>
        <w:fldChar w:fldCharType="begin"/>
      </w:r>
      <w:r>
        <w:rPr>
          <w:color w:val="auto"/>
        </w:rPr>
        <w:instrText xml:space="preserve"> PAGEREF _Toc25578 \h </w:instrText>
      </w:r>
      <w:r>
        <w:rPr>
          <w:color w:val="auto"/>
        </w:rPr>
        <w:fldChar w:fldCharType="separate"/>
      </w:r>
      <w:r>
        <w:rPr>
          <w:color w:val="auto"/>
        </w:rPr>
        <w:t>196</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_Toc16335 </w:instrText>
      </w:r>
      <w:r>
        <w:rPr>
          <w:color w:val="auto"/>
          <w:kern w:val="21"/>
        </w:rPr>
        <w:fldChar w:fldCharType="separate"/>
      </w:r>
      <w:r>
        <w:rPr>
          <w:color w:val="auto"/>
          <w:kern w:val="21"/>
        </w:rPr>
        <w:t>7.3与“三线一单”的符合性分析</w:t>
      </w:r>
      <w:r>
        <w:rPr>
          <w:color w:val="auto"/>
        </w:rPr>
        <w:tab/>
      </w:r>
      <w:r>
        <w:rPr>
          <w:color w:val="auto"/>
        </w:rPr>
        <w:fldChar w:fldCharType="begin"/>
      </w:r>
      <w:r>
        <w:rPr>
          <w:color w:val="auto"/>
        </w:rPr>
        <w:instrText xml:space="preserve"> PAGEREF _Toc16335 \h </w:instrText>
      </w:r>
      <w:r>
        <w:rPr>
          <w:color w:val="auto"/>
        </w:rPr>
        <w:fldChar w:fldCharType="separate"/>
      </w:r>
      <w:r>
        <w:rPr>
          <w:color w:val="auto"/>
        </w:rPr>
        <w:t>197</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_Toc20276 </w:instrText>
      </w:r>
      <w:r>
        <w:rPr>
          <w:color w:val="auto"/>
          <w:kern w:val="21"/>
        </w:rPr>
        <w:fldChar w:fldCharType="separate"/>
      </w:r>
      <w:r>
        <w:rPr>
          <w:color w:val="auto"/>
          <w:kern w:val="21"/>
        </w:rPr>
        <w:t>7.</w:t>
      </w:r>
      <w:r>
        <w:rPr>
          <w:rFonts w:hint="eastAsia"/>
          <w:color w:val="auto"/>
          <w:kern w:val="21"/>
        </w:rPr>
        <w:t>4</w:t>
      </w:r>
      <w:r>
        <w:rPr>
          <w:color w:val="auto"/>
          <w:kern w:val="21"/>
        </w:rPr>
        <w:t>选址合理性分析</w:t>
      </w:r>
      <w:r>
        <w:rPr>
          <w:color w:val="auto"/>
        </w:rPr>
        <w:tab/>
      </w:r>
      <w:r>
        <w:rPr>
          <w:color w:val="auto"/>
        </w:rPr>
        <w:fldChar w:fldCharType="begin"/>
      </w:r>
      <w:r>
        <w:rPr>
          <w:color w:val="auto"/>
        </w:rPr>
        <w:instrText xml:space="preserve"> PAGEREF _Toc20276 \h </w:instrText>
      </w:r>
      <w:r>
        <w:rPr>
          <w:color w:val="auto"/>
        </w:rPr>
        <w:fldChar w:fldCharType="separate"/>
      </w:r>
      <w:r>
        <w:rPr>
          <w:color w:val="auto"/>
        </w:rPr>
        <w:t>200</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_Toc22770 </w:instrText>
      </w:r>
      <w:r>
        <w:rPr>
          <w:color w:val="auto"/>
          <w:kern w:val="21"/>
        </w:rPr>
        <w:fldChar w:fldCharType="separate"/>
      </w:r>
      <w:r>
        <w:rPr>
          <w:color w:val="auto"/>
          <w:kern w:val="21"/>
        </w:rPr>
        <w:t>8环境保护措施及其可行性论证</w:t>
      </w:r>
      <w:r>
        <w:rPr>
          <w:color w:val="auto"/>
        </w:rPr>
        <w:tab/>
      </w:r>
      <w:r>
        <w:rPr>
          <w:color w:val="auto"/>
        </w:rPr>
        <w:fldChar w:fldCharType="begin"/>
      </w:r>
      <w:r>
        <w:rPr>
          <w:color w:val="auto"/>
        </w:rPr>
        <w:instrText xml:space="preserve"> PAGEREF _Toc22770 \h </w:instrText>
      </w:r>
      <w:r>
        <w:rPr>
          <w:color w:val="auto"/>
        </w:rPr>
        <w:fldChar w:fldCharType="separate"/>
      </w:r>
      <w:r>
        <w:rPr>
          <w:color w:val="auto"/>
        </w:rPr>
        <w:t>201</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_Toc28772 </w:instrText>
      </w:r>
      <w:r>
        <w:rPr>
          <w:color w:val="auto"/>
          <w:kern w:val="21"/>
        </w:rPr>
        <w:fldChar w:fldCharType="separate"/>
      </w:r>
      <w:r>
        <w:rPr>
          <w:color w:val="auto"/>
          <w:kern w:val="21"/>
        </w:rPr>
        <w:t>8.1施工期的环境保护措施</w:t>
      </w:r>
      <w:r>
        <w:rPr>
          <w:color w:val="auto"/>
        </w:rPr>
        <w:tab/>
      </w:r>
      <w:r>
        <w:rPr>
          <w:color w:val="auto"/>
        </w:rPr>
        <w:fldChar w:fldCharType="begin"/>
      </w:r>
      <w:r>
        <w:rPr>
          <w:color w:val="auto"/>
        </w:rPr>
        <w:instrText xml:space="preserve"> PAGEREF _Toc28772 \h </w:instrText>
      </w:r>
      <w:r>
        <w:rPr>
          <w:color w:val="auto"/>
        </w:rPr>
        <w:fldChar w:fldCharType="separate"/>
      </w:r>
      <w:r>
        <w:rPr>
          <w:color w:val="auto"/>
        </w:rPr>
        <w:t>201</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_Toc14012 </w:instrText>
      </w:r>
      <w:r>
        <w:rPr>
          <w:color w:val="auto"/>
          <w:kern w:val="21"/>
        </w:rPr>
        <w:fldChar w:fldCharType="separate"/>
      </w:r>
      <w:r>
        <w:rPr>
          <w:color w:val="auto"/>
          <w:kern w:val="21"/>
        </w:rPr>
        <w:t>8.2运营期环境保护措施</w:t>
      </w:r>
      <w:r>
        <w:rPr>
          <w:color w:val="auto"/>
        </w:rPr>
        <w:tab/>
      </w:r>
      <w:r>
        <w:rPr>
          <w:color w:val="auto"/>
        </w:rPr>
        <w:fldChar w:fldCharType="begin"/>
      </w:r>
      <w:r>
        <w:rPr>
          <w:color w:val="auto"/>
        </w:rPr>
        <w:instrText xml:space="preserve"> PAGEREF _Toc14012 \h </w:instrText>
      </w:r>
      <w:r>
        <w:rPr>
          <w:color w:val="auto"/>
        </w:rPr>
        <w:fldChar w:fldCharType="separate"/>
      </w:r>
      <w:r>
        <w:rPr>
          <w:color w:val="auto"/>
        </w:rPr>
        <w:t>201</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_Toc32151 </w:instrText>
      </w:r>
      <w:r>
        <w:rPr>
          <w:color w:val="auto"/>
          <w:kern w:val="21"/>
        </w:rPr>
        <w:fldChar w:fldCharType="separate"/>
      </w:r>
      <w:r>
        <w:rPr>
          <w:rFonts w:eastAsia="宋体"/>
          <w:color w:val="auto"/>
          <w:kern w:val="21"/>
          <w:szCs w:val="24"/>
        </w:rPr>
        <w:t>8.2.1地表水</w:t>
      </w:r>
      <w:r>
        <w:rPr>
          <w:rFonts w:hint="eastAsia" w:eastAsia="宋体"/>
          <w:color w:val="auto"/>
          <w:kern w:val="21"/>
          <w:szCs w:val="24"/>
        </w:rPr>
        <w:t>污染防治措施</w:t>
      </w:r>
      <w:r>
        <w:rPr>
          <w:color w:val="auto"/>
        </w:rPr>
        <w:tab/>
      </w:r>
      <w:r>
        <w:rPr>
          <w:color w:val="auto"/>
        </w:rPr>
        <w:fldChar w:fldCharType="begin"/>
      </w:r>
      <w:r>
        <w:rPr>
          <w:color w:val="auto"/>
        </w:rPr>
        <w:instrText xml:space="preserve"> PAGEREF _Toc32151 \h </w:instrText>
      </w:r>
      <w:r>
        <w:rPr>
          <w:color w:val="auto"/>
        </w:rPr>
        <w:fldChar w:fldCharType="separate"/>
      </w:r>
      <w:r>
        <w:rPr>
          <w:color w:val="auto"/>
        </w:rPr>
        <w:t>201</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_Toc23438 </w:instrText>
      </w:r>
      <w:r>
        <w:rPr>
          <w:color w:val="auto"/>
          <w:kern w:val="21"/>
        </w:rPr>
        <w:fldChar w:fldCharType="separate"/>
      </w:r>
      <w:r>
        <w:rPr>
          <w:rFonts w:eastAsia="宋体"/>
          <w:color w:val="auto"/>
          <w:kern w:val="21"/>
          <w:szCs w:val="24"/>
        </w:rPr>
        <w:t>8.2.2地下水</w:t>
      </w:r>
      <w:r>
        <w:rPr>
          <w:rFonts w:hint="eastAsia" w:eastAsia="宋体"/>
          <w:color w:val="auto"/>
          <w:kern w:val="21"/>
          <w:szCs w:val="24"/>
        </w:rPr>
        <w:t>污染防治</w:t>
      </w:r>
      <w:r>
        <w:rPr>
          <w:rFonts w:eastAsia="宋体"/>
          <w:color w:val="auto"/>
          <w:kern w:val="21"/>
          <w:szCs w:val="24"/>
        </w:rPr>
        <w:t>措施</w:t>
      </w:r>
      <w:r>
        <w:rPr>
          <w:color w:val="auto"/>
        </w:rPr>
        <w:tab/>
      </w:r>
      <w:r>
        <w:rPr>
          <w:color w:val="auto"/>
        </w:rPr>
        <w:fldChar w:fldCharType="begin"/>
      </w:r>
      <w:r>
        <w:rPr>
          <w:color w:val="auto"/>
        </w:rPr>
        <w:instrText xml:space="preserve"> PAGEREF _Toc23438 \h </w:instrText>
      </w:r>
      <w:r>
        <w:rPr>
          <w:color w:val="auto"/>
        </w:rPr>
        <w:fldChar w:fldCharType="separate"/>
      </w:r>
      <w:r>
        <w:rPr>
          <w:color w:val="auto"/>
        </w:rPr>
        <w:t>204</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_Toc27007 </w:instrText>
      </w:r>
      <w:r>
        <w:rPr>
          <w:color w:val="auto"/>
          <w:kern w:val="21"/>
        </w:rPr>
        <w:fldChar w:fldCharType="separate"/>
      </w:r>
      <w:r>
        <w:rPr>
          <w:rFonts w:eastAsia="宋体"/>
          <w:color w:val="auto"/>
          <w:kern w:val="21"/>
          <w:szCs w:val="24"/>
        </w:rPr>
        <w:t>8.2.3</w:t>
      </w:r>
      <w:r>
        <w:rPr>
          <w:rFonts w:eastAsia="宋体"/>
          <w:color w:val="auto"/>
          <w:kern w:val="21"/>
          <w:szCs w:val="24"/>
          <w:lang w:bidi="ar"/>
        </w:rPr>
        <w:t>环境空气</w:t>
      </w:r>
      <w:r>
        <w:rPr>
          <w:rFonts w:hint="eastAsia" w:eastAsia="宋体"/>
          <w:color w:val="auto"/>
          <w:kern w:val="21"/>
          <w:szCs w:val="24"/>
          <w:lang w:bidi="ar"/>
        </w:rPr>
        <w:t>污染防治</w:t>
      </w:r>
      <w:r>
        <w:rPr>
          <w:rFonts w:eastAsia="宋体"/>
          <w:color w:val="auto"/>
          <w:kern w:val="21"/>
          <w:szCs w:val="24"/>
          <w:lang w:bidi="ar"/>
        </w:rPr>
        <w:t>措施</w:t>
      </w:r>
      <w:r>
        <w:rPr>
          <w:color w:val="auto"/>
        </w:rPr>
        <w:tab/>
      </w:r>
      <w:r>
        <w:rPr>
          <w:color w:val="auto"/>
        </w:rPr>
        <w:fldChar w:fldCharType="begin"/>
      </w:r>
      <w:r>
        <w:rPr>
          <w:color w:val="auto"/>
        </w:rPr>
        <w:instrText xml:space="preserve"> PAGEREF _Toc27007 \h </w:instrText>
      </w:r>
      <w:r>
        <w:rPr>
          <w:color w:val="auto"/>
        </w:rPr>
        <w:fldChar w:fldCharType="separate"/>
      </w:r>
      <w:r>
        <w:rPr>
          <w:color w:val="auto"/>
        </w:rPr>
        <w:t>207</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_Toc18911 </w:instrText>
      </w:r>
      <w:r>
        <w:rPr>
          <w:color w:val="auto"/>
          <w:kern w:val="21"/>
        </w:rPr>
        <w:fldChar w:fldCharType="separate"/>
      </w:r>
      <w:r>
        <w:rPr>
          <w:rFonts w:eastAsia="宋体"/>
          <w:color w:val="auto"/>
          <w:kern w:val="21"/>
          <w:szCs w:val="24"/>
        </w:rPr>
        <w:t>8.2.4</w:t>
      </w:r>
      <w:r>
        <w:rPr>
          <w:rFonts w:eastAsia="宋体"/>
          <w:color w:val="auto"/>
          <w:kern w:val="21"/>
          <w:szCs w:val="24"/>
          <w:lang w:bidi="ar"/>
        </w:rPr>
        <w:t>固体废物污染防治措施</w:t>
      </w:r>
      <w:r>
        <w:rPr>
          <w:color w:val="auto"/>
        </w:rPr>
        <w:tab/>
      </w:r>
      <w:r>
        <w:rPr>
          <w:color w:val="auto"/>
        </w:rPr>
        <w:fldChar w:fldCharType="begin"/>
      </w:r>
      <w:r>
        <w:rPr>
          <w:color w:val="auto"/>
        </w:rPr>
        <w:instrText xml:space="preserve"> PAGEREF _Toc18911 \h </w:instrText>
      </w:r>
      <w:r>
        <w:rPr>
          <w:color w:val="auto"/>
        </w:rPr>
        <w:fldChar w:fldCharType="separate"/>
      </w:r>
      <w:r>
        <w:rPr>
          <w:color w:val="auto"/>
        </w:rPr>
        <w:t>209</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_Toc17688 </w:instrText>
      </w:r>
      <w:r>
        <w:rPr>
          <w:color w:val="auto"/>
          <w:kern w:val="21"/>
        </w:rPr>
        <w:fldChar w:fldCharType="separate"/>
      </w:r>
      <w:r>
        <w:rPr>
          <w:rFonts w:eastAsia="宋体"/>
          <w:color w:val="auto"/>
          <w:kern w:val="21"/>
          <w:szCs w:val="24"/>
        </w:rPr>
        <w:t>8.2.5</w:t>
      </w:r>
      <w:r>
        <w:rPr>
          <w:rFonts w:eastAsia="宋体"/>
          <w:color w:val="auto"/>
          <w:kern w:val="21"/>
          <w:szCs w:val="24"/>
          <w:lang w:bidi="ar"/>
        </w:rPr>
        <w:t>噪声污染防治措施</w:t>
      </w:r>
      <w:r>
        <w:rPr>
          <w:color w:val="auto"/>
        </w:rPr>
        <w:tab/>
      </w:r>
      <w:r>
        <w:rPr>
          <w:color w:val="auto"/>
        </w:rPr>
        <w:fldChar w:fldCharType="begin"/>
      </w:r>
      <w:r>
        <w:rPr>
          <w:color w:val="auto"/>
        </w:rPr>
        <w:instrText xml:space="preserve"> PAGEREF _Toc17688 \h </w:instrText>
      </w:r>
      <w:r>
        <w:rPr>
          <w:color w:val="auto"/>
        </w:rPr>
        <w:fldChar w:fldCharType="separate"/>
      </w:r>
      <w:r>
        <w:rPr>
          <w:color w:val="auto"/>
        </w:rPr>
        <w:t>212</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_Toc3471 </w:instrText>
      </w:r>
      <w:r>
        <w:rPr>
          <w:color w:val="auto"/>
          <w:kern w:val="21"/>
        </w:rPr>
        <w:fldChar w:fldCharType="separate"/>
      </w:r>
      <w:r>
        <w:rPr>
          <w:rFonts w:eastAsia="宋体"/>
          <w:color w:val="auto"/>
          <w:kern w:val="21"/>
          <w:szCs w:val="24"/>
        </w:rPr>
        <w:t>8.2.6土壤</w:t>
      </w:r>
      <w:r>
        <w:rPr>
          <w:rFonts w:hint="eastAsia" w:eastAsia="宋体"/>
          <w:color w:val="auto"/>
          <w:kern w:val="21"/>
          <w:szCs w:val="24"/>
        </w:rPr>
        <w:t>污染防治</w:t>
      </w:r>
      <w:r>
        <w:rPr>
          <w:rFonts w:eastAsia="宋体"/>
          <w:color w:val="auto"/>
          <w:kern w:val="21"/>
          <w:szCs w:val="24"/>
          <w:lang w:bidi="ar"/>
        </w:rPr>
        <w:t>措施</w:t>
      </w:r>
      <w:r>
        <w:rPr>
          <w:color w:val="auto"/>
        </w:rPr>
        <w:tab/>
      </w:r>
      <w:r>
        <w:rPr>
          <w:color w:val="auto"/>
        </w:rPr>
        <w:fldChar w:fldCharType="begin"/>
      </w:r>
      <w:r>
        <w:rPr>
          <w:color w:val="auto"/>
        </w:rPr>
        <w:instrText xml:space="preserve"> PAGEREF _Toc3471 \h </w:instrText>
      </w:r>
      <w:r>
        <w:rPr>
          <w:color w:val="auto"/>
        </w:rPr>
        <w:fldChar w:fldCharType="separate"/>
      </w:r>
      <w:r>
        <w:rPr>
          <w:color w:val="auto"/>
        </w:rPr>
        <w:t>212</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_Toc6197 </w:instrText>
      </w:r>
      <w:r>
        <w:rPr>
          <w:color w:val="auto"/>
          <w:kern w:val="21"/>
        </w:rPr>
        <w:fldChar w:fldCharType="separate"/>
      </w:r>
      <w:r>
        <w:rPr>
          <w:rFonts w:eastAsia="宋体"/>
          <w:color w:val="auto"/>
          <w:kern w:val="21"/>
          <w:szCs w:val="24"/>
        </w:rPr>
        <w:t>8.2.7环境风险防范及应急</w:t>
      </w:r>
      <w:r>
        <w:rPr>
          <w:rFonts w:eastAsia="宋体"/>
          <w:color w:val="auto"/>
          <w:kern w:val="21"/>
          <w:szCs w:val="24"/>
          <w:lang w:bidi="ar"/>
        </w:rPr>
        <w:t>措施</w:t>
      </w:r>
      <w:r>
        <w:rPr>
          <w:color w:val="auto"/>
        </w:rPr>
        <w:tab/>
      </w:r>
      <w:r>
        <w:rPr>
          <w:color w:val="auto"/>
        </w:rPr>
        <w:fldChar w:fldCharType="begin"/>
      </w:r>
      <w:r>
        <w:rPr>
          <w:color w:val="auto"/>
        </w:rPr>
        <w:instrText xml:space="preserve"> PAGEREF _Toc6197 \h </w:instrText>
      </w:r>
      <w:r>
        <w:rPr>
          <w:color w:val="auto"/>
        </w:rPr>
        <w:fldChar w:fldCharType="separate"/>
      </w:r>
      <w:r>
        <w:rPr>
          <w:color w:val="auto"/>
        </w:rPr>
        <w:t>212</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_Toc21715 </w:instrText>
      </w:r>
      <w:r>
        <w:rPr>
          <w:color w:val="auto"/>
          <w:kern w:val="21"/>
        </w:rPr>
        <w:fldChar w:fldCharType="separate"/>
      </w:r>
      <w:r>
        <w:rPr>
          <w:color w:val="auto"/>
          <w:kern w:val="21"/>
        </w:rPr>
        <w:t>8.3本项目环境保护措施</w:t>
      </w:r>
      <w:r>
        <w:rPr>
          <w:color w:val="auto"/>
        </w:rPr>
        <w:tab/>
      </w:r>
      <w:r>
        <w:rPr>
          <w:color w:val="auto"/>
        </w:rPr>
        <w:fldChar w:fldCharType="begin"/>
      </w:r>
      <w:r>
        <w:rPr>
          <w:color w:val="auto"/>
        </w:rPr>
        <w:instrText xml:space="preserve"> PAGEREF _Toc21715 \h </w:instrText>
      </w:r>
      <w:r>
        <w:rPr>
          <w:color w:val="auto"/>
        </w:rPr>
        <w:fldChar w:fldCharType="separate"/>
      </w:r>
      <w:r>
        <w:rPr>
          <w:color w:val="auto"/>
        </w:rPr>
        <w:t>212</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_Toc12086 </w:instrText>
      </w:r>
      <w:r>
        <w:rPr>
          <w:color w:val="auto"/>
          <w:kern w:val="21"/>
        </w:rPr>
        <w:fldChar w:fldCharType="separate"/>
      </w:r>
      <w:r>
        <w:rPr>
          <w:rFonts w:hint="eastAsia"/>
          <w:bCs/>
          <w:color w:val="auto"/>
          <w:kern w:val="21"/>
          <w:szCs w:val="28"/>
          <w:lang w:bidi="ar"/>
        </w:rPr>
        <w:t>8.4</w:t>
      </w:r>
      <w:r>
        <w:rPr>
          <w:bCs/>
          <w:color w:val="auto"/>
          <w:kern w:val="21"/>
          <w:szCs w:val="28"/>
        </w:rPr>
        <w:t>污染物总量控制</w:t>
      </w:r>
      <w:r>
        <w:rPr>
          <w:color w:val="auto"/>
        </w:rPr>
        <w:tab/>
      </w:r>
      <w:r>
        <w:rPr>
          <w:color w:val="auto"/>
        </w:rPr>
        <w:fldChar w:fldCharType="begin"/>
      </w:r>
      <w:r>
        <w:rPr>
          <w:color w:val="auto"/>
        </w:rPr>
        <w:instrText xml:space="preserve"> PAGEREF _Toc12086 \h </w:instrText>
      </w:r>
      <w:r>
        <w:rPr>
          <w:color w:val="auto"/>
        </w:rPr>
        <w:fldChar w:fldCharType="separate"/>
      </w:r>
      <w:r>
        <w:rPr>
          <w:color w:val="auto"/>
        </w:rPr>
        <w:t>215</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_Toc15749 </w:instrText>
      </w:r>
      <w:r>
        <w:rPr>
          <w:color w:val="auto"/>
          <w:kern w:val="21"/>
        </w:rPr>
        <w:fldChar w:fldCharType="separate"/>
      </w:r>
      <w:r>
        <w:rPr>
          <w:color w:val="auto"/>
          <w:kern w:val="21"/>
        </w:rPr>
        <w:t>9环境管理与监测计划</w:t>
      </w:r>
      <w:r>
        <w:rPr>
          <w:color w:val="auto"/>
        </w:rPr>
        <w:tab/>
      </w:r>
      <w:r>
        <w:rPr>
          <w:color w:val="auto"/>
        </w:rPr>
        <w:fldChar w:fldCharType="begin"/>
      </w:r>
      <w:r>
        <w:rPr>
          <w:color w:val="auto"/>
        </w:rPr>
        <w:instrText xml:space="preserve"> PAGEREF _Toc15749 \h </w:instrText>
      </w:r>
      <w:r>
        <w:rPr>
          <w:color w:val="auto"/>
        </w:rPr>
        <w:fldChar w:fldCharType="separate"/>
      </w:r>
      <w:r>
        <w:rPr>
          <w:color w:val="auto"/>
        </w:rPr>
        <w:t>216</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_Toc4003 </w:instrText>
      </w:r>
      <w:r>
        <w:rPr>
          <w:color w:val="auto"/>
          <w:kern w:val="21"/>
        </w:rPr>
        <w:fldChar w:fldCharType="separate"/>
      </w:r>
      <w:r>
        <w:rPr>
          <w:color w:val="auto"/>
          <w:kern w:val="21"/>
        </w:rPr>
        <w:t>9.1环境管理</w:t>
      </w:r>
      <w:r>
        <w:rPr>
          <w:color w:val="auto"/>
        </w:rPr>
        <w:tab/>
      </w:r>
      <w:r>
        <w:rPr>
          <w:color w:val="auto"/>
        </w:rPr>
        <w:fldChar w:fldCharType="begin"/>
      </w:r>
      <w:r>
        <w:rPr>
          <w:color w:val="auto"/>
        </w:rPr>
        <w:instrText xml:space="preserve"> PAGEREF _Toc4003 \h </w:instrText>
      </w:r>
      <w:r>
        <w:rPr>
          <w:color w:val="auto"/>
        </w:rPr>
        <w:fldChar w:fldCharType="separate"/>
      </w:r>
      <w:r>
        <w:rPr>
          <w:color w:val="auto"/>
        </w:rPr>
        <w:t>216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_Toc25046 </w:instrText>
      </w:r>
      <w:r>
        <w:rPr>
          <w:color w:val="auto"/>
          <w:kern w:val="21"/>
        </w:rPr>
        <w:fldChar w:fldCharType="separate"/>
      </w:r>
      <w:r>
        <w:rPr>
          <w:rFonts w:eastAsia="宋体"/>
          <w:color w:val="auto"/>
          <w:kern w:val="21"/>
          <w:szCs w:val="24"/>
        </w:rPr>
        <w:t>9.1.1环境管理目的</w:t>
      </w:r>
      <w:r>
        <w:rPr>
          <w:color w:val="auto"/>
        </w:rPr>
        <w:tab/>
      </w:r>
      <w:r>
        <w:rPr>
          <w:color w:val="auto"/>
        </w:rPr>
        <w:fldChar w:fldCharType="begin"/>
      </w:r>
      <w:r>
        <w:rPr>
          <w:color w:val="auto"/>
        </w:rPr>
        <w:instrText xml:space="preserve"> PAGEREF _Toc25046 \h </w:instrText>
      </w:r>
      <w:r>
        <w:rPr>
          <w:color w:val="auto"/>
        </w:rPr>
        <w:fldChar w:fldCharType="separate"/>
      </w:r>
      <w:r>
        <w:rPr>
          <w:color w:val="auto"/>
        </w:rPr>
        <w:t>216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_Toc4745 </w:instrText>
      </w:r>
      <w:r>
        <w:rPr>
          <w:color w:val="auto"/>
          <w:kern w:val="21"/>
        </w:rPr>
        <w:fldChar w:fldCharType="separate"/>
      </w:r>
      <w:r>
        <w:rPr>
          <w:rFonts w:eastAsia="宋体"/>
          <w:color w:val="auto"/>
          <w:kern w:val="21"/>
          <w:szCs w:val="24"/>
        </w:rPr>
        <w:t>9.1.2环境管理机构</w:t>
      </w:r>
      <w:r>
        <w:rPr>
          <w:color w:val="auto"/>
        </w:rPr>
        <w:tab/>
      </w:r>
      <w:r>
        <w:rPr>
          <w:color w:val="auto"/>
        </w:rPr>
        <w:fldChar w:fldCharType="begin"/>
      </w:r>
      <w:r>
        <w:rPr>
          <w:color w:val="auto"/>
        </w:rPr>
        <w:instrText xml:space="preserve"> PAGEREF _Toc4745 \h </w:instrText>
      </w:r>
      <w:r>
        <w:rPr>
          <w:color w:val="auto"/>
        </w:rPr>
        <w:fldChar w:fldCharType="separate"/>
      </w:r>
      <w:r>
        <w:rPr>
          <w:color w:val="auto"/>
        </w:rPr>
        <w:t>216</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_Toc18359 </w:instrText>
      </w:r>
      <w:r>
        <w:rPr>
          <w:color w:val="auto"/>
          <w:kern w:val="21"/>
        </w:rPr>
        <w:fldChar w:fldCharType="separate"/>
      </w:r>
      <w:r>
        <w:rPr>
          <w:color w:val="auto"/>
          <w:kern w:val="21"/>
          <w:szCs w:val="24"/>
        </w:rPr>
        <w:t>9.2施工期环境监理</w:t>
      </w:r>
      <w:r>
        <w:rPr>
          <w:color w:val="auto"/>
        </w:rPr>
        <w:tab/>
      </w:r>
      <w:r>
        <w:rPr>
          <w:color w:val="auto"/>
        </w:rPr>
        <w:fldChar w:fldCharType="begin"/>
      </w:r>
      <w:r>
        <w:rPr>
          <w:color w:val="auto"/>
        </w:rPr>
        <w:instrText xml:space="preserve"> PAGEREF _Toc18359 \h </w:instrText>
      </w:r>
      <w:r>
        <w:rPr>
          <w:color w:val="auto"/>
        </w:rPr>
        <w:fldChar w:fldCharType="separate"/>
      </w:r>
      <w:r>
        <w:rPr>
          <w:color w:val="auto"/>
        </w:rPr>
        <w:t>216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_Toc23239 </w:instrText>
      </w:r>
      <w:r>
        <w:rPr>
          <w:color w:val="auto"/>
          <w:kern w:val="21"/>
        </w:rPr>
        <w:fldChar w:fldCharType="separate"/>
      </w:r>
      <w:r>
        <w:rPr>
          <w:rFonts w:eastAsia="宋体"/>
          <w:color w:val="auto"/>
          <w:kern w:val="21"/>
          <w:szCs w:val="24"/>
        </w:rPr>
        <w:t>9.2.1环境监理范围</w:t>
      </w:r>
      <w:r>
        <w:rPr>
          <w:color w:val="auto"/>
        </w:rPr>
        <w:tab/>
      </w:r>
      <w:r>
        <w:rPr>
          <w:color w:val="auto"/>
        </w:rPr>
        <w:fldChar w:fldCharType="begin"/>
      </w:r>
      <w:r>
        <w:rPr>
          <w:color w:val="auto"/>
        </w:rPr>
        <w:instrText xml:space="preserve"> PAGEREF _Toc23239 \h </w:instrText>
      </w:r>
      <w:r>
        <w:rPr>
          <w:color w:val="auto"/>
        </w:rPr>
        <w:fldChar w:fldCharType="separate"/>
      </w:r>
      <w:r>
        <w:rPr>
          <w:color w:val="auto"/>
        </w:rPr>
        <w:t>216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_Toc12411 </w:instrText>
      </w:r>
      <w:r>
        <w:rPr>
          <w:color w:val="auto"/>
          <w:kern w:val="21"/>
        </w:rPr>
        <w:fldChar w:fldCharType="separate"/>
      </w:r>
      <w:r>
        <w:rPr>
          <w:rFonts w:eastAsia="宋体"/>
          <w:color w:val="auto"/>
          <w:kern w:val="21"/>
          <w:szCs w:val="24"/>
        </w:rPr>
        <w:t>9.2.2环境监理程序</w:t>
      </w:r>
      <w:r>
        <w:rPr>
          <w:color w:val="auto"/>
        </w:rPr>
        <w:tab/>
      </w:r>
      <w:r>
        <w:rPr>
          <w:color w:val="auto"/>
        </w:rPr>
        <w:fldChar w:fldCharType="begin"/>
      </w:r>
      <w:r>
        <w:rPr>
          <w:color w:val="auto"/>
        </w:rPr>
        <w:instrText xml:space="preserve"> PAGEREF _Toc12411 \h </w:instrText>
      </w:r>
      <w:r>
        <w:rPr>
          <w:color w:val="auto"/>
        </w:rPr>
        <w:fldChar w:fldCharType="separate"/>
      </w:r>
      <w:r>
        <w:rPr>
          <w:color w:val="auto"/>
        </w:rPr>
        <w:t>216</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_Toc20137 </w:instrText>
      </w:r>
      <w:r>
        <w:rPr>
          <w:color w:val="auto"/>
          <w:kern w:val="21"/>
        </w:rPr>
        <w:fldChar w:fldCharType="separate"/>
      </w:r>
      <w:r>
        <w:rPr>
          <w:rFonts w:eastAsia="宋体"/>
          <w:color w:val="auto"/>
          <w:kern w:val="21"/>
          <w:szCs w:val="24"/>
        </w:rPr>
        <w:t>9.2.3环境监理内容</w:t>
      </w:r>
      <w:r>
        <w:rPr>
          <w:color w:val="auto"/>
        </w:rPr>
        <w:tab/>
      </w:r>
      <w:r>
        <w:rPr>
          <w:color w:val="auto"/>
        </w:rPr>
        <w:fldChar w:fldCharType="begin"/>
      </w:r>
      <w:r>
        <w:rPr>
          <w:color w:val="auto"/>
        </w:rPr>
        <w:instrText xml:space="preserve"> PAGEREF _Toc20137 \h </w:instrText>
      </w:r>
      <w:r>
        <w:rPr>
          <w:color w:val="auto"/>
        </w:rPr>
        <w:fldChar w:fldCharType="separate"/>
      </w:r>
      <w:r>
        <w:rPr>
          <w:color w:val="auto"/>
        </w:rPr>
        <w:t>217</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_Toc29299 </w:instrText>
      </w:r>
      <w:r>
        <w:rPr>
          <w:color w:val="auto"/>
          <w:kern w:val="21"/>
        </w:rPr>
        <w:fldChar w:fldCharType="separate"/>
      </w:r>
      <w:r>
        <w:rPr>
          <w:color w:val="auto"/>
          <w:kern w:val="21"/>
        </w:rPr>
        <w:t>9.3环境管理</w:t>
      </w:r>
      <w:r>
        <w:rPr>
          <w:color w:val="auto"/>
        </w:rPr>
        <w:tab/>
      </w:r>
      <w:r>
        <w:rPr>
          <w:color w:val="auto"/>
        </w:rPr>
        <w:fldChar w:fldCharType="begin"/>
      </w:r>
      <w:r>
        <w:rPr>
          <w:color w:val="auto"/>
        </w:rPr>
        <w:instrText xml:space="preserve"> PAGEREF _Toc29299 \h </w:instrText>
      </w:r>
      <w:r>
        <w:rPr>
          <w:color w:val="auto"/>
        </w:rPr>
        <w:fldChar w:fldCharType="separate"/>
      </w:r>
      <w:r>
        <w:rPr>
          <w:color w:val="auto"/>
        </w:rPr>
        <w:t>217</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_Toc14216 </w:instrText>
      </w:r>
      <w:r>
        <w:rPr>
          <w:color w:val="auto"/>
          <w:kern w:val="21"/>
        </w:rPr>
        <w:fldChar w:fldCharType="separate"/>
      </w:r>
      <w:r>
        <w:rPr>
          <w:rFonts w:eastAsia="宋体"/>
          <w:color w:val="auto"/>
          <w:kern w:val="21"/>
          <w:szCs w:val="24"/>
        </w:rPr>
        <w:t>9.3.1环境管理制度</w:t>
      </w:r>
      <w:r>
        <w:rPr>
          <w:color w:val="auto"/>
        </w:rPr>
        <w:tab/>
      </w:r>
      <w:r>
        <w:rPr>
          <w:color w:val="auto"/>
        </w:rPr>
        <w:fldChar w:fldCharType="begin"/>
      </w:r>
      <w:r>
        <w:rPr>
          <w:color w:val="auto"/>
        </w:rPr>
        <w:instrText xml:space="preserve"> PAGEREF _Toc14216 \h </w:instrText>
      </w:r>
      <w:r>
        <w:rPr>
          <w:color w:val="auto"/>
        </w:rPr>
        <w:fldChar w:fldCharType="separate"/>
      </w:r>
      <w:r>
        <w:rPr>
          <w:color w:val="auto"/>
        </w:rPr>
        <w:t>217</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_Toc5279 </w:instrText>
      </w:r>
      <w:r>
        <w:rPr>
          <w:color w:val="auto"/>
          <w:kern w:val="21"/>
        </w:rPr>
        <w:fldChar w:fldCharType="separate"/>
      </w:r>
      <w:r>
        <w:rPr>
          <w:rFonts w:eastAsia="宋体"/>
          <w:color w:val="auto"/>
          <w:kern w:val="21"/>
          <w:szCs w:val="24"/>
        </w:rPr>
        <w:t>9.3.2环境信息公开</w:t>
      </w:r>
      <w:r>
        <w:rPr>
          <w:color w:val="auto"/>
        </w:rPr>
        <w:tab/>
      </w:r>
      <w:r>
        <w:rPr>
          <w:color w:val="auto"/>
        </w:rPr>
        <w:fldChar w:fldCharType="begin"/>
      </w:r>
      <w:r>
        <w:rPr>
          <w:color w:val="auto"/>
        </w:rPr>
        <w:instrText xml:space="preserve"> PAGEREF _Toc5279 \h </w:instrText>
      </w:r>
      <w:r>
        <w:rPr>
          <w:color w:val="auto"/>
        </w:rPr>
        <w:fldChar w:fldCharType="separate"/>
      </w:r>
      <w:r>
        <w:rPr>
          <w:color w:val="auto"/>
        </w:rPr>
        <w:t>218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_Toc32587 </w:instrText>
      </w:r>
      <w:r>
        <w:rPr>
          <w:color w:val="auto"/>
          <w:kern w:val="21"/>
        </w:rPr>
        <w:fldChar w:fldCharType="separate"/>
      </w:r>
      <w:r>
        <w:rPr>
          <w:rFonts w:eastAsia="宋体"/>
          <w:color w:val="auto"/>
          <w:kern w:val="21"/>
          <w:szCs w:val="24"/>
        </w:rPr>
        <w:t>9.3.3环境管理台账</w:t>
      </w:r>
      <w:r>
        <w:rPr>
          <w:color w:val="auto"/>
        </w:rPr>
        <w:tab/>
      </w:r>
      <w:r>
        <w:rPr>
          <w:color w:val="auto"/>
        </w:rPr>
        <w:fldChar w:fldCharType="begin"/>
      </w:r>
      <w:r>
        <w:rPr>
          <w:color w:val="auto"/>
        </w:rPr>
        <w:instrText xml:space="preserve"> PAGEREF _Toc32587 \h </w:instrText>
      </w:r>
      <w:r>
        <w:rPr>
          <w:color w:val="auto"/>
        </w:rPr>
        <w:fldChar w:fldCharType="separate"/>
      </w:r>
      <w:r>
        <w:rPr>
          <w:color w:val="auto"/>
        </w:rPr>
        <w:t>218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_Toc25762 </w:instrText>
      </w:r>
      <w:r>
        <w:rPr>
          <w:color w:val="auto"/>
          <w:kern w:val="21"/>
        </w:rPr>
        <w:fldChar w:fldCharType="separate"/>
      </w:r>
      <w:r>
        <w:rPr>
          <w:rFonts w:eastAsia="宋体"/>
          <w:color w:val="auto"/>
          <w:kern w:val="21"/>
          <w:szCs w:val="24"/>
        </w:rPr>
        <w:t>9.3.4隐蔽工程验收</w:t>
      </w:r>
      <w:r>
        <w:rPr>
          <w:color w:val="auto"/>
        </w:rPr>
        <w:tab/>
      </w:r>
      <w:r>
        <w:rPr>
          <w:color w:val="auto"/>
        </w:rPr>
        <w:fldChar w:fldCharType="begin"/>
      </w:r>
      <w:r>
        <w:rPr>
          <w:color w:val="auto"/>
        </w:rPr>
        <w:instrText xml:space="preserve"> PAGEREF _Toc25762 \h </w:instrText>
      </w:r>
      <w:r>
        <w:rPr>
          <w:color w:val="auto"/>
        </w:rPr>
        <w:fldChar w:fldCharType="separate"/>
      </w:r>
      <w:r>
        <w:rPr>
          <w:color w:val="auto"/>
        </w:rPr>
        <w:t>220</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_Toc758 </w:instrText>
      </w:r>
      <w:r>
        <w:rPr>
          <w:color w:val="auto"/>
          <w:kern w:val="21"/>
        </w:rPr>
        <w:fldChar w:fldCharType="separate"/>
      </w:r>
      <w:r>
        <w:rPr>
          <w:color w:val="auto"/>
          <w:kern w:val="21"/>
        </w:rPr>
        <w:t>9.4环境监测计划</w:t>
      </w:r>
      <w:r>
        <w:rPr>
          <w:color w:val="auto"/>
        </w:rPr>
        <w:tab/>
      </w:r>
      <w:r>
        <w:rPr>
          <w:color w:val="auto"/>
        </w:rPr>
        <w:fldChar w:fldCharType="begin"/>
      </w:r>
      <w:r>
        <w:rPr>
          <w:color w:val="auto"/>
        </w:rPr>
        <w:instrText xml:space="preserve"> PAGEREF _Toc758 \h </w:instrText>
      </w:r>
      <w:r>
        <w:rPr>
          <w:color w:val="auto"/>
        </w:rPr>
        <w:fldChar w:fldCharType="separate"/>
      </w:r>
      <w:r>
        <w:rPr>
          <w:color w:val="auto"/>
        </w:rPr>
        <w:t>220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_Toc16797 </w:instrText>
      </w:r>
      <w:r>
        <w:rPr>
          <w:color w:val="auto"/>
          <w:kern w:val="21"/>
        </w:rPr>
        <w:fldChar w:fldCharType="separate"/>
      </w:r>
      <w:r>
        <w:rPr>
          <w:rFonts w:eastAsia="宋体"/>
          <w:color w:val="auto"/>
          <w:kern w:val="21"/>
          <w:szCs w:val="24"/>
        </w:rPr>
        <w:t>9.4.1目的及原则</w:t>
      </w:r>
      <w:r>
        <w:rPr>
          <w:color w:val="auto"/>
        </w:rPr>
        <w:tab/>
      </w:r>
      <w:r>
        <w:rPr>
          <w:color w:val="auto"/>
        </w:rPr>
        <w:fldChar w:fldCharType="begin"/>
      </w:r>
      <w:r>
        <w:rPr>
          <w:color w:val="auto"/>
        </w:rPr>
        <w:instrText xml:space="preserve"> PAGEREF _Toc16797 \h </w:instrText>
      </w:r>
      <w:r>
        <w:rPr>
          <w:color w:val="auto"/>
        </w:rPr>
        <w:fldChar w:fldCharType="separate"/>
      </w:r>
      <w:r>
        <w:rPr>
          <w:color w:val="auto"/>
        </w:rPr>
        <w:t>220</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_Toc27309 </w:instrText>
      </w:r>
      <w:r>
        <w:rPr>
          <w:color w:val="auto"/>
          <w:kern w:val="21"/>
        </w:rPr>
        <w:fldChar w:fldCharType="separate"/>
      </w:r>
      <w:r>
        <w:rPr>
          <w:rFonts w:eastAsia="宋体"/>
          <w:color w:val="auto"/>
          <w:kern w:val="21"/>
          <w:szCs w:val="24"/>
        </w:rPr>
        <w:t>9.4.2环境监测计划</w:t>
      </w:r>
      <w:r>
        <w:rPr>
          <w:color w:val="auto"/>
        </w:rPr>
        <w:tab/>
      </w:r>
      <w:r>
        <w:rPr>
          <w:color w:val="auto"/>
        </w:rPr>
        <w:fldChar w:fldCharType="begin"/>
      </w:r>
      <w:r>
        <w:rPr>
          <w:color w:val="auto"/>
        </w:rPr>
        <w:instrText xml:space="preserve"> PAGEREF _Toc27309 \h </w:instrText>
      </w:r>
      <w:r>
        <w:rPr>
          <w:color w:val="auto"/>
        </w:rPr>
        <w:fldChar w:fldCharType="separate"/>
      </w:r>
      <w:r>
        <w:rPr>
          <w:color w:val="auto"/>
        </w:rPr>
        <w:t>220</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_Toc27295 </w:instrText>
      </w:r>
      <w:r>
        <w:rPr>
          <w:color w:val="auto"/>
          <w:kern w:val="21"/>
        </w:rPr>
        <w:fldChar w:fldCharType="separate"/>
      </w:r>
      <w:r>
        <w:rPr>
          <w:color w:val="auto"/>
          <w:kern w:val="21"/>
        </w:rPr>
        <w:t>9.5污染源排放清单</w:t>
      </w:r>
      <w:r>
        <w:rPr>
          <w:color w:val="auto"/>
        </w:rPr>
        <w:tab/>
      </w:r>
      <w:r>
        <w:rPr>
          <w:color w:val="auto"/>
        </w:rPr>
        <w:fldChar w:fldCharType="begin"/>
      </w:r>
      <w:r>
        <w:rPr>
          <w:color w:val="auto"/>
        </w:rPr>
        <w:instrText xml:space="preserve"> PAGEREF _Toc27295 \h </w:instrText>
      </w:r>
      <w:r>
        <w:rPr>
          <w:color w:val="auto"/>
        </w:rPr>
        <w:fldChar w:fldCharType="separate"/>
      </w:r>
      <w:r>
        <w:rPr>
          <w:color w:val="auto"/>
        </w:rPr>
        <w:t>221</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_Toc15060 </w:instrText>
      </w:r>
      <w:r>
        <w:rPr>
          <w:color w:val="auto"/>
          <w:kern w:val="21"/>
        </w:rPr>
        <w:fldChar w:fldCharType="separate"/>
      </w:r>
      <w:r>
        <w:rPr>
          <w:color w:val="auto"/>
          <w:kern w:val="21"/>
        </w:rPr>
        <w:t>9.6竣工环境保护验收</w:t>
      </w:r>
      <w:r>
        <w:rPr>
          <w:color w:val="auto"/>
        </w:rPr>
        <w:tab/>
      </w:r>
      <w:r>
        <w:rPr>
          <w:color w:val="auto"/>
        </w:rPr>
        <w:fldChar w:fldCharType="begin"/>
      </w:r>
      <w:r>
        <w:rPr>
          <w:color w:val="auto"/>
        </w:rPr>
        <w:instrText xml:space="preserve"> PAGEREF _Toc15060 \h </w:instrText>
      </w:r>
      <w:r>
        <w:rPr>
          <w:color w:val="auto"/>
        </w:rPr>
        <w:fldChar w:fldCharType="separate"/>
      </w:r>
      <w:r>
        <w:rPr>
          <w:color w:val="auto"/>
        </w:rPr>
        <w:t>222</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_Toc21958 </w:instrText>
      </w:r>
      <w:r>
        <w:rPr>
          <w:color w:val="auto"/>
          <w:kern w:val="21"/>
        </w:rPr>
        <w:fldChar w:fldCharType="separate"/>
      </w:r>
      <w:r>
        <w:rPr>
          <w:color w:val="auto"/>
          <w:kern w:val="21"/>
        </w:rPr>
        <w:t>10环境经济损益分析</w:t>
      </w:r>
      <w:r>
        <w:rPr>
          <w:color w:val="auto"/>
        </w:rPr>
        <w:tab/>
      </w:r>
      <w:r>
        <w:rPr>
          <w:color w:val="auto"/>
        </w:rPr>
        <w:fldChar w:fldCharType="begin"/>
      </w:r>
      <w:r>
        <w:rPr>
          <w:color w:val="auto"/>
        </w:rPr>
        <w:instrText xml:space="preserve"> PAGEREF _Toc21958 \h </w:instrText>
      </w:r>
      <w:r>
        <w:rPr>
          <w:color w:val="auto"/>
        </w:rPr>
        <w:fldChar w:fldCharType="separate"/>
      </w:r>
      <w:r>
        <w:rPr>
          <w:color w:val="auto"/>
        </w:rPr>
        <w:t>224</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_Toc12085 </w:instrText>
      </w:r>
      <w:r>
        <w:rPr>
          <w:color w:val="auto"/>
          <w:kern w:val="21"/>
        </w:rPr>
        <w:fldChar w:fldCharType="separate"/>
      </w:r>
      <w:r>
        <w:rPr>
          <w:color w:val="auto"/>
          <w:kern w:val="21"/>
        </w:rPr>
        <w:t>10.1项目的环保投资</w:t>
      </w:r>
      <w:r>
        <w:rPr>
          <w:color w:val="auto"/>
        </w:rPr>
        <w:tab/>
      </w:r>
      <w:r>
        <w:rPr>
          <w:color w:val="auto"/>
        </w:rPr>
        <w:fldChar w:fldCharType="begin"/>
      </w:r>
      <w:r>
        <w:rPr>
          <w:color w:val="auto"/>
        </w:rPr>
        <w:instrText xml:space="preserve"> PAGEREF _Toc12085 \h </w:instrText>
      </w:r>
      <w:r>
        <w:rPr>
          <w:color w:val="auto"/>
        </w:rPr>
        <w:fldChar w:fldCharType="separate"/>
      </w:r>
      <w:r>
        <w:rPr>
          <w:color w:val="auto"/>
        </w:rPr>
        <w:t>224</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_Toc32074 </w:instrText>
      </w:r>
      <w:r>
        <w:rPr>
          <w:color w:val="auto"/>
          <w:kern w:val="21"/>
        </w:rPr>
        <w:fldChar w:fldCharType="separate"/>
      </w:r>
      <w:r>
        <w:rPr>
          <w:color w:val="auto"/>
          <w:kern w:val="21"/>
        </w:rPr>
        <w:t>10.2项目正、负效益分析</w:t>
      </w:r>
      <w:r>
        <w:rPr>
          <w:color w:val="auto"/>
        </w:rPr>
        <w:tab/>
      </w:r>
      <w:r>
        <w:rPr>
          <w:color w:val="auto"/>
        </w:rPr>
        <w:fldChar w:fldCharType="begin"/>
      </w:r>
      <w:r>
        <w:rPr>
          <w:color w:val="auto"/>
        </w:rPr>
        <w:instrText xml:space="preserve"> PAGEREF _Toc32074 \h </w:instrText>
      </w:r>
      <w:r>
        <w:rPr>
          <w:color w:val="auto"/>
        </w:rPr>
        <w:fldChar w:fldCharType="separate"/>
      </w:r>
      <w:r>
        <w:rPr>
          <w:color w:val="auto"/>
        </w:rPr>
        <w:t>224</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_Toc14420 </w:instrText>
      </w:r>
      <w:r>
        <w:rPr>
          <w:color w:val="auto"/>
          <w:kern w:val="21"/>
        </w:rPr>
        <w:fldChar w:fldCharType="separate"/>
      </w:r>
      <w:r>
        <w:rPr>
          <w:color w:val="auto"/>
          <w:kern w:val="21"/>
        </w:rPr>
        <w:t>10.3小结</w:t>
      </w:r>
      <w:r>
        <w:rPr>
          <w:color w:val="auto"/>
        </w:rPr>
        <w:tab/>
      </w:r>
      <w:r>
        <w:rPr>
          <w:color w:val="auto"/>
        </w:rPr>
        <w:fldChar w:fldCharType="begin"/>
      </w:r>
      <w:r>
        <w:rPr>
          <w:color w:val="auto"/>
        </w:rPr>
        <w:instrText xml:space="preserve"> PAGEREF _Toc14420 \h </w:instrText>
      </w:r>
      <w:r>
        <w:rPr>
          <w:color w:val="auto"/>
        </w:rPr>
        <w:fldChar w:fldCharType="separate"/>
      </w:r>
      <w:r>
        <w:rPr>
          <w:color w:val="auto"/>
        </w:rPr>
        <w:t>225</w:t>
      </w:r>
      <w:r>
        <w:rPr>
          <w:color w:val="auto"/>
        </w:rPr>
        <w:fldChar w:fldCharType="end"/>
      </w:r>
      <w:r>
        <w:rPr>
          <w:color w:val="auto"/>
          <w:kern w:val="21"/>
        </w:rPr>
        <w:fldChar w:fldCharType="end"/>
      </w:r>
    </w:p>
    <w:p>
      <w:pPr>
        <w:pStyle w:val="2"/>
        <w:tabs>
          <w:tab w:val="right" w:leader="dot" w:pos="9581"/>
          <w:tab w:val="clear" w:pos="9571"/>
        </w:tabs>
        <w:rPr>
          <w:color w:val="auto"/>
        </w:rPr>
      </w:pPr>
      <w:r>
        <w:rPr>
          <w:color w:val="auto"/>
          <w:kern w:val="21"/>
        </w:rPr>
        <w:fldChar w:fldCharType="begin"/>
      </w:r>
      <w:r>
        <w:rPr>
          <w:color w:val="auto"/>
          <w:kern w:val="21"/>
        </w:rPr>
        <w:instrText xml:space="preserve"> HYPERLINK \l _Toc14859 </w:instrText>
      </w:r>
      <w:r>
        <w:rPr>
          <w:color w:val="auto"/>
          <w:kern w:val="21"/>
        </w:rPr>
        <w:fldChar w:fldCharType="separate"/>
      </w:r>
      <w:r>
        <w:rPr>
          <w:color w:val="auto"/>
          <w:kern w:val="21"/>
        </w:rPr>
        <w:t>11环境影响评价结论</w:t>
      </w:r>
      <w:r>
        <w:rPr>
          <w:color w:val="auto"/>
        </w:rPr>
        <w:tab/>
      </w:r>
      <w:r>
        <w:rPr>
          <w:color w:val="auto"/>
        </w:rPr>
        <w:fldChar w:fldCharType="begin"/>
      </w:r>
      <w:r>
        <w:rPr>
          <w:color w:val="auto"/>
        </w:rPr>
        <w:instrText xml:space="preserve"> PAGEREF _Toc14859 \h </w:instrText>
      </w:r>
      <w:r>
        <w:rPr>
          <w:color w:val="auto"/>
        </w:rPr>
        <w:fldChar w:fldCharType="separate"/>
      </w:r>
      <w:r>
        <w:rPr>
          <w:color w:val="auto"/>
        </w:rPr>
        <w:t>226</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_Toc29781 </w:instrText>
      </w:r>
      <w:r>
        <w:rPr>
          <w:color w:val="auto"/>
          <w:kern w:val="21"/>
        </w:rPr>
        <w:fldChar w:fldCharType="separate"/>
      </w:r>
      <w:r>
        <w:rPr>
          <w:color w:val="auto"/>
          <w:kern w:val="21"/>
        </w:rPr>
        <w:t>11.1项目概况</w:t>
      </w:r>
      <w:r>
        <w:rPr>
          <w:color w:val="auto"/>
        </w:rPr>
        <w:tab/>
      </w:r>
      <w:r>
        <w:rPr>
          <w:color w:val="auto"/>
        </w:rPr>
        <w:fldChar w:fldCharType="begin"/>
      </w:r>
      <w:r>
        <w:rPr>
          <w:color w:val="auto"/>
        </w:rPr>
        <w:instrText xml:space="preserve"> PAGEREF _Toc29781 \h </w:instrText>
      </w:r>
      <w:r>
        <w:rPr>
          <w:color w:val="auto"/>
        </w:rPr>
        <w:fldChar w:fldCharType="separate"/>
      </w:r>
      <w:r>
        <w:rPr>
          <w:color w:val="auto"/>
        </w:rPr>
        <w:t>226</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_Toc16216 </w:instrText>
      </w:r>
      <w:r>
        <w:rPr>
          <w:color w:val="auto"/>
          <w:kern w:val="21"/>
        </w:rPr>
        <w:fldChar w:fldCharType="separate"/>
      </w:r>
      <w:r>
        <w:rPr>
          <w:color w:val="auto"/>
          <w:kern w:val="21"/>
        </w:rPr>
        <w:t>11.</w:t>
      </w:r>
      <w:r>
        <w:rPr>
          <w:rFonts w:hint="eastAsia"/>
          <w:color w:val="auto"/>
          <w:kern w:val="21"/>
        </w:rPr>
        <w:t>2</w:t>
      </w:r>
      <w:r>
        <w:rPr>
          <w:color w:val="auto"/>
          <w:kern w:val="21"/>
        </w:rPr>
        <w:t>项目所在区域环境质量现状结论</w:t>
      </w:r>
      <w:r>
        <w:rPr>
          <w:color w:val="auto"/>
        </w:rPr>
        <w:tab/>
      </w:r>
      <w:r>
        <w:rPr>
          <w:color w:val="auto"/>
        </w:rPr>
        <w:fldChar w:fldCharType="begin"/>
      </w:r>
      <w:r>
        <w:rPr>
          <w:color w:val="auto"/>
        </w:rPr>
        <w:instrText xml:space="preserve"> PAGEREF _Toc16216 \h </w:instrText>
      </w:r>
      <w:r>
        <w:rPr>
          <w:color w:val="auto"/>
        </w:rPr>
        <w:fldChar w:fldCharType="separate"/>
      </w:r>
      <w:r>
        <w:rPr>
          <w:color w:val="auto"/>
        </w:rPr>
        <w:t>226</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_Toc2081 </w:instrText>
      </w:r>
      <w:r>
        <w:rPr>
          <w:color w:val="auto"/>
          <w:kern w:val="21"/>
        </w:rPr>
        <w:fldChar w:fldCharType="separate"/>
      </w:r>
      <w:r>
        <w:rPr>
          <w:color w:val="auto"/>
          <w:kern w:val="21"/>
        </w:rPr>
        <w:t>11.</w:t>
      </w:r>
      <w:r>
        <w:rPr>
          <w:rFonts w:hint="eastAsia"/>
          <w:color w:val="auto"/>
          <w:kern w:val="21"/>
        </w:rPr>
        <w:t>3</w:t>
      </w:r>
      <w:r>
        <w:rPr>
          <w:color w:val="auto"/>
          <w:kern w:val="21"/>
        </w:rPr>
        <w:t>环境影响预测评价结论</w:t>
      </w:r>
      <w:r>
        <w:rPr>
          <w:color w:val="auto"/>
        </w:rPr>
        <w:tab/>
      </w:r>
      <w:r>
        <w:rPr>
          <w:color w:val="auto"/>
        </w:rPr>
        <w:fldChar w:fldCharType="begin"/>
      </w:r>
      <w:r>
        <w:rPr>
          <w:color w:val="auto"/>
        </w:rPr>
        <w:instrText xml:space="preserve"> PAGEREF _Toc2081 \h </w:instrText>
      </w:r>
      <w:r>
        <w:rPr>
          <w:color w:val="auto"/>
        </w:rPr>
        <w:fldChar w:fldCharType="separate"/>
      </w:r>
      <w:r>
        <w:rPr>
          <w:color w:val="auto"/>
        </w:rPr>
        <w:t>227</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_Toc10749 </w:instrText>
      </w:r>
      <w:r>
        <w:rPr>
          <w:color w:val="auto"/>
          <w:kern w:val="21"/>
        </w:rPr>
        <w:fldChar w:fldCharType="separate"/>
      </w:r>
      <w:r>
        <w:rPr>
          <w:rFonts w:eastAsia="宋体"/>
          <w:color w:val="auto"/>
          <w:kern w:val="21"/>
          <w:szCs w:val="24"/>
        </w:rPr>
        <w:t>11.</w:t>
      </w:r>
      <w:r>
        <w:rPr>
          <w:rFonts w:hint="eastAsia" w:eastAsia="宋体"/>
          <w:color w:val="auto"/>
          <w:kern w:val="21"/>
          <w:szCs w:val="24"/>
        </w:rPr>
        <w:t>3</w:t>
      </w:r>
      <w:r>
        <w:rPr>
          <w:rFonts w:eastAsia="宋体"/>
          <w:color w:val="auto"/>
          <w:kern w:val="21"/>
          <w:szCs w:val="24"/>
        </w:rPr>
        <w:t>.1生态环境影响评价结论</w:t>
      </w:r>
      <w:r>
        <w:rPr>
          <w:color w:val="auto"/>
        </w:rPr>
        <w:tab/>
      </w:r>
      <w:r>
        <w:rPr>
          <w:color w:val="auto"/>
        </w:rPr>
        <w:fldChar w:fldCharType="begin"/>
      </w:r>
      <w:r>
        <w:rPr>
          <w:color w:val="auto"/>
        </w:rPr>
        <w:instrText xml:space="preserve"> PAGEREF _Toc10749 \h </w:instrText>
      </w:r>
      <w:r>
        <w:rPr>
          <w:color w:val="auto"/>
        </w:rPr>
        <w:fldChar w:fldCharType="separate"/>
      </w:r>
      <w:r>
        <w:rPr>
          <w:color w:val="auto"/>
        </w:rPr>
        <w:t>227</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_Toc8881 </w:instrText>
      </w:r>
      <w:r>
        <w:rPr>
          <w:color w:val="auto"/>
          <w:kern w:val="21"/>
        </w:rPr>
        <w:fldChar w:fldCharType="separate"/>
      </w:r>
      <w:r>
        <w:rPr>
          <w:rFonts w:eastAsia="宋体"/>
          <w:color w:val="auto"/>
          <w:kern w:val="21"/>
          <w:szCs w:val="24"/>
        </w:rPr>
        <w:t>11.</w:t>
      </w:r>
      <w:r>
        <w:rPr>
          <w:rFonts w:hint="eastAsia" w:eastAsia="宋体"/>
          <w:color w:val="auto"/>
          <w:kern w:val="21"/>
          <w:szCs w:val="24"/>
        </w:rPr>
        <w:t>3</w:t>
      </w:r>
      <w:r>
        <w:rPr>
          <w:rFonts w:eastAsia="宋体"/>
          <w:color w:val="auto"/>
          <w:kern w:val="21"/>
          <w:szCs w:val="24"/>
        </w:rPr>
        <w:t>.2环境空气影响分析结论</w:t>
      </w:r>
      <w:r>
        <w:rPr>
          <w:color w:val="auto"/>
        </w:rPr>
        <w:tab/>
      </w:r>
      <w:r>
        <w:rPr>
          <w:color w:val="auto"/>
        </w:rPr>
        <w:fldChar w:fldCharType="begin"/>
      </w:r>
      <w:r>
        <w:rPr>
          <w:color w:val="auto"/>
        </w:rPr>
        <w:instrText xml:space="preserve"> PAGEREF _Toc8881 \h </w:instrText>
      </w:r>
      <w:r>
        <w:rPr>
          <w:color w:val="auto"/>
        </w:rPr>
        <w:fldChar w:fldCharType="separate"/>
      </w:r>
      <w:r>
        <w:rPr>
          <w:color w:val="auto"/>
        </w:rPr>
        <w:t>228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_Toc25837 </w:instrText>
      </w:r>
      <w:r>
        <w:rPr>
          <w:color w:val="auto"/>
          <w:kern w:val="21"/>
        </w:rPr>
        <w:fldChar w:fldCharType="separate"/>
      </w:r>
      <w:r>
        <w:rPr>
          <w:rFonts w:eastAsia="宋体"/>
          <w:color w:val="auto"/>
          <w:kern w:val="21"/>
          <w:szCs w:val="24"/>
        </w:rPr>
        <w:t>11.</w:t>
      </w:r>
      <w:r>
        <w:rPr>
          <w:rFonts w:hint="eastAsia" w:eastAsia="宋体"/>
          <w:color w:val="auto"/>
          <w:kern w:val="21"/>
          <w:szCs w:val="24"/>
        </w:rPr>
        <w:t>3</w:t>
      </w:r>
      <w:r>
        <w:rPr>
          <w:rFonts w:eastAsia="宋体"/>
          <w:color w:val="auto"/>
          <w:kern w:val="21"/>
          <w:szCs w:val="24"/>
        </w:rPr>
        <w:t>.3地表水环境影响评价结论</w:t>
      </w:r>
      <w:r>
        <w:rPr>
          <w:color w:val="auto"/>
        </w:rPr>
        <w:tab/>
      </w:r>
      <w:r>
        <w:rPr>
          <w:color w:val="auto"/>
        </w:rPr>
        <w:fldChar w:fldCharType="begin"/>
      </w:r>
      <w:r>
        <w:rPr>
          <w:color w:val="auto"/>
        </w:rPr>
        <w:instrText xml:space="preserve"> PAGEREF _Toc25837 \h </w:instrText>
      </w:r>
      <w:r>
        <w:rPr>
          <w:color w:val="auto"/>
        </w:rPr>
        <w:fldChar w:fldCharType="separate"/>
      </w:r>
      <w:r>
        <w:rPr>
          <w:color w:val="auto"/>
        </w:rPr>
        <w:t>228</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_Toc930 </w:instrText>
      </w:r>
      <w:r>
        <w:rPr>
          <w:color w:val="auto"/>
          <w:kern w:val="21"/>
        </w:rPr>
        <w:fldChar w:fldCharType="separate"/>
      </w:r>
      <w:r>
        <w:rPr>
          <w:rFonts w:eastAsia="宋体"/>
          <w:color w:val="auto"/>
          <w:kern w:val="21"/>
          <w:szCs w:val="24"/>
        </w:rPr>
        <w:t>11.</w:t>
      </w:r>
      <w:r>
        <w:rPr>
          <w:rFonts w:hint="eastAsia" w:eastAsia="宋体"/>
          <w:color w:val="auto"/>
          <w:kern w:val="21"/>
          <w:szCs w:val="24"/>
        </w:rPr>
        <w:t>3</w:t>
      </w:r>
      <w:r>
        <w:rPr>
          <w:rFonts w:eastAsia="宋体"/>
          <w:color w:val="auto"/>
          <w:kern w:val="21"/>
          <w:szCs w:val="24"/>
        </w:rPr>
        <w:t>.4地下水环境影响评价结论</w:t>
      </w:r>
      <w:r>
        <w:rPr>
          <w:color w:val="auto"/>
        </w:rPr>
        <w:tab/>
      </w:r>
      <w:r>
        <w:rPr>
          <w:color w:val="auto"/>
        </w:rPr>
        <w:fldChar w:fldCharType="begin"/>
      </w:r>
      <w:r>
        <w:rPr>
          <w:color w:val="auto"/>
        </w:rPr>
        <w:instrText xml:space="preserve"> PAGEREF _Toc930 \h </w:instrText>
      </w:r>
      <w:r>
        <w:rPr>
          <w:color w:val="auto"/>
        </w:rPr>
        <w:fldChar w:fldCharType="separate"/>
      </w:r>
      <w:r>
        <w:rPr>
          <w:color w:val="auto"/>
        </w:rPr>
        <w:t>229</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_Toc30712 </w:instrText>
      </w:r>
      <w:r>
        <w:rPr>
          <w:color w:val="auto"/>
          <w:kern w:val="21"/>
        </w:rPr>
        <w:fldChar w:fldCharType="separate"/>
      </w:r>
      <w:r>
        <w:rPr>
          <w:rFonts w:eastAsia="宋体"/>
          <w:color w:val="auto"/>
          <w:szCs w:val="24"/>
        </w:rPr>
        <w:t>11.</w:t>
      </w:r>
      <w:r>
        <w:rPr>
          <w:rFonts w:hint="eastAsia" w:eastAsia="宋体"/>
          <w:color w:val="auto"/>
          <w:szCs w:val="24"/>
        </w:rPr>
        <w:t>3</w:t>
      </w:r>
      <w:r>
        <w:rPr>
          <w:rFonts w:eastAsia="宋体"/>
          <w:color w:val="auto"/>
          <w:szCs w:val="24"/>
        </w:rPr>
        <w:t>.</w:t>
      </w:r>
      <w:r>
        <w:rPr>
          <w:rFonts w:hint="eastAsia" w:eastAsia="宋体"/>
          <w:color w:val="auto"/>
          <w:szCs w:val="24"/>
        </w:rPr>
        <w:t>5声</w:t>
      </w:r>
      <w:r>
        <w:rPr>
          <w:rFonts w:eastAsia="宋体"/>
          <w:color w:val="auto"/>
          <w:szCs w:val="24"/>
        </w:rPr>
        <w:t>环境影响评价结论</w:t>
      </w:r>
      <w:r>
        <w:rPr>
          <w:color w:val="auto"/>
        </w:rPr>
        <w:tab/>
      </w:r>
      <w:r>
        <w:rPr>
          <w:color w:val="auto"/>
        </w:rPr>
        <w:fldChar w:fldCharType="begin"/>
      </w:r>
      <w:r>
        <w:rPr>
          <w:color w:val="auto"/>
        </w:rPr>
        <w:instrText xml:space="preserve"> PAGEREF _Toc30712 \h </w:instrText>
      </w:r>
      <w:r>
        <w:rPr>
          <w:color w:val="auto"/>
        </w:rPr>
        <w:fldChar w:fldCharType="separate"/>
      </w:r>
      <w:r>
        <w:rPr>
          <w:color w:val="auto"/>
        </w:rPr>
        <w:t>229</w:t>
      </w:r>
      <w:r>
        <w:rPr>
          <w:color w:val="auto"/>
        </w:rPr>
        <w:fldChar w:fldCharType="end"/>
      </w:r>
      <w:r>
        <w:rPr>
          <w:color w:val="auto"/>
          <w:kern w:val="21"/>
        </w:rPr>
        <w:fldChar w:fldCharType="end"/>
      </w:r>
    </w:p>
    <w:p>
      <w:pPr>
        <w:pStyle w:val="19"/>
        <w:tabs>
          <w:tab w:val="right" w:leader="dot" w:pos="9581"/>
          <w:tab w:val="clear" w:pos="9571"/>
        </w:tabs>
        <w:rPr>
          <w:color w:val="auto"/>
        </w:rPr>
      </w:pPr>
      <w:r>
        <w:rPr>
          <w:color w:val="auto"/>
          <w:kern w:val="21"/>
        </w:rPr>
        <w:fldChar w:fldCharType="begin"/>
      </w:r>
      <w:r>
        <w:rPr>
          <w:color w:val="auto"/>
          <w:kern w:val="21"/>
        </w:rPr>
        <w:instrText xml:space="preserve"> HYPERLINK \l _Toc26500 </w:instrText>
      </w:r>
      <w:r>
        <w:rPr>
          <w:color w:val="auto"/>
          <w:kern w:val="21"/>
        </w:rPr>
        <w:fldChar w:fldCharType="separate"/>
      </w:r>
      <w:r>
        <w:rPr>
          <w:rFonts w:eastAsia="宋体"/>
          <w:bCs w:val="0"/>
          <w:color w:val="auto"/>
          <w:kern w:val="21"/>
          <w:szCs w:val="24"/>
        </w:rPr>
        <w:t>11.</w:t>
      </w:r>
      <w:r>
        <w:rPr>
          <w:rFonts w:hint="eastAsia" w:eastAsia="宋体"/>
          <w:bCs w:val="0"/>
          <w:color w:val="auto"/>
          <w:kern w:val="21"/>
          <w:szCs w:val="24"/>
        </w:rPr>
        <w:t>3</w:t>
      </w:r>
      <w:r>
        <w:rPr>
          <w:rFonts w:eastAsia="宋体"/>
          <w:bCs w:val="0"/>
          <w:color w:val="auto"/>
          <w:kern w:val="21"/>
          <w:szCs w:val="24"/>
        </w:rPr>
        <w:t>.</w:t>
      </w:r>
      <w:r>
        <w:rPr>
          <w:rFonts w:hint="eastAsia" w:eastAsia="宋体"/>
          <w:bCs w:val="0"/>
          <w:color w:val="auto"/>
          <w:kern w:val="21"/>
          <w:szCs w:val="24"/>
        </w:rPr>
        <w:t>6</w:t>
      </w:r>
      <w:r>
        <w:rPr>
          <w:rFonts w:eastAsia="宋体"/>
          <w:bCs w:val="0"/>
          <w:color w:val="auto"/>
          <w:kern w:val="21"/>
          <w:szCs w:val="24"/>
        </w:rPr>
        <w:t>固体废物影响分析结论</w:t>
      </w:r>
      <w:r>
        <w:rPr>
          <w:color w:val="auto"/>
        </w:rPr>
        <w:tab/>
      </w:r>
      <w:r>
        <w:rPr>
          <w:color w:val="auto"/>
        </w:rPr>
        <w:fldChar w:fldCharType="begin"/>
      </w:r>
      <w:r>
        <w:rPr>
          <w:color w:val="auto"/>
        </w:rPr>
        <w:instrText xml:space="preserve"> PAGEREF _Toc26500 \h </w:instrText>
      </w:r>
      <w:r>
        <w:rPr>
          <w:color w:val="auto"/>
        </w:rPr>
        <w:fldChar w:fldCharType="separate"/>
      </w:r>
      <w:r>
        <w:rPr>
          <w:color w:val="auto"/>
        </w:rPr>
        <w:t>229</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_Toc14700 </w:instrText>
      </w:r>
      <w:r>
        <w:rPr>
          <w:color w:val="auto"/>
          <w:kern w:val="21"/>
        </w:rPr>
        <w:fldChar w:fldCharType="separate"/>
      </w:r>
      <w:r>
        <w:rPr>
          <w:bCs/>
          <w:color w:val="auto"/>
          <w:kern w:val="21"/>
        </w:rPr>
        <w:t>11.</w:t>
      </w:r>
      <w:r>
        <w:rPr>
          <w:rFonts w:hint="eastAsia"/>
          <w:bCs/>
          <w:color w:val="auto"/>
          <w:kern w:val="21"/>
        </w:rPr>
        <w:t>4</w:t>
      </w:r>
      <w:r>
        <w:rPr>
          <w:bCs/>
          <w:color w:val="auto"/>
          <w:kern w:val="21"/>
        </w:rPr>
        <w:t>经济损益分析结论</w:t>
      </w:r>
      <w:r>
        <w:rPr>
          <w:color w:val="auto"/>
        </w:rPr>
        <w:tab/>
      </w:r>
      <w:r>
        <w:rPr>
          <w:color w:val="auto"/>
        </w:rPr>
        <w:fldChar w:fldCharType="begin"/>
      </w:r>
      <w:r>
        <w:rPr>
          <w:color w:val="auto"/>
        </w:rPr>
        <w:instrText xml:space="preserve"> PAGEREF _Toc14700 \h </w:instrText>
      </w:r>
      <w:r>
        <w:rPr>
          <w:color w:val="auto"/>
        </w:rPr>
        <w:fldChar w:fldCharType="separate"/>
      </w:r>
      <w:r>
        <w:rPr>
          <w:color w:val="auto"/>
        </w:rPr>
        <w:t>230</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_Toc3966 </w:instrText>
      </w:r>
      <w:r>
        <w:rPr>
          <w:color w:val="auto"/>
          <w:kern w:val="21"/>
        </w:rPr>
        <w:fldChar w:fldCharType="separate"/>
      </w:r>
      <w:r>
        <w:rPr>
          <w:bCs/>
          <w:color w:val="auto"/>
          <w:kern w:val="21"/>
        </w:rPr>
        <w:t>11.</w:t>
      </w:r>
      <w:r>
        <w:rPr>
          <w:rFonts w:hint="eastAsia"/>
          <w:bCs/>
          <w:color w:val="auto"/>
          <w:kern w:val="21"/>
        </w:rPr>
        <w:t>5</w:t>
      </w:r>
      <w:r>
        <w:rPr>
          <w:bCs/>
          <w:color w:val="auto"/>
          <w:kern w:val="21"/>
        </w:rPr>
        <w:t>公众参与结论</w:t>
      </w:r>
      <w:r>
        <w:rPr>
          <w:color w:val="auto"/>
        </w:rPr>
        <w:tab/>
      </w:r>
      <w:r>
        <w:rPr>
          <w:color w:val="auto"/>
        </w:rPr>
        <w:fldChar w:fldCharType="begin"/>
      </w:r>
      <w:r>
        <w:rPr>
          <w:color w:val="auto"/>
        </w:rPr>
        <w:instrText xml:space="preserve"> PAGEREF _Toc3966 \h </w:instrText>
      </w:r>
      <w:r>
        <w:rPr>
          <w:color w:val="auto"/>
        </w:rPr>
        <w:fldChar w:fldCharType="separate"/>
      </w:r>
      <w:r>
        <w:rPr>
          <w:color w:val="auto"/>
        </w:rPr>
        <w:t>230</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_Toc24986 </w:instrText>
      </w:r>
      <w:r>
        <w:rPr>
          <w:color w:val="auto"/>
          <w:kern w:val="21"/>
        </w:rPr>
        <w:fldChar w:fldCharType="separate"/>
      </w:r>
      <w:r>
        <w:rPr>
          <w:bCs/>
          <w:color w:val="auto"/>
          <w:kern w:val="21"/>
        </w:rPr>
        <w:t>11.</w:t>
      </w:r>
      <w:r>
        <w:rPr>
          <w:rFonts w:hint="eastAsia"/>
          <w:bCs/>
          <w:color w:val="auto"/>
          <w:kern w:val="21"/>
        </w:rPr>
        <w:t>6</w:t>
      </w:r>
      <w:r>
        <w:rPr>
          <w:bCs/>
          <w:color w:val="auto"/>
          <w:kern w:val="21"/>
        </w:rPr>
        <w:t>总量控制</w:t>
      </w:r>
      <w:r>
        <w:rPr>
          <w:color w:val="auto"/>
        </w:rPr>
        <w:tab/>
      </w:r>
      <w:r>
        <w:rPr>
          <w:color w:val="auto"/>
        </w:rPr>
        <w:fldChar w:fldCharType="begin"/>
      </w:r>
      <w:r>
        <w:rPr>
          <w:color w:val="auto"/>
        </w:rPr>
        <w:instrText xml:space="preserve"> PAGEREF _Toc24986 \h </w:instrText>
      </w:r>
      <w:r>
        <w:rPr>
          <w:color w:val="auto"/>
        </w:rPr>
        <w:fldChar w:fldCharType="separate"/>
      </w:r>
      <w:r>
        <w:rPr>
          <w:color w:val="auto"/>
        </w:rPr>
        <w:t>230</w:t>
      </w:r>
      <w:r>
        <w:rPr>
          <w:color w:val="auto"/>
        </w:rPr>
        <w:fldChar w:fldCharType="end"/>
      </w:r>
      <w:r>
        <w:rPr>
          <w:color w:val="auto"/>
          <w:kern w:val="21"/>
        </w:rPr>
        <w:fldChar w:fldCharType="end"/>
      </w:r>
    </w:p>
    <w:p>
      <w:pPr>
        <w:pStyle w:val="32"/>
        <w:tabs>
          <w:tab w:val="right" w:leader="dot" w:pos="9581"/>
          <w:tab w:val="clear" w:pos="9571"/>
        </w:tabs>
        <w:rPr>
          <w:color w:val="auto"/>
        </w:rPr>
      </w:pPr>
      <w:r>
        <w:rPr>
          <w:color w:val="auto"/>
          <w:kern w:val="21"/>
        </w:rPr>
        <w:fldChar w:fldCharType="begin"/>
      </w:r>
      <w:r>
        <w:rPr>
          <w:color w:val="auto"/>
          <w:kern w:val="21"/>
        </w:rPr>
        <w:instrText xml:space="preserve"> HYPERLINK \l _Toc1855 </w:instrText>
      </w:r>
      <w:r>
        <w:rPr>
          <w:color w:val="auto"/>
          <w:kern w:val="21"/>
        </w:rPr>
        <w:fldChar w:fldCharType="separate"/>
      </w:r>
      <w:r>
        <w:rPr>
          <w:color w:val="auto"/>
          <w:kern w:val="21"/>
        </w:rPr>
        <w:t>11.</w:t>
      </w:r>
      <w:r>
        <w:rPr>
          <w:rFonts w:hint="eastAsia"/>
          <w:color w:val="auto"/>
          <w:kern w:val="21"/>
        </w:rPr>
        <w:t>7</w:t>
      </w:r>
      <w:r>
        <w:rPr>
          <w:color w:val="auto"/>
          <w:kern w:val="21"/>
        </w:rPr>
        <w:t>综合评价结论</w:t>
      </w:r>
      <w:r>
        <w:rPr>
          <w:color w:val="auto"/>
        </w:rPr>
        <w:tab/>
      </w:r>
      <w:r>
        <w:rPr>
          <w:color w:val="auto"/>
        </w:rPr>
        <w:fldChar w:fldCharType="begin"/>
      </w:r>
      <w:r>
        <w:rPr>
          <w:color w:val="auto"/>
        </w:rPr>
        <w:instrText xml:space="preserve"> PAGEREF _Toc1855 \h </w:instrText>
      </w:r>
      <w:r>
        <w:rPr>
          <w:color w:val="auto"/>
        </w:rPr>
        <w:fldChar w:fldCharType="separate"/>
      </w:r>
      <w:r>
        <w:rPr>
          <w:color w:val="auto"/>
        </w:rPr>
        <w:t>230</w:t>
      </w:r>
      <w:r>
        <w:rPr>
          <w:color w:val="auto"/>
        </w:rPr>
        <w:fldChar w:fldCharType="end"/>
      </w:r>
      <w:r>
        <w:rPr>
          <w:color w:val="auto"/>
          <w:kern w:val="21"/>
        </w:rPr>
        <w:fldChar w:fldCharType="end"/>
      </w:r>
    </w:p>
    <w:p>
      <w:pPr>
        <w:ind w:firstLine="480"/>
        <w:rPr>
          <w:b/>
          <w:color w:val="auto"/>
          <w:kern w:val="21"/>
        </w:rPr>
        <w:sectPr>
          <w:footerReference r:id="rId11" w:type="default"/>
          <w:pgSz w:w="11906" w:h="16838"/>
          <w:pgMar w:top="1304" w:right="1021" w:bottom="1021" w:left="1304" w:header="851" w:footer="992" w:gutter="0"/>
          <w:pgNumType w:fmt="upperRoman" w:start="1"/>
          <w:cols w:space="720" w:num="1"/>
          <w:docGrid w:type="lines" w:linePitch="312" w:charSpace="0"/>
        </w:sectPr>
      </w:pPr>
      <w:r>
        <w:rPr>
          <w:color w:val="auto"/>
          <w:kern w:val="21"/>
        </w:rPr>
        <w:fldChar w:fldCharType="end"/>
      </w:r>
    </w:p>
    <w:p>
      <w:pPr>
        <w:ind w:firstLine="0" w:firstLineChars="0"/>
        <w:rPr>
          <w:b/>
          <w:color w:val="auto"/>
          <w:kern w:val="21"/>
        </w:rPr>
      </w:pPr>
      <w:r>
        <w:rPr>
          <w:b/>
          <w:color w:val="auto"/>
          <w:kern w:val="21"/>
        </w:rPr>
        <w:t>附件：</w:t>
      </w:r>
    </w:p>
    <w:p>
      <w:pPr>
        <w:ind w:firstLine="0" w:firstLineChars="0"/>
        <w:jc w:val="left"/>
        <w:rPr>
          <w:color w:val="auto"/>
          <w:kern w:val="21"/>
        </w:rPr>
      </w:pPr>
      <w:r>
        <w:rPr>
          <w:rFonts w:hint="eastAsia"/>
          <w:bCs/>
          <w:color w:val="auto"/>
          <w:kern w:val="21"/>
        </w:rPr>
        <w:t>附件1：</w:t>
      </w:r>
      <w:r>
        <w:rPr>
          <w:color w:val="auto"/>
          <w:kern w:val="21"/>
        </w:rPr>
        <w:t>环境影响评价委托书</w:t>
      </w:r>
    </w:p>
    <w:p>
      <w:pPr>
        <w:pStyle w:val="23"/>
        <w:spacing w:after="0" w:line="360" w:lineRule="auto"/>
        <w:ind w:left="0" w:leftChars="0" w:firstLine="0" w:firstLineChars="0"/>
        <w:rPr>
          <w:color w:val="auto"/>
          <w:kern w:val="21"/>
        </w:rPr>
      </w:pPr>
      <w:r>
        <w:rPr>
          <w:rFonts w:hint="eastAsia"/>
          <w:bCs/>
          <w:color w:val="auto"/>
          <w:kern w:val="21"/>
        </w:rPr>
        <w:t>附件2：楚雄</w:t>
      </w:r>
      <w:r>
        <w:rPr>
          <w:color w:val="auto"/>
          <w:kern w:val="21"/>
        </w:rPr>
        <w:t>富民工业园区污水处理厂可研批复</w:t>
      </w:r>
      <w:r>
        <w:rPr>
          <w:rFonts w:hint="eastAsia"/>
          <w:color w:val="auto"/>
          <w:kern w:val="21"/>
        </w:rPr>
        <w:t>（</w:t>
      </w:r>
      <w:r>
        <w:rPr>
          <w:color w:val="auto"/>
          <w:kern w:val="21"/>
        </w:rPr>
        <w:t>楚市发改批[2020]24号</w:t>
      </w:r>
      <w:r>
        <w:rPr>
          <w:rFonts w:hint="eastAsia"/>
          <w:color w:val="auto"/>
          <w:kern w:val="21"/>
        </w:rPr>
        <w:t>）</w:t>
      </w:r>
    </w:p>
    <w:p>
      <w:pPr>
        <w:ind w:firstLine="0" w:firstLineChars="0"/>
        <w:jc w:val="left"/>
        <w:rPr>
          <w:rFonts w:hint="eastAsia"/>
          <w:bCs/>
          <w:color w:val="auto"/>
          <w:kern w:val="21"/>
        </w:rPr>
      </w:pPr>
      <w:r>
        <w:rPr>
          <w:rFonts w:hint="eastAsia"/>
          <w:bCs/>
          <w:color w:val="auto"/>
          <w:kern w:val="21"/>
        </w:rPr>
        <w:t>附件3：项目外排废水氟化物排放浓度限值的计算</w:t>
      </w:r>
    </w:p>
    <w:p>
      <w:pPr>
        <w:ind w:firstLine="0" w:firstLineChars="0"/>
        <w:jc w:val="left"/>
        <w:rPr>
          <w:color w:val="auto"/>
          <w:kern w:val="21"/>
        </w:rPr>
      </w:pPr>
      <w:r>
        <w:rPr>
          <w:rFonts w:hint="eastAsia"/>
          <w:bCs/>
          <w:color w:val="auto"/>
          <w:kern w:val="21"/>
          <w:lang w:eastAsia="zh-CN"/>
        </w:rPr>
        <w:t>附件</w:t>
      </w:r>
      <w:r>
        <w:rPr>
          <w:rFonts w:hint="eastAsia"/>
          <w:bCs/>
          <w:color w:val="auto"/>
          <w:kern w:val="21"/>
          <w:lang w:val="en-US" w:eastAsia="zh-CN"/>
        </w:rPr>
        <w:t>4：</w:t>
      </w:r>
      <w:r>
        <w:rPr>
          <w:color w:val="auto"/>
          <w:kern w:val="21"/>
        </w:rPr>
        <w:t>楚雄工业园区总体规划修改（2018-2035）环境影响报告书审查意见。</w:t>
      </w:r>
    </w:p>
    <w:p>
      <w:pPr>
        <w:pStyle w:val="23"/>
        <w:spacing w:after="0" w:line="360" w:lineRule="auto"/>
        <w:ind w:left="0" w:leftChars="0" w:firstLine="0" w:firstLineChars="0"/>
        <w:rPr>
          <w:color w:val="auto"/>
          <w:kern w:val="21"/>
        </w:rPr>
      </w:pPr>
      <w:r>
        <w:rPr>
          <w:rFonts w:hint="eastAsia"/>
          <w:color w:val="auto"/>
          <w:kern w:val="21"/>
        </w:rPr>
        <w:t>附件</w:t>
      </w:r>
      <w:r>
        <w:rPr>
          <w:rFonts w:hint="eastAsia"/>
          <w:color w:val="auto"/>
          <w:kern w:val="21"/>
          <w:lang w:val="en-US" w:eastAsia="zh-CN"/>
        </w:rPr>
        <w:t>5</w:t>
      </w:r>
      <w:r>
        <w:rPr>
          <w:rFonts w:hint="eastAsia"/>
          <w:color w:val="auto"/>
          <w:kern w:val="21"/>
        </w:rPr>
        <w:t>：《楚雄市人民政府办公室关于印发楚雄市青龙河水体达标方案的通知》（楚市政办通〔2022〕6号）</w:t>
      </w:r>
    </w:p>
    <w:p>
      <w:pPr>
        <w:pStyle w:val="23"/>
        <w:spacing w:after="0" w:line="360" w:lineRule="auto"/>
        <w:ind w:left="0" w:leftChars="0" w:firstLine="0" w:firstLineChars="0"/>
        <w:rPr>
          <w:color w:val="auto"/>
          <w:kern w:val="21"/>
        </w:rPr>
      </w:pPr>
      <w:r>
        <w:rPr>
          <w:rFonts w:hint="eastAsia"/>
          <w:color w:val="auto"/>
          <w:kern w:val="21"/>
        </w:rPr>
        <w:t>附件</w:t>
      </w:r>
      <w:r>
        <w:rPr>
          <w:rFonts w:hint="eastAsia"/>
          <w:color w:val="auto"/>
          <w:kern w:val="21"/>
          <w:lang w:val="en-US" w:eastAsia="zh-CN"/>
        </w:rPr>
        <w:t>6</w:t>
      </w:r>
      <w:r>
        <w:rPr>
          <w:rFonts w:hint="eastAsia"/>
          <w:color w:val="auto"/>
          <w:kern w:val="21"/>
        </w:rPr>
        <w:t>：《楚雄州生态环境局关于楚雄市富民工业园区污水处理厂工业入河排污口设置审核的意见》（楚环审[2022]1号）</w:t>
      </w:r>
    </w:p>
    <w:p>
      <w:pPr>
        <w:pStyle w:val="23"/>
        <w:spacing w:after="0" w:line="360" w:lineRule="auto"/>
        <w:ind w:left="0" w:leftChars="0" w:firstLine="0" w:firstLineChars="0"/>
        <w:rPr>
          <w:color w:val="auto"/>
          <w:kern w:val="21"/>
        </w:rPr>
      </w:pPr>
      <w:r>
        <w:rPr>
          <w:rFonts w:hint="eastAsia"/>
          <w:color w:val="auto"/>
          <w:kern w:val="21"/>
        </w:rPr>
        <w:t>附件</w:t>
      </w:r>
      <w:r>
        <w:rPr>
          <w:rFonts w:hint="eastAsia"/>
          <w:color w:val="auto"/>
          <w:kern w:val="21"/>
          <w:lang w:val="en-US" w:eastAsia="zh-CN"/>
        </w:rPr>
        <w:t>7</w:t>
      </w:r>
      <w:r>
        <w:rPr>
          <w:rFonts w:hint="eastAsia"/>
          <w:color w:val="auto"/>
          <w:kern w:val="21"/>
        </w:rPr>
        <w:t>：环境现状检测（2020年4月）</w:t>
      </w:r>
    </w:p>
    <w:p>
      <w:pPr>
        <w:pStyle w:val="23"/>
        <w:spacing w:after="0" w:line="360" w:lineRule="auto"/>
        <w:ind w:left="0" w:leftChars="0" w:firstLine="0" w:firstLineChars="0"/>
        <w:rPr>
          <w:color w:val="auto"/>
          <w:kern w:val="21"/>
        </w:rPr>
      </w:pPr>
      <w:r>
        <w:rPr>
          <w:rFonts w:hint="eastAsia"/>
          <w:color w:val="auto"/>
          <w:kern w:val="21"/>
        </w:rPr>
        <w:t>附件</w:t>
      </w:r>
      <w:r>
        <w:rPr>
          <w:rFonts w:hint="eastAsia"/>
          <w:color w:val="auto"/>
          <w:kern w:val="21"/>
          <w:lang w:val="en-US" w:eastAsia="zh-CN"/>
        </w:rPr>
        <w:t>8</w:t>
      </w:r>
      <w:r>
        <w:rPr>
          <w:rFonts w:hint="eastAsia"/>
          <w:color w:val="auto"/>
          <w:kern w:val="21"/>
        </w:rPr>
        <w:t>：环境现状检测（2020年8月）</w:t>
      </w:r>
    </w:p>
    <w:p>
      <w:pPr>
        <w:pStyle w:val="23"/>
        <w:spacing w:after="0" w:line="360" w:lineRule="auto"/>
        <w:ind w:left="0" w:leftChars="0" w:firstLine="0" w:firstLineChars="0"/>
        <w:rPr>
          <w:rFonts w:hint="eastAsia" w:eastAsia="宋体"/>
          <w:color w:val="auto"/>
          <w:kern w:val="21"/>
          <w:lang w:eastAsia="zh-CN"/>
        </w:rPr>
      </w:pPr>
      <w:r>
        <w:rPr>
          <w:rFonts w:hint="eastAsia"/>
          <w:color w:val="auto"/>
          <w:kern w:val="21"/>
        </w:rPr>
        <w:t>附件</w:t>
      </w:r>
      <w:r>
        <w:rPr>
          <w:rFonts w:hint="eastAsia"/>
          <w:color w:val="auto"/>
          <w:kern w:val="21"/>
          <w:lang w:val="en-US" w:eastAsia="zh-CN"/>
        </w:rPr>
        <w:t>9</w:t>
      </w:r>
      <w:r>
        <w:rPr>
          <w:rFonts w:hint="eastAsia"/>
          <w:color w:val="auto"/>
          <w:kern w:val="21"/>
        </w:rPr>
        <w:t>：</w:t>
      </w:r>
      <w:r>
        <w:rPr>
          <w:rFonts w:hint="eastAsia"/>
          <w:color w:val="auto"/>
          <w:lang w:eastAsia="zh-CN"/>
        </w:rPr>
        <w:t>补充检测数据（</w:t>
      </w:r>
      <w:r>
        <w:rPr>
          <w:rFonts w:hint="eastAsia"/>
          <w:color w:val="auto"/>
          <w:lang w:val="en-US" w:eastAsia="zh-CN"/>
        </w:rPr>
        <w:t>2022年3月</w:t>
      </w:r>
      <w:r>
        <w:rPr>
          <w:rFonts w:hint="eastAsia"/>
          <w:color w:val="auto"/>
          <w:lang w:eastAsia="zh-CN"/>
        </w:rPr>
        <w:t>）</w:t>
      </w:r>
    </w:p>
    <w:p>
      <w:pPr>
        <w:pStyle w:val="23"/>
        <w:spacing w:after="0" w:line="360" w:lineRule="auto"/>
        <w:ind w:left="0" w:leftChars="0" w:firstLine="0" w:firstLineChars="0"/>
        <w:rPr>
          <w:color w:val="auto"/>
          <w:kern w:val="21"/>
        </w:rPr>
      </w:pPr>
      <w:r>
        <w:rPr>
          <w:rFonts w:hint="eastAsia"/>
          <w:color w:val="auto"/>
          <w:kern w:val="21"/>
        </w:rPr>
        <w:t>附件</w:t>
      </w:r>
      <w:r>
        <w:rPr>
          <w:rFonts w:hint="eastAsia"/>
          <w:color w:val="auto"/>
          <w:kern w:val="21"/>
          <w:lang w:val="en-US" w:eastAsia="zh-CN"/>
        </w:rPr>
        <w:t>10</w:t>
      </w:r>
      <w:r>
        <w:rPr>
          <w:rFonts w:hint="eastAsia"/>
          <w:color w:val="auto"/>
          <w:kern w:val="21"/>
        </w:rPr>
        <w:t>：现状监测数据（2021年5月）</w:t>
      </w:r>
    </w:p>
    <w:p>
      <w:pPr>
        <w:pStyle w:val="23"/>
        <w:spacing w:after="0" w:line="360" w:lineRule="auto"/>
        <w:ind w:left="0" w:leftChars="0" w:firstLine="0" w:firstLineChars="0"/>
        <w:rPr>
          <w:color w:val="auto"/>
          <w:kern w:val="21"/>
        </w:rPr>
      </w:pPr>
      <w:r>
        <w:rPr>
          <w:rFonts w:hint="eastAsia"/>
          <w:color w:val="auto"/>
          <w:kern w:val="21"/>
        </w:rPr>
        <w:t>附件1</w:t>
      </w:r>
      <w:r>
        <w:rPr>
          <w:rFonts w:hint="eastAsia"/>
          <w:color w:val="auto"/>
          <w:kern w:val="21"/>
          <w:lang w:val="en-US" w:eastAsia="zh-CN"/>
        </w:rPr>
        <w:t>1</w:t>
      </w:r>
      <w:r>
        <w:rPr>
          <w:rFonts w:hint="eastAsia"/>
          <w:color w:val="auto"/>
          <w:kern w:val="21"/>
        </w:rPr>
        <w:t xml:space="preserve"> ：固废属性鉴别报告</w:t>
      </w:r>
    </w:p>
    <w:p>
      <w:pPr>
        <w:pStyle w:val="23"/>
        <w:spacing w:after="0" w:line="360" w:lineRule="auto"/>
        <w:ind w:left="0" w:leftChars="0" w:firstLine="0" w:firstLineChars="0"/>
        <w:rPr>
          <w:color w:val="auto"/>
          <w:kern w:val="21"/>
        </w:rPr>
      </w:pPr>
      <w:r>
        <w:rPr>
          <w:rFonts w:hint="eastAsia"/>
          <w:color w:val="auto"/>
          <w:kern w:val="21"/>
        </w:rPr>
        <w:t>附件1</w:t>
      </w:r>
      <w:r>
        <w:rPr>
          <w:rFonts w:hint="eastAsia"/>
          <w:color w:val="auto"/>
          <w:kern w:val="21"/>
          <w:lang w:val="en-US" w:eastAsia="zh-CN"/>
        </w:rPr>
        <w:t>2</w:t>
      </w:r>
      <w:r>
        <w:rPr>
          <w:rFonts w:hint="eastAsia"/>
          <w:color w:val="auto"/>
          <w:kern w:val="21"/>
        </w:rPr>
        <w:t>： 楚雄州生态环境局行政处罚决定书</w:t>
      </w:r>
    </w:p>
    <w:p>
      <w:pPr>
        <w:pStyle w:val="23"/>
        <w:spacing w:after="0" w:line="360" w:lineRule="auto"/>
        <w:ind w:left="0" w:leftChars="0" w:firstLine="0" w:firstLineChars="0"/>
        <w:rPr>
          <w:color w:val="auto"/>
          <w:kern w:val="21"/>
        </w:rPr>
      </w:pPr>
      <w:r>
        <w:rPr>
          <w:rFonts w:hint="eastAsia"/>
          <w:color w:val="auto"/>
          <w:kern w:val="21"/>
        </w:rPr>
        <w:t>附件1</w:t>
      </w:r>
      <w:r>
        <w:rPr>
          <w:rFonts w:hint="eastAsia"/>
          <w:color w:val="auto"/>
          <w:kern w:val="21"/>
          <w:lang w:val="en-US" w:eastAsia="zh-CN"/>
        </w:rPr>
        <w:t>3</w:t>
      </w:r>
      <w:r>
        <w:rPr>
          <w:rFonts w:hint="eastAsia"/>
          <w:color w:val="auto"/>
          <w:kern w:val="21"/>
        </w:rPr>
        <w:t>：污水处理厂污泥处置合同</w:t>
      </w:r>
    </w:p>
    <w:p>
      <w:pPr>
        <w:pStyle w:val="23"/>
        <w:spacing w:after="0" w:line="360" w:lineRule="auto"/>
        <w:ind w:left="0" w:leftChars="0" w:firstLine="0" w:firstLineChars="0"/>
        <w:rPr>
          <w:color w:val="auto"/>
          <w:kern w:val="21"/>
        </w:rPr>
      </w:pPr>
      <w:r>
        <w:rPr>
          <w:rFonts w:hint="eastAsia"/>
          <w:color w:val="auto"/>
          <w:kern w:val="21"/>
        </w:rPr>
        <w:t>附件1</w:t>
      </w:r>
      <w:r>
        <w:rPr>
          <w:rFonts w:hint="eastAsia"/>
          <w:color w:val="auto"/>
          <w:kern w:val="21"/>
          <w:lang w:val="en-US" w:eastAsia="zh-CN"/>
        </w:rPr>
        <w:t>4</w:t>
      </w:r>
      <w:r>
        <w:rPr>
          <w:rFonts w:hint="eastAsia"/>
          <w:color w:val="auto"/>
          <w:kern w:val="21"/>
        </w:rPr>
        <w:t>：工程质量评估报告</w:t>
      </w:r>
    </w:p>
    <w:p>
      <w:pPr>
        <w:pStyle w:val="23"/>
        <w:spacing w:after="0" w:line="360" w:lineRule="auto"/>
        <w:ind w:left="0" w:leftChars="0" w:firstLine="0" w:firstLineChars="0"/>
        <w:rPr>
          <w:color w:val="auto"/>
          <w:kern w:val="21"/>
        </w:rPr>
      </w:pPr>
      <w:r>
        <w:rPr>
          <w:rFonts w:hint="eastAsia"/>
          <w:color w:val="auto"/>
          <w:kern w:val="21"/>
        </w:rPr>
        <w:t>附件1</w:t>
      </w:r>
      <w:r>
        <w:rPr>
          <w:rFonts w:hint="eastAsia"/>
          <w:color w:val="auto"/>
          <w:kern w:val="21"/>
          <w:lang w:val="en-US" w:eastAsia="zh-CN"/>
        </w:rPr>
        <w:t>5</w:t>
      </w:r>
      <w:r>
        <w:rPr>
          <w:rFonts w:hint="eastAsia"/>
          <w:color w:val="auto"/>
          <w:kern w:val="21"/>
        </w:rPr>
        <w:t>：建设单位营业执照</w:t>
      </w:r>
    </w:p>
    <w:p>
      <w:pPr>
        <w:pStyle w:val="23"/>
        <w:spacing w:after="0" w:line="360" w:lineRule="auto"/>
        <w:ind w:left="0" w:leftChars="0" w:firstLine="0" w:firstLineChars="0"/>
        <w:rPr>
          <w:color w:val="auto"/>
          <w:kern w:val="21"/>
        </w:rPr>
      </w:pPr>
      <w:r>
        <w:rPr>
          <w:rFonts w:hint="eastAsia"/>
          <w:color w:val="auto"/>
          <w:kern w:val="21"/>
        </w:rPr>
        <w:t>附件1</w:t>
      </w:r>
      <w:r>
        <w:rPr>
          <w:rFonts w:hint="eastAsia"/>
          <w:color w:val="auto"/>
          <w:kern w:val="21"/>
          <w:lang w:val="en-US" w:eastAsia="zh-CN"/>
        </w:rPr>
        <w:t>6</w:t>
      </w:r>
      <w:r>
        <w:rPr>
          <w:rFonts w:hint="eastAsia"/>
          <w:color w:val="auto"/>
          <w:kern w:val="21"/>
        </w:rPr>
        <w:t>：楚雄市富民工业园区污水处理厂工程项目环境影响报告书技术评审会议及专家意见修改清单</w:t>
      </w:r>
    </w:p>
    <w:p>
      <w:pPr>
        <w:ind w:firstLine="0" w:firstLineChars="0"/>
        <w:rPr>
          <w:b/>
          <w:color w:val="auto"/>
          <w:kern w:val="21"/>
        </w:rPr>
      </w:pPr>
      <w:r>
        <w:rPr>
          <w:b/>
          <w:color w:val="auto"/>
          <w:kern w:val="21"/>
        </w:rPr>
        <w:t>附图：</w:t>
      </w:r>
    </w:p>
    <w:p>
      <w:pPr>
        <w:ind w:firstLine="0" w:firstLineChars="0"/>
        <w:rPr>
          <w:bCs/>
          <w:color w:val="auto"/>
          <w:kern w:val="21"/>
        </w:rPr>
      </w:pPr>
      <w:r>
        <w:rPr>
          <w:rFonts w:hint="eastAsia"/>
          <w:bCs/>
          <w:color w:val="auto"/>
          <w:kern w:val="21"/>
        </w:rPr>
        <w:t>附图1：</w:t>
      </w:r>
      <w:r>
        <w:rPr>
          <w:bCs/>
          <w:color w:val="auto"/>
          <w:kern w:val="21"/>
        </w:rPr>
        <w:t>项目地理位置图</w:t>
      </w:r>
    </w:p>
    <w:p>
      <w:pPr>
        <w:ind w:firstLine="0" w:firstLineChars="0"/>
        <w:rPr>
          <w:color w:val="auto"/>
          <w:kern w:val="21"/>
        </w:rPr>
      </w:pPr>
      <w:r>
        <w:rPr>
          <w:rFonts w:hint="eastAsia"/>
          <w:bCs/>
          <w:color w:val="auto"/>
          <w:kern w:val="21"/>
        </w:rPr>
        <w:t>附图2：</w:t>
      </w:r>
      <w:r>
        <w:rPr>
          <w:color w:val="auto"/>
          <w:kern w:val="21"/>
        </w:rPr>
        <w:t>项目所在地水系图</w:t>
      </w:r>
    </w:p>
    <w:p>
      <w:pPr>
        <w:ind w:firstLine="0" w:firstLineChars="0"/>
        <w:rPr>
          <w:color w:val="auto"/>
          <w:kern w:val="21"/>
        </w:rPr>
      </w:pPr>
      <w:r>
        <w:rPr>
          <w:rFonts w:hint="eastAsia"/>
          <w:bCs/>
          <w:color w:val="auto"/>
          <w:kern w:val="21"/>
        </w:rPr>
        <w:t>附图3：</w:t>
      </w:r>
      <w:r>
        <w:rPr>
          <w:color w:val="auto"/>
          <w:kern w:val="21"/>
        </w:rPr>
        <w:t>项目平面布置图</w:t>
      </w:r>
    </w:p>
    <w:p>
      <w:pPr>
        <w:ind w:firstLine="0" w:firstLineChars="0"/>
        <w:rPr>
          <w:color w:val="auto"/>
          <w:kern w:val="21"/>
        </w:rPr>
      </w:pPr>
      <w:r>
        <w:rPr>
          <w:rFonts w:hint="eastAsia"/>
          <w:bCs/>
          <w:color w:val="auto"/>
          <w:kern w:val="21"/>
        </w:rPr>
        <w:t>附图4：</w:t>
      </w:r>
      <w:r>
        <w:rPr>
          <w:color w:val="auto"/>
          <w:kern w:val="21"/>
        </w:rPr>
        <w:t>项目评价范围及监测布点图</w:t>
      </w:r>
    </w:p>
    <w:p>
      <w:pPr>
        <w:ind w:firstLine="0" w:firstLineChars="0"/>
        <w:rPr>
          <w:color w:val="auto"/>
          <w:kern w:val="21"/>
        </w:rPr>
      </w:pPr>
      <w:r>
        <w:rPr>
          <w:rFonts w:hint="eastAsia"/>
          <w:color w:val="auto"/>
          <w:kern w:val="21"/>
        </w:rPr>
        <w:t>附图5：项目区域水文地质图</w:t>
      </w:r>
    </w:p>
    <w:p>
      <w:pPr>
        <w:pStyle w:val="20"/>
        <w:spacing w:line="360" w:lineRule="auto"/>
        <w:rPr>
          <w:rFonts w:ascii="Times New Roman" w:hAnsi="Times New Roman"/>
          <w:color w:val="auto"/>
          <w:kern w:val="21"/>
          <w:sz w:val="24"/>
          <w:szCs w:val="24"/>
        </w:rPr>
      </w:pPr>
      <w:r>
        <w:rPr>
          <w:rFonts w:hint="eastAsia" w:ascii="Times New Roman" w:hAnsi="Times New Roman"/>
          <w:bCs/>
          <w:color w:val="auto"/>
          <w:kern w:val="21"/>
          <w:sz w:val="24"/>
          <w:szCs w:val="24"/>
        </w:rPr>
        <w:t>附图6：</w:t>
      </w:r>
      <w:r>
        <w:rPr>
          <w:rFonts w:ascii="Times New Roman" w:hAnsi="Times New Roman"/>
          <w:color w:val="auto"/>
          <w:kern w:val="21"/>
          <w:sz w:val="24"/>
          <w:szCs w:val="24"/>
        </w:rPr>
        <w:t>项目与生态保护红线位置关系图</w:t>
      </w:r>
    </w:p>
    <w:p>
      <w:pPr>
        <w:pStyle w:val="20"/>
        <w:spacing w:line="360" w:lineRule="auto"/>
        <w:rPr>
          <w:rFonts w:ascii="Times New Roman" w:hAnsi="Times New Roman"/>
          <w:color w:val="auto"/>
          <w:kern w:val="21"/>
          <w:sz w:val="24"/>
          <w:szCs w:val="24"/>
        </w:rPr>
      </w:pPr>
      <w:r>
        <w:rPr>
          <w:rFonts w:hint="eastAsia" w:ascii="Times New Roman" w:hAnsi="Times New Roman"/>
          <w:bCs/>
          <w:color w:val="auto"/>
          <w:kern w:val="21"/>
          <w:sz w:val="24"/>
          <w:szCs w:val="24"/>
        </w:rPr>
        <w:t>附图7：</w:t>
      </w:r>
      <w:r>
        <w:rPr>
          <w:rFonts w:ascii="Times New Roman" w:hAnsi="Times New Roman"/>
          <w:color w:val="auto"/>
          <w:kern w:val="21"/>
          <w:sz w:val="24"/>
          <w:szCs w:val="24"/>
        </w:rPr>
        <w:t>项目与</w:t>
      </w:r>
      <w:r>
        <w:rPr>
          <w:rFonts w:hint="eastAsia" w:ascii="Times New Roman" w:hAnsi="Times New Roman"/>
          <w:color w:val="auto"/>
          <w:kern w:val="21"/>
          <w:sz w:val="24"/>
          <w:szCs w:val="24"/>
        </w:rPr>
        <w:t>工业园区</w:t>
      </w:r>
      <w:r>
        <w:rPr>
          <w:rFonts w:ascii="Times New Roman" w:hAnsi="Times New Roman"/>
          <w:color w:val="auto"/>
          <w:kern w:val="21"/>
          <w:sz w:val="24"/>
          <w:szCs w:val="24"/>
        </w:rPr>
        <w:t>位置关系图</w:t>
      </w:r>
    </w:p>
    <w:p>
      <w:pPr>
        <w:pStyle w:val="20"/>
        <w:spacing w:line="360" w:lineRule="auto"/>
        <w:rPr>
          <w:rFonts w:ascii="Times New Roman" w:hAnsi="Times New Roman"/>
          <w:color w:val="auto"/>
          <w:kern w:val="21"/>
          <w:sz w:val="24"/>
          <w:szCs w:val="24"/>
        </w:rPr>
      </w:pPr>
      <w:r>
        <w:rPr>
          <w:rFonts w:hint="eastAsia" w:ascii="Times New Roman" w:hAnsi="Times New Roman"/>
          <w:color w:val="auto"/>
          <w:kern w:val="21"/>
          <w:sz w:val="24"/>
          <w:szCs w:val="24"/>
        </w:rPr>
        <w:t>附图8：项目所在区域污水管网布置图</w:t>
      </w:r>
    </w:p>
    <w:p>
      <w:pPr>
        <w:pStyle w:val="20"/>
        <w:spacing w:line="360" w:lineRule="auto"/>
        <w:rPr>
          <w:rFonts w:ascii="Times New Roman" w:hAnsi="Times New Roman"/>
          <w:color w:val="auto"/>
          <w:kern w:val="21"/>
          <w:sz w:val="24"/>
          <w:szCs w:val="24"/>
        </w:rPr>
      </w:pPr>
      <w:r>
        <w:rPr>
          <w:rFonts w:hint="eastAsia" w:ascii="Times New Roman" w:hAnsi="Times New Roman"/>
          <w:bCs/>
          <w:color w:val="auto"/>
          <w:kern w:val="21"/>
          <w:sz w:val="24"/>
          <w:szCs w:val="24"/>
        </w:rPr>
        <w:t>附图9：</w:t>
      </w:r>
      <w:r>
        <w:rPr>
          <w:rFonts w:ascii="Times New Roman" w:hAnsi="Times New Roman"/>
          <w:color w:val="auto"/>
          <w:kern w:val="21"/>
          <w:sz w:val="24"/>
          <w:szCs w:val="24"/>
        </w:rPr>
        <w:t>项目土地利用现状图</w:t>
      </w:r>
    </w:p>
    <w:p>
      <w:pPr>
        <w:pStyle w:val="20"/>
        <w:spacing w:line="360" w:lineRule="auto"/>
        <w:rPr>
          <w:rFonts w:ascii="Times New Roman" w:hAnsi="Times New Roman"/>
          <w:color w:val="auto"/>
          <w:kern w:val="21"/>
          <w:sz w:val="24"/>
          <w:szCs w:val="24"/>
        </w:rPr>
      </w:pPr>
      <w:r>
        <w:rPr>
          <w:rFonts w:hint="eastAsia" w:ascii="Times New Roman" w:hAnsi="Times New Roman"/>
          <w:bCs/>
          <w:color w:val="auto"/>
          <w:kern w:val="21"/>
          <w:sz w:val="24"/>
          <w:szCs w:val="24"/>
        </w:rPr>
        <w:t>附图10：</w:t>
      </w:r>
      <w:r>
        <w:rPr>
          <w:rFonts w:ascii="Times New Roman" w:hAnsi="Times New Roman"/>
          <w:color w:val="auto"/>
          <w:kern w:val="21"/>
          <w:sz w:val="24"/>
          <w:szCs w:val="24"/>
        </w:rPr>
        <w:t>项目周边污染源分布图</w:t>
      </w:r>
    </w:p>
    <w:p>
      <w:pPr>
        <w:pStyle w:val="20"/>
        <w:spacing w:line="360" w:lineRule="auto"/>
        <w:rPr>
          <w:rFonts w:ascii="Times New Roman" w:hAnsi="Times New Roman"/>
          <w:color w:val="auto"/>
          <w:kern w:val="21"/>
          <w:sz w:val="24"/>
          <w:szCs w:val="24"/>
        </w:rPr>
      </w:pPr>
      <w:r>
        <w:rPr>
          <w:rFonts w:hint="eastAsia" w:ascii="Times New Roman" w:hAnsi="Times New Roman"/>
          <w:color w:val="auto"/>
          <w:kern w:val="21"/>
          <w:sz w:val="24"/>
          <w:szCs w:val="24"/>
        </w:rPr>
        <w:t>附图11：项目所在区域土壤类型图</w:t>
      </w:r>
    </w:p>
    <w:p>
      <w:pPr>
        <w:pStyle w:val="20"/>
        <w:spacing w:line="360" w:lineRule="auto"/>
        <w:rPr>
          <w:rFonts w:ascii="Times New Roman" w:hAnsi="Times New Roman"/>
          <w:color w:val="auto"/>
          <w:kern w:val="21"/>
          <w:sz w:val="24"/>
          <w:szCs w:val="24"/>
        </w:rPr>
      </w:pPr>
      <w:r>
        <w:rPr>
          <w:rFonts w:hint="eastAsia" w:ascii="Times New Roman" w:hAnsi="Times New Roman"/>
          <w:color w:val="auto"/>
          <w:kern w:val="21"/>
          <w:sz w:val="24"/>
          <w:szCs w:val="24"/>
        </w:rPr>
        <w:t>附图12：2019年排污口</w:t>
      </w:r>
      <w:r>
        <w:rPr>
          <w:rFonts w:hint="eastAsia" w:ascii="Times New Roman" w:hAnsi="Times New Roman"/>
          <w:color w:val="auto"/>
          <w:kern w:val="21"/>
          <w:sz w:val="24"/>
          <w:szCs w:val="24"/>
          <w:lang w:eastAsia="zh-CN"/>
        </w:rPr>
        <w:t>设置</w:t>
      </w:r>
      <w:r>
        <w:rPr>
          <w:rFonts w:hint="eastAsia" w:ascii="Times New Roman" w:hAnsi="Times New Roman"/>
          <w:color w:val="auto"/>
          <w:kern w:val="21"/>
          <w:sz w:val="24"/>
          <w:szCs w:val="24"/>
        </w:rPr>
        <w:t>工程点位布置图</w:t>
      </w:r>
    </w:p>
    <w:p>
      <w:pPr>
        <w:pStyle w:val="20"/>
        <w:spacing w:line="360" w:lineRule="auto"/>
        <w:rPr>
          <w:rFonts w:ascii="Times New Roman" w:hAnsi="Times New Roman"/>
          <w:color w:val="auto"/>
          <w:kern w:val="21"/>
          <w:sz w:val="24"/>
          <w:szCs w:val="24"/>
        </w:rPr>
      </w:pPr>
      <w:r>
        <w:rPr>
          <w:rFonts w:hint="eastAsia" w:ascii="Times New Roman" w:hAnsi="Times New Roman"/>
          <w:color w:val="auto"/>
          <w:kern w:val="21"/>
          <w:sz w:val="24"/>
          <w:szCs w:val="24"/>
        </w:rPr>
        <w:t>附图13：2020年排污口</w:t>
      </w:r>
      <w:r>
        <w:rPr>
          <w:rFonts w:hint="eastAsia" w:ascii="Times New Roman" w:hAnsi="Times New Roman"/>
          <w:color w:val="auto"/>
          <w:kern w:val="21"/>
          <w:sz w:val="24"/>
          <w:szCs w:val="24"/>
          <w:lang w:eastAsia="zh-CN"/>
        </w:rPr>
        <w:t>设置</w:t>
      </w:r>
      <w:r>
        <w:rPr>
          <w:rFonts w:hint="eastAsia" w:ascii="Times New Roman" w:hAnsi="Times New Roman"/>
          <w:color w:val="auto"/>
          <w:kern w:val="21"/>
          <w:sz w:val="24"/>
          <w:szCs w:val="24"/>
        </w:rPr>
        <w:t>工程点位布置图</w:t>
      </w:r>
    </w:p>
    <w:p>
      <w:pPr>
        <w:pStyle w:val="20"/>
        <w:spacing w:line="360" w:lineRule="auto"/>
        <w:rPr>
          <w:rFonts w:ascii="Times New Roman" w:hAnsi="Times New Roman"/>
          <w:color w:val="auto"/>
          <w:kern w:val="21"/>
          <w:sz w:val="24"/>
          <w:szCs w:val="24"/>
        </w:rPr>
      </w:pPr>
      <w:r>
        <w:rPr>
          <w:rFonts w:ascii="Times New Roman" w:hAnsi="Times New Roman"/>
          <w:color w:val="auto"/>
          <w:kern w:val="21"/>
          <w:sz w:val="24"/>
          <w:szCs w:val="24"/>
        </w:rPr>
        <w:t>附图14：2021年排污口</w:t>
      </w:r>
      <w:r>
        <w:rPr>
          <w:rFonts w:hint="eastAsia" w:ascii="Times New Roman" w:hAnsi="Times New Roman"/>
          <w:color w:val="auto"/>
          <w:kern w:val="21"/>
          <w:sz w:val="24"/>
          <w:szCs w:val="24"/>
          <w:lang w:eastAsia="zh-CN"/>
        </w:rPr>
        <w:t>设置</w:t>
      </w:r>
      <w:r>
        <w:rPr>
          <w:rFonts w:ascii="Times New Roman" w:hAnsi="Times New Roman"/>
          <w:color w:val="auto"/>
          <w:kern w:val="21"/>
          <w:sz w:val="24"/>
          <w:szCs w:val="24"/>
        </w:rPr>
        <w:t>工程点位布置图</w:t>
      </w:r>
    </w:p>
    <w:p>
      <w:pPr>
        <w:pStyle w:val="23"/>
        <w:spacing w:after="0" w:line="360" w:lineRule="auto"/>
        <w:ind w:left="0" w:leftChars="0" w:firstLine="0" w:firstLineChars="0"/>
        <w:rPr>
          <w:b/>
          <w:bCs/>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pStyle w:val="23"/>
        <w:spacing w:after="0" w:line="360" w:lineRule="auto"/>
        <w:ind w:left="0" w:leftChars="0" w:firstLine="0" w:firstLineChars="0"/>
        <w:rPr>
          <w:color w:val="auto"/>
          <w:kern w:val="21"/>
        </w:rPr>
      </w:pPr>
    </w:p>
    <w:p>
      <w:pPr>
        <w:rPr>
          <w:color w:val="auto"/>
          <w:kern w:val="21"/>
        </w:rPr>
      </w:pPr>
      <w:r>
        <w:rPr>
          <w:color w:val="auto"/>
          <w:kern w:val="21"/>
        </w:rPr>
        <w:br w:type="page"/>
      </w:r>
    </w:p>
    <w:p>
      <w:pPr>
        <w:rPr>
          <w:color w:val="auto"/>
        </w:rPr>
      </w:pPr>
      <w:r>
        <w:rPr>
          <w:color w:val="auto"/>
        </w:rPr>
        <w:br w:type="page"/>
      </w:r>
    </w:p>
    <w:p>
      <w:pPr>
        <w:pStyle w:val="2"/>
        <w:rPr>
          <w:color w:val="auto"/>
        </w:rPr>
        <w:sectPr>
          <w:headerReference r:id="rId12" w:type="default"/>
          <w:footerReference r:id="rId13" w:type="default"/>
          <w:pgSz w:w="11906" w:h="16838"/>
          <w:pgMar w:top="1417" w:right="1701" w:bottom="1417" w:left="1701" w:header="851" w:footer="992" w:gutter="0"/>
          <w:pgNumType w:start="1"/>
          <w:cols w:space="720" w:num="1"/>
          <w:docGrid w:type="linesAndChars" w:linePitch="350" w:charSpace="-774"/>
        </w:sectPr>
      </w:pPr>
    </w:p>
    <w:p>
      <w:pPr>
        <w:pStyle w:val="4"/>
        <w:rPr>
          <w:color w:val="auto"/>
          <w:kern w:val="21"/>
        </w:rPr>
      </w:pPr>
      <w:bookmarkStart w:id="0" w:name="_Toc24812"/>
      <w:r>
        <w:rPr>
          <w:color w:val="auto"/>
          <w:kern w:val="21"/>
        </w:rPr>
        <w:t>1概述</w:t>
      </w:r>
      <w:bookmarkEnd w:id="0"/>
    </w:p>
    <w:p>
      <w:pPr>
        <w:ind w:firstLine="0" w:firstLineChars="0"/>
        <w:outlineLvl w:val="1"/>
        <w:rPr>
          <w:b/>
          <w:color w:val="auto"/>
          <w:kern w:val="21"/>
          <w:sz w:val="28"/>
          <w:szCs w:val="28"/>
        </w:rPr>
      </w:pPr>
      <w:bookmarkStart w:id="1" w:name="_Toc27135"/>
      <w:r>
        <w:rPr>
          <w:b/>
          <w:color w:val="auto"/>
          <w:kern w:val="21"/>
          <w:sz w:val="28"/>
          <w:szCs w:val="28"/>
        </w:rPr>
        <w:t>1.1项目由来及背景</w:t>
      </w:r>
      <w:bookmarkEnd w:id="1"/>
    </w:p>
    <w:p>
      <w:pPr>
        <w:widowControl/>
        <w:ind w:firstLine="472"/>
        <w:rPr>
          <w:color w:val="auto"/>
          <w:kern w:val="21"/>
        </w:rPr>
      </w:pPr>
      <w:r>
        <w:rPr>
          <w:color w:val="auto"/>
          <w:kern w:val="21"/>
          <w:lang w:bidi="ar"/>
        </w:rPr>
        <w:t>楚雄工业园区是云南省人民政府《云南省新型工业化重点产业发展规划</w:t>
      </w:r>
      <w:r>
        <w:rPr>
          <w:rFonts w:hint="eastAsia"/>
          <w:color w:val="auto"/>
          <w:kern w:val="21"/>
          <w:lang w:bidi="ar"/>
        </w:rPr>
        <w:t>纲</w:t>
      </w:r>
      <w:r>
        <w:rPr>
          <w:color w:val="auto"/>
          <w:kern w:val="21"/>
          <w:lang w:bidi="ar"/>
        </w:rPr>
        <w:t>要》（云政发[2004]8号）中规划的30个省级重点工业园区之一，楚雄工业园富民庄甸工业园区富民片区是楚雄工业园的重要组成部分，位于楚雄市的南部。</w:t>
      </w:r>
      <w:r>
        <w:rPr>
          <w:color w:val="auto"/>
          <w:kern w:val="21"/>
        </w:rPr>
        <w:t>根据《楚雄工业园富民庄甸工业区富民片区控制性详细规划》，楚雄工业园富民庄甸工业区富民片区的发展产业有烟草</w:t>
      </w:r>
      <w:r>
        <w:rPr>
          <w:color w:val="auto"/>
          <w:kern w:val="21"/>
          <w:lang w:bidi="ar"/>
        </w:rPr>
        <w:t>及其配套产业、先进装备制造产业、生物产业、新材料新型建材产业四重点产业，根据</w:t>
      </w:r>
      <w:r>
        <w:rPr>
          <w:color w:val="auto"/>
          <w:kern w:val="21"/>
        </w:rPr>
        <w:t>规划区内地势东南高西北低的特点，规划在片区共设2座工业污水处理厂，1座位于东升路西侧，规划建设规模为2.2万m³/d；另1座位于规划区最南部，规划建设规模为2.0万m³/d。</w:t>
      </w:r>
    </w:p>
    <w:p>
      <w:pPr>
        <w:widowControl/>
        <w:ind w:firstLine="472"/>
        <w:jc w:val="left"/>
        <w:rPr>
          <w:color w:val="auto"/>
          <w:kern w:val="21"/>
          <w:lang w:bidi="ar"/>
        </w:rPr>
      </w:pPr>
      <w:r>
        <w:rPr>
          <w:rFonts w:hint="eastAsia"/>
          <w:color w:val="auto"/>
          <w:kern w:val="21"/>
          <w:lang w:bidi="ar"/>
        </w:rPr>
        <w:t>2020年宇泽半导体（云南）有限公司年产5GW单晶硅拉棒及3GW切片生产线项目进驻</w:t>
      </w:r>
      <w:r>
        <w:rPr>
          <w:color w:val="auto"/>
          <w:kern w:val="21"/>
          <w:lang w:bidi="ar"/>
        </w:rPr>
        <w:t>楚雄工业园富民庄甸工业园区富民片区</w:t>
      </w:r>
      <w:r>
        <w:rPr>
          <w:rFonts w:hint="eastAsia"/>
          <w:color w:val="auto"/>
          <w:kern w:val="21"/>
          <w:lang w:bidi="ar"/>
        </w:rPr>
        <w:t>，为解决</w:t>
      </w:r>
      <w:r>
        <w:rPr>
          <w:rFonts w:hint="eastAsia"/>
          <w:color w:val="auto"/>
          <w:kern w:val="21"/>
          <w:lang w:eastAsia="zh-CN" w:bidi="ar"/>
        </w:rPr>
        <w:t>区域</w:t>
      </w:r>
      <w:r>
        <w:rPr>
          <w:rFonts w:hint="eastAsia"/>
          <w:color w:val="auto"/>
          <w:kern w:val="21"/>
          <w:lang w:bidi="ar"/>
        </w:rPr>
        <w:t>废水处置问题，</w:t>
      </w:r>
      <w:r>
        <w:rPr>
          <w:color w:val="auto"/>
          <w:kern w:val="21"/>
          <w:lang w:bidi="ar"/>
        </w:rPr>
        <w:t>拟</w:t>
      </w:r>
      <w:r>
        <w:rPr>
          <w:rFonts w:hint="eastAsia"/>
          <w:color w:val="auto"/>
          <w:kern w:val="21"/>
          <w:lang w:bidi="ar"/>
        </w:rPr>
        <w:t>先启动</w:t>
      </w:r>
      <w:r>
        <w:rPr>
          <w:color w:val="auto"/>
          <w:kern w:val="21"/>
          <w:lang w:bidi="ar"/>
        </w:rPr>
        <w:t>东升路</w:t>
      </w:r>
      <w:r>
        <w:rPr>
          <w:rFonts w:hint="eastAsia"/>
          <w:color w:val="auto"/>
          <w:kern w:val="21"/>
          <w:lang w:bidi="ar"/>
        </w:rPr>
        <w:t>西侧污水处理厂，建设规模为</w:t>
      </w:r>
      <w:r>
        <w:rPr>
          <w:color w:val="auto"/>
          <w:kern w:val="21"/>
          <w:lang w:bidi="ar"/>
        </w:rPr>
        <w:t>0.5万m</w:t>
      </w:r>
      <w:r>
        <w:rPr>
          <w:color w:val="auto"/>
          <w:kern w:val="21"/>
          <w:vertAlign w:val="superscript"/>
          <w:lang w:bidi="ar"/>
        </w:rPr>
        <w:t>3</w:t>
      </w:r>
      <w:r>
        <w:rPr>
          <w:color w:val="auto"/>
          <w:kern w:val="21"/>
          <w:lang w:bidi="ar"/>
        </w:rPr>
        <w:t>/d。</w:t>
      </w:r>
      <w:r>
        <w:rPr>
          <w:color w:val="auto"/>
          <w:kern w:val="21"/>
        </w:rPr>
        <w:t>根据楚雄市发展和改革局出具的关于富民工业园区污水处理厂工程可行性研究报告的批复</w:t>
      </w:r>
      <w:r>
        <w:rPr>
          <w:rFonts w:hint="eastAsia"/>
          <w:color w:val="auto"/>
          <w:kern w:val="21"/>
        </w:rPr>
        <w:t>（</w:t>
      </w:r>
      <w:r>
        <w:rPr>
          <w:color w:val="auto"/>
          <w:kern w:val="21"/>
        </w:rPr>
        <w:t>楚市发改批[2020]24号</w:t>
      </w:r>
      <w:r>
        <w:rPr>
          <w:rFonts w:hint="eastAsia"/>
          <w:color w:val="auto"/>
          <w:kern w:val="21"/>
        </w:rPr>
        <w:t>）</w:t>
      </w:r>
      <w:r>
        <w:rPr>
          <w:color w:val="auto"/>
          <w:kern w:val="21"/>
        </w:rPr>
        <w:t>，</w:t>
      </w:r>
      <w:r>
        <w:rPr>
          <w:rFonts w:hint="eastAsia"/>
          <w:color w:val="auto"/>
          <w:kern w:val="21"/>
        </w:rPr>
        <w:t>本项目</w:t>
      </w:r>
      <w:r>
        <w:rPr>
          <w:color w:val="auto"/>
          <w:kern w:val="21"/>
        </w:rPr>
        <w:t>建设地点为楚雄市富民工业园区，建设内容和规模为新建污水处理厂一座，近期（2025年）设计规模为0.5万m</w:t>
      </w:r>
      <w:r>
        <w:rPr>
          <w:color w:val="auto"/>
          <w:kern w:val="21"/>
          <w:vertAlign w:val="superscript"/>
        </w:rPr>
        <w:t>3</w:t>
      </w:r>
      <w:r>
        <w:rPr>
          <w:color w:val="auto"/>
          <w:kern w:val="21"/>
        </w:rPr>
        <w:t>/d，远期（2030年）设计规模为2.2万m</w:t>
      </w:r>
      <w:r>
        <w:rPr>
          <w:color w:val="auto"/>
          <w:kern w:val="21"/>
          <w:vertAlign w:val="superscript"/>
        </w:rPr>
        <w:t>3</w:t>
      </w:r>
      <w:r>
        <w:rPr>
          <w:color w:val="auto"/>
          <w:kern w:val="21"/>
        </w:rPr>
        <w:t>/d。处理工艺采用混凝沉淀、水解酸化、</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i w:val="0"/>
          <w:iCs/>
          <w:color w:val="auto"/>
          <w:kern w:val="21"/>
          <w:sz w:val="24"/>
          <w:szCs w:val="24"/>
        </w:rPr>
        <w:t>/O</w:t>
      </w:r>
      <w:r>
        <w:rPr>
          <w:color w:val="auto"/>
          <w:kern w:val="21"/>
        </w:rPr>
        <w:t>+MBR（膜）、紫外线消毒工艺</w:t>
      </w:r>
      <w:r>
        <w:rPr>
          <w:rFonts w:hint="eastAsia"/>
          <w:color w:val="auto"/>
          <w:kern w:val="21"/>
        </w:rPr>
        <w:t>，</w:t>
      </w:r>
      <w:r>
        <w:rPr>
          <w:rFonts w:hint="eastAsia"/>
          <w:color w:val="auto"/>
          <w:kern w:val="21"/>
          <w:sz w:val="24"/>
          <w:lang w:eastAsia="zh-CN"/>
        </w:rPr>
        <w:t>处理达标后的</w:t>
      </w:r>
      <w:r>
        <w:rPr>
          <w:color w:val="auto"/>
          <w:kern w:val="21"/>
          <w:sz w:val="24"/>
        </w:rPr>
        <w:t>尾水排入青龙河</w:t>
      </w:r>
      <w:r>
        <w:rPr>
          <w:color w:val="auto"/>
          <w:kern w:val="21"/>
          <w:lang w:bidi="ar"/>
        </w:rPr>
        <w:t>。</w:t>
      </w:r>
    </w:p>
    <w:p>
      <w:pPr>
        <w:widowControl/>
        <w:ind w:firstLine="472"/>
        <w:jc w:val="left"/>
        <w:rPr>
          <w:color w:val="auto"/>
          <w:kern w:val="21"/>
        </w:rPr>
      </w:pPr>
      <w:r>
        <w:rPr>
          <w:color w:val="auto"/>
          <w:kern w:val="21"/>
          <w:lang w:bidi="ar"/>
        </w:rPr>
        <w:t>本项目属于</w:t>
      </w:r>
      <w:r>
        <w:rPr>
          <w:color w:val="auto"/>
          <w:kern w:val="21"/>
        </w:rPr>
        <w:t>楚雄工业园富民庄甸工业区富民片区的配套环保项目，</w:t>
      </w:r>
      <w:r>
        <w:rPr>
          <w:rFonts w:hint="eastAsia"/>
          <w:color w:val="auto"/>
          <w:kern w:val="21"/>
        </w:rPr>
        <w:t>已于2020年8月建成运行，废水处理规模为</w:t>
      </w:r>
      <w:r>
        <w:rPr>
          <w:color w:val="auto"/>
          <w:kern w:val="21"/>
        </w:rPr>
        <w:t>0.5万m</w:t>
      </w:r>
      <w:r>
        <w:rPr>
          <w:color w:val="auto"/>
          <w:kern w:val="21"/>
          <w:vertAlign w:val="superscript"/>
        </w:rPr>
        <w:t>3</w:t>
      </w:r>
      <w:r>
        <w:rPr>
          <w:color w:val="auto"/>
          <w:kern w:val="21"/>
        </w:rPr>
        <w:t>/d</w:t>
      </w:r>
      <w:r>
        <w:rPr>
          <w:rFonts w:hint="eastAsia"/>
          <w:color w:val="auto"/>
          <w:kern w:val="21"/>
        </w:rPr>
        <w:t>，</w:t>
      </w:r>
      <w:r>
        <w:rPr>
          <w:color w:val="auto"/>
          <w:kern w:val="21"/>
        </w:rPr>
        <w:t>服务对象为</w:t>
      </w:r>
      <w:r>
        <w:rPr>
          <w:rFonts w:hint="eastAsia"/>
          <w:color w:val="auto"/>
          <w:kern w:val="21"/>
          <w:lang w:eastAsia="zh-CN"/>
        </w:rPr>
        <w:t>现状</w:t>
      </w:r>
      <w:r>
        <w:rPr>
          <w:color w:val="auto"/>
          <w:kern w:val="21"/>
        </w:rPr>
        <w:t>富民片区</w:t>
      </w:r>
      <w:r>
        <w:rPr>
          <w:rFonts w:hint="eastAsia"/>
          <w:color w:val="auto"/>
          <w:kern w:val="21"/>
          <w:lang w:eastAsia="zh-CN"/>
        </w:rPr>
        <w:t>内已建成的废水排放企业，共计</w:t>
      </w:r>
      <w:r>
        <w:rPr>
          <w:rFonts w:hint="eastAsia"/>
          <w:color w:val="auto"/>
          <w:kern w:val="21"/>
          <w:lang w:val="en-US" w:eastAsia="zh-CN"/>
        </w:rPr>
        <w:t>5家，分别为“晶科能源（楚雄）有限公司年产20吉瓦高效太阳能电池片生产线建设项目（一期）”（晶科能源（楚雄）有限公司）、“宇泽半导体（云南）有限公司年产5GW单晶硅拉棒及3GW切片项目、年产5GW单晶硅拉棒及2GW切片项目”（宇泽半导体（云南）有限公司）、“云南麻叶生物科技有限公司工业大麻加工建设项目”（云南麻叶生物科技有限公司）、“云南赛维汉普500吨花叶加工提取大麻二酚项目”（</w:t>
      </w:r>
      <w:r>
        <w:rPr>
          <w:rFonts w:hint="default"/>
          <w:color w:val="auto"/>
          <w:kern w:val="21"/>
          <w:lang w:val="en-US" w:eastAsia="zh-CN"/>
        </w:rPr>
        <w:fldChar w:fldCharType="begin"/>
      </w:r>
      <w:r>
        <w:rPr>
          <w:rFonts w:hint="default"/>
          <w:color w:val="auto"/>
          <w:kern w:val="21"/>
          <w:lang w:val="en-US" w:eastAsia="zh-CN"/>
        </w:rPr>
        <w:instrText xml:space="preserve"> HYPERLINK "https://www.so.com/link?m=bJ+82hqSEXCnhUK88ehDzCBf+qUH2pCFNFcsnc3fDTI1i2isszS7DH7oXx3Luoqb0DmjhS0j9jqW64xCjGy7j7Et7kHOjxq/crOesEq2g5Qtsu8wuAn0jvuHXSzgUSsAsE5/sjTQMnOAEruDed/EM5QQnmarPjKG9Z2PBaRgo/8C6DN29i5TClSYTj6+sXenk" \t "https://www.so.com/_blank" </w:instrText>
      </w:r>
      <w:r>
        <w:rPr>
          <w:rFonts w:hint="default"/>
          <w:color w:val="auto"/>
          <w:kern w:val="21"/>
          <w:lang w:val="en-US" w:eastAsia="zh-CN"/>
        </w:rPr>
        <w:fldChar w:fldCharType="separate"/>
      </w:r>
      <w:r>
        <w:rPr>
          <w:rFonts w:hint="default"/>
          <w:color w:val="auto"/>
          <w:kern w:val="21"/>
          <w:lang w:val="en-US" w:eastAsia="zh-CN"/>
        </w:rPr>
        <w:t>云南赛维汉普科技有限公司</w:t>
      </w:r>
      <w:r>
        <w:rPr>
          <w:rFonts w:hint="default"/>
          <w:color w:val="auto"/>
          <w:kern w:val="21"/>
          <w:lang w:val="en-US" w:eastAsia="zh-CN"/>
        </w:rPr>
        <w:fldChar w:fldCharType="end"/>
      </w:r>
      <w:r>
        <w:rPr>
          <w:rFonts w:hint="eastAsia"/>
          <w:color w:val="auto"/>
          <w:kern w:val="21"/>
          <w:lang w:val="en-US" w:eastAsia="zh-CN"/>
        </w:rPr>
        <w:t>）、“湖南方盛制药股份有限公司工业大麻加工基地建设项目”（云南芙雅生物科技有限公司）。</w:t>
      </w:r>
      <w:r>
        <w:rPr>
          <w:rFonts w:hint="eastAsia"/>
          <w:color w:val="auto"/>
          <w:lang w:eastAsia="zh-CN"/>
        </w:rPr>
        <w:t>目前，项目服务企业周边市政污水管网均已建成并接入本项目</w:t>
      </w:r>
      <w:r>
        <w:rPr>
          <w:color w:val="auto"/>
          <w:kern w:val="21"/>
        </w:rPr>
        <w:t>。</w:t>
      </w:r>
    </w:p>
    <w:p>
      <w:pPr>
        <w:widowControl/>
        <w:ind w:firstLine="472"/>
        <w:jc w:val="left"/>
        <w:rPr>
          <w:color w:val="auto"/>
          <w:kern w:val="21"/>
        </w:rPr>
      </w:pPr>
      <w:r>
        <w:rPr>
          <w:color w:val="auto"/>
          <w:kern w:val="21"/>
          <w:lang w:bidi="ar"/>
        </w:rPr>
        <w:t>本次评价只对污水处理厂的近期进行评价，即本次评价的污水处理厂按照近期（2025年）设计规模为0.5万m³/d进行评价，并且不包含污水收集、排放管网。对于污水处理厂远期建设内容以及污水收集、排放管网的建设内容，</w:t>
      </w:r>
      <w:r>
        <w:rPr>
          <w:rFonts w:hint="eastAsia"/>
          <w:color w:val="auto"/>
          <w:kern w:val="21"/>
          <w:lang w:bidi="ar"/>
        </w:rPr>
        <w:t>建设单位</w:t>
      </w:r>
      <w:r>
        <w:rPr>
          <w:color w:val="auto"/>
          <w:kern w:val="21"/>
          <w:lang w:bidi="ar"/>
        </w:rPr>
        <w:t>应按照有关规定另行委托其他单位进行评价。</w:t>
      </w:r>
    </w:p>
    <w:p>
      <w:pPr>
        <w:ind w:firstLine="0" w:firstLineChars="0"/>
        <w:outlineLvl w:val="1"/>
        <w:rPr>
          <w:b/>
          <w:color w:val="auto"/>
          <w:kern w:val="21"/>
          <w:sz w:val="28"/>
          <w:szCs w:val="28"/>
        </w:rPr>
      </w:pPr>
      <w:bookmarkStart w:id="2" w:name="_Toc505607767"/>
      <w:bookmarkStart w:id="3" w:name="_Toc4305"/>
      <w:r>
        <w:rPr>
          <w:b/>
          <w:color w:val="auto"/>
          <w:kern w:val="21"/>
          <w:sz w:val="28"/>
          <w:szCs w:val="28"/>
        </w:rPr>
        <w:t>1.2环境影响评价的工作过程</w:t>
      </w:r>
      <w:bookmarkEnd w:id="2"/>
      <w:bookmarkEnd w:id="3"/>
    </w:p>
    <w:p>
      <w:pPr>
        <w:widowControl/>
        <w:ind w:firstLine="472"/>
        <w:jc w:val="left"/>
        <w:rPr>
          <w:color w:val="auto"/>
          <w:kern w:val="21"/>
          <w:lang w:bidi="ar"/>
        </w:rPr>
      </w:pPr>
      <w:r>
        <w:rPr>
          <w:color w:val="auto"/>
          <w:kern w:val="21"/>
          <w:lang w:bidi="ar"/>
        </w:rPr>
        <w:t>根据《建设项目环境管理分类名录》</w:t>
      </w:r>
      <w:r>
        <w:rPr>
          <w:rFonts w:hint="eastAsia"/>
          <w:color w:val="auto"/>
          <w:kern w:val="21"/>
          <w:lang w:bidi="ar"/>
        </w:rPr>
        <w:t>（2021版）</w:t>
      </w:r>
      <w:r>
        <w:rPr>
          <w:color w:val="auto"/>
          <w:kern w:val="21"/>
          <w:lang w:bidi="ar"/>
        </w:rPr>
        <w:t>，本项目属于第</w:t>
      </w:r>
      <w:r>
        <w:rPr>
          <w:rFonts w:hint="eastAsia"/>
          <w:color w:val="auto"/>
          <w:kern w:val="21"/>
          <w:lang w:bidi="ar"/>
        </w:rPr>
        <w:t>四</w:t>
      </w:r>
      <w:r>
        <w:rPr>
          <w:color w:val="auto"/>
          <w:kern w:val="21"/>
          <w:lang w:bidi="ar"/>
        </w:rPr>
        <w:t>十三：水的生产和供应业中的第9</w:t>
      </w:r>
      <w:r>
        <w:rPr>
          <w:rFonts w:hint="eastAsia"/>
          <w:color w:val="auto"/>
          <w:kern w:val="21"/>
          <w:lang w:bidi="ar"/>
        </w:rPr>
        <w:t>5</w:t>
      </w:r>
      <w:r>
        <w:rPr>
          <w:color w:val="auto"/>
          <w:kern w:val="21"/>
          <w:lang w:bidi="ar"/>
        </w:rPr>
        <w:t>项</w:t>
      </w:r>
      <w:r>
        <w:rPr>
          <w:rFonts w:hint="eastAsia"/>
          <w:color w:val="auto"/>
          <w:kern w:val="21"/>
          <w:lang w:bidi="ar"/>
        </w:rPr>
        <w:t>“新建、扩建工业废水集中处理的”</w:t>
      </w:r>
      <w:r>
        <w:rPr>
          <w:color w:val="auto"/>
          <w:kern w:val="21"/>
          <w:lang w:bidi="ar"/>
        </w:rPr>
        <w:t>，因此</w:t>
      </w:r>
      <w:r>
        <w:rPr>
          <w:rFonts w:hint="eastAsia"/>
          <w:color w:val="auto"/>
          <w:kern w:val="21"/>
          <w:lang w:bidi="ar"/>
        </w:rPr>
        <w:t>，</w:t>
      </w:r>
      <w:r>
        <w:rPr>
          <w:color w:val="auto"/>
          <w:kern w:val="21"/>
          <w:lang w:bidi="ar"/>
        </w:rPr>
        <w:t>本项目应编制环境影响报告书。</w:t>
      </w:r>
    </w:p>
    <w:p>
      <w:pPr>
        <w:wordWrap w:val="0"/>
        <w:ind w:firstLine="472"/>
        <w:rPr>
          <w:color w:val="auto"/>
          <w:kern w:val="21"/>
          <w:lang w:bidi="ar"/>
        </w:rPr>
      </w:pPr>
      <w:r>
        <w:rPr>
          <w:color w:val="auto"/>
          <w:kern w:val="21"/>
        </w:rPr>
        <w:t>根据《中华人民共和国环境保护法》、《中华人民共和国环境影响评价法》和《建设项目环境保护管理条例》、《建设项目环境保护分类管理名录》等相关规定，2020年3月</w:t>
      </w:r>
      <w:r>
        <w:rPr>
          <w:color w:val="auto"/>
          <w:kern w:val="21"/>
          <w:lang w:bidi="ar"/>
        </w:rPr>
        <w:t>楚雄市供排水有限公司</w:t>
      </w:r>
      <w:r>
        <w:rPr>
          <w:color w:val="auto"/>
          <w:kern w:val="21"/>
        </w:rPr>
        <w:t>委托</w:t>
      </w:r>
      <w:r>
        <w:rPr>
          <w:rFonts w:hint="eastAsia"/>
          <w:color w:val="auto"/>
          <w:kern w:val="21"/>
        </w:rPr>
        <w:t>编制单位</w:t>
      </w:r>
      <w:r>
        <w:rPr>
          <w:color w:val="auto"/>
          <w:kern w:val="21"/>
        </w:rPr>
        <w:t>承担“</w:t>
      </w:r>
      <w:r>
        <w:rPr>
          <w:color w:val="auto"/>
          <w:kern w:val="21"/>
          <w:lang w:bidi="ar"/>
        </w:rPr>
        <w:t>楚雄市富民工业园区污水处理厂工程</w:t>
      </w:r>
      <w:r>
        <w:rPr>
          <w:color w:val="auto"/>
          <w:kern w:val="21"/>
        </w:rPr>
        <w:t>”的环境影响评价工作，接受委托后，</w:t>
      </w:r>
      <w:r>
        <w:rPr>
          <w:rFonts w:hint="eastAsia"/>
          <w:color w:val="auto"/>
          <w:kern w:val="21"/>
        </w:rPr>
        <w:t>编制单位</w:t>
      </w:r>
      <w:r>
        <w:rPr>
          <w:color w:val="auto"/>
          <w:kern w:val="21"/>
        </w:rPr>
        <w:t>组成编制技术小组，收集有关资料，对项目可研及相关材料进行初步分析研究，并于2020年3月对现场进行了踏勘，重点调查</w:t>
      </w:r>
      <w:r>
        <w:rPr>
          <w:color w:val="auto"/>
          <w:kern w:val="21"/>
          <w:lang w:bidi="ar"/>
        </w:rPr>
        <w:t>项目周边的环境敏感目标，包括大气、地表水、地下水、声环境、土壤环境及生态环境等。建设单位</w:t>
      </w:r>
      <w:r>
        <w:rPr>
          <w:rFonts w:hint="eastAsia"/>
          <w:color w:val="auto"/>
          <w:kern w:val="21"/>
          <w:lang w:bidi="ar"/>
        </w:rPr>
        <w:t>2020年4月</w:t>
      </w:r>
      <w:r>
        <w:rPr>
          <w:color w:val="auto"/>
          <w:kern w:val="21"/>
          <w:lang w:bidi="ar"/>
        </w:rPr>
        <w:t>委托云南环绿环境检测技术有限公司对项目周边环境现状进行了监测，并于2020年4月8日在“环评互联网”网站上进行了第一次环境影响评价信息公示。</w:t>
      </w:r>
      <w:r>
        <w:rPr>
          <w:rFonts w:hint="eastAsia"/>
          <w:color w:val="auto"/>
          <w:kern w:val="21"/>
          <w:lang w:bidi="ar"/>
        </w:rPr>
        <w:t>后因编制单位变更（原编制单位云南内苏科技有限公司变更为云南涛海环保工程有限公司），</w:t>
      </w:r>
      <w:r>
        <w:rPr>
          <w:color w:val="auto"/>
          <w:kern w:val="21"/>
          <w:lang w:bidi="ar"/>
        </w:rPr>
        <w:t>202</w:t>
      </w:r>
      <w:r>
        <w:rPr>
          <w:rFonts w:hint="eastAsia"/>
          <w:color w:val="auto"/>
          <w:kern w:val="21"/>
          <w:lang w:bidi="ar"/>
        </w:rPr>
        <w:t>2</w:t>
      </w:r>
      <w:r>
        <w:rPr>
          <w:color w:val="auto"/>
          <w:kern w:val="21"/>
          <w:lang w:bidi="ar"/>
        </w:rPr>
        <w:t>年</w:t>
      </w:r>
      <w:r>
        <w:rPr>
          <w:rFonts w:hint="eastAsia"/>
          <w:color w:val="auto"/>
          <w:kern w:val="21"/>
          <w:lang w:bidi="ar"/>
        </w:rPr>
        <w:t>3</w:t>
      </w:r>
      <w:r>
        <w:rPr>
          <w:color w:val="auto"/>
          <w:kern w:val="21"/>
          <w:lang w:bidi="ar"/>
        </w:rPr>
        <w:t>月</w:t>
      </w:r>
      <w:r>
        <w:rPr>
          <w:rFonts w:hint="eastAsia"/>
          <w:color w:val="auto"/>
          <w:kern w:val="21"/>
          <w:lang w:bidi="ar"/>
        </w:rPr>
        <w:t>10</w:t>
      </w:r>
      <w:r>
        <w:rPr>
          <w:color w:val="auto"/>
          <w:kern w:val="21"/>
          <w:lang w:bidi="ar"/>
        </w:rPr>
        <w:t>日</w:t>
      </w:r>
      <w:r>
        <w:rPr>
          <w:rFonts w:hint="eastAsia"/>
          <w:color w:val="auto"/>
          <w:kern w:val="21"/>
          <w:lang w:bidi="ar"/>
        </w:rPr>
        <w:t>楚雄州生态环境局楚雄市分局</w:t>
      </w:r>
      <w:r>
        <w:rPr>
          <w:color w:val="auto"/>
          <w:kern w:val="21"/>
          <w:lang w:bidi="ar"/>
        </w:rPr>
        <w:t>在</w:t>
      </w:r>
      <w:r>
        <w:rPr>
          <w:rFonts w:hint="eastAsia"/>
          <w:color w:val="auto"/>
          <w:kern w:val="21"/>
          <w:lang w:bidi="ar"/>
        </w:rPr>
        <w:t>楚雄市人民政府网（http://www.cxs.gov.cn/info/egovinfo/1016/xxgkcontent/cxs017-/2022-0310002.htm）对项目补充进行了</w:t>
      </w:r>
      <w:r>
        <w:rPr>
          <w:color w:val="auto"/>
          <w:kern w:val="21"/>
          <w:lang w:bidi="ar"/>
        </w:rPr>
        <w:t>第一次环境影响评价信息公示</w:t>
      </w:r>
      <w:r>
        <w:rPr>
          <w:rFonts w:hint="eastAsia"/>
          <w:color w:val="auto"/>
          <w:kern w:val="21"/>
          <w:lang w:bidi="ar"/>
        </w:rPr>
        <w:t>（变更公示）。</w:t>
      </w:r>
    </w:p>
    <w:p>
      <w:pPr>
        <w:ind w:firstLine="472"/>
        <w:rPr>
          <w:rFonts w:hint="eastAsia"/>
          <w:color w:val="auto"/>
          <w:kern w:val="21"/>
          <w:lang w:bidi="ar"/>
        </w:rPr>
      </w:pPr>
      <w:r>
        <w:rPr>
          <w:rFonts w:hint="eastAsia"/>
          <w:color w:val="auto"/>
          <w:kern w:val="21"/>
          <w:lang w:eastAsia="zh-CN" w:bidi="ar"/>
        </w:rPr>
        <w:t>环评报告编制过程中，由于项目服务的企业几近建设完成，生产迫在眉睫，为满足企业的生产排污要求，项目不得不在环评未批准的情况下开工建设，属于“未批先建”，楚雄州生态环境局于</w:t>
      </w:r>
      <w:r>
        <w:rPr>
          <w:rFonts w:hint="eastAsia"/>
          <w:color w:val="auto"/>
          <w:kern w:val="21"/>
          <w:lang w:val="en-US" w:eastAsia="zh-CN" w:bidi="ar"/>
        </w:rPr>
        <w:t>2021年8月25日对建设单位下达“楚雄州生态环境局行政处罚决定书（楚环罚字【2021】152号）”，针对项目未批先建的事实处以罚款694633.00元，建设单位于2022年3月3日前全部缴纳完成并取得收据。</w:t>
      </w:r>
    </w:p>
    <w:p>
      <w:pPr>
        <w:ind w:firstLine="472"/>
        <w:jc w:val="left"/>
        <w:rPr>
          <w:rFonts w:hint="eastAsia"/>
          <w:color w:val="auto"/>
          <w:kern w:val="21"/>
          <w:lang w:bidi="ar"/>
        </w:rPr>
      </w:pPr>
      <w:r>
        <w:rPr>
          <w:rFonts w:hint="eastAsia"/>
          <w:color w:val="auto"/>
          <w:kern w:val="21"/>
          <w:lang w:bidi="ar"/>
        </w:rPr>
        <w:t>原</w:t>
      </w:r>
      <w:r>
        <w:rPr>
          <w:color w:val="auto"/>
          <w:kern w:val="21"/>
          <w:lang w:bidi="ar"/>
        </w:rPr>
        <w:t>环评报告编制单位（</w:t>
      </w:r>
      <w:r>
        <w:rPr>
          <w:rFonts w:hint="eastAsia"/>
          <w:color w:val="auto"/>
          <w:kern w:val="21"/>
          <w:lang w:bidi="ar"/>
        </w:rPr>
        <w:t>云南内苏科技有限公司</w:t>
      </w:r>
      <w:r>
        <w:rPr>
          <w:color w:val="auto"/>
          <w:kern w:val="21"/>
          <w:lang w:bidi="ar"/>
        </w:rPr>
        <w:t>）编制完成</w:t>
      </w:r>
      <w:r>
        <w:rPr>
          <w:color w:val="auto"/>
          <w:kern w:val="21"/>
        </w:rPr>
        <w:t>《</w:t>
      </w:r>
      <w:r>
        <w:rPr>
          <w:color w:val="auto"/>
          <w:kern w:val="21"/>
          <w:lang w:bidi="ar"/>
        </w:rPr>
        <w:t>楚雄市富民工业园区污水处理厂工程环境影响报告书</w:t>
      </w:r>
      <w:r>
        <w:rPr>
          <w:color w:val="auto"/>
          <w:kern w:val="21"/>
        </w:rPr>
        <w:t>》（征求意见稿）后，“征求意见稿”在中国新闻报、环评互联网以及彝海社区居民委员会和倪家咀进行了公示，报刊公示日期为2020年4月28日、2020年4月29日；环评互联网公示日期为2020年4月26日－5月11日，2020年4月28日－5月13日在彝海社区居民委员会和倪家咀进行了征求意见稿现场张贴公示，并发放调查问卷广泛征求公众意见。</w:t>
      </w:r>
      <w:r>
        <w:rPr>
          <w:rFonts w:hint="eastAsia"/>
          <w:color w:val="auto"/>
          <w:kern w:val="21"/>
          <w:lang w:bidi="ar"/>
        </w:rPr>
        <w:t>后因编制单位变更（原编制单位云南内苏科技有限公司变更为云南涛海环保工程有限公司），建设单位在楚雄日报对项目补充进行了报刊公示，公示日期为2022年3月18日和2022年3月25日，</w:t>
      </w:r>
      <w:r>
        <w:rPr>
          <w:color w:val="auto"/>
          <w:kern w:val="21"/>
          <w:lang w:bidi="ar"/>
        </w:rPr>
        <w:t>202</w:t>
      </w:r>
      <w:r>
        <w:rPr>
          <w:rFonts w:hint="eastAsia"/>
          <w:color w:val="auto"/>
          <w:kern w:val="21"/>
          <w:lang w:bidi="ar"/>
        </w:rPr>
        <w:t>2</w:t>
      </w:r>
      <w:r>
        <w:rPr>
          <w:color w:val="auto"/>
          <w:kern w:val="21"/>
          <w:lang w:bidi="ar"/>
        </w:rPr>
        <w:t>年</w:t>
      </w:r>
      <w:r>
        <w:rPr>
          <w:rFonts w:hint="eastAsia"/>
          <w:color w:val="auto"/>
          <w:kern w:val="21"/>
          <w:lang w:bidi="ar"/>
        </w:rPr>
        <w:t>3</w:t>
      </w:r>
      <w:r>
        <w:rPr>
          <w:color w:val="auto"/>
          <w:kern w:val="21"/>
          <w:lang w:bidi="ar"/>
        </w:rPr>
        <w:t>月</w:t>
      </w:r>
      <w:r>
        <w:rPr>
          <w:rFonts w:hint="eastAsia"/>
          <w:color w:val="auto"/>
          <w:kern w:val="21"/>
          <w:lang w:bidi="ar"/>
        </w:rPr>
        <w:t>16</w:t>
      </w:r>
      <w:r>
        <w:rPr>
          <w:color w:val="auto"/>
          <w:kern w:val="21"/>
          <w:lang w:bidi="ar"/>
        </w:rPr>
        <w:t>日</w:t>
      </w:r>
      <w:r>
        <w:rPr>
          <w:rFonts w:hint="eastAsia"/>
          <w:color w:val="auto"/>
          <w:kern w:val="21"/>
          <w:lang w:bidi="ar"/>
        </w:rPr>
        <w:t>楚雄州生态环境局楚雄市分局</w:t>
      </w:r>
      <w:r>
        <w:rPr>
          <w:color w:val="auto"/>
          <w:kern w:val="21"/>
          <w:lang w:bidi="ar"/>
        </w:rPr>
        <w:t>在</w:t>
      </w:r>
      <w:r>
        <w:rPr>
          <w:rFonts w:hint="eastAsia"/>
          <w:color w:val="auto"/>
          <w:kern w:val="21"/>
          <w:lang w:bidi="ar"/>
        </w:rPr>
        <w:t>楚雄市人民政府网</w:t>
      </w:r>
      <w:r>
        <w:rPr>
          <w:rFonts w:hint="eastAsia"/>
          <w:color w:val="auto"/>
          <w:kern w:val="21"/>
          <w:lang w:eastAsia="zh-CN" w:bidi="ar"/>
        </w:rPr>
        <w:t>（</w:t>
      </w:r>
      <w:r>
        <w:rPr>
          <w:rFonts w:hint="eastAsia"/>
          <w:color w:val="auto"/>
          <w:kern w:val="21"/>
          <w:lang w:bidi="ar"/>
        </w:rPr>
        <w:t>http://www.cxs.gov.cn/info/egovinfo/1016/xxgkcontent/cxs01</w:t>
      </w:r>
    </w:p>
    <w:p>
      <w:pPr>
        <w:ind w:left="0" w:leftChars="0" w:firstLine="0" w:firstLineChars="0"/>
        <w:jc w:val="left"/>
        <w:rPr>
          <w:color w:val="auto"/>
          <w:kern w:val="21"/>
          <w:lang w:bidi="ar"/>
        </w:rPr>
      </w:pPr>
      <w:r>
        <w:rPr>
          <w:rFonts w:hint="eastAsia"/>
          <w:color w:val="auto"/>
          <w:kern w:val="21"/>
          <w:lang w:val="en-US" w:eastAsia="zh-CN" w:bidi="ar"/>
        </w:rPr>
        <w:t>7</w:t>
      </w:r>
      <w:r>
        <w:rPr>
          <w:rFonts w:hint="eastAsia"/>
          <w:color w:val="auto"/>
          <w:kern w:val="21"/>
          <w:lang w:bidi="ar"/>
        </w:rPr>
        <w:t>-/2022-0316001.htm</w:t>
      </w:r>
      <w:r>
        <w:rPr>
          <w:rFonts w:hint="eastAsia"/>
          <w:color w:val="auto"/>
          <w:kern w:val="21"/>
          <w:lang w:eastAsia="zh-CN" w:bidi="ar"/>
        </w:rPr>
        <w:t>）</w:t>
      </w:r>
      <w:r>
        <w:rPr>
          <w:rFonts w:hint="eastAsia"/>
          <w:color w:val="auto"/>
          <w:kern w:val="21"/>
          <w:lang w:bidi="ar"/>
        </w:rPr>
        <w:t>对项目补充进行了</w:t>
      </w:r>
      <w:r>
        <w:rPr>
          <w:color w:val="auto"/>
          <w:kern w:val="21"/>
          <w:lang w:bidi="ar"/>
        </w:rPr>
        <w:t>第</w:t>
      </w:r>
      <w:r>
        <w:rPr>
          <w:rFonts w:hint="eastAsia"/>
          <w:color w:val="auto"/>
          <w:kern w:val="21"/>
          <w:lang w:bidi="ar"/>
        </w:rPr>
        <w:t>二</w:t>
      </w:r>
      <w:r>
        <w:rPr>
          <w:color w:val="auto"/>
          <w:kern w:val="21"/>
          <w:lang w:bidi="ar"/>
        </w:rPr>
        <w:t>次环境影响评价信息公示</w:t>
      </w:r>
      <w:r>
        <w:rPr>
          <w:rFonts w:hint="eastAsia"/>
          <w:color w:val="auto"/>
          <w:kern w:val="21"/>
          <w:lang w:bidi="ar"/>
        </w:rPr>
        <w:t>，同日在彝海社区居民委员会重新进行了现场张贴公示。</w:t>
      </w:r>
    </w:p>
    <w:p>
      <w:pPr>
        <w:ind w:firstLine="472"/>
        <w:rPr>
          <w:rFonts w:hint="eastAsia"/>
          <w:color w:val="auto"/>
          <w:kern w:val="21"/>
        </w:rPr>
      </w:pPr>
      <w:r>
        <w:rPr>
          <w:color w:val="auto"/>
          <w:kern w:val="21"/>
        </w:rPr>
        <w:t>环评报告编制单位</w:t>
      </w:r>
      <w:r>
        <w:rPr>
          <w:rFonts w:hint="eastAsia"/>
          <w:color w:val="auto"/>
          <w:kern w:val="21"/>
        </w:rPr>
        <w:t>根据建设单位提供的相关资料</w:t>
      </w:r>
      <w:r>
        <w:rPr>
          <w:color w:val="auto"/>
          <w:kern w:val="21"/>
        </w:rPr>
        <w:t>完善了报告书内容，最终整理编制完成了</w:t>
      </w:r>
      <w:r>
        <w:rPr>
          <w:rFonts w:hint="eastAsia"/>
          <w:color w:val="auto"/>
          <w:kern w:val="21"/>
        </w:rPr>
        <w:t>报告编制，并于2022年5月10日在楚雄市通过了楚雄州生态环境技术服务中心主持召开的技术评审会，环评编制单位根据技术评审会专家组意见对报告进行了全面修改，并于2022年</w:t>
      </w:r>
      <w:r>
        <w:rPr>
          <w:rFonts w:hint="eastAsia"/>
          <w:color w:val="auto"/>
          <w:kern w:val="21"/>
          <w:lang w:val="en-US" w:eastAsia="zh-CN"/>
        </w:rPr>
        <w:t>8</w:t>
      </w:r>
      <w:r>
        <w:rPr>
          <w:rFonts w:hint="eastAsia"/>
          <w:color w:val="auto"/>
          <w:kern w:val="21"/>
        </w:rPr>
        <w:t>月2</w:t>
      </w:r>
      <w:r>
        <w:rPr>
          <w:rFonts w:hint="eastAsia"/>
          <w:color w:val="auto"/>
          <w:kern w:val="21"/>
          <w:lang w:val="en-US" w:eastAsia="zh-CN"/>
        </w:rPr>
        <w:t>4</w:t>
      </w:r>
      <w:r>
        <w:rPr>
          <w:rFonts w:hint="eastAsia"/>
          <w:color w:val="auto"/>
          <w:kern w:val="21"/>
        </w:rPr>
        <w:t>日完成了</w:t>
      </w:r>
      <w:r>
        <w:rPr>
          <w:color w:val="auto"/>
          <w:kern w:val="21"/>
        </w:rPr>
        <w:t>《</w:t>
      </w:r>
      <w:r>
        <w:rPr>
          <w:color w:val="auto"/>
          <w:kern w:val="21"/>
          <w:lang w:bidi="ar"/>
        </w:rPr>
        <w:t>楚雄市富民工业园区污水处理厂工程环境影响报告书</w:t>
      </w:r>
      <w:r>
        <w:rPr>
          <w:color w:val="auto"/>
          <w:kern w:val="21"/>
        </w:rPr>
        <w:t>》</w:t>
      </w:r>
      <w:r>
        <w:rPr>
          <w:rFonts w:hint="eastAsia"/>
          <w:color w:val="auto"/>
          <w:kern w:val="21"/>
        </w:rPr>
        <w:t>（报批稿），供建设单位上报审批。</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rPr>
          <w:rFonts w:hint="default" w:cs="Times New Roman"/>
          <w:b w:val="0"/>
          <w:bCs w:val="0"/>
          <w:caps w:val="0"/>
          <w:color w:val="auto"/>
          <w:kern w:val="21"/>
          <w:sz w:val="24"/>
          <w:szCs w:val="24"/>
          <w:lang w:val="en-US" w:eastAsia="zh-CN" w:bidi="ar-SA"/>
        </w:rPr>
      </w:pPr>
      <w:r>
        <w:rPr>
          <w:rFonts w:hint="eastAsia" w:cs="Times New Roman"/>
          <w:b w:val="0"/>
          <w:bCs w:val="0"/>
          <w:caps w:val="0"/>
          <w:color w:val="auto"/>
          <w:kern w:val="21"/>
          <w:sz w:val="24"/>
          <w:szCs w:val="24"/>
          <w:lang w:val="en-US" w:eastAsia="zh-CN" w:bidi="ar-SA"/>
        </w:rPr>
        <w:t>2022年8月26日，建设单位通过楚雄网将拟报批的《楚雄市富民工业园区污水处理厂工程环境影响报告书》（报批稿）全文以及公众参与说明进行公示，公示网址（https://m.chuxiong.com/wap/thread/view-thread/tid/74751）。</w:t>
      </w:r>
    </w:p>
    <w:p>
      <w:pPr>
        <w:ind w:firstLine="0" w:firstLineChars="0"/>
        <w:outlineLvl w:val="1"/>
        <w:rPr>
          <w:color w:val="auto"/>
          <w:kern w:val="21"/>
        </w:rPr>
      </w:pPr>
      <w:bookmarkStart w:id="4" w:name="_Toc10280"/>
      <w:bookmarkStart w:id="5" w:name="_Toc505607768"/>
      <w:r>
        <w:rPr>
          <w:b/>
          <w:color w:val="auto"/>
          <w:kern w:val="21"/>
          <w:sz w:val="28"/>
          <w:szCs w:val="28"/>
        </w:rPr>
        <w:t>1.3</w:t>
      </w:r>
      <w:r>
        <w:rPr>
          <w:b/>
          <w:color w:val="auto"/>
          <w:kern w:val="21"/>
          <w:lang w:bidi="ar"/>
        </w:rPr>
        <w:t>分析判定相关情况</w:t>
      </w:r>
      <w:bookmarkEnd w:id="4"/>
    </w:p>
    <w:p>
      <w:pPr>
        <w:widowControl/>
        <w:ind w:firstLine="472"/>
        <w:jc w:val="left"/>
        <w:rPr>
          <w:color w:val="auto"/>
          <w:kern w:val="21"/>
        </w:rPr>
      </w:pPr>
      <w:r>
        <w:rPr>
          <w:color w:val="auto"/>
          <w:kern w:val="21"/>
          <w:lang w:bidi="ar"/>
        </w:rPr>
        <w:t>（1）产业政策相符性</w:t>
      </w:r>
    </w:p>
    <w:p>
      <w:pPr>
        <w:widowControl/>
        <w:ind w:firstLine="472"/>
        <w:jc w:val="left"/>
        <w:rPr>
          <w:color w:val="auto"/>
          <w:kern w:val="21"/>
        </w:rPr>
      </w:pPr>
      <w:r>
        <w:rPr>
          <w:color w:val="auto"/>
          <w:kern w:val="21"/>
          <w:lang w:bidi="ar"/>
        </w:rPr>
        <w:t>项目属于《产业结构调整指导目录（2019年本）》</w:t>
      </w:r>
      <w:r>
        <w:rPr>
          <w:rFonts w:hint="eastAsia"/>
          <w:color w:val="auto"/>
          <w:kern w:val="21"/>
          <w:lang w:eastAsia="zh-CN" w:bidi="ar"/>
        </w:rPr>
        <w:t>（</w:t>
      </w:r>
      <w:r>
        <w:rPr>
          <w:rFonts w:hint="eastAsia"/>
          <w:color w:val="auto"/>
          <w:kern w:val="21"/>
          <w:lang w:val="en-US" w:eastAsia="zh-CN" w:bidi="ar"/>
        </w:rPr>
        <w:t>2021年修订</w:t>
      </w:r>
      <w:r>
        <w:rPr>
          <w:rFonts w:hint="eastAsia"/>
          <w:color w:val="auto"/>
          <w:kern w:val="21"/>
          <w:lang w:eastAsia="zh-CN" w:bidi="ar"/>
        </w:rPr>
        <w:t>）</w:t>
      </w:r>
      <w:r>
        <w:rPr>
          <w:color w:val="auto"/>
          <w:kern w:val="21"/>
          <w:lang w:bidi="ar"/>
        </w:rPr>
        <w:t>及《云南省经济委员会公号2006年第二号》（《云南省工业产业结构调整指导目录（2006年本）》）</w:t>
      </w:r>
      <w:r>
        <w:rPr>
          <w:rFonts w:hint="eastAsia"/>
          <w:color w:val="auto"/>
          <w:kern w:val="21"/>
          <w:lang w:bidi="ar"/>
        </w:rPr>
        <w:t>“鼓励类”项目</w:t>
      </w:r>
      <w:r>
        <w:rPr>
          <w:color w:val="auto"/>
          <w:kern w:val="21"/>
          <w:lang w:bidi="ar"/>
        </w:rPr>
        <w:t>，符合国家产业政策。</w:t>
      </w:r>
    </w:p>
    <w:p>
      <w:pPr>
        <w:widowControl/>
        <w:ind w:firstLine="472"/>
        <w:jc w:val="left"/>
        <w:rPr>
          <w:color w:val="auto"/>
          <w:kern w:val="21"/>
          <w:lang w:bidi="ar"/>
        </w:rPr>
      </w:pPr>
      <w:r>
        <w:rPr>
          <w:color w:val="auto"/>
          <w:kern w:val="21"/>
        </w:rPr>
        <w:t>2020年3月3日，楚雄市发展和改革局出具《楚雄市发展和改革局关于富民工业园区污水处理厂工程可行性研究报告的批复》</w:t>
      </w:r>
      <w:r>
        <w:rPr>
          <w:rFonts w:hint="eastAsia"/>
          <w:color w:val="auto"/>
          <w:kern w:val="21"/>
        </w:rPr>
        <w:t>（</w:t>
      </w:r>
      <w:r>
        <w:rPr>
          <w:color w:val="auto"/>
          <w:kern w:val="21"/>
        </w:rPr>
        <w:t>楚市发改批[2020]24号文</w:t>
      </w:r>
      <w:r>
        <w:rPr>
          <w:rFonts w:hint="eastAsia"/>
          <w:color w:val="auto"/>
          <w:kern w:val="21"/>
        </w:rPr>
        <w:t>）</w:t>
      </w:r>
      <w:r>
        <w:rPr>
          <w:color w:val="auto"/>
          <w:kern w:val="21"/>
        </w:rPr>
        <w:t>对本项目进行了批复，因此项目建设符合地方相关产业政策要求。</w:t>
      </w:r>
    </w:p>
    <w:p>
      <w:pPr>
        <w:widowControl/>
        <w:ind w:firstLine="472"/>
        <w:jc w:val="left"/>
        <w:rPr>
          <w:color w:val="auto"/>
          <w:kern w:val="21"/>
        </w:rPr>
      </w:pPr>
      <w:r>
        <w:rPr>
          <w:color w:val="auto"/>
          <w:kern w:val="21"/>
          <w:lang w:bidi="ar"/>
        </w:rPr>
        <w:t>（2）规划相符性</w:t>
      </w:r>
    </w:p>
    <w:p>
      <w:pPr>
        <w:widowControl/>
        <w:ind w:firstLine="472"/>
        <w:jc w:val="left"/>
        <w:rPr>
          <w:color w:val="auto"/>
          <w:kern w:val="21"/>
        </w:rPr>
      </w:pPr>
      <w:r>
        <w:rPr>
          <w:color w:val="auto"/>
          <w:kern w:val="21"/>
          <w:lang w:bidi="ar"/>
        </w:rPr>
        <w:t>本项目为《楚雄工业园总体规划修改（2018—2035</w:t>
      </w:r>
      <w:r>
        <w:rPr>
          <w:rFonts w:hint="eastAsia"/>
          <w:color w:val="auto"/>
          <w:kern w:val="21"/>
          <w:lang w:bidi="ar"/>
        </w:rPr>
        <w:t>）</w:t>
      </w:r>
      <w:r>
        <w:rPr>
          <w:color w:val="auto"/>
          <w:kern w:val="21"/>
          <w:lang w:bidi="ar"/>
        </w:rPr>
        <w:t>》规划建设的污水处理厂之一</w:t>
      </w:r>
      <w:r>
        <w:rPr>
          <w:rFonts w:eastAsia="黑体"/>
          <w:color w:val="auto"/>
          <w:kern w:val="21"/>
          <w:lang w:bidi="ar"/>
        </w:rPr>
        <w:t>，</w:t>
      </w:r>
      <w:r>
        <w:rPr>
          <w:color w:val="auto"/>
          <w:kern w:val="21"/>
          <w:lang w:bidi="ar"/>
        </w:rPr>
        <w:t>且建设地点和最终建设规模均符合《楚雄工业园总体规划修改（2018—2035</w:t>
      </w:r>
      <w:r>
        <w:rPr>
          <w:rFonts w:hint="eastAsia"/>
          <w:color w:val="auto"/>
          <w:kern w:val="21"/>
          <w:lang w:bidi="ar"/>
        </w:rPr>
        <w:t>）</w:t>
      </w:r>
      <w:r>
        <w:rPr>
          <w:color w:val="auto"/>
          <w:kern w:val="21"/>
          <w:lang w:bidi="ar"/>
        </w:rPr>
        <w:t>》的要求，故项目符合《楚雄工业园总体规划修改（2018—2035</w:t>
      </w:r>
      <w:r>
        <w:rPr>
          <w:rFonts w:hint="eastAsia"/>
          <w:color w:val="auto"/>
          <w:kern w:val="21"/>
          <w:lang w:bidi="ar"/>
        </w:rPr>
        <w:t>）</w:t>
      </w:r>
      <w:r>
        <w:rPr>
          <w:color w:val="auto"/>
          <w:kern w:val="21"/>
          <w:lang w:bidi="ar"/>
        </w:rPr>
        <w:t>》的相关要求。</w:t>
      </w:r>
    </w:p>
    <w:p>
      <w:pPr>
        <w:widowControl/>
        <w:ind w:firstLine="472"/>
        <w:jc w:val="left"/>
        <w:rPr>
          <w:color w:val="auto"/>
          <w:kern w:val="21"/>
        </w:rPr>
      </w:pPr>
      <w:r>
        <w:rPr>
          <w:color w:val="auto"/>
          <w:kern w:val="21"/>
          <w:lang w:bidi="ar"/>
        </w:rPr>
        <w:t>（3）项目建设符合</w:t>
      </w:r>
      <w:r>
        <w:rPr>
          <w:rFonts w:hint="eastAsia"/>
          <w:color w:val="auto"/>
          <w:kern w:val="21"/>
          <w:lang w:bidi="ar"/>
        </w:rPr>
        <w:t>“</w:t>
      </w:r>
      <w:r>
        <w:rPr>
          <w:rFonts w:hint="eastAsia"/>
          <w:color w:val="auto"/>
          <w:kern w:val="21"/>
        </w:rPr>
        <w:t>长江经济带发展负面清单指南（试行）2022版</w:t>
      </w:r>
      <w:r>
        <w:rPr>
          <w:rFonts w:hint="eastAsia"/>
          <w:color w:val="auto"/>
          <w:kern w:val="21"/>
          <w:lang w:bidi="ar"/>
        </w:rPr>
        <w:t>”，楚雄州“三线一单”等</w:t>
      </w:r>
      <w:r>
        <w:rPr>
          <w:color w:val="auto"/>
          <w:kern w:val="21"/>
          <w:lang w:bidi="ar"/>
        </w:rPr>
        <w:t>相关要求。</w:t>
      </w:r>
    </w:p>
    <w:p>
      <w:pPr>
        <w:widowControl/>
        <w:ind w:firstLine="472"/>
        <w:jc w:val="left"/>
        <w:rPr>
          <w:color w:val="auto"/>
          <w:kern w:val="21"/>
        </w:rPr>
      </w:pPr>
      <w:r>
        <w:rPr>
          <w:color w:val="auto"/>
          <w:kern w:val="21"/>
          <w:lang w:bidi="ar"/>
        </w:rPr>
        <w:t>（4）选址合理性</w:t>
      </w:r>
    </w:p>
    <w:p>
      <w:pPr>
        <w:ind w:firstLine="472"/>
        <w:rPr>
          <w:color w:val="auto"/>
          <w:kern w:val="21"/>
        </w:rPr>
      </w:pPr>
      <w:r>
        <w:rPr>
          <w:rFonts w:hint="eastAsia"/>
          <w:color w:val="auto"/>
          <w:kern w:val="21"/>
        </w:rPr>
        <w:t>项目选址不涉及自然保护区、风景名胜区、饮用水水源保护区、基本农田保护区和其他需要特别保护的地区。根据现状监测数据显示，区域环境空气、地下水、土壤和噪声良好，均能满足区域环境功能区划要求。</w:t>
      </w:r>
      <w:r>
        <w:rPr>
          <w:color w:val="auto"/>
          <w:kern w:val="21"/>
        </w:rPr>
        <w:t>楚雄市人民政府已对地表水青龙河提出了限期达标方案</w:t>
      </w:r>
      <w:r>
        <w:rPr>
          <w:rFonts w:hint="eastAsia"/>
          <w:color w:val="auto"/>
          <w:kern w:val="21"/>
          <w:lang w:eastAsia="zh-CN"/>
        </w:rPr>
        <w:t>，即</w:t>
      </w:r>
      <w:r>
        <w:rPr>
          <w:rFonts w:hint="eastAsia"/>
          <w:color w:val="auto"/>
          <w:kern w:val="21"/>
          <w:lang w:val="en-US" w:eastAsia="zh-CN"/>
        </w:rPr>
        <w:t>2025年青龙河入龙川江断面达到</w:t>
      </w:r>
      <w:r>
        <w:rPr>
          <w:color w:val="auto"/>
          <w:kern w:val="21"/>
        </w:rPr>
        <w:t>IV类水质，在多项治理工程实施后将达到IV类水质环境质量要求。</w:t>
      </w:r>
      <w:r>
        <w:rPr>
          <w:rFonts w:hint="eastAsia"/>
          <w:color w:val="auto"/>
          <w:kern w:val="21"/>
        </w:rPr>
        <w:t>根据影响分析，本项目运营期间对水环境、声环境及环境空气的影响均在可接受范围内，正常营运状况下，区域水环境、声环境及空气环境质量符合相应功能区要求。</w:t>
      </w:r>
    </w:p>
    <w:p>
      <w:pPr>
        <w:ind w:firstLine="472"/>
        <w:rPr>
          <w:color w:val="auto"/>
          <w:kern w:val="21"/>
        </w:rPr>
      </w:pPr>
      <w:r>
        <w:rPr>
          <w:rFonts w:hint="eastAsia"/>
          <w:color w:val="auto"/>
          <w:kern w:val="21"/>
        </w:rPr>
        <w:t>项目</w:t>
      </w:r>
      <w:r>
        <w:rPr>
          <w:rFonts w:hint="eastAsia"/>
          <w:color w:val="auto"/>
          <w:kern w:val="21"/>
          <w:lang w:eastAsia="zh-CN"/>
        </w:rPr>
        <w:t>以厂界为边界</w:t>
      </w:r>
      <w:r>
        <w:rPr>
          <w:rFonts w:hint="eastAsia"/>
          <w:color w:val="auto"/>
          <w:kern w:val="21"/>
        </w:rPr>
        <w:t>设置100m的卫生防护距离，</w:t>
      </w:r>
      <w:r>
        <w:rPr>
          <w:rFonts w:hint="eastAsia"/>
          <w:bCs/>
          <w:color w:val="auto"/>
          <w:kern w:val="21"/>
        </w:rPr>
        <w:t>距离本项目较近的迤周、外周、外干、迤干等村庄已全部拆除</w:t>
      </w:r>
      <w:r>
        <w:rPr>
          <w:rFonts w:hint="eastAsia"/>
          <w:color w:val="auto"/>
          <w:kern w:val="21"/>
        </w:rPr>
        <w:t>，项目厂区防护距离内无居民点，不涉及搬迁，可满足防护距离要求。</w:t>
      </w:r>
    </w:p>
    <w:p>
      <w:pPr>
        <w:ind w:firstLine="472"/>
        <w:rPr>
          <w:color w:val="auto"/>
        </w:rPr>
      </w:pPr>
      <w:r>
        <w:rPr>
          <w:rFonts w:hint="eastAsia"/>
          <w:color w:val="auto"/>
          <w:kern w:val="21"/>
        </w:rPr>
        <w:t>公众参与统计结果表明，100%被调查公众支持本项目在此建设，无反对意见。综上所述，项目选址合理。</w:t>
      </w:r>
    </w:p>
    <w:p>
      <w:pPr>
        <w:ind w:firstLine="0" w:firstLineChars="0"/>
        <w:outlineLvl w:val="1"/>
        <w:rPr>
          <w:b/>
          <w:color w:val="auto"/>
          <w:kern w:val="21"/>
          <w:sz w:val="28"/>
          <w:szCs w:val="28"/>
        </w:rPr>
      </w:pPr>
      <w:bookmarkStart w:id="6" w:name="_Toc2286"/>
      <w:r>
        <w:rPr>
          <w:b/>
          <w:color w:val="auto"/>
          <w:kern w:val="21"/>
          <w:sz w:val="28"/>
          <w:szCs w:val="28"/>
        </w:rPr>
        <w:t>1.4主要关注的环境问题</w:t>
      </w:r>
      <w:bookmarkEnd w:id="5"/>
      <w:bookmarkEnd w:id="6"/>
    </w:p>
    <w:p>
      <w:pPr>
        <w:widowControl/>
        <w:ind w:firstLine="472"/>
        <w:jc w:val="left"/>
        <w:rPr>
          <w:color w:val="auto"/>
          <w:kern w:val="21"/>
        </w:rPr>
      </w:pPr>
      <w:r>
        <w:rPr>
          <w:color w:val="auto"/>
          <w:kern w:val="21"/>
          <w:lang w:bidi="ar"/>
        </w:rPr>
        <w:t>根据工程特点和现场调查的结果，需关注的主要环境问题有：</w:t>
      </w:r>
    </w:p>
    <w:p>
      <w:pPr>
        <w:widowControl/>
        <w:numPr>
          <w:ilvl w:val="0"/>
          <w:numId w:val="1"/>
        </w:numPr>
        <w:ind w:firstLine="472"/>
        <w:jc w:val="left"/>
        <w:rPr>
          <w:color w:val="auto"/>
          <w:kern w:val="21"/>
          <w:lang w:bidi="ar"/>
        </w:rPr>
      </w:pPr>
      <w:r>
        <w:rPr>
          <w:color w:val="auto"/>
          <w:kern w:val="21"/>
          <w:lang w:bidi="ar"/>
        </w:rPr>
        <w:t>工程排水对青龙河</w:t>
      </w:r>
      <w:r>
        <w:rPr>
          <w:color w:val="auto"/>
          <w:kern w:val="21"/>
        </w:rPr>
        <w:t>的影响；</w:t>
      </w:r>
    </w:p>
    <w:p>
      <w:pPr>
        <w:widowControl/>
        <w:ind w:firstLine="472"/>
        <w:jc w:val="left"/>
        <w:rPr>
          <w:color w:val="auto"/>
          <w:kern w:val="21"/>
        </w:rPr>
      </w:pPr>
      <w:r>
        <w:rPr>
          <w:color w:val="auto"/>
          <w:kern w:val="21"/>
          <w:lang w:bidi="ar"/>
        </w:rPr>
        <w:t>（2）污泥处置是否符合相关要求；</w:t>
      </w:r>
    </w:p>
    <w:p>
      <w:pPr>
        <w:widowControl/>
        <w:ind w:firstLine="472"/>
        <w:jc w:val="left"/>
        <w:rPr>
          <w:color w:val="auto"/>
          <w:kern w:val="21"/>
        </w:rPr>
      </w:pPr>
      <w:r>
        <w:rPr>
          <w:color w:val="auto"/>
          <w:kern w:val="21"/>
          <w:lang w:bidi="ar"/>
        </w:rPr>
        <w:t>（3）工程运营对地下水环境的影响；</w:t>
      </w:r>
    </w:p>
    <w:p>
      <w:pPr>
        <w:widowControl/>
        <w:ind w:firstLine="472"/>
        <w:jc w:val="left"/>
        <w:rPr>
          <w:color w:val="auto"/>
          <w:kern w:val="21"/>
        </w:rPr>
      </w:pPr>
      <w:r>
        <w:rPr>
          <w:color w:val="auto"/>
          <w:kern w:val="21"/>
          <w:lang w:bidi="ar"/>
        </w:rPr>
        <w:t>（4）废气排放对大气环境和环境保护目标的影响是否可接受；</w:t>
      </w:r>
    </w:p>
    <w:p>
      <w:pPr>
        <w:ind w:firstLine="472"/>
        <w:rPr>
          <w:color w:val="auto"/>
          <w:kern w:val="21"/>
          <w:sz w:val="21"/>
          <w:szCs w:val="21"/>
        </w:rPr>
      </w:pPr>
      <w:r>
        <w:rPr>
          <w:color w:val="auto"/>
          <w:kern w:val="21"/>
          <w:lang w:bidi="ar"/>
        </w:rPr>
        <w:t>（5）</w:t>
      </w:r>
      <w:r>
        <w:rPr>
          <w:color w:val="auto"/>
          <w:kern w:val="21"/>
        </w:rPr>
        <w:t>工程选址的环境可行性。</w:t>
      </w:r>
    </w:p>
    <w:p>
      <w:pPr>
        <w:ind w:firstLine="0" w:firstLineChars="0"/>
        <w:outlineLvl w:val="1"/>
        <w:rPr>
          <w:b/>
          <w:color w:val="auto"/>
          <w:kern w:val="21"/>
          <w:sz w:val="28"/>
          <w:szCs w:val="28"/>
        </w:rPr>
      </w:pPr>
      <w:bookmarkStart w:id="7" w:name="_Toc505607769"/>
      <w:bookmarkStart w:id="8" w:name="_Toc21423"/>
      <w:r>
        <w:rPr>
          <w:b/>
          <w:color w:val="auto"/>
          <w:kern w:val="21"/>
          <w:sz w:val="28"/>
          <w:szCs w:val="28"/>
        </w:rPr>
        <w:t>1.5环评主要结论</w:t>
      </w:r>
      <w:bookmarkEnd w:id="7"/>
      <w:bookmarkEnd w:id="8"/>
    </w:p>
    <w:p>
      <w:pPr>
        <w:ind w:firstLine="480" w:firstLineChars="0"/>
        <w:rPr>
          <w:color w:val="auto"/>
          <w:kern w:val="21"/>
        </w:rPr>
      </w:pPr>
      <w:r>
        <w:rPr>
          <w:color w:val="auto"/>
          <w:kern w:val="21"/>
        </w:rPr>
        <w:t>本项目属于楚雄工业园区富民片区配套环保设施项目，建设和运行符合国家和云南省相关产业政策，选址不涉及自然保护区、风景名胜区、饮用水水源保护区等环境敏感区域。区域大气、地下水、声等环境功能及现状满足建设要求，地表水青龙河区域实施达标规划方案（2021-2025年）后，在基础污染设施运转正常、管理到位的前提下，青龙河流域污染物将得到有效的削减，可以达标。经论证项目入河排污口设置合理可行。公众参与调查对象无公众和社会团体反对意见。项目拟采取的污染防治措施具有技术经济可行性，可实现污染物达标排放，不会降低评价区环境质量现状水平，具有良好的经济、社会、环境效益。因此，在落实环境影响报告书和工程设计提出的环保对策措施、风险防范措施后，同时严格执行“三同时”制度的前提下，从环保角度分析项目建设可行。</w:t>
      </w:r>
    </w:p>
    <w:p>
      <w:pPr>
        <w:pStyle w:val="4"/>
        <w:spacing w:before="17500" w:beforeLines="5000"/>
        <w:rPr>
          <w:color w:val="auto"/>
          <w:kern w:val="21"/>
        </w:rPr>
      </w:pPr>
      <w:bookmarkStart w:id="9" w:name="_Toc18402"/>
      <w:r>
        <w:rPr>
          <w:color w:val="auto"/>
          <w:kern w:val="21"/>
        </w:rPr>
        <w:t>2总则</w:t>
      </w:r>
      <w:bookmarkEnd w:id="9"/>
    </w:p>
    <w:p>
      <w:pPr>
        <w:pStyle w:val="5"/>
        <w:spacing w:after="0"/>
        <w:rPr>
          <w:color w:val="auto"/>
          <w:kern w:val="21"/>
          <w:sz w:val="28"/>
        </w:rPr>
      </w:pPr>
      <w:bookmarkStart w:id="10" w:name="_Toc23255"/>
      <w:r>
        <w:rPr>
          <w:color w:val="auto"/>
          <w:kern w:val="21"/>
          <w:sz w:val="28"/>
        </w:rPr>
        <w:t>2.1编制依据</w:t>
      </w:r>
      <w:bookmarkEnd w:id="10"/>
    </w:p>
    <w:p>
      <w:pPr>
        <w:pStyle w:val="6"/>
        <w:spacing w:after="0"/>
        <w:rPr>
          <w:rFonts w:eastAsia="宋体"/>
          <w:color w:val="auto"/>
          <w:kern w:val="21"/>
          <w:sz w:val="24"/>
          <w:szCs w:val="24"/>
        </w:rPr>
      </w:pPr>
      <w:bookmarkStart w:id="11" w:name="_Toc19586"/>
      <w:r>
        <w:rPr>
          <w:rFonts w:eastAsia="宋体"/>
          <w:color w:val="auto"/>
          <w:kern w:val="21"/>
          <w:sz w:val="24"/>
          <w:szCs w:val="24"/>
        </w:rPr>
        <w:t>2.1.1有关法律、法规</w:t>
      </w:r>
      <w:bookmarkEnd w:id="11"/>
    </w:p>
    <w:p>
      <w:pPr>
        <w:pStyle w:val="16"/>
        <w:adjustRightInd/>
        <w:spacing w:before="0"/>
        <w:ind w:right="0" w:firstLine="472"/>
        <w:rPr>
          <w:rStyle w:val="58"/>
          <w:rFonts w:ascii="Times New Roman" w:hAnsi="Times New Roman"/>
          <w:color w:val="auto"/>
        </w:rPr>
      </w:pPr>
      <w:r>
        <w:rPr>
          <w:rFonts w:ascii="Times New Roman" w:hAnsi="Times New Roman"/>
          <w:color w:val="auto"/>
          <w:kern w:val="21"/>
          <w:sz w:val="24"/>
          <w:szCs w:val="24"/>
        </w:rPr>
        <w:t>（1）《中华人民共和国环境保护法》（2014.4.24 修订，2015.1.1 施行）；</w:t>
      </w:r>
    </w:p>
    <w:p>
      <w:pPr>
        <w:ind w:firstLine="472"/>
        <w:rPr>
          <w:color w:val="auto"/>
        </w:rPr>
      </w:pPr>
      <w:r>
        <w:rPr>
          <w:rFonts w:hint="eastAsia"/>
          <w:color w:val="auto"/>
        </w:rPr>
        <w:t>（2）《中华人民共和国长江保护法》（2021.3.1实施）；</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w:t>
      </w:r>
      <w:r>
        <w:rPr>
          <w:rFonts w:hint="eastAsia" w:ascii="Times New Roman" w:hAnsi="Times New Roman"/>
          <w:color w:val="auto"/>
          <w:kern w:val="21"/>
          <w:sz w:val="24"/>
          <w:szCs w:val="24"/>
        </w:rPr>
        <w:t>3</w:t>
      </w:r>
      <w:r>
        <w:rPr>
          <w:rFonts w:ascii="Times New Roman" w:hAnsi="Times New Roman"/>
          <w:color w:val="auto"/>
          <w:kern w:val="21"/>
          <w:sz w:val="24"/>
          <w:szCs w:val="24"/>
        </w:rPr>
        <w:t>）《中华人民共和国环境影响评价法》（2018.12.29 修订）；</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w:t>
      </w:r>
      <w:r>
        <w:rPr>
          <w:rFonts w:hint="eastAsia" w:ascii="Times New Roman" w:hAnsi="Times New Roman"/>
          <w:color w:val="auto"/>
          <w:kern w:val="21"/>
          <w:sz w:val="24"/>
          <w:szCs w:val="24"/>
        </w:rPr>
        <w:t>4</w:t>
      </w:r>
      <w:r>
        <w:rPr>
          <w:rFonts w:ascii="Times New Roman" w:hAnsi="Times New Roman"/>
          <w:color w:val="auto"/>
          <w:kern w:val="21"/>
          <w:sz w:val="24"/>
          <w:szCs w:val="24"/>
        </w:rPr>
        <w:t>）《中华人民共和国水污染防治法》（2017.6.27 修订，2018.1.1 施行）；</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w:t>
      </w:r>
      <w:r>
        <w:rPr>
          <w:rFonts w:hint="eastAsia" w:ascii="Times New Roman" w:hAnsi="Times New Roman"/>
          <w:color w:val="auto"/>
          <w:kern w:val="21"/>
          <w:sz w:val="24"/>
          <w:szCs w:val="24"/>
        </w:rPr>
        <w:t>5</w:t>
      </w:r>
      <w:r>
        <w:rPr>
          <w:rFonts w:ascii="Times New Roman" w:hAnsi="Times New Roman"/>
          <w:color w:val="auto"/>
          <w:kern w:val="21"/>
          <w:sz w:val="24"/>
          <w:szCs w:val="24"/>
        </w:rPr>
        <w:t>）《中华人民共和国大气污染防治法》（2018.10.26 修订）；</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w:t>
      </w:r>
      <w:r>
        <w:rPr>
          <w:rFonts w:hint="eastAsia" w:ascii="Times New Roman" w:hAnsi="Times New Roman"/>
          <w:color w:val="auto"/>
          <w:kern w:val="21"/>
          <w:sz w:val="24"/>
          <w:szCs w:val="24"/>
        </w:rPr>
        <w:t>6</w:t>
      </w:r>
      <w:r>
        <w:rPr>
          <w:rFonts w:ascii="Times New Roman" w:hAnsi="Times New Roman"/>
          <w:color w:val="auto"/>
          <w:kern w:val="21"/>
          <w:sz w:val="24"/>
          <w:szCs w:val="24"/>
        </w:rPr>
        <w:t>）《</w:t>
      </w:r>
      <w:r>
        <w:rPr>
          <w:rFonts w:hint="eastAsia" w:ascii="Times New Roman" w:hAnsi="Times New Roman"/>
          <w:color w:val="auto"/>
          <w:kern w:val="21"/>
          <w:sz w:val="24"/>
          <w:szCs w:val="24"/>
        </w:rPr>
        <w:t>中华人民共和国噪声污染防治法</w:t>
      </w:r>
      <w:r>
        <w:rPr>
          <w:rFonts w:ascii="Times New Roman" w:hAnsi="Times New Roman"/>
          <w:color w:val="auto"/>
          <w:kern w:val="21"/>
          <w:sz w:val="24"/>
          <w:szCs w:val="24"/>
        </w:rPr>
        <w:t>》（20</w:t>
      </w:r>
      <w:r>
        <w:rPr>
          <w:rFonts w:hint="eastAsia" w:ascii="Times New Roman" w:hAnsi="Times New Roman"/>
          <w:color w:val="auto"/>
          <w:kern w:val="21"/>
          <w:sz w:val="24"/>
          <w:szCs w:val="24"/>
        </w:rPr>
        <w:t>22</w:t>
      </w:r>
      <w:r>
        <w:rPr>
          <w:rFonts w:ascii="Times New Roman" w:hAnsi="Times New Roman"/>
          <w:color w:val="auto"/>
          <w:kern w:val="21"/>
          <w:sz w:val="24"/>
          <w:szCs w:val="24"/>
        </w:rPr>
        <w:t>.</w:t>
      </w:r>
      <w:r>
        <w:rPr>
          <w:rFonts w:hint="eastAsia" w:ascii="Times New Roman" w:hAnsi="Times New Roman"/>
          <w:color w:val="auto"/>
          <w:kern w:val="21"/>
          <w:sz w:val="24"/>
          <w:szCs w:val="24"/>
        </w:rPr>
        <w:t>6</w:t>
      </w:r>
      <w:r>
        <w:rPr>
          <w:rFonts w:ascii="Times New Roman" w:hAnsi="Times New Roman"/>
          <w:color w:val="auto"/>
          <w:kern w:val="21"/>
          <w:sz w:val="24"/>
          <w:szCs w:val="24"/>
        </w:rPr>
        <w:t>.</w:t>
      </w:r>
      <w:r>
        <w:rPr>
          <w:rFonts w:hint="eastAsia" w:ascii="Times New Roman" w:hAnsi="Times New Roman"/>
          <w:color w:val="auto"/>
          <w:kern w:val="21"/>
          <w:sz w:val="24"/>
          <w:szCs w:val="24"/>
        </w:rPr>
        <w:t>5实施</w:t>
      </w:r>
      <w:r>
        <w:rPr>
          <w:rFonts w:ascii="Times New Roman" w:hAnsi="Times New Roman"/>
          <w:color w:val="auto"/>
          <w:kern w:val="21"/>
          <w:sz w:val="24"/>
          <w:szCs w:val="24"/>
        </w:rPr>
        <w:t>）；</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w:t>
      </w:r>
      <w:r>
        <w:rPr>
          <w:rFonts w:hint="eastAsia" w:ascii="Times New Roman" w:hAnsi="Times New Roman"/>
          <w:color w:val="auto"/>
          <w:kern w:val="21"/>
          <w:sz w:val="24"/>
          <w:szCs w:val="24"/>
        </w:rPr>
        <w:t>7</w:t>
      </w:r>
      <w:r>
        <w:rPr>
          <w:rFonts w:ascii="Times New Roman" w:hAnsi="Times New Roman"/>
          <w:color w:val="auto"/>
          <w:kern w:val="21"/>
          <w:sz w:val="24"/>
          <w:szCs w:val="24"/>
        </w:rPr>
        <w:t>）《中华人民共和国固体废物污染环境防治法》（2020.4.29 修订，2020.9.1施行）；</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w:t>
      </w:r>
      <w:r>
        <w:rPr>
          <w:rFonts w:hint="eastAsia" w:ascii="Times New Roman" w:hAnsi="Times New Roman"/>
          <w:color w:val="auto"/>
          <w:kern w:val="21"/>
          <w:sz w:val="24"/>
          <w:szCs w:val="24"/>
        </w:rPr>
        <w:t>8</w:t>
      </w:r>
      <w:r>
        <w:rPr>
          <w:rFonts w:ascii="Times New Roman" w:hAnsi="Times New Roman"/>
          <w:color w:val="auto"/>
          <w:kern w:val="21"/>
          <w:sz w:val="24"/>
          <w:szCs w:val="24"/>
        </w:rPr>
        <w:t>）《中华人民共和国水法》（2016.7.2 修订）；</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w:t>
      </w:r>
      <w:r>
        <w:rPr>
          <w:rFonts w:hint="eastAsia" w:ascii="Times New Roman" w:hAnsi="Times New Roman"/>
          <w:color w:val="auto"/>
          <w:kern w:val="21"/>
          <w:sz w:val="24"/>
          <w:szCs w:val="24"/>
        </w:rPr>
        <w:t>9</w:t>
      </w:r>
      <w:r>
        <w:rPr>
          <w:rFonts w:ascii="Times New Roman" w:hAnsi="Times New Roman"/>
          <w:color w:val="auto"/>
          <w:kern w:val="21"/>
          <w:sz w:val="24"/>
          <w:szCs w:val="24"/>
        </w:rPr>
        <w:t>）《中华人民共和国水土保持法》（2010.12.25 修订，2011.3.1 施行）；</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w:t>
      </w:r>
      <w:r>
        <w:rPr>
          <w:rFonts w:hint="eastAsia" w:ascii="Times New Roman" w:hAnsi="Times New Roman"/>
          <w:color w:val="auto"/>
          <w:kern w:val="21"/>
          <w:sz w:val="24"/>
          <w:szCs w:val="24"/>
        </w:rPr>
        <w:t>10</w:t>
      </w:r>
      <w:r>
        <w:rPr>
          <w:rFonts w:ascii="Times New Roman" w:hAnsi="Times New Roman"/>
          <w:color w:val="auto"/>
          <w:kern w:val="21"/>
          <w:sz w:val="24"/>
          <w:szCs w:val="24"/>
        </w:rPr>
        <w:t>）《中华人民共和国土壤污染防治法》（2018.8.31 公布，2019.1.1 施行）。</w:t>
      </w:r>
    </w:p>
    <w:p>
      <w:pPr>
        <w:pStyle w:val="6"/>
        <w:spacing w:after="0"/>
        <w:rPr>
          <w:rFonts w:eastAsia="宋体"/>
          <w:color w:val="auto"/>
          <w:kern w:val="21"/>
          <w:sz w:val="24"/>
          <w:szCs w:val="24"/>
        </w:rPr>
      </w:pPr>
      <w:bookmarkStart w:id="12" w:name="_Toc19537"/>
      <w:r>
        <w:rPr>
          <w:rFonts w:eastAsia="宋体"/>
          <w:color w:val="auto"/>
          <w:kern w:val="21"/>
          <w:sz w:val="24"/>
          <w:szCs w:val="24"/>
        </w:rPr>
        <w:t>2.1.2部门规章</w:t>
      </w:r>
      <w:bookmarkEnd w:id="12"/>
    </w:p>
    <w:p>
      <w:pPr>
        <w:ind w:firstLine="472"/>
        <w:rPr>
          <w:color w:val="auto"/>
          <w:kern w:val="21"/>
        </w:rPr>
      </w:pPr>
      <w:r>
        <w:rPr>
          <w:color w:val="auto"/>
          <w:kern w:val="21"/>
        </w:rPr>
        <w:t>（1）《建设项目环境保护管理条例》（中华人民共和国国务院令第 682 号，2017.10.1 施行）；</w:t>
      </w:r>
    </w:p>
    <w:p>
      <w:pPr>
        <w:ind w:firstLine="472"/>
        <w:rPr>
          <w:color w:val="auto"/>
          <w:kern w:val="21"/>
        </w:rPr>
      </w:pPr>
      <w:r>
        <w:rPr>
          <w:color w:val="auto"/>
          <w:kern w:val="21"/>
        </w:rPr>
        <w:t>（2）《建设项目环境影响评价分类管理名录》（生态环境部令第 16 号，2021.1.1 施行）；</w:t>
      </w:r>
    </w:p>
    <w:p>
      <w:pPr>
        <w:ind w:firstLine="472"/>
        <w:rPr>
          <w:rFonts w:hint="eastAsia" w:eastAsia="宋体"/>
          <w:color w:val="auto"/>
          <w:kern w:val="21"/>
          <w:lang w:val="en-US" w:eastAsia="zh-CN"/>
        </w:rPr>
      </w:pPr>
      <w:r>
        <w:rPr>
          <w:color w:val="auto"/>
          <w:kern w:val="21"/>
        </w:rPr>
        <w:t>（3）</w:t>
      </w:r>
      <w:r>
        <w:rPr>
          <w:rFonts w:hint="eastAsia"/>
          <w:color w:val="auto"/>
          <w:kern w:val="21"/>
        </w:rPr>
        <w:t>《产业结构调整指导目录（2019年本）》（2021年修订）（2021年12月27日修订）</w:t>
      </w:r>
      <w:r>
        <w:rPr>
          <w:color w:val="auto"/>
          <w:kern w:val="21"/>
        </w:rPr>
        <w:t>；</w:t>
      </w:r>
    </w:p>
    <w:p>
      <w:pPr>
        <w:ind w:firstLine="472"/>
        <w:rPr>
          <w:color w:val="auto"/>
          <w:kern w:val="21"/>
        </w:rPr>
      </w:pPr>
      <w:r>
        <w:rPr>
          <w:color w:val="auto"/>
          <w:kern w:val="21"/>
        </w:rPr>
        <w:t>（4）《环境影响评价公众参与办法》（国家生态环境部部令第 4 号令，2018.4.16 修订，2019.1.1 施行）；</w:t>
      </w:r>
    </w:p>
    <w:p>
      <w:pPr>
        <w:ind w:firstLine="472"/>
        <w:rPr>
          <w:color w:val="auto"/>
          <w:kern w:val="21"/>
        </w:rPr>
      </w:pPr>
      <w:r>
        <w:rPr>
          <w:color w:val="auto"/>
          <w:kern w:val="21"/>
        </w:rPr>
        <w:t>（5）《危险化学品安全管理条例》（中华人民共和国国务院令第 645 号，2013.12.7 施行）；</w:t>
      </w:r>
    </w:p>
    <w:p>
      <w:pPr>
        <w:ind w:firstLine="472"/>
        <w:rPr>
          <w:color w:val="auto"/>
          <w:kern w:val="21"/>
        </w:rPr>
      </w:pPr>
      <w:r>
        <w:rPr>
          <w:color w:val="auto"/>
          <w:kern w:val="21"/>
        </w:rPr>
        <w:t>（</w:t>
      </w:r>
      <w:r>
        <w:rPr>
          <w:rFonts w:hint="eastAsia"/>
          <w:color w:val="auto"/>
          <w:kern w:val="21"/>
        </w:rPr>
        <w:t>6</w:t>
      </w:r>
      <w:r>
        <w:rPr>
          <w:color w:val="auto"/>
          <w:kern w:val="21"/>
        </w:rPr>
        <w:t>）《关于印发《企业事业单位突发环境事件应急预案备案管理办法（试行）》的通知》（环发[2015]4 号）；</w:t>
      </w:r>
    </w:p>
    <w:p>
      <w:pPr>
        <w:ind w:firstLine="472"/>
        <w:rPr>
          <w:color w:val="auto"/>
          <w:kern w:val="21"/>
        </w:rPr>
      </w:pPr>
      <w:r>
        <w:rPr>
          <w:color w:val="auto"/>
          <w:kern w:val="21"/>
        </w:rPr>
        <w:t>（</w:t>
      </w:r>
      <w:r>
        <w:rPr>
          <w:rFonts w:hint="eastAsia"/>
          <w:color w:val="auto"/>
          <w:kern w:val="21"/>
        </w:rPr>
        <w:t>7</w:t>
      </w:r>
      <w:r>
        <w:rPr>
          <w:color w:val="auto"/>
          <w:kern w:val="21"/>
        </w:rPr>
        <w:t>）《突发环境事件应急管理办法》（国家环境保护部令第 34 号，2015.3.19施行）；</w:t>
      </w:r>
    </w:p>
    <w:p>
      <w:pPr>
        <w:ind w:firstLine="472"/>
        <w:rPr>
          <w:color w:val="auto"/>
          <w:kern w:val="21"/>
        </w:rPr>
      </w:pPr>
      <w:r>
        <w:rPr>
          <w:color w:val="auto"/>
          <w:kern w:val="21"/>
        </w:rPr>
        <w:t>（</w:t>
      </w:r>
      <w:r>
        <w:rPr>
          <w:rFonts w:hint="eastAsia"/>
          <w:color w:val="auto"/>
          <w:kern w:val="21"/>
        </w:rPr>
        <w:t>8</w:t>
      </w:r>
      <w:r>
        <w:rPr>
          <w:color w:val="auto"/>
          <w:kern w:val="21"/>
        </w:rPr>
        <w:t>）《关于发布&lt;重点环境管理危险化学品名录&gt;的通知》（环办[2014]33 号）；</w:t>
      </w:r>
    </w:p>
    <w:p>
      <w:pPr>
        <w:ind w:firstLine="472"/>
        <w:rPr>
          <w:color w:val="auto"/>
          <w:kern w:val="21"/>
        </w:rPr>
      </w:pPr>
      <w:r>
        <w:rPr>
          <w:color w:val="auto"/>
          <w:kern w:val="21"/>
        </w:rPr>
        <w:t>（</w:t>
      </w:r>
      <w:r>
        <w:rPr>
          <w:rFonts w:hint="eastAsia"/>
          <w:color w:val="auto"/>
          <w:kern w:val="21"/>
        </w:rPr>
        <w:t>9</w:t>
      </w:r>
      <w:r>
        <w:rPr>
          <w:color w:val="auto"/>
          <w:kern w:val="21"/>
        </w:rPr>
        <w:t>）《危险化学品重大危险源辨识》（GB18218-2018）、《危险废物鉴别标准 通则》（GB5085.7-2019）、《危险废物转移联单管理办法》（国家环境保护总局令第 5 号，1999 年 10 月 1 日起施行）；</w:t>
      </w:r>
    </w:p>
    <w:p>
      <w:pPr>
        <w:ind w:firstLine="472"/>
        <w:rPr>
          <w:color w:val="auto"/>
          <w:kern w:val="21"/>
        </w:rPr>
      </w:pPr>
      <w:r>
        <w:rPr>
          <w:color w:val="auto"/>
          <w:kern w:val="21"/>
        </w:rPr>
        <w:t>（1</w:t>
      </w:r>
      <w:r>
        <w:rPr>
          <w:rFonts w:hint="eastAsia"/>
          <w:color w:val="auto"/>
          <w:kern w:val="21"/>
        </w:rPr>
        <w:t>0</w:t>
      </w:r>
      <w:r>
        <w:rPr>
          <w:color w:val="auto"/>
          <w:kern w:val="21"/>
        </w:rPr>
        <w:t>）《国家危险废物名录》（环境保护部令第 15 号，2021.1.1 施行）；</w:t>
      </w:r>
    </w:p>
    <w:p>
      <w:pPr>
        <w:ind w:firstLine="472"/>
        <w:rPr>
          <w:color w:val="auto"/>
          <w:kern w:val="21"/>
        </w:rPr>
      </w:pPr>
      <w:r>
        <w:rPr>
          <w:color w:val="auto"/>
          <w:kern w:val="21"/>
        </w:rPr>
        <w:t>（1</w:t>
      </w:r>
      <w:r>
        <w:rPr>
          <w:rFonts w:hint="eastAsia"/>
          <w:color w:val="auto"/>
          <w:kern w:val="21"/>
        </w:rPr>
        <w:t>1</w:t>
      </w:r>
      <w:r>
        <w:rPr>
          <w:color w:val="auto"/>
          <w:kern w:val="21"/>
        </w:rPr>
        <w:t>）《关于印发水污染防治行动计划的通知》（国发〔2015〕17 号，2015.4.2施行）；</w:t>
      </w:r>
    </w:p>
    <w:p>
      <w:pPr>
        <w:ind w:firstLine="472"/>
        <w:rPr>
          <w:color w:val="auto"/>
        </w:rPr>
      </w:pPr>
      <w:r>
        <w:rPr>
          <w:color w:val="auto"/>
          <w:kern w:val="21"/>
        </w:rPr>
        <w:t>（1</w:t>
      </w:r>
      <w:r>
        <w:rPr>
          <w:rFonts w:hint="eastAsia"/>
          <w:color w:val="auto"/>
          <w:kern w:val="21"/>
        </w:rPr>
        <w:t>2</w:t>
      </w:r>
      <w:r>
        <w:rPr>
          <w:color w:val="auto"/>
          <w:kern w:val="21"/>
        </w:rPr>
        <w:t>）</w:t>
      </w:r>
      <w:r>
        <w:rPr>
          <w:rFonts w:hint="eastAsia"/>
          <w:color w:val="auto"/>
        </w:rPr>
        <w:t>国务院关于印发打赢蓝天保卫战三年行动计划的通知（国发〔2018〕22号）</w:t>
      </w:r>
    </w:p>
    <w:p>
      <w:pPr>
        <w:ind w:firstLine="472"/>
        <w:rPr>
          <w:color w:val="auto"/>
          <w:kern w:val="21"/>
        </w:rPr>
      </w:pPr>
      <w:r>
        <w:rPr>
          <w:color w:val="auto"/>
          <w:kern w:val="21"/>
        </w:rPr>
        <w:t>（1</w:t>
      </w:r>
      <w:r>
        <w:rPr>
          <w:rFonts w:hint="eastAsia"/>
          <w:color w:val="auto"/>
          <w:kern w:val="21"/>
          <w:lang w:val="en-US" w:eastAsia="zh-CN"/>
        </w:rPr>
        <w:t>3</w:t>
      </w:r>
      <w:r>
        <w:rPr>
          <w:color w:val="auto"/>
          <w:kern w:val="21"/>
        </w:rPr>
        <w:t>）《国务院关于印发土壤污染防治行动计划的通知》（国发〔2016〕31号，2016.5.28 施行）；</w:t>
      </w:r>
    </w:p>
    <w:p>
      <w:pPr>
        <w:ind w:firstLine="472"/>
        <w:rPr>
          <w:color w:val="auto"/>
          <w:kern w:val="21"/>
        </w:rPr>
      </w:pPr>
      <w:r>
        <w:rPr>
          <w:color w:val="auto"/>
          <w:kern w:val="21"/>
        </w:rPr>
        <w:t>（1</w:t>
      </w:r>
      <w:r>
        <w:rPr>
          <w:rFonts w:hint="eastAsia"/>
          <w:color w:val="auto"/>
          <w:kern w:val="21"/>
          <w:lang w:val="en-US" w:eastAsia="zh-CN"/>
        </w:rPr>
        <w:t>4</w:t>
      </w:r>
      <w:r>
        <w:rPr>
          <w:color w:val="auto"/>
          <w:kern w:val="21"/>
        </w:rPr>
        <w:t>）《城镇污水处理厂污泥处理处置及污染防治技术政策（试行）》；</w:t>
      </w:r>
    </w:p>
    <w:p>
      <w:pPr>
        <w:ind w:firstLine="472"/>
        <w:rPr>
          <w:color w:val="auto"/>
          <w:kern w:val="21"/>
        </w:rPr>
      </w:pPr>
      <w:r>
        <w:rPr>
          <w:color w:val="auto"/>
          <w:kern w:val="21"/>
        </w:rPr>
        <w:t>（1</w:t>
      </w:r>
      <w:r>
        <w:rPr>
          <w:rFonts w:hint="eastAsia"/>
          <w:color w:val="auto"/>
          <w:kern w:val="21"/>
          <w:lang w:val="en-US" w:eastAsia="zh-CN"/>
        </w:rPr>
        <w:t>5</w:t>
      </w:r>
      <w:r>
        <w:rPr>
          <w:color w:val="auto"/>
          <w:kern w:val="21"/>
        </w:rPr>
        <w:t>）《城市污水处理及污染防治技术政策》；</w:t>
      </w:r>
    </w:p>
    <w:p>
      <w:pPr>
        <w:ind w:firstLine="472"/>
        <w:rPr>
          <w:color w:val="auto"/>
          <w:kern w:val="21"/>
        </w:rPr>
      </w:pPr>
      <w:r>
        <w:rPr>
          <w:color w:val="auto"/>
          <w:kern w:val="21"/>
        </w:rPr>
        <w:t>（1</w:t>
      </w:r>
      <w:r>
        <w:rPr>
          <w:rFonts w:hint="eastAsia"/>
          <w:color w:val="auto"/>
          <w:kern w:val="21"/>
          <w:lang w:val="en-US" w:eastAsia="zh-CN"/>
        </w:rPr>
        <w:t>6</w:t>
      </w:r>
      <w:r>
        <w:rPr>
          <w:color w:val="auto"/>
          <w:kern w:val="21"/>
        </w:rPr>
        <w:t>）《关于加强城镇污水处理厂污泥污染防治工作的通知》；</w:t>
      </w:r>
    </w:p>
    <w:p>
      <w:pPr>
        <w:ind w:firstLine="472"/>
        <w:rPr>
          <w:rStyle w:val="58"/>
          <w:color w:val="auto"/>
        </w:rPr>
      </w:pPr>
      <w:r>
        <w:rPr>
          <w:color w:val="auto"/>
          <w:kern w:val="21"/>
        </w:rPr>
        <w:t>（1</w:t>
      </w:r>
      <w:r>
        <w:rPr>
          <w:rFonts w:hint="eastAsia"/>
          <w:color w:val="auto"/>
          <w:kern w:val="21"/>
          <w:lang w:val="en-US" w:eastAsia="zh-CN"/>
        </w:rPr>
        <w:t>7</w:t>
      </w:r>
      <w:r>
        <w:rPr>
          <w:color w:val="auto"/>
          <w:kern w:val="21"/>
        </w:rPr>
        <w:t>）《环境保护部办公厅关于加快重点行业重点地区的重点排污单位自动监控工作的通知》（环办环监〔2017〕61 号，2017.8.3 施行）</w:t>
      </w:r>
      <w:r>
        <w:rPr>
          <w:rFonts w:hint="eastAsia"/>
          <w:color w:val="auto"/>
          <w:kern w:val="21"/>
        </w:rPr>
        <w:t>；</w:t>
      </w:r>
    </w:p>
    <w:p>
      <w:pPr>
        <w:pStyle w:val="23"/>
        <w:spacing w:line="360" w:lineRule="auto"/>
        <w:ind w:left="0" w:leftChars="0" w:firstLine="472"/>
        <w:rPr>
          <w:rFonts w:hint="eastAsia"/>
          <w:color w:val="auto"/>
        </w:rPr>
      </w:pPr>
      <w:r>
        <w:rPr>
          <w:rFonts w:hint="eastAsia"/>
          <w:color w:val="auto"/>
        </w:rPr>
        <w:t>（1</w:t>
      </w:r>
      <w:r>
        <w:rPr>
          <w:rFonts w:hint="eastAsia"/>
          <w:color w:val="auto"/>
          <w:lang w:val="en-US" w:eastAsia="zh-CN"/>
        </w:rPr>
        <w:t>8</w:t>
      </w:r>
      <w:r>
        <w:rPr>
          <w:rFonts w:hint="eastAsia"/>
          <w:color w:val="auto"/>
        </w:rPr>
        <w:t>）《长江经济带发展负面清单指南（试行，2</w:t>
      </w:r>
      <w:r>
        <w:rPr>
          <w:color w:val="auto"/>
        </w:rPr>
        <w:t>022</w:t>
      </w:r>
      <w:r>
        <w:rPr>
          <w:rFonts w:hint="eastAsia"/>
          <w:color w:val="auto"/>
        </w:rPr>
        <w:t>年版）》。</w:t>
      </w:r>
    </w:p>
    <w:p>
      <w:pPr>
        <w:pStyle w:val="23"/>
        <w:spacing w:after="0" w:line="360" w:lineRule="auto"/>
        <w:ind w:left="0" w:leftChars="0" w:firstLine="472"/>
        <w:rPr>
          <w:color w:val="auto"/>
        </w:rPr>
      </w:pPr>
      <w:r>
        <w:rPr>
          <w:color w:val="auto"/>
          <w:kern w:val="21"/>
          <w:lang w:bidi="ar"/>
        </w:rPr>
        <w:t>（</w:t>
      </w:r>
      <w:r>
        <w:rPr>
          <w:rFonts w:hint="eastAsia"/>
          <w:color w:val="auto"/>
          <w:kern w:val="21"/>
          <w:lang w:val="en-US" w:eastAsia="zh-CN" w:bidi="ar"/>
        </w:rPr>
        <w:t>19</w:t>
      </w:r>
      <w:r>
        <w:rPr>
          <w:color w:val="auto"/>
          <w:kern w:val="21"/>
          <w:lang w:bidi="ar"/>
        </w:rPr>
        <w:t>）</w:t>
      </w:r>
      <w:r>
        <w:rPr>
          <w:rFonts w:hint="eastAsia"/>
          <w:color w:val="auto"/>
        </w:rPr>
        <w:t>国务院印发《国务院关于印发水污染防治行动计划的通知》（国发[2015]17号）（简称“水十条”）；</w:t>
      </w:r>
    </w:p>
    <w:p>
      <w:pPr>
        <w:pStyle w:val="23"/>
        <w:spacing w:after="0" w:line="360" w:lineRule="auto"/>
        <w:ind w:left="0" w:leftChars="0" w:firstLine="472"/>
        <w:rPr>
          <w:color w:val="auto"/>
        </w:rPr>
      </w:pPr>
      <w:r>
        <w:rPr>
          <w:rFonts w:hint="eastAsia"/>
          <w:color w:val="auto"/>
        </w:rPr>
        <w:t>（</w:t>
      </w:r>
      <w:r>
        <w:rPr>
          <w:rFonts w:hint="eastAsia"/>
          <w:color w:val="auto"/>
          <w:lang w:val="en-US" w:eastAsia="zh-CN"/>
        </w:rPr>
        <w:t>20</w:t>
      </w:r>
      <w:r>
        <w:rPr>
          <w:rFonts w:hint="eastAsia"/>
          <w:color w:val="auto"/>
        </w:rPr>
        <w:t>）《国务院关于印发土壤污染防治行动计划的通知》（国发[2016]31号）（简称“土十条”）。</w:t>
      </w:r>
    </w:p>
    <w:p>
      <w:pPr>
        <w:pStyle w:val="6"/>
        <w:spacing w:after="0"/>
        <w:rPr>
          <w:rFonts w:eastAsia="宋体"/>
          <w:color w:val="auto"/>
          <w:kern w:val="21"/>
          <w:sz w:val="24"/>
          <w:szCs w:val="24"/>
        </w:rPr>
      </w:pPr>
      <w:bookmarkStart w:id="13" w:name="_Toc4385"/>
      <w:r>
        <w:rPr>
          <w:rFonts w:eastAsia="宋体"/>
          <w:color w:val="auto"/>
          <w:kern w:val="21"/>
          <w:sz w:val="24"/>
          <w:szCs w:val="24"/>
        </w:rPr>
        <w:t>2.1.3地方性法规及规章</w:t>
      </w:r>
      <w:bookmarkEnd w:id="13"/>
    </w:p>
    <w:p>
      <w:pPr>
        <w:widowControl/>
        <w:ind w:firstLine="472"/>
        <w:jc w:val="left"/>
        <w:rPr>
          <w:color w:val="auto"/>
          <w:kern w:val="21"/>
        </w:rPr>
      </w:pPr>
      <w:r>
        <w:rPr>
          <w:color w:val="auto"/>
          <w:kern w:val="21"/>
          <w:lang w:bidi="ar"/>
        </w:rPr>
        <w:t>（1）《云南省环境保护条例》，2014年修订；</w:t>
      </w:r>
    </w:p>
    <w:p>
      <w:pPr>
        <w:widowControl/>
        <w:ind w:firstLine="472"/>
        <w:jc w:val="left"/>
        <w:rPr>
          <w:color w:val="auto"/>
          <w:kern w:val="21"/>
        </w:rPr>
      </w:pPr>
      <w:r>
        <w:rPr>
          <w:color w:val="auto"/>
          <w:kern w:val="21"/>
          <w:lang w:bidi="ar"/>
        </w:rPr>
        <w:t>（2）</w:t>
      </w:r>
      <w:r>
        <w:rPr>
          <w:color w:val="auto"/>
          <w:kern w:val="21"/>
        </w:rPr>
        <w:t>《云南省人民政府办公厅关于进一步加强环境影响评价管理工作的通知》，2007年7月；</w:t>
      </w:r>
    </w:p>
    <w:p>
      <w:pPr>
        <w:tabs>
          <w:tab w:val="left" w:pos="750"/>
        </w:tabs>
        <w:ind w:firstLine="472"/>
        <w:rPr>
          <w:color w:val="auto"/>
          <w:kern w:val="21"/>
        </w:rPr>
      </w:pPr>
      <w:r>
        <w:rPr>
          <w:color w:val="auto"/>
          <w:kern w:val="21"/>
        </w:rPr>
        <w:t>（3）《云南省建设项目环境保护管理规定》，2001年10月云南省政府令第105号令；</w:t>
      </w:r>
    </w:p>
    <w:p>
      <w:pPr>
        <w:tabs>
          <w:tab w:val="left" w:pos="750"/>
        </w:tabs>
        <w:ind w:firstLine="472"/>
        <w:rPr>
          <w:color w:val="auto"/>
          <w:kern w:val="21"/>
        </w:rPr>
      </w:pPr>
      <w:r>
        <w:rPr>
          <w:color w:val="auto"/>
          <w:kern w:val="21"/>
        </w:rPr>
        <w:t>（4）《云南省人民政府关于印发七彩云南保护行动，努力开创全省环保工作新局面》，云南省人民政府文件云政发（2007）8号；</w:t>
      </w:r>
    </w:p>
    <w:p>
      <w:pPr>
        <w:tabs>
          <w:tab w:val="left" w:pos="750"/>
        </w:tabs>
        <w:ind w:firstLine="472"/>
        <w:rPr>
          <w:color w:val="auto"/>
          <w:kern w:val="21"/>
        </w:rPr>
      </w:pPr>
      <w:r>
        <w:rPr>
          <w:color w:val="auto"/>
          <w:kern w:val="21"/>
        </w:rPr>
        <w:t>（5）《云南省主体功能区划》，（云政发[2014]1号）；</w:t>
      </w:r>
    </w:p>
    <w:p>
      <w:pPr>
        <w:tabs>
          <w:tab w:val="left" w:pos="750"/>
        </w:tabs>
        <w:ind w:firstLine="472"/>
        <w:rPr>
          <w:color w:val="auto"/>
          <w:kern w:val="21"/>
        </w:rPr>
      </w:pPr>
      <w:r>
        <w:rPr>
          <w:color w:val="auto"/>
          <w:kern w:val="21"/>
        </w:rPr>
        <w:t>（6）《云南省人民政府关于发布云南省生态保护红线的通知》，云政发</w:t>
      </w:r>
      <w:r>
        <w:rPr>
          <w:rFonts w:hint="eastAsia"/>
          <w:color w:val="auto"/>
          <w:kern w:val="21"/>
        </w:rPr>
        <w:t>[</w:t>
      </w:r>
      <w:r>
        <w:rPr>
          <w:color w:val="auto"/>
          <w:kern w:val="21"/>
        </w:rPr>
        <w:t>2018</w:t>
      </w:r>
      <w:r>
        <w:rPr>
          <w:rFonts w:hint="eastAsia"/>
          <w:color w:val="auto"/>
          <w:kern w:val="21"/>
        </w:rPr>
        <w:t>]</w:t>
      </w:r>
      <w:r>
        <w:rPr>
          <w:color w:val="auto"/>
          <w:kern w:val="21"/>
        </w:rPr>
        <w:t>32号；</w:t>
      </w:r>
    </w:p>
    <w:p>
      <w:pPr>
        <w:ind w:firstLine="472"/>
        <w:rPr>
          <w:color w:val="auto"/>
          <w:kern w:val="21"/>
        </w:rPr>
      </w:pPr>
      <w:r>
        <w:rPr>
          <w:color w:val="auto"/>
          <w:kern w:val="21"/>
        </w:rPr>
        <w:t>（7）</w:t>
      </w:r>
      <w:r>
        <w:rPr>
          <w:color w:val="auto"/>
          <w:kern w:val="21"/>
          <w:lang w:bidi="ar"/>
        </w:rPr>
        <w:t>《云南省人民政府关于印发云南省水污染防治工作方案的通知》，云政发[2016]3号</w:t>
      </w:r>
      <w:r>
        <w:rPr>
          <w:rFonts w:hint="eastAsia"/>
          <w:color w:val="auto"/>
          <w:kern w:val="21"/>
          <w:lang w:bidi="ar"/>
        </w:rPr>
        <w:t>；</w:t>
      </w:r>
    </w:p>
    <w:p>
      <w:pPr>
        <w:pStyle w:val="6"/>
        <w:spacing w:after="0"/>
        <w:rPr>
          <w:rFonts w:eastAsia="宋体"/>
          <w:color w:val="auto"/>
          <w:kern w:val="21"/>
          <w:sz w:val="24"/>
          <w:szCs w:val="24"/>
        </w:rPr>
      </w:pPr>
      <w:bookmarkStart w:id="14" w:name="_Toc28137"/>
      <w:r>
        <w:rPr>
          <w:rFonts w:eastAsia="宋体"/>
          <w:color w:val="auto"/>
          <w:kern w:val="21"/>
          <w:sz w:val="24"/>
          <w:szCs w:val="24"/>
        </w:rPr>
        <w:t>2.1.4环境影响评价技术导则及规范</w:t>
      </w:r>
      <w:bookmarkEnd w:id="14"/>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（1）《环境影响评价技术导则 总纲》，HJ2.1-2016，2017.1.1 实施；</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 xml:space="preserve">（2）《环境影响评价技术导则 大气环境》，HJ2.2-2018，2018.12.1 实施； </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 xml:space="preserve">（3）《环境影响评价技术导则 地表水环境》，HJ2.3-2018，2019.3.1 实施； </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（4）《环境影响评价技术导则 声环境》，HJ2.4-2021</w:t>
      </w:r>
      <w:r>
        <w:rPr>
          <w:rFonts w:hint="eastAsia" w:ascii="Times New Roman" w:hAnsi="Times New Roman"/>
          <w:color w:val="auto"/>
          <w:kern w:val="21"/>
          <w:sz w:val="24"/>
          <w:szCs w:val="24"/>
        </w:rPr>
        <w:t>，</w:t>
      </w:r>
      <w:r>
        <w:rPr>
          <w:rFonts w:ascii="Times New Roman" w:hAnsi="Times New Roman"/>
          <w:color w:val="auto"/>
          <w:kern w:val="21"/>
          <w:sz w:val="24"/>
          <w:szCs w:val="24"/>
        </w:rPr>
        <w:t xml:space="preserve">2022.7.1 实施； </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（5）《环境影响评价技术导则 地下水环境》，HJ610-2016，2016.1.7 实施；</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（6）《环境影响评价技术导则 土壤环境（试行）》HJ964-2018，2019.7.1实施；</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（7）《环境影响评价技术导则 生态影响》，HJ19-2022，2022.7.1 实施；</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（8）《建设项目环境风险评价技术导则》，HJ169-2018，2019.3.1 实施；</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（9）《环境空气质量手工监测技术规范》（HJ/T194-2017）；</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（10）《空气和废气监测分析方法（第四版）》（2003 年 9 月）；</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（11）《地表水和污水监测技术规范》（HJ/T91-20</w:t>
      </w:r>
      <w:r>
        <w:rPr>
          <w:rFonts w:hint="eastAsia" w:ascii="Times New Roman" w:hAnsi="Times New Roman"/>
          <w:color w:val="auto"/>
          <w:kern w:val="21"/>
          <w:sz w:val="24"/>
          <w:szCs w:val="24"/>
        </w:rPr>
        <w:t>19</w:t>
      </w:r>
      <w:r>
        <w:rPr>
          <w:rFonts w:ascii="Times New Roman" w:hAnsi="Times New Roman"/>
          <w:color w:val="auto"/>
          <w:kern w:val="21"/>
          <w:sz w:val="24"/>
          <w:szCs w:val="24"/>
        </w:rPr>
        <w:t>）；</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（12）《水和废水监测分析方法（第四版）》；</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（13）《声环境功能区划分技术规范》（GBT15190-2014）；</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（14）《排污单位自行监测技术指南总则》（HJ819-2017）；</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（15）《危险废物处置工程技术导则》（HJ2042-2014）；</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（16）《危险废物收集、贮存、运输技术规范》（HJ2025-2012）；</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（17）《建设项目危险废物环境影响评价指南》（环境保护部公告2017年第43 号）；</w:t>
      </w:r>
    </w:p>
    <w:p>
      <w:pPr>
        <w:pStyle w:val="16"/>
        <w:adjustRightInd/>
        <w:spacing w:before="0"/>
        <w:ind w:right="0" w:firstLine="472"/>
        <w:rPr>
          <w:rFonts w:ascii="Times New Roman" w:hAnsi="Times New Roman"/>
          <w:color w:val="auto"/>
          <w:sz w:val="24"/>
          <w:szCs w:val="24"/>
        </w:rPr>
      </w:pPr>
      <w:r>
        <w:rPr>
          <w:rFonts w:ascii="Times New Roman" w:hAnsi="Times New Roman"/>
          <w:color w:val="auto"/>
          <w:kern w:val="21"/>
          <w:sz w:val="24"/>
          <w:szCs w:val="24"/>
        </w:rPr>
        <w:t>（18）《水污染源在线监测系统运行技术规范》（HJ355-2019）；</w:t>
      </w:r>
    </w:p>
    <w:p>
      <w:pPr>
        <w:ind w:firstLine="472"/>
        <w:rPr>
          <w:color w:val="auto"/>
        </w:rPr>
      </w:pPr>
      <w:r>
        <w:rPr>
          <w:color w:val="auto"/>
        </w:rPr>
        <w:t>（19）《排污许可证申请与核发技术规范 水处理》（HJ 978-2018）；</w:t>
      </w:r>
    </w:p>
    <w:p>
      <w:pPr>
        <w:pStyle w:val="23"/>
        <w:spacing w:after="0" w:line="360" w:lineRule="auto"/>
        <w:ind w:left="0" w:leftChars="0" w:firstLine="472"/>
        <w:rPr>
          <w:color w:val="auto"/>
        </w:rPr>
      </w:pPr>
      <w:r>
        <w:rPr>
          <w:color w:val="auto"/>
        </w:rPr>
        <w:t>（20）《污染源强核算技术指南 总则》；</w:t>
      </w:r>
    </w:p>
    <w:p>
      <w:pPr>
        <w:pStyle w:val="23"/>
        <w:spacing w:after="0" w:line="360" w:lineRule="auto"/>
        <w:ind w:left="0" w:leftChars="0" w:firstLine="472"/>
        <w:rPr>
          <w:color w:val="auto"/>
        </w:rPr>
      </w:pPr>
      <w:r>
        <w:rPr>
          <w:color w:val="auto"/>
        </w:rPr>
        <w:t>（21）《排污单位自行监测技术指南 水处理》</w:t>
      </w:r>
      <w:r>
        <w:rPr>
          <w:color w:val="auto"/>
        </w:rPr>
        <w:fldChar w:fldCharType="begin"/>
      </w:r>
      <w:r>
        <w:rPr>
          <w:color w:val="auto"/>
        </w:rPr>
        <w:instrText xml:space="preserve"> HYPERLINK "https://www.mee.gov.cn/ywgz/fgbz/bz/bzwb/jcffbz/202001/W020200113382867127256.pdf" </w:instrText>
      </w:r>
      <w:r>
        <w:rPr>
          <w:color w:val="auto"/>
        </w:rPr>
        <w:fldChar w:fldCharType="separate"/>
      </w:r>
      <w:r>
        <w:rPr>
          <w:color w:val="auto"/>
        </w:rPr>
        <w:t>（HJ 1083—2020）</w:t>
      </w:r>
      <w:r>
        <w:rPr>
          <w:color w:val="auto"/>
        </w:rPr>
        <w:fldChar w:fldCharType="end"/>
      </w:r>
      <w:r>
        <w:rPr>
          <w:color w:val="auto"/>
        </w:rPr>
        <w:t>。</w:t>
      </w:r>
    </w:p>
    <w:p>
      <w:pPr>
        <w:pStyle w:val="6"/>
        <w:spacing w:after="0"/>
        <w:rPr>
          <w:rFonts w:eastAsia="宋体"/>
          <w:color w:val="auto"/>
          <w:kern w:val="21"/>
          <w:sz w:val="24"/>
          <w:szCs w:val="24"/>
        </w:rPr>
      </w:pPr>
      <w:bookmarkStart w:id="15" w:name="_Toc11799"/>
      <w:r>
        <w:rPr>
          <w:rFonts w:eastAsia="宋体"/>
          <w:color w:val="auto"/>
          <w:kern w:val="21"/>
          <w:sz w:val="24"/>
          <w:szCs w:val="24"/>
        </w:rPr>
        <w:t>2.1.5相关规划</w:t>
      </w:r>
      <w:bookmarkEnd w:id="15"/>
    </w:p>
    <w:p>
      <w:pPr>
        <w:ind w:firstLine="472"/>
        <w:rPr>
          <w:color w:val="auto"/>
          <w:kern w:val="21"/>
        </w:rPr>
      </w:pPr>
      <w:r>
        <w:rPr>
          <w:color w:val="auto"/>
          <w:kern w:val="21"/>
        </w:rPr>
        <w:t>（</w:t>
      </w:r>
      <w:r>
        <w:rPr>
          <w:rFonts w:hint="eastAsia"/>
          <w:color w:val="auto"/>
          <w:kern w:val="21"/>
        </w:rPr>
        <w:t>1</w:t>
      </w:r>
      <w:r>
        <w:rPr>
          <w:color w:val="auto"/>
          <w:kern w:val="21"/>
        </w:rPr>
        <w:t>）《楚雄市城市建设“十三五”发展规划（2016-2030年）》；</w:t>
      </w:r>
    </w:p>
    <w:p>
      <w:pPr>
        <w:ind w:firstLine="472"/>
        <w:rPr>
          <w:color w:val="auto"/>
          <w:kern w:val="21"/>
        </w:rPr>
      </w:pPr>
      <w:r>
        <w:rPr>
          <w:color w:val="auto"/>
          <w:kern w:val="21"/>
        </w:rPr>
        <w:t>（</w:t>
      </w:r>
      <w:r>
        <w:rPr>
          <w:rFonts w:hint="eastAsia"/>
          <w:color w:val="auto"/>
          <w:kern w:val="21"/>
        </w:rPr>
        <w:t>2</w:t>
      </w:r>
      <w:r>
        <w:rPr>
          <w:color w:val="auto"/>
          <w:kern w:val="21"/>
        </w:rPr>
        <w:t>）《楚雄工业园总体规划修改</w:t>
      </w:r>
      <w:r>
        <w:rPr>
          <w:rFonts w:hint="eastAsia"/>
          <w:color w:val="auto"/>
          <w:kern w:val="21"/>
        </w:rPr>
        <w:t>（</w:t>
      </w:r>
      <w:r>
        <w:rPr>
          <w:color w:val="auto"/>
          <w:kern w:val="21"/>
        </w:rPr>
        <w:t>2018—2035</w:t>
      </w:r>
      <w:r>
        <w:rPr>
          <w:rFonts w:hint="eastAsia"/>
          <w:color w:val="auto"/>
          <w:kern w:val="21"/>
        </w:rPr>
        <w:t>）</w:t>
      </w:r>
      <w:r>
        <w:rPr>
          <w:color w:val="auto"/>
          <w:kern w:val="21"/>
        </w:rPr>
        <w:t>》；</w:t>
      </w:r>
    </w:p>
    <w:p>
      <w:pPr>
        <w:ind w:firstLine="472"/>
        <w:rPr>
          <w:color w:val="auto"/>
          <w:kern w:val="21"/>
        </w:rPr>
      </w:pPr>
      <w:r>
        <w:rPr>
          <w:color w:val="auto"/>
          <w:kern w:val="21"/>
        </w:rPr>
        <w:t>（</w:t>
      </w:r>
      <w:r>
        <w:rPr>
          <w:rFonts w:hint="eastAsia"/>
          <w:color w:val="auto"/>
          <w:kern w:val="21"/>
        </w:rPr>
        <w:t>3</w:t>
      </w:r>
      <w:r>
        <w:rPr>
          <w:color w:val="auto"/>
          <w:kern w:val="21"/>
        </w:rPr>
        <w:t>）《楚雄工业园富民庄甸工业区富民片区控制性详细规划》</w:t>
      </w:r>
      <w:r>
        <w:rPr>
          <w:rFonts w:hint="eastAsia"/>
          <w:color w:val="auto"/>
          <w:kern w:val="21"/>
        </w:rPr>
        <w:t>；</w:t>
      </w:r>
    </w:p>
    <w:p>
      <w:pPr>
        <w:pStyle w:val="23"/>
        <w:spacing w:after="0" w:line="360" w:lineRule="auto"/>
        <w:ind w:left="0" w:leftChars="0" w:firstLine="472"/>
        <w:rPr>
          <w:color w:val="auto"/>
        </w:rPr>
      </w:pPr>
      <w:r>
        <w:rPr>
          <w:rFonts w:hint="eastAsia"/>
          <w:color w:val="auto"/>
        </w:rPr>
        <w:t>（4）《楚雄州水功能区划》（楚政复[2017]15号）。</w:t>
      </w:r>
    </w:p>
    <w:p>
      <w:pPr>
        <w:pStyle w:val="6"/>
        <w:spacing w:after="0"/>
        <w:rPr>
          <w:rFonts w:eastAsia="宋体"/>
          <w:color w:val="auto"/>
          <w:kern w:val="21"/>
          <w:sz w:val="24"/>
          <w:szCs w:val="24"/>
        </w:rPr>
      </w:pPr>
      <w:bookmarkStart w:id="16" w:name="_Toc8552"/>
      <w:r>
        <w:rPr>
          <w:rFonts w:eastAsia="宋体"/>
          <w:color w:val="auto"/>
          <w:kern w:val="21"/>
          <w:sz w:val="24"/>
          <w:szCs w:val="24"/>
        </w:rPr>
        <w:t>2.1.6委托书、技术资料</w:t>
      </w:r>
      <w:bookmarkEnd w:id="16"/>
    </w:p>
    <w:p>
      <w:pPr>
        <w:widowControl/>
        <w:ind w:firstLine="472"/>
        <w:jc w:val="left"/>
        <w:rPr>
          <w:color w:val="auto"/>
          <w:kern w:val="21"/>
        </w:rPr>
      </w:pPr>
      <w:r>
        <w:rPr>
          <w:color w:val="auto"/>
          <w:kern w:val="21"/>
        </w:rPr>
        <w:t>（1）</w:t>
      </w:r>
      <w:r>
        <w:rPr>
          <w:rFonts w:hint="eastAsia"/>
          <w:color w:val="auto"/>
          <w:kern w:val="21"/>
          <w:lang w:bidi="ar"/>
        </w:rPr>
        <w:t>环评</w:t>
      </w:r>
      <w:r>
        <w:rPr>
          <w:color w:val="auto"/>
          <w:kern w:val="21"/>
        </w:rPr>
        <w:t>委托书；</w:t>
      </w:r>
    </w:p>
    <w:p>
      <w:pPr>
        <w:ind w:firstLine="472"/>
        <w:rPr>
          <w:color w:val="auto"/>
          <w:kern w:val="21"/>
        </w:rPr>
      </w:pPr>
      <w:r>
        <w:rPr>
          <w:color w:val="auto"/>
          <w:kern w:val="21"/>
        </w:rPr>
        <w:t>（2）《楚雄市富民工业园区污水处理厂工程可行性研究报告》；</w:t>
      </w:r>
    </w:p>
    <w:p>
      <w:pPr>
        <w:ind w:firstLine="472"/>
        <w:rPr>
          <w:color w:val="auto"/>
          <w:kern w:val="21"/>
        </w:rPr>
      </w:pPr>
      <w:r>
        <w:rPr>
          <w:color w:val="auto"/>
          <w:kern w:val="21"/>
        </w:rPr>
        <w:t>（3）《楚雄市富民工业园区工业污水处理厂项目场地岩土工程勘察</w:t>
      </w:r>
      <w:r>
        <w:rPr>
          <w:bCs/>
          <w:color w:val="auto"/>
          <w:kern w:val="21"/>
        </w:rPr>
        <w:t>报告</w:t>
      </w:r>
      <w:r>
        <w:rPr>
          <w:color w:val="auto"/>
          <w:kern w:val="21"/>
        </w:rPr>
        <w:t>》（云南地质工程第二勘察院，2020年4月）；</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（4）</w:t>
      </w:r>
      <w:r>
        <w:rPr>
          <w:rFonts w:hint="eastAsia" w:ascii="Times New Roman" w:hAnsi="Times New Roman"/>
          <w:color w:val="auto"/>
          <w:kern w:val="21"/>
          <w:sz w:val="24"/>
          <w:szCs w:val="24"/>
        </w:rPr>
        <w:t>《楚雄市富民工业园区污水处理厂工程入河排污口设置报告》（云南骞晟工程安全技术服务有限公司，2022年2月）</w:t>
      </w:r>
    </w:p>
    <w:p>
      <w:pPr>
        <w:pStyle w:val="177"/>
        <w:spacing w:before="0" w:after="0" w:line="360" w:lineRule="auto"/>
        <w:ind w:left="0" w:right="0" w:firstLine="480" w:firstLineChars="200"/>
        <w:jc w:val="both"/>
        <w:rPr>
          <w:i w:val="0"/>
          <w:color w:val="auto"/>
          <w:kern w:val="21"/>
          <w:sz w:val="24"/>
          <w:szCs w:val="24"/>
        </w:rPr>
      </w:pPr>
      <w:r>
        <w:rPr>
          <w:i w:val="0"/>
          <w:color w:val="auto"/>
          <w:kern w:val="21"/>
          <w:sz w:val="24"/>
          <w:szCs w:val="24"/>
        </w:rPr>
        <w:t>（5）</w:t>
      </w:r>
      <w:r>
        <w:rPr>
          <w:rFonts w:hint="eastAsia"/>
          <w:i w:val="0"/>
          <w:color w:val="auto"/>
          <w:kern w:val="21"/>
          <w:sz w:val="24"/>
          <w:szCs w:val="24"/>
        </w:rPr>
        <w:t>《楚雄市青龙河入龙川江口断面水体达标方案（2021-2025 年）》（楚雄市人民政府，2021年11月）</w:t>
      </w:r>
    </w:p>
    <w:p>
      <w:pPr>
        <w:ind w:firstLine="472"/>
        <w:rPr>
          <w:bCs/>
          <w:color w:val="auto"/>
          <w:kern w:val="21"/>
        </w:rPr>
      </w:pPr>
      <w:r>
        <w:rPr>
          <w:color w:val="auto"/>
          <w:kern w:val="21"/>
        </w:rPr>
        <w:t>（</w:t>
      </w:r>
      <w:r>
        <w:rPr>
          <w:rFonts w:hint="eastAsia"/>
          <w:color w:val="auto"/>
          <w:kern w:val="21"/>
        </w:rPr>
        <w:t>6</w:t>
      </w:r>
      <w:r>
        <w:rPr>
          <w:color w:val="auto"/>
          <w:kern w:val="21"/>
        </w:rPr>
        <w:t>）</w:t>
      </w:r>
      <w:r>
        <w:rPr>
          <w:rFonts w:hint="eastAsia"/>
          <w:color w:val="auto"/>
          <w:kern w:val="21"/>
          <w:lang w:bidi="ar"/>
        </w:rPr>
        <w:t>建设单位</w:t>
      </w:r>
      <w:r>
        <w:rPr>
          <w:bCs/>
          <w:color w:val="auto"/>
          <w:kern w:val="21"/>
        </w:rPr>
        <w:t>提供的其它资料。</w:t>
      </w:r>
    </w:p>
    <w:p>
      <w:pPr>
        <w:pStyle w:val="5"/>
        <w:spacing w:after="0"/>
        <w:rPr>
          <w:color w:val="auto"/>
          <w:kern w:val="21"/>
          <w:sz w:val="28"/>
        </w:rPr>
      </w:pPr>
      <w:bookmarkStart w:id="17" w:name="_Toc188246148"/>
      <w:bookmarkStart w:id="18" w:name="_Toc17814"/>
      <w:r>
        <w:rPr>
          <w:color w:val="auto"/>
          <w:kern w:val="21"/>
          <w:sz w:val="28"/>
        </w:rPr>
        <w:t>2.2评价重点和评价原则</w:t>
      </w:r>
      <w:bookmarkEnd w:id="17"/>
      <w:bookmarkEnd w:id="18"/>
    </w:p>
    <w:p>
      <w:pPr>
        <w:pStyle w:val="6"/>
        <w:spacing w:after="0"/>
        <w:rPr>
          <w:rFonts w:eastAsia="宋体"/>
          <w:color w:val="auto"/>
          <w:kern w:val="21"/>
          <w:sz w:val="24"/>
          <w:szCs w:val="24"/>
        </w:rPr>
      </w:pPr>
      <w:bookmarkStart w:id="19" w:name="_Toc20892"/>
      <w:r>
        <w:rPr>
          <w:rFonts w:eastAsia="宋体"/>
          <w:color w:val="auto"/>
          <w:kern w:val="21"/>
          <w:sz w:val="24"/>
          <w:szCs w:val="24"/>
        </w:rPr>
        <w:t>2.2.1评价重点</w:t>
      </w:r>
      <w:bookmarkEnd w:id="19"/>
    </w:p>
    <w:p>
      <w:pPr>
        <w:ind w:firstLine="472"/>
        <w:jc w:val="left"/>
        <w:rPr>
          <w:color w:val="auto"/>
          <w:kern w:val="21"/>
        </w:rPr>
      </w:pPr>
      <w:r>
        <w:rPr>
          <w:color w:val="auto"/>
          <w:kern w:val="21"/>
        </w:rPr>
        <w:t>根据项目建设内容和特点，结合周围自然地理条件和环境质量状况，本次评价的重点是预测污水处理厂经处理达标的尾水排放对青龙河水环境的影响、</w:t>
      </w:r>
      <w:r>
        <w:rPr>
          <w:rFonts w:hint="eastAsia"/>
          <w:color w:val="auto"/>
          <w:kern w:val="21"/>
        </w:rPr>
        <w:t>臭气影响</w:t>
      </w:r>
      <w:r>
        <w:rPr>
          <w:color w:val="auto"/>
          <w:kern w:val="21"/>
        </w:rPr>
        <w:t>、污泥处置方案的可行性，并分析厂址选择的合理性。</w:t>
      </w:r>
    </w:p>
    <w:p>
      <w:pPr>
        <w:pStyle w:val="6"/>
        <w:spacing w:after="0"/>
        <w:rPr>
          <w:rFonts w:eastAsia="宋体"/>
          <w:color w:val="auto"/>
          <w:kern w:val="21"/>
          <w:sz w:val="24"/>
          <w:szCs w:val="24"/>
        </w:rPr>
      </w:pPr>
      <w:bookmarkStart w:id="20" w:name="_Toc11017"/>
      <w:r>
        <w:rPr>
          <w:rFonts w:eastAsia="宋体"/>
          <w:color w:val="auto"/>
          <w:kern w:val="21"/>
          <w:sz w:val="24"/>
          <w:szCs w:val="24"/>
        </w:rPr>
        <w:t>2.2.2评价原则</w:t>
      </w:r>
      <w:bookmarkEnd w:id="20"/>
    </w:p>
    <w:p>
      <w:pPr>
        <w:ind w:firstLine="472"/>
        <w:rPr>
          <w:color w:val="auto"/>
          <w:kern w:val="21"/>
        </w:rPr>
      </w:pPr>
      <w:r>
        <w:rPr>
          <w:color w:val="auto"/>
          <w:kern w:val="21"/>
        </w:rPr>
        <w:t>为执行国家及地方有关环境保护法律、法规及政策，促进区域经济、社会和环境效益的提高，走可持续发展道路，评价中贯彻以下原则：</w:t>
      </w:r>
    </w:p>
    <w:p>
      <w:pPr>
        <w:widowControl/>
        <w:ind w:firstLine="472"/>
        <w:jc w:val="left"/>
        <w:rPr>
          <w:color w:val="auto"/>
          <w:kern w:val="21"/>
        </w:rPr>
      </w:pPr>
      <w:r>
        <w:rPr>
          <w:color w:val="auto"/>
          <w:kern w:val="21"/>
          <w:lang w:bidi="ar"/>
        </w:rPr>
        <w:t>（1）依法评价</w:t>
      </w:r>
    </w:p>
    <w:p>
      <w:pPr>
        <w:widowControl/>
        <w:ind w:firstLine="472"/>
        <w:jc w:val="left"/>
        <w:rPr>
          <w:color w:val="auto"/>
          <w:kern w:val="21"/>
        </w:rPr>
      </w:pPr>
      <w:r>
        <w:rPr>
          <w:color w:val="auto"/>
          <w:kern w:val="21"/>
          <w:lang w:bidi="ar"/>
        </w:rPr>
        <w:t>贯彻执行我国环境保护相关法律法规、标准、政策和规划等，优化项目建设，服务环境管理。</w:t>
      </w:r>
    </w:p>
    <w:p>
      <w:pPr>
        <w:widowControl/>
        <w:ind w:firstLine="472"/>
        <w:jc w:val="left"/>
        <w:rPr>
          <w:color w:val="auto"/>
          <w:kern w:val="21"/>
        </w:rPr>
      </w:pPr>
      <w:r>
        <w:rPr>
          <w:color w:val="auto"/>
          <w:kern w:val="21"/>
          <w:lang w:bidi="ar"/>
        </w:rPr>
        <w:t>（2）科学评价</w:t>
      </w:r>
    </w:p>
    <w:p>
      <w:pPr>
        <w:widowControl/>
        <w:ind w:firstLine="472"/>
        <w:jc w:val="left"/>
        <w:rPr>
          <w:color w:val="auto"/>
          <w:kern w:val="21"/>
        </w:rPr>
      </w:pPr>
      <w:r>
        <w:rPr>
          <w:color w:val="auto"/>
          <w:kern w:val="21"/>
          <w:lang w:bidi="ar"/>
        </w:rPr>
        <w:t>规范环境影响评价方法，科学分析项目建设对环境质量的影响。</w:t>
      </w:r>
    </w:p>
    <w:p>
      <w:pPr>
        <w:widowControl/>
        <w:ind w:firstLine="472"/>
        <w:jc w:val="left"/>
        <w:rPr>
          <w:color w:val="auto"/>
          <w:kern w:val="21"/>
        </w:rPr>
      </w:pPr>
      <w:r>
        <w:rPr>
          <w:color w:val="auto"/>
          <w:kern w:val="21"/>
          <w:lang w:bidi="ar"/>
        </w:rPr>
        <w:t>（3）突出重点</w:t>
      </w:r>
    </w:p>
    <w:p>
      <w:pPr>
        <w:widowControl/>
        <w:ind w:firstLine="472"/>
        <w:jc w:val="left"/>
        <w:rPr>
          <w:color w:val="auto"/>
          <w:kern w:val="21"/>
          <w:lang w:bidi="ar"/>
        </w:rPr>
      </w:pPr>
      <w:r>
        <w:rPr>
          <w:color w:val="auto"/>
          <w:kern w:val="21"/>
          <w:lang w:bidi="ar"/>
        </w:rPr>
        <w:t>根据建设项目的工程内容及其特点，明确与环境要素间的作用效应关系，充分利用符合时效的数据资源及成果，对建设项目主要环境影响予以重点分析及评价。</w:t>
      </w:r>
    </w:p>
    <w:p>
      <w:pPr>
        <w:pStyle w:val="5"/>
        <w:spacing w:after="0"/>
        <w:rPr>
          <w:color w:val="auto"/>
          <w:kern w:val="21"/>
          <w:sz w:val="28"/>
        </w:rPr>
      </w:pPr>
      <w:bookmarkStart w:id="21" w:name="_Toc12467"/>
      <w:r>
        <w:rPr>
          <w:color w:val="auto"/>
          <w:kern w:val="21"/>
          <w:sz w:val="28"/>
        </w:rPr>
        <w:t>2.3环境影响因素识别、评价因子筛选、评价等级及评价范围</w:t>
      </w:r>
      <w:bookmarkEnd w:id="21"/>
    </w:p>
    <w:p>
      <w:pPr>
        <w:pStyle w:val="6"/>
        <w:spacing w:after="0"/>
        <w:rPr>
          <w:rFonts w:eastAsia="宋体"/>
          <w:color w:val="auto"/>
          <w:kern w:val="21"/>
          <w:sz w:val="24"/>
          <w:szCs w:val="24"/>
        </w:rPr>
      </w:pPr>
      <w:bookmarkStart w:id="22" w:name="_Toc2709"/>
      <w:r>
        <w:rPr>
          <w:rFonts w:eastAsia="宋体"/>
          <w:color w:val="auto"/>
          <w:kern w:val="21"/>
          <w:sz w:val="24"/>
          <w:szCs w:val="24"/>
        </w:rPr>
        <w:t>2.3.1环境影响因素识别</w:t>
      </w:r>
      <w:bookmarkEnd w:id="22"/>
    </w:p>
    <w:p>
      <w:pPr>
        <w:widowControl/>
        <w:ind w:firstLine="472"/>
        <w:jc w:val="left"/>
        <w:rPr>
          <w:color w:val="auto"/>
          <w:kern w:val="21"/>
        </w:rPr>
      </w:pPr>
      <w:r>
        <w:rPr>
          <w:color w:val="auto"/>
          <w:kern w:val="21"/>
          <w:lang w:bidi="ar"/>
        </w:rPr>
        <w:t>本项目为新建项目，主要从自然条件、自然资源两个方面考虑建设项目施工期和运行期的环境影响程度，项目环境影响因素识别见</w:t>
      </w:r>
      <w:r>
        <w:rPr>
          <w:rFonts w:hint="eastAsia"/>
          <w:color w:val="auto"/>
          <w:kern w:val="21"/>
          <w:lang w:eastAsia="zh-CN" w:bidi="ar"/>
        </w:rPr>
        <w:t>下表</w:t>
      </w:r>
      <w:r>
        <w:rPr>
          <w:color w:val="auto"/>
          <w:kern w:val="21"/>
          <w:lang w:bidi="ar"/>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hint="default" w:ascii="Times New Roman" w:hAnsi="Times New Roman" w:cs="Times New Roman"/>
          <w:b/>
          <w:bCs/>
          <w:color w:val="auto"/>
          <w:kern w:val="21"/>
        </w:rPr>
      </w:pPr>
      <w:r>
        <w:rPr>
          <w:rFonts w:hint="default" w:ascii="Times New Roman" w:hAnsi="Times New Roman" w:cs="Times New Roman"/>
          <w:b/>
          <w:bCs/>
          <w:color w:val="auto"/>
          <w:kern w:val="21"/>
        </w:rPr>
        <w:t>项目环境影响因素识别表</w:t>
      </w:r>
    </w:p>
    <w:tbl>
      <w:tblPr>
        <w:tblStyle w:val="51"/>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6"/>
        <w:gridCol w:w="784"/>
        <w:gridCol w:w="819"/>
        <w:gridCol w:w="871"/>
        <w:gridCol w:w="792"/>
        <w:gridCol w:w="676"/>
        <w:gridCol w:w="781"/>
        <w:gridCol w:w="795"/>
        <w:gridCol w:w="771"/>
        <w:gridCol w:w="688"/>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10" w:type="dxa"/>
            <w:gridSpan w:val="2"/>
            <w:vMerge w:val="restart"/>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环境因素</w:t>
            </w:r>
          </w:p>
        </w:tc>
        <w:tc>
          <w:tcPr>
            <w:tcW w:w="1690" w:type="dxa"/>
            <w:gridSpan w:val="2"/>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废水排放</w:t>
            </w:r>
          </w:p>
        </w:tc>
        <w:tc>
          <w:tcPr>
            <w:tcW w:w="1468" w:type="dxa"/>
            <w:gridSpan w:val="2"/>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废气排放</w:t>
            </w:r>
          </w:p>
        </w:tc>
        <w:tc>
          <w:tcPr>
            <w:tcW w:w="1576" w:type="dxa"/>
            <w:gridSpan w:val="2"/>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固废处置</w:t>
            </w:r>
          </w:p>
        </w:tc>
        <w:tc>
          <w:tcPr>
            <w:tcW w:w="1459" w:type="dxa"/>
            <w:gridSpan w:val="2"/>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噪声排放</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0" w:type="dxa"/>
            <w:gridSpan w:val="2"/>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819"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施工期</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运营期</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施工期</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运营期</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施工期</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运营期</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施工期</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运营期</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6" w:type="dxa"/>
            <w:vMerge w:val="restart"/>
            <w:vAlign w:val="center"/>
          </w:tcPr>
          <w:p>
            <w:pPr>
              <w:pStyle w:val="23"/>
              <w:adjustRightInd w:val="0"/>
              <w:snapToGrid w:val="0"/>
              <w:spacing w:after="0" w:line="240" w:lineRule="auto"/>
              <w:ind w:left="0" w:leftChars="0" w:firstLine="0" w:firstLineChars="0"/>
              <w:jc w:val="center"/>
              <w:rPr>
                <w:color w:val="auto"/>
                <w:kern w:val="21"/>
                <w:sz w:val="21"/>
                <w:szCs w:val="21"/>
              </w:rPr>
            </w:pPr>
          </w:p>
          <w:p>
            <w:pPr>
              <w:pStyle w:val="23"/>
              <w:adjustRightInd w:val="0"/>
              <w:snapToGrid w:val="0"/>
              <w:spacing w:after="0" w:line="240" w:lineRule="auto"/>
              <w:ind w:left="0" w:leftChars="0" w:firstLine="0" w:firstLineChars="0"/>
              <w:jc w:val="center"/>
              <w:rPr>
                <w:color w:val="auto"/>
                <w:kern w:val="21"/>
                <w:sz w:val="21"/>
                <w:szCs w:val="21"/>
              </w:rPr>
            </w:pPr>
          </w:p>
          <w:p>
            <w:pPr>
              <w:pStyle w:val="23"/>
              <w:adjustRightInd w:val="0"/>
              <w:snapToGrid w:val="0"/>
              <w:spacing w:after="0" w:line="240" w:lineRule="auto"/>
              <w:ind w:left="0" w:leftChars="0" w:firstLine="0" w:firstLineChars="0"/>
              <w:jc w:val="center"/>
              <w:rPr>
                <w:color w:val="auto"/>
                <w:kern w:val="21"/>
                <w:sz w:val="21"/>
                <w:szCs w:val="21"/>
              </w:rPr>
            </w:pPr>
          </w:p>
          <w:p>
            <w:pPr>
              <w:pStyle w:val="23"/>
              <w:adjustRightInd w:val="0"/>
              <w:snapToGrid w:val="0"/>
              <w:spacing w:after="0" w:line="240" w:lineRule="auto"/>
              <w:ind w:left="0" w:leftChars="0" w:firstLine="0" w:firstLineChars="0"/>
              <w:jc w:val="center"/>
              <w:rPr>
                <w:color w:val="auto"/>
                <w:kern w:val="21"/>
                <w:sz w:val="21"/>
                <w:szCs w:val="21"/>
              </w:rPr>
            </w:pPr>
          </w:p>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自然条件</w:t>
            </w:r>
          </w:p>
        </w:tc>
        <w:tc>
          <w:tcPr>
            <w:tcW w:w="78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环境空气</w:t>
            </w:r>
          </w:p>
        </w:tc>
        <w:tc>
          <w:tcPr>
            <w:tcW w:w="819" w:type="dxa"/>
            <w:vAlign w:val="center"/>
          </w:tcPr>
          <w:p>
            <w:pPr>
              <w:pStyle w:val="23"/>
              <w:adjustRightInd w:val="0"/>
              <w:snapToGrid w:val="0"/>
              <w:spacing w:after="0" w:line="240" w:lineRule="auto"/>
              <w:ind w:left="0" w:leftChars="0" w:firstLine="210" w:firstLineChars="100"/>
              <w:jc w:val="center"/>
              <w:rPr>
                <w:color w:val="auto"/>
                <w:kern w:val="21"/>
                <w:sz w:val="21"/>
                <w:szCs w:val="21"/>
              </w:rPr>
            </w:pPr>
            <w:r>
              <w:rPr>
                <w:color w:val="auto"/>
                <w:kern w:val="21"/>
                <w:sz w:val="21"/>
                <w:szCs w:val="21"/>
              </w:rPr>
              <w:t>/</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6"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8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地表水文</w:t>
            </w:r>
          </w:p>
        </w:tc>
        <w:tc>
          <w:tcPr>
            <w:tcW w:w="819"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6"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8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地表水质</w:t>
            </w:r>
          </w:p>
        </w:tc>
        <w:tc>
          <w:tcPr>
            <w:tcW w:w="819"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6"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8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地下水文</w:t>
            </w:r>
          </w:p>
        </w:tc>
        <w:tc>
          <w:tcPr>
            <w:tcW w:w="819"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6"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8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地下水质</w:t>
            </w:r>
          </w:p>
        </w:tc>
        <w:tc>
          <w:tcPr>
            <w:tcW w:w="819"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6"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8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土壤</w:t>
            </w:r>
          </w:p>
        </w:tc>
        <w:tc>
          <w:tcPr>
            <w:tcW w:w="819"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6"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8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声环境</w:t>
            </w:r>
          </w:p>
        </w:tc>
        <w:tc>
          <w:tcPr>
            <w:tcW w:w="819"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6"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8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植被</w:t>
            </w:r>
          </w:p>
        </w:tc>
        <w:tc>
          <w:tcPr>
            <w:tcW w:w="819"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6" w:type="dxa"/>
            <w:vMerge w:val="restart"/>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自然资源</w:t>
            </w:r>
          </w:p>
        </w:tc>
        <w:tc>
          <w:tcPr>
            <w:tcW w:w="78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水资源</w:t>
            </w:r>
          </w:p>
        </w:tc>
        <w:tc>
          <w:tcPr>
            <w:tcW w:w="819"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6"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8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土地资源</w:t>
            </w:r>
          </w:p>
        </w:tc>
        <w:tc>
          <w:tcPr>
            <w:tcW w:w="819"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8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2"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76"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8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795"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w:t>
            </w:r>
          </w:p>
        </w:tc>
        <w:tc>
          <w:tcPr>
            <w:tcW w:w="77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68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c>
          <w:tcPr>
            <w:tcW w:w="1111"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w:t>
            </w:r>
          </w:p>
        </w:tc>
      </w:tr>
    </w:tbl>
    <w:p>
      <w:pPr>
        <w:keepNext w:val="0"/>
        <w:keepLines w:val="0"/>
        <w:pageBreakBefore w:val="0"/>
        <w:widowControl w:val="0"/>
        <w:kinsoku/>
        <w:wordWrap/>
        <w:overflowPunct/>
        <w:topLinePunct/>
        <w:autoSpaceDE/>
        <w:autoSpaceDN/>
        <w:bidi w:val="0"/>
        <w:adjustRightInd/>
        <w:snapToGrid/>
        <w:spacing w:line="360" w:lineRule="auto"/>
        <w:ind w:firstLine="352"/>
        <w:textAlignment w:val="auto"/>
        <w:rPr>
          <w:color w:val="auto"/>
          <w:kern w:val="21"/>
          <w:sz w:val="18"/>
          <w:szCs w:val="18"/>
        </w:rPr>
      </w:pPr>
      <w:r>
        <w:rPr>
          <w:color w:val="auto"/>
          <w:kern w:val="21"/>
          <w:sz w:val="18"/>
          <w:szCs w:val="18"/>
        </w:rPr>
        <w:t>注：表中数字代表影响程度，/代表影响很小或无影响，1代表轻微影响，2代表中等影响，3代表影响较大。“-”代表不利影响；“+”代表有利影响。</w:t>
      </w:r>
    </w:p>
    <w:p>
      <w:pPr>
        <w:widowControl/>
        <w:ind w:firstLine="472"/>
        <w:jc w:val="left"/>
        <w:rPr>
          <w:color w:val="auto"/>
          <w:kern w:val="21"/>
          <w:lang w:bidi="ar"/>
        </w:rPr>
      </w:pPr>
      <w:r>
        <w:rPr>
          <w:color w:val="auto"/>
          <w:kern w:val="21"/>
          <w:lang w:bidi="ar"/>
        </w:rPr>
        <w:t>从环境影响因素识别表中可以看出，项目对环境的影响发生在施工期和运营期，主要影响在运营期。不利影响主要为：施工期的场地开挖平整、机械作业等产生的废气、废水、固废、噪声对环境的影响；运营期产生的尾水对地表水、地下水的水质影响，异味对空气环境的影响。</w:t>
      </w:r>
    </w:p>
    <w:p>
      <w:pPr>
        <w:pStyle w:val="6"/>
        <w:spacing w:after="0"/>
        <w:rPr>
          <w:rFonts w:eastAsia="宋体"/>
          <w:color w:val="auto"/>
          <w:kern w:val="21"/>
          <w:sz w:val="24"/>
          <w:szCs w:val="24"/>
        </w:rPr>
      </w:pPr>
      <w:bookmarkStart w:id="23" w:name="_Toc6721"/>
      <w:r>
        <w:rPr>
          <w:rFonts w:eastAsia="宋体"/>
          <w:color w:val="auto"/>
          <w:kern w:val="21"/>
          <w:sz w:val="24"/>
          <w:szCs w:val="24"/>
        </w:rPr>
        <w:t>2.3.2评价因子筛选</w:t>
      </w:r>
      <w:bookmarkEnd w:id="23"/>
    </w:p>
    <w:p>
      <w:pPr>
        <w:topLinePunct/>
        <w:ind w:firstLine="472"/>
        <w:rPr>
          <w:color w:val="auto"/>
          <w:kern w:val="21"/>
          <w:lang w:bidi="ar"/>
        </w:rPr>
      </w:pPr>
      <w:r>
        <w:rPr>
          <w:color w:val="auto"/>
          <w:kern w:val="21"/>
          <w:lang w:bidi="ar"/>
        </w:rPr>
        <w:t>在对拟建工程现场踏勘的基础上，根据项目性质并结合拟建项目周边情况、环境状况及</w:t>
      </w:r>
      <w:r>
        <w:rPr>
          <w:color w:val="auto"/>
          <w:kern w:val="21"/>
        </w:rPr>
        <w:t>环境功能要求</w:t>
      </w:r>
      <w:r>
        <w:rPr>
          <w:color w:val="auto"/>
          <w:kern w:val="21"/>
          <w:lang w:bidi="ar"/>
        </w:rPr>
        <w:t>，对拟建项目的环境影响因子进行筛选，筛选结果见</w:t>
      </w:r>
      <w:r>
        <w:rPr>
          <w:rFonts w:hint="eastAsia"/>
          <w:color w:val="auto"/>
          <w:kern w:val="21"/>
          <w:lang w:eastAsia="zh-CN" w:bidi="ar"/>
        </w:rPr>
        <w:t>下表</w:t>
      </w:r>
      <w:r>
        <w:rPr>
          <w:color w:val="auto"/>
          <w:kern w:val="21"/>
          <w:lang w:bidi="ar"/>
        </w:rPr>
        <w:t>。</w:t>
      </w:r>
    </w:p>
    <w:p>
      <w:pPr>
        <w:pStyle w:val="2"/>
        <w:rPr>
          <w:color w:val="auto"/>
        </w:rPr>
      </w:pP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hint="default" w:ascii="Times New Roman" w:hAnsi="Times New Roman" w:cs="Times New Roman"/>
          <w:b/>
          <w:bCs/>
          <w:color w:val="auto"/>
          <w:kern w:val="21"/>
        </w:rPr>
      </w:pPr>
      <w:r>
        <w:rPr>
          <w:rFonts w:hint="default" w:ascii="Times New Roman" w:hAnsi="Times New Roman" w:cs="Times New Roman"/>
          <w:b/>
          <w:bCs/>
          <w:color w:val="auto"/>
          <w:kern w:val="21"/>
        </w:rPr>
        <w:t>项目评价因子筛选结果</w:t>
      </w:r>
    </w:p>
    <w:tbl>
      <w:tblPr>
        <w:tblStyle w:val="51"/>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724"/>
        <w:gridCol w:w="3304"/>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环境要素</w:t>
            </w:r>
          </w:p>
        </w:tc>
        <w:tc>
          <w:tcPr>
            <w:tcW w:w="2724"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评价内容</w:t>
            </w:r>
          </w:p>
        </w:tc>
        <w:tc>
          <w:tcPr>
            <w:tcW w:w="3304"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现状因子</w:t>
            </w:r>
          </w:p>
        </w:tc>
        <w:tc>
          <w:tcPr>
            <w:tcW w:w="1758"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地表水环境</w:t>
            </w:r>
          </w:p>
        </w:tc>
        <w:tc>
          <w:tcPr>
            <w:tcW w:w="2724" w:type="dxa"/>
            <w:vAlign w:val="center"/>
          </w:tcPr>
          <w:p>
            <w:pPr>
              <w:widowControl/>
              <w:spacing w:line="240" w:lineRule="auto"/>
              <w:ind w:firstLine="0" w:firstLineChars="0"/>
              <w:rPr>
                <w:color w:val="auto"/>
                <w:kern w:val="21"/>
                <w:sz w:val="21"/>
                <w:szCs w:val="21"/>
              </w:rPr>
            </w:pPr>
            <w:r>
              <w:rPr>
                <w:rFonts w:eastAsia="TimesNewRomanPSMT"/>
                <w:color w:val="auto"/>
                <w:kern w:val="21"/>
                <w:sz w:val="21"/>
                <w:szCs w:val="21"/>
                <w:lang w:bidi="ar"/>
              </w:rPr>
              <w:t>（1）</w:t>
            </w:r>
            <w:r>
              <w:rPr>
                <w:color w:val="auto"/>
                <w:kern w:val="21"/>
                <w:sz w:val="21"/>
                <w:szCs w:val="21"/>
                <w:lang w:bidi="ar"/>
              </w:rPr>
              <w:t>施工期生活污水、场地作业废水对地表水的影响；</w:t>
            </w:r>
          </w:p>
        </w:tc>
        <w:tc>
          <w:tcPr>
            <w:tcW w:w="3304"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rPr>
              <w:t>pH、BOD</w:t>
            </w:r>
            <w:r>
              <w:rPr>
                <w:color w:val="auto"/>
                <w:kern w:val="21"/>
                <w:sz w:val="21"/>
                <w:szCs w:val="21"/>
                <w:vertAlign w:val="subscript"/>
              </w:rPr>
              <w:t>5</w:t>
            </w:r>
            <w:r>
              <w:rPr>
                <w:color w:val="auto"/>
                <w:kern w:val="21"/>
                <w:sz w:val="21"/>
                <w:szCs w:val="21"/>
              </w:rPr>
              <w:t>、化学需氧量、悬浮物、动植物油、石油类、阴离子表面活性剂、氨氮、总氮、总磷、色度、粪大肠细菌群数、氟化物、硫化物、总汞、总镉、总铬、六价铬、总砷、总铅</w:t>
            </w:r>
          </w:p>
        </w:tc>
        <w:tc>
          <w:tcPr>
            <w:tcW w:w="1758"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rPr>
              <w:t>化学需氧量、氨氮、总磷</w:t>
            </w:r>
            <w:r>
              <w:rPr>
                <w:rStyle w:val="58"/>
                <w:rFonts w:hint="eastAsia"/>
                <w:color w:val="auto"/>
              </w:rPr>
              <w:t>、</w:t>
            </w:r>
            <w:r>
              <w:rPr>
                <w:rStyle w:val="58"/>
                <w:rFonts w:hint="eastAsia"/>
                <w:color w:val="auto"/>
                <w:lang w:eastAsia="zh-CN"/>
              </w:rPr>
              <w:t>总氮、</w:t>
            </w:r>
            <w:r>
              <w:rPr>
                <w:rStyle w:val="58"/>
                <w:rFonts w:hint="eastAsia"/>
                <w:color w:val="auto"/>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Merge w:val="continue"/>
            <w:vAlign w:val="center"/>
          </w:tcPr>
          <w:p>
            <w:pPr>
              <w:widowControl/>
              <w:spacing w:line="240" w:lineRule="auto"/>
              <w:ind w:firstLine="0" w:firstLineChars="0"/>
              <w:jc w:val="center"/>
              <w:rPr>
                <w:color w:val="auto"/>
                <w:kern w:val="21"/>
                <w:sz w:val="21"/>
                <w:szCs w:val="21"/>
              </w:rPr>
            </w:pPr>
          </w:p>
        </w:tc>
        <w:tc>
          <w:tcPr>
            <w:tcW w:w="2724" w:type="dxa"/>
            <w:vAlign w:val="center"/>
          </w:tcPr>
          <w:p>
            <w:pPr>
              <w:widowControl/>
              <w:spacing w:line="240" w:lineRule="auto"/>
              <w:ind w:firstLine="0" w:firstLineChars="0"/>
              <w:rPr>
                <w:color w:val="auto"/>
                <w:kern w:val="21"/>
                <w:sz w:val="21"/>
                <w:szCs w:val="21"/>
              </w:rPr>
            </w:pPr>
            <w:r>
              <w:rPr>
                <w:rFonts w:eastAsia="TimesNewRomanPSMT"/>
                <w:color w:val="auto"/>
                <w:kern w:val="21"/>
                <w:sz w:val="21"/>
                <w:szCs w:val="21"/>
                <w:lang w:bidi="ar"/>
              </w:rPr>
              <w:t>（2）</w:t>
            </w:r>
            <w:r>
              <w:rPr>
                <w:color w:val="auto"/>
                <w:kern w:val="21"/>
                <w:sz w:val="21"/>
                <w:szCs w:val="21"/>
                <w:lang w:bidi="ar"/>
              </w:rPr>
              <w:t>营运期管理区、项目排水对地表水的影响；</w:t>
            </w:r>
          </w:p>
        </w:tc>
        <w:tc>
          <w:tcPr>
            <w:tcW w:w="3304" w:type="dxa"/>
            <w:vMerge w:val="continue"/>
            <w:vAlign w:val="center"/>
          </w:tcPr>
          <w:p>
            <w:pPr>
              <w:widowControl/>
              <w:spacing w:line="240" w:lineRule="auto"/>
              <w:ind w:firstLine="0" w:firstLineChars="0"/>
              <w:jc w:val="center"/>
              <w:rPr>
                <w:color w:val="auto"/>
                <w:kern w:val="21"/>
                <w:sz w:val="21"/>
                <w:szCs w:val="21"/>
              </w:rPr>
            </w:pPr>
          </w:p>
        </w:tc>
        <w:tc>
          <w:tcPr>
            <w:tcW w:w="1758" w:type="dxa"/>
            <w:vMerge w:val="continue"/>
            <w:vAlign w:val="center"/>
          </w:tcPr>
          <w:p>
            <w:pPr>
              <w:widowControl/>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Merge w:val="continue"/>
            <w:vAlign w:val="center"/>
          </w:tcPr>
          <w:p>
            <w:pPr>
              <w:widowControl/>
              <w:spacing w:line="240" w:lineRule="auto"/>
              <w:ind w:firstLine="0" w:firstLineChars="0"/>
              <w:jc w:val="center"/>
              <w:rPr>
                <w:color w:val="auto"/>
                <w:kern w:val="21"/>
                <w:sz w:val="21"/>
                <w:szCs w:val="21"/>
              </w:rPr>
            </w:pPr>
          </w:p>
        </w:tc>
        <w:tc>
          <w:tcPr>
            <w:tcW w:w="2724" w:type="dxa"/>
            <w:vAlign w:val="center"/>
          </w:tcPr>
          <w:p>
            <w:pPr>
              <w:widowControl/>
              <w:spacing w:line="240" w:lineRule="auto"/>
              <w:ind w:firstLine="0" w:firstLineChars="0"/>
              <w:rPr>
                <w:color w:val="auto"/>
                <w:kern w:val="21"/>
                <w:sz w:val="21"/>
                <w:szCs w:val="21"/>
              </w:rPr>
            </w:pPr>
            <w:r>
              <w:rPr>
                <w:rFonts w:eastAsia="TimesNewRomanPSMT"/>
                <w:color w:val="auto"/>
                <w:kern w:val="21"/>
                <w:sz w:val="21"/>
                <w:szCs w:val="21"/>
                <w:lang w:bidi="ar"/>
              </w:rPr>
              <w:t>（3）</w:t>
            </w:r>
            <w:r>
              <w:rPr>
                <w:color w:val="auto"/>
                <w:kern w:val="21"/>
                <w:sz w:val="21"/>
                <w:szCs w:val="21"/>
                <w:lang w:bidi="ar"/>
              </w:rPr>
              <w:t>营运期生活污水可能对地表水造成的影响；</w:t>
            </w:r>
          </w:p>
        </w:tc>
        <w:tc>
          <w:tcPr>
            <w:tcW w:w="3304" w:type="dxa"/>
            <w:vMerge w:val="continue"/>
            <w:vAlign w:val="center"/>
          </w:tcPr>
          <w:p>
            <w:pPr>
              <w:widowControl/>
              <w:spacing w:line="240" w:lineRule="auto"/>
              <w:ind w:firstLine="0" w:firstLineChars="0"/>
              <w:jc w:val="center"/>
              <w:rPr>
                <w:color w:val="auto"/>
                <w:kern w:val="21"/>
                <w:sz w:val="21"/>
                <w:szCs w:val="21"/>
              </w:rPr>
            </w:pPr>
          </w:p>
        </w:tc>
        <w:tc>
          <w:tcPr>
            <w:tcW w:w="1758" w:type="dxa"/>
            <w:vMerge w:val="continue"/>
            <w:vAlign w:val="center"/>
          </w:tcPr>
          <w:p>
            <w:pPr>
              <w:widowControl/>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Merge w:val="continue"/>
            <w:vAlign w:val="center"/>
          </w:tcPr>
          <w:p>
            <w:pPr>
              <w:widowControl/>
              <w:spacing w:line="240" w:lineRule="auto"/>
              <w:ind w:firstLine="0" w:firstLineChars="0"/>
              <w:jc w:val="center"/>
              <w:rPr>
                <w:color w:val="auto"/>
                <w:kern w:val="21"/>
                <w:sz w:val="21"/>
                <w:szCs w:val="21"/>
              </w:rPr>
            </w:pPr>
          </w:p>
        </w:tc>
        <w:tc>
          <w:tcPr>
            <w:tcW w:w="2724" w:type="dxa"/>
            <w:vAlign w:val="center"/>
          </w:tcPr>
          <w:p>
            <w:pPr>
              <w:widowControl/>
              <w:spacing w:line="240" w:lineRule="auto"/>
              <w:ind w:firstLine="0" w:firstLineChars="0"/>
              <w:rPr>
                <w:color w:val="auto"/>
                <w:kern w:val="21"/>
                <w:sz w:val="21"/>
                <w:szCs w:val="21"/>
              </w:rPr>
            </w:pPr>
            <w:r>
              <w:rPr>
                <w:rFonts w:eastAsia="TimesNewRomanPSMT"/>
                <w:color w:val="auto"/>
                <w:kern w:val="21"/>
                <w:sz w:val="21"/>
                <w:szCs w:val="21"/>
                <w:lang w:bidi="ar"/>
              </w:rPr>
              <w:t>（4）</w:t>
            </w:r>
            <w:r>
              <w:rPr>
                <w:color w:val="auto"/>
                <w:kern w:val="21"/>
                <w:sz w:val="21"/>
                <w:szCs w:val="21"/>
                <w:lang w:bidi="ar"/>
              </w:rPr>
              <w:t>营运期废水处理可能对水环境造成的风险影响。</w:t>
            </w:r>
          </w:p>
        </w:tc>
        <w:tc>
          <w:tcPr>
            <w:tcW w:w="3304" w:type="dxa"/>
            <w:vMerge w:val="continue"/>
            <w:vAlign w:val="center"/>
          </w:tcPr>
          <w:p>
            <w:pPr>
              <w:widowControl/>
              <w:spacing w:line="240" w:lineRule="auto"/>
              <w:ind w:firstLine="0" w:firstLineChars="0"/>
              <w:jc w:val="center"/>
              <w:rPr>
                <w:color w:val="auto"/>
                <w:kern w:val="21"/>
                <w:sz w:val="21"/>
                <w:szCs w:val="21"/>
              </w:rPr>
            </w:pPr>
          </w:p>
        </w:tc>
        <w:tc>
          <w:tcPr>
            <w:tcW w:w="1758" w:type="dxa"/>
            <w:vMerge w:val="continue"/>
            <w:vAlign w:val="center"/>
          </w:tcPr>
          <w:p>
            <w:pPr>
              <w:widowControl/>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地下水环境</w:t>
            </w:r>
          </w:p>
        </w:tc>
        <w:tc>
          <w:tcPr>
            <w:tcW w:w="2724" w:type="dxa"/>
            <w:vAlign w:val="center"/>
          </w:tcPr>
          <w:p>
            <w:pPr>
              <w:widowControl/>
              <w:spacing w:line="240" w:lineRule="auto"/>
              <w:ind w:firstLine="0" w:firstLineChars="0"/>
              <w:rPr>
                <w:color w:val="auto"/>
                <w:kern w:val="21"/>
                <w:sz w:val="21"/>
                <w:szCs w:val="21"/>
              </w:rPr>
            </w:pPr>
            <w:r>
              <w:rPr>
                <w:color w:val="auto"/>
                <w:kern w:val="21"/>
                <w:sz w:val="21"/>
                <w:szCs w:val="21"/>
                <w:lang w:bidi="ar"/>
              </w:rPr>
              <w:t>项目运营活动对地下水水质的影响。</w:t>
            </w:r>
          </w:p>
        </w:tc>
        <w:tc>
          <w:tcPr>
            <w:tcW w:w="3304" w:type="dxa"/>
            <w:vAlign w:val="center"/>
          </w:tcPr>
          <w:p>
            <w:pPr>
              <w:spacing w:line="240" w:lineRule="auto"/>
              <w:ind w:firstLine="0" w:firstLineChars="0"/>
              <w:rPr>
                <w:color w:val="auto"/>
                <w:kern w:val="21"/>
                <w:sz w:val="21"/>
                <w:szCs w:val="21"/>
              </w:rPr>
            </w:pPr>
            <w:r>
              <w:rPr>
                <w:color w:val="auto"/>
                <w:sz w:val="21"/>
                <w:szCs w:val="21"/>
              </w:rPr>
              <w:t>环境因子：K+、Na+、Ca</w:t>
            </w:r>
            <w:r>
              <w:rPr>
                <w:color w:val="auto"/>
                <w:sz w:val="21"/>
                <w:szCs w:val="21"/>
                <w:vertAlign w:val="superscript"/>
              </w:rPr>
              <w:t>2+</w:t>
            </w:r>
            <w:r>
              <w:rPr>
                <w:color w:val="auto"/>
                <w:sz w:val="21"/>
                <w:szCs w:val="21"/>
              </w:rPr>
              <w:t>、Mg</w:t>
            </w:r>
            <w:r>
              <w:rPr>
                <w:color w:val="auto"/>
                <w:sz w:val="21"/>
                <w:szCs w:val="21"/>
                <w:vertAlign w:val="superscript"/>
              </w:rPr>
              <w:t>2+</w:t>
            </w:r>
            <w:r>
              <w:rPr>
                <w:color w:val="auto"/>
                <w:sz w:val="21"/>
                <w:szCs w:val="21"/>
              </w:rPr>
              <w:t>、CO</w:t>
            </w:r>
            <w:r>
              <w:rPr>
                <w:color w:val="auto"/>
                <w:sz w:val="21"/>
                <w:szCs w:val="21"/>
                <w:vertAlign w:val="subscript"/>
              </w:rPr>
              <w:t>3</w:t>
            </w:r>
            <w:r>
              <w:rPr>
                <w:color w:val="auto"/>
                <w:sz w:val="21"/>
                <w:szCs w:val="21"/>
                <w:vertAlign w:val="superscript"/>
              </w:rPr>
              <w:t>2-</w:t>
            </w:r>
            <w:r>
              <w:rPr>
                <w:color w:val="auto"/>
                <w:sz w:val="21"/>
                <w:szCs w:val="21"/>
              </w:rPr>
              <w:t>、HCO</w:t>
            </w:r>
            <w:r>
              <w:rPr>
                <w:color w:val="auto"/>
                <w:sz w:val="21"/>
                <w:szCs w:val="21"/>
                <w:vertAlign w:val="subscript"/>
              </w:rPr>
              <w:t>3</w:t>
            </w:r>
            <w:r>
              <w:rPr>
                <w:color w:val="auto"/>
                <w:sz w:val="21"/>
                <w:szCs w:val="21"/>
                <w:vertAlign w:val="superscript"/>
              </w:rPr>
              <w:t>-</w:t>
            </w:r>
            <w:r>
              <w:rPr>
                <w:color w:val="auto"/>
                <w:sz w:val="21"/>
                <w:szCs w:val="21"/>
              </w:rPr>
              <w:t>、Cl</w:t>
            </w:r>
            <w:r>
              <w:rPr>
                <w:color w:val="auto"/>
                <w:sz w:val="21"/>
                <w:szCs w:val="21"/>
                <w:vertAlign w:val="superscript"/>
              </w:rPr>
              <w:t>-</w:t>
            </w:r>
            <w:r>
              <w:rPr>
                <w:color w:val="auto"/>
                <w:sz w:val="21"/>
                <w:szCs w:val="21"/>
              </w:rPr>
              <w:t>、SO</w:t>
            </w:r>
            <w:r>
              <w:rPr>
                <w:color w:val="auto"/>
                <w:sz w:val="21"/>
                <w:szCs w:val="21"/>
                <w:vertAlign w:val="subscript"/>
              </w:rPr>
              <w:t>4</w:t>
            </w:r>
            <w:r>
              <w:rPr>
                <w:color w:val="auto"/>
                <w:sz w:val="21"/>
                <w:szCs w:val="21"/>
                <w:vertAlign w:val="superscript"/>
              </w:rPr>
              <w:t>2-</w:t>
            </w:r>
          </w:p>
          <w:p>
            <w:pPr>
              <w:autoSpaceDN w:val="0"/>
              <w:spacing w:line="240" w:lineRule="auto"/>
              <w:ind w:firstLine="0" w:firstLineChars="0"/>
              <w:textAlignment w:val="center"/>
              <w:rPr>
                <w:color w:val="auto"/>
                <w:kern w:val="21"/>
                <w:sz w:val="21"/>
                <w:szCs w:val="21"/>
              </w:rPr>
            </w:pPr>
            <w:r>
              <w:rPr>
                <w:rFonts w:hint="eastAsia"/>
                <w:color w:val="auto"/>
                <w:kern w:val="21"/>
                <w:sz w:val="21"/>
                <w:szCs w:val="21"/>
              </w:rPr>
              <w:t>基本因子：</w:t>
            </w:r>
            <w:r>
              <w:rPr>
                <w:color w:val="auto"/>
                <w:kern w:val="21"/>
                <w:sz w:val="21"/>
                <w:szCs w:val="21"/>
              </w:rPr>
              <w:t>pH、耗氧量、总硬度、溶解性固体总量、氯化物、硫酸盐、硝酸盐、亚硝酸盐、硫化物、氰化物、氟化物、氨氮、砷、镉、铅、铜、锌、铁、锰、汞、六价铬、总大肠菌群、细菌总数</w:t>
            </w:r>
          </w:p>
        </w:tc>
        <w:tc>
          <w:tcPr>
            <w:tcW w:w="1758" w:type="dxa"/>
            <w:vAlign w:val="center"/>
          </w:tcPr>
          <w:p>
            <w:pPr>
              <w:spacing w:line="240" w:lineRule="auto"/>
              <w:ind w:firstLine="0" w:firstLineChars="0"/>
              <w:jc w:val="center"/>
              <w:rPr>
                <w:color w:val="auto"/>
                <w:kern w:val="21"/>
                <w:sz w:val="21"/>
                <w:szCs w:val="21"/>
              </w:rPr>
            </w:pPr>
            <w:r>
              <w:rPr>
                <w:color w:val="auto"/>
                <w:kern w:val="21"/>
                <w:sz w:val="21"/>
                <w:szCs w:val="21"/>
              </w:rPr>
              <w:t>氨氮</w:t>
            </w:r>
            <w:r>
              <w:rPr>
                <w:rFonts w:hint="eastAsia"/>
                <w:color w:val="auto"/>
                <w:kern w:val="21"/>
                <w:sz w:val="21"/>
                <w:szCs w:val="21"/>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79"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lang w:bidi="ar"/>
              </w:rPr>
              <w:t>环境空气</w:t>
            </w:r>
          </w:p>
        </w:tc>
        <w:tc>
          <w:tcPr>
            <w:tcW w:w="2724" w:type="dxa"/>
            <w:vAlign w:val="center"/>
          </w:tcPr>
          <w:p>
            <w:pPr>
              <w:widowControl/>
              <w:spacing w:line="240" w:lineRule="auto"/>
              <w:ind w:firstLine="0" w:firstLineChars="0"/>
              <w:rPr>
                <w:color w:val="auto"/>
                <w:kern w:val="21"/>
                <w:sz w:val="21"/>
                <w:szCs w:val="21"/>
              </w:rPr>
            </w:pPr>
            <w:r>
              <w:rPr>
                <w:color w:val="auto"/>
                <w:kern w:val="21"/>
                <w:sz w:val="21"/>
                <w:szCs w:val="21"/>
                <w:lang w:bidi="ar"/>
              </w:rPr>
              <w:t>（1）施工期作业场地扬尘的影响；</w:t>
            </w:r>
          </w:p>
        </w:tc>
        <w:tc>
          <w:tcPr>
            <w:tcW w:w="3304"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lang w:bidi="ar"/>
              </w:rPr>
              <w:t>PM</w:t>
            </w:r>
            <w:r>
              <w:rPr>
                <w:color w:val="auto"/>
                <w:kern w:val="21"/>
                <w:sz w:val="13"/>
                <w:szCs w:val="13"/>
                <w:lang w:bidi="ar"/>
              </w:rPr>
              <w:t>10</w:t>
            </w:r>
            <w:r>
              <w:rPr>
                <w:color w:val="auto"/>
                <w:kern w:val="21"/>
                <w:sz w:val="21"/>
                <w:szCs w:val="21"/>
                <w:lang w:bidi="ar"/>
              </w:rPr>
              <w:t>、PM</w:t>
            </w:r>
            <w:r>
              <w:rPr>
                <w:color w:val="auto"/>
                <w:kern w:val="21"/>
                <w:sz w:val="13"/>
                <w:szCs w:val="13"/>
                <w:lang w:bidi="ar"/>
              </w:rPr>
              <w:t>2.5</w:t>
            </w:r>
            <w:r>
              <w:rPr>
                <w:color w:val="auto"/>
                <w:kern w:val="21"/>
                <w:sz w:val="21"/>
                <w:szCs w:val="21"/>
                <w:lang w:bidi="ar"/>
              </w:rPr>
              <w:t>、SO</w:t>
            </w:r>
            <w:r>
              <w:rPr>
                <w:color w:val="auto"/>
                <w:kern w:val="21"/>
                <w:sz w:val="13"/>
                <w:szCs w:val="13"/>
                <w:lang w:bidi="ar"/>
              </w:rPr>
              <w:t>2</w:t>
            </w:r>
            <w:r>
              <w:rPr>
                <w:color w:val="auto"/>
                <w:kern w:val="21"/>
                <w:sz w:val="21"/>
                <w:szCs w:val="21"/>
                <w:lang w:bidi="ar"/>
              </w:rPr>
              <w:t>、NO</w:t>
            </w:r>
            <w:r>
              <w:rPr>
                <w:color w:val="auto"/>
                <w:kern w:val="21"/>
                <w:sz w:val="13"/>
                <w:szCs w:val="13"/>
                <w:lang w:bidi="ar"/>
              </w:rPr>
              <w:t>2</w:t>
            </w:r>
            <w:r>
              <w:rPr>
                <w:color w:val="auto"/>
                <w:kern w:val="21"/>
                <w:sz w:val="21"/>
                <w:szCs w:val="21"/>
                <w:lang w:bidi="ar"/>
              </w:rPr>
              <w:t>、CO、O</w:t>
            </w:r>
            <w:r>
              <w:rPr>
                <w:color w:val="auto"/>
                <w:kern w:val="21"/>
                <w:sz w:val="21"/>
                <w:szCs w:val="21"/>
                <w:vertAlign w:val="subscript"/>
                <w:lang w:bidi="ar"/>
              </w:rPr>
              <w:t>3</w:t>
            </w:r>
            <w:r>
              <w:rPr>
                <w:color w:val="auto"/>
                <w:kern w:val="21"/>
                <w:sz w:val="13"/>
                <w:szCs w:val="13"/>
                <w:lang w:bidi="ar"/>
              </w:rPr>
              <w:t>、</w:t>
            </w:r>
            <w:r>
              <w:rPr>
                <w:color w:val="auto"/>
                <w:kern w:val="21"/>
                <w:sz w:val="21"/>
                <w:szCs w:val="21"/>
                <w:lang w:bidi="ar"/>
              </w:rPr>
              <w:t>氨、硫化氢、臭气浓度</w:t>
            </w:r>
          </w:p>
        </w:tc>
        <w:tc>
          <w:tcPr>
            <w:tcW w:w="1758"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氨、硫化氢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Merge w:val="continue"/>
            <w:vAlign w:val="center"/>
          </w:tcPr>
          <w:p>
            <w:pPr>
              <w:widowControl/>
              <w:spacing w:line="240" w:lineRule="auto"/>
              <w:ind w:firstLine="0" w:firstLineChars="0"/>
              <w:jc w:val="center"/>
              <w:rPr>
                <w:color w:val="auto"/>
                <w:kern w:val="21"/>
                <w:sz w:val="21"/>
                <w:szCs w:val="21"/>
              </w:rPr>
            </w:pPr>
          </w:p>
        </w:tc>
        <w:tc>
          <w:tcPr>
            <w:tcW w:w="2724" w:type="dxa"/>
            <w:vAlign w:val="center"/>
          </w:tcPr>
          <w:p>
            <w:pPr>
              <w:widowControl/>
              <w:spacing w:line="240" w:lineRule="auto"/>
              <w:ind w:firstLine="0" w:firstLineChars="0"/>
              <w:rPr>
                <w:color w:val="auto"/>
                <w:kern w:val="21"/>
                <w:sz w:val="21"/>
                <w:szCs w:val="21"/>
              </w:rPr>
            </w:pPr>
            <w:r>
              <w:rPr>
                <w:color w:val="auto"/>
                <w:kern w:val="21"/>
                <w:sz w:val="21"/>
                <w:szCs w:val="21"/>
                <w:lang w:bidi="ar"/>
              </w:rPr>
              <w:t>（2）运营期异味对周围环境的影响。</w:t>
            </w:r>
          </w:p>
        </w:tc>
        <w:tc>
          <w:tcPr>
            <w:tcW w:w="3304" w:type="dxa"/>
            <w:vMerge w:val="continue"/>
            <w:vAlign w:val="center"/>
          </w:tcPr>
          <w:p>
            <w:pPr>
              <w:widowControl/>
              <w:spacing w:line="240" w:lineRule="auto"/>
              <w:ind w:firstLine="0" w:firstLineChars="0"/>
              <w:rPr>
                <w:color w:val="auto"/>
                <w:kern w:val="21"/>
                <w:sz w:val="21"/>
                <w:szCs w:val="21"/>
              </w:rPr>
            </w:pPr>
          </w:p>
        </w:tc>
        <w:tc>
          <w:tcPr>
            <w:tcW w:w="1758" w:type="dxa"/>
            <w:vMerge w:val="continue"/>
            <w:vAlign w:val="center"/>
          </w:tcPr>
          <w:p>
            <w:pPr>
              <w:widowControl/>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Merge w:val="restart"/>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固体废</w:t>
            </w:r>
          </w:p>
          <w:p>
            <w:pPr>
              <w:widowControl/>
              <w:spacing w:line="240" w:lineRule="auto"/>
              <w:ind w:firstLine="0" w:firstLineChars="0"/>
              <w:jc w:val="center"/>
              <w:rPr>
                <w:color w:val="auto"/>
                <w:kern w:val="21"/>
                <w:sz w:val="21"/>
                <w:szCs w:val="21"/>
              </w:rPr>
            </w:pPr>
            <w:r>
              <w:rPr>
                <w:color w:val="auto"/>
                <w:kern w:val="21"/>
                <w:sz w:val="21"/>
                <w:szCs w:val="21"/>
                <w:lang w:bidi="ar"/>
              </w:rPr>
              <w:t>弃物</w:t>
            </w:r>
          </w:p>
        </w:tc>
        <w:tc>
          <w:tcPr>
            <w:tcW w:w="2724" w:type="dxa"/>
            <w:vAlign w:val="center"/>
          </w:tcPr>
          <w:p>
            <w:pPr>
              <w:widowControl/>
              <w:spacing w:line="240" w:lineRule="auto"/>
              <w:ind w:firstLine="0" w:firstLineChars="0"/>
              <w:rPr>
                <w:color w:val="auto"/>
                <w:kern w:val="21"/>
                <w:sz w:val="21"/>
                <w:szCs w:val="21"/>
              </w:rPr>
            </w:pPr>
            <w:r>
              <w:rPr>
                <w:color w:val="auto"/>
                <w:kern w:val="21"/>
                <w:sz w:val="21"/>
                <w:szCs w:val="21"/>
              </w:rPr>
              <w:t>（1）施工期弃土、建筑垃圾、生活垃圾；</w:t>
            </w:r>
          </w:p>
        </w:tc>
        <w:tc>
          <w:tcPr>
            <w:tcW w:w="3304" w:type="dxa"/>
            <w:vMerge w:val="restart"/>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栅渣、污泥、</w:t>
            </w:r>
            <w:r>
              <w:rPr>
                <w:rFonts w:hint="eastAsia"/>
                <w:color w:val="auto"/>
                <w:kern w:val="21"/>
                <w:sz w:val="21"/>
                <w:szCs w:val="21"/>
                <w:lang w:eastAsia="zh-CN"/>
              </w:rPr>
              <w:t>废活性炭、</w:t>
            </w:r>
            <w:r>
              <w:rPr>
                <w:color w:val="auto"/>
                <w:kern w:val="21"/>
                <w:sz w:val="21"/>
                <w:szCs w:val="21"/>
                <w:lang w:bidi="ar"/>
              </w:rPr>
              <w:t>生活垃圾</w:t>
            </w:r>
            <w:r>
              <w:rPr>
                <w:rFonts w:hint="eastAsia"/>
                <w:color w:val="auto"/>
                <w:kern w:val="21"/>
                <w:sz w:val="21"/>
                <w:szCs w:val="21"/>
                <w:lang w:bidi="ar"/>
              </w:rPr>
              <w:t>、废机油、废紫外灯管</w:t>
            </w:r>
            <w:r>
              <w:rPr>
                <w:rFonts w:hint="eastAsia"/>
                <w:color w:val="auto"/>
                <w:kern w:val="21"/>
                <w:sz w:val="21"/>
                <w:szCs w:val="21"/>
                <w:lang w:eastAsia="zh-CN" w:bidi="ar"/>
              </w:rPr>
              <w:t>、在线监测设备废液</w:t>
            </w:r>
            <w:r>
              <w:rPr>
                <w:rFonts w:hint="eastAsia"/>
                <w:color w:val="auto"/>
                <w:kern w:val="21"/>
                <w:sz w:val="21"/>
                <w:szCs w:val="21"/>
                <w:lang w:bidi="ar"/>
              </w:rPr>
              <w:t>等</w:t>
            </w:r>
          </w:p>
        </w:tc>
        <w:tc>
          <w:tcPr>
            <w:tcW w:w="1758" w:type="dxa"/>
            <w:vMerge w:val="restart"/>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栅渣、</w:t>
            </w:r>
            <w:r>
              <w:rPr>
                <w:color w:val="auto"/>
                <w:kern w:val="21"/>
                <w:sz w:val="21"/>
                <w:szCs w:val="21"/>
              </w:rPr>
              <w:t>污泥、</w:t>
            </w:r>
            <w:r>
              <w:rPr>
                <w:color w:val="auto"/>
                <w:kern w:val="21"/>
                <w:sz w:val="21"/>
                <w:szCs w:val="21"/>
                <w:lang w:bidi="ar"/>
              </w:rPr>
              <w:t>生活垃圾</w:t>
            </w:r>
            <w:r>
              <w:rPr>
                <w:rFonts w:hint="eastAsia"/>
                <w:color w:val="auto"/>
                <w:kern w:val="21"/>
                <w:sz w:val="21"/>
                <w:szCs w:val="21"/>
                <w:lang w:bidi="ar"/>
              </w:rPr>
              <w:t>、</w:t>
            </w:r>
            <w:r>
              <w:rPr>
                <w:rFonts w:hint="eastAsia"/>
                <w:color w:val="auto"/>
                <w:kern w:val="21"/>
                <w:sz w:val="21"/>
                <w:szCs w:val="21"/>
                <w:lang w:eastAsia="zh-CN" w:bidi="ar"/>
              </w:rPr>
              <w:t>废活性炭、</w:t>
            </w:r>
            <w:r>
              <w:rPr>
                <w:rFonts w:hint="eastAsia"/>
                <w:color w:val="auto"/>
                <w:kern w:val="21"/>
                <w:sz w:val="21"/>
                <w:szCs w:val="21"/>
                <w:lang w:bidi="ar"/>
              </w:rPr>
              <w:t>危险固废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Merge w:val="continue"/>
            <w:vAlign w:val="center"/>
          </w:tcPr>
          <w:p>
            <w:pPr>
              <w:widowControl/>
              <w:spacing w:line="240" w:lineRule="auto"/>
              <w:ind w:firstLine="0" w:firstLineChars="0"/>
              <w:jc w:val="center"/>
              <w:rPr>
                <w:color w:val="auto"/>
                <w:kern w:val="21"/>
                <w:sz w:val="21"/>
                <w:szCs w:val="21"/>
                <w:lang w:bidi="ar"/>
              </w:rPr>
            </w:pPr>
          </w:p>
        </w:tc>
        <w:tc>
          <w:tcPr>
            <w:tcW w:w="2724" w:type="dxa"/>
            <w:vAlign w:val="center"/>
          </w:tcPr>
          <w:p>
            <w:pPr>
              <w:widowControl/>
              <w:spacing w:line="240" w:lineRule="auto"/>
              <w:ind w:firstLine="0" w:firstLineChars="0"/>
              <w:rPr>
                <w:color w:val="auto"/>
                <w:kern w:val="21"/>
              </w:rPr>
            </w:pPr>
            <w:r>
              <w:rPr>
                <w:color w:val="auto"/>
                <w:kern w:val="21"/>
                <w:sz w:val="21"/>
                <w:szCs w:val="21"/>
              </w:rPr>
              <w:t>（2）运营期生活垃圾、污泥对周围环境的影响。</w:t>
            </w:r>
          </w:p>
        </w:tc>
        <w:tc>
          <w:tcPr>
            <w:tcW w:w="3304" w:type="dxa"/>
            <w:vMerge w:val="continue"/>
            <w:vAlign w:val="center"/>
          </w:tcPr>
          <w:p>
            <w:pPr>
              <w:widowControl/>
              <w:spacing w:line="240" w:lineRule="auto"/>
              <w:ind w:firstLine="0" w:firstLineChars="0"/>
              <w:rPr>
                <w:color w:val="auto"/>
                <w:kern w:val="21"/>
                <w:sz w:val="21"/>
                <w:szCs w:val="21"/>
                <w:lang w:bidi="ar"/>
              </w:rPr>
            </w:pPr>
          </w:p>
        </w:tc>
        <w:tc>
          <w:tcPr>
            <w:tcW w:w="1758" w:type="dxa"/>
            <w:vMerge w:val="continue"/>
            <w:vAlign w:val="center"/>
          </w:tcPr>
          <w:p>
            <w:pPr>
              <w:widowControl/>
              <w:spacing w:line="240" w:lineRule="auto"/>
              <w:ind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声环境</w:t>
            </w:r>
          </w:p>
        </w:tc>
        <w:tc>
          <w:tcPr>
            <w:tcW w:w="2724" w:type="dxa"/>
            <w:vAlign w:val="center"/>
          </w:tcPr>
          <w:p>
            <w:pPr>
              <w:widowControl/>
              <w:spacing w:line="240" w:lineRule="auto"/>
              <w:ind w:firstLine="0" w:firstLineChars="0"/>
              <w:rPr>
                <w:color w:val="auto"/>
                <w:kern w:val="21"/>
                <w:sz w:val="21"/>
                <w:szCs w:val="21"/>
              </w:rPr>
            </w:pPr>
            <w:r>
              <w:rPr>
                <w:rFonts w:eastAsia="TimesNewRomanPSMT"/>
                <w:color w:val="auto"/>
                <w:kern w:val="21"/>
                <w:sz w:val="21"/>
                <w:szCs w:val="21"/>
                <w:lang w:bidi="ar"/>
              </w:rPr>
              <w:t>（1）</w:t>
            </w:r>
            <w:r>
              <w:rPr>
                <w:color w:val="auto"/>
                <w:kern w:val="21"/>
                <w:sz w:val="21"/>
                <w:szCs w:val="21"/>
                <w:lang w:bidi="ar"/>
              </w:rPr>
              <w:t>施工期作业机械及车辆噪声的影响；</w:t>
            </w:r>
          </w:p>
        </w:tc>
        <w:tc>
          <w:tcPr>
            <w:tcW w:w="3304" w:type="dxa"/>
            <w:vMerge w:val="restart"/>
            <w:vAlign w:val="center"/>
          </w:tcPr>
          <w:p>
            <w:pPr>
              <w:widowControl/>
              <w:spacing w:line="240" w:lineRule="auto"/>
              <w:ind w:firstLine="0" w:firstLineChars="0"/>
              <w:jc w:val="center"/>
              <w:rPr>
                <w:rFonts w:hint="eastAsia"/>
                <w:color w:val="auto"/>
                <w:kern w:val="21"/>
                <w:sz w:val="21"/>
                <w:szCs w:val="21"/>
                <w:lang w:eastAsia="zh-CN" w:bidi="ar"/>
              </w:rPr>
            </w:pPr>
          </w:p>
          <w:p>
            <w:pPr>
              <w:widowControl/>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bidi="ar"/>
              </w:rPr>
              <w:t>噪声</w:t>
            </w:r>
            <w:r>
              <w:rPr>
                <w:rFonts w:hint="eastAsia"/>
                <w:color w:val="auto"/>
              </w:rPr>
              <w:t>Leq</w:t>
            </w:r>
          </w:p>
          <w:p>
            <w:pPr>
              <w:rPr>
                <w:rFonts w:hint="default" w:eastAsia="宋体"/>
                <w:color w:val="auto"/>
                <w:sz w:val="21"/>
                <w:szCs w:val="21"/>
                <w:lang w:val="en-US" w:eastAsia="zh-CN"/>
              </w:rPr>
            </w:pPr>
          </w:p>
        </w:tc>
        <w:tc>
          <w:tcPr>
            <w:tcW w:w="1758" w:type="dxa"/>
            <w:vMerge w:val="restart"/>
            <w:vAlign w:val="center"/>
          </w:tcPr>
          <w:p>
            <w:pPr>
              <w:widowControl/>
              <w:spacing w:line="240" w:lineRule="auto"/>
              <w:ind w:firstLine="0" w:firstLineChars="0"/>
              <w:jc w:val="center"/>
              <w:rPr>
                <w:rFonts w:hint="eastAsia" w:eastAsia="宋体"/>
                <w:color w:val="auto"/>
                <w:kern w:val="21"/>
                <w:sz w:val="21"/>
                <w:szCs w:val="21"/>
                <w:lang w:eastAsia="zh-CN"/>
              </w:rPr>
            </w:pPr>
            <w:r>
              <w:rPr>
                <w:rFonts w:hint="eastAsia"/>
                <w:color w:val="auto"/>
                <w:sz w:val="21"/>
                <w:szCs w:val="21"/>
                <w:lang w:eastAsia="zh-CN"/>
              </w:rPr>
              <w:t>噪声</w:t>
            </w:r>
            <w:r>
              <w:rPr>
                <w:rFonts w:hint="eastAsia"/>
                <w:color w:val="auto"/>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vAlign w:val="center"/>
          </w:tcPr>
          <w:p>
            <w:pPr>
              <w:widowControl/>
              <w:spacing w:line="240" w:lineRule="auto"/>
              <w:ind w:firstLine="0" w:firstLineChars="0"/>
              <w:jc w:val="center"/>
              <w:rPr>
                <w:color w:val="auto"/>
                <w:kern w:val="21"/>
                <w:sz w:val="21"/>
                <w:szCs w:val="21"/>
              </w:rPr>
            </w:pPr>
          </w:p>
        </w:tc>
        <w:tc>
          <w:tcPr>
            <w:tcW w:w="2724" w:type="dxa"/>
            <w:vAlign w:val="center"/>
          </w:tcPr>
          <w:p>
            <w:pPr>
              <w:widowControl/>
              <w:spacing w:line="240" w:lineRule="auto"/>
              <w:ind w:firstLine="0" w:firstLineChars="0"/>
              <w:rPr>
                <w:color w:val="auto"/>
                <w:kern w:val="21"/>
                <w:sz w:val="21"/>
                <w:szCs w:val="21"/>
              </w:rPr>
            </w:pPr>
            <w:r>
              <w:rPr>
                <w:rFonts w:eastAsia="TimesNewRomanPSMT"/>
                <w:color w:val="auto"/>
                <w:kern w:val="21"/>
                <w:sz w:val="21"/>
                <w:szCs w:val="21"/>
                <w:lang w:bidi="ar"/>
              </w:rPr>
              <w:t>（2）</w:t>
            </w:r>
            <w:r>
              <w:rPr>
                <w:color w:val="auto"/>
                <w:kern w:val="21"/>
                <w:sz w:val="21"/>
                <w:szCs w:val="21"/>
                <w:lang w:bidi="ar"/>
              </w:rPr>
              <w:t>营运期污水、污泥处理设施机械噪声的影响。</w:t>
            </w:r>
          </w:p>
        </w:tc>
        <w:tc>
          <w:tcPr>
            <w:tcW w:w="3304" w:type="dxa"/>
            <w:vMerge w:val="continue"/>
            <w:vAlign w:val="center"/>
          </w:tcPr>
          <w:p>
            <w:pPr>
              <w:widowControl/>
              <w:spacing w:line="240" w:lineRule="auto"/>
              <w:ind w:firstLine="0" w:firstLineChars="0"/>
              <w:rPr>
                <w:color w:val="auto"/>
                <w:kern w:val="21"/>
                <w:sz w:val="21"/>
                <w:szCs w:val="21"/>
              </w:rPr>
            </w:pPr>
          </w:p>
        </w:tc>
        <w:tc>
          <w:tcPr>
            <w:tcW w:w="1758" w:type="dxa"/>
            <w:vMerge w:val="continue"/>
            <w:vAlign w:val="center"/>
          </w:tcPr>
          <w:p>
            <w:pPr>
              <w:widowControl/>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Align w:val="center"/>
          </w:tcPr>
          <w:p>
            <w:pPr>
              <w:widowControl/>
              <w:spacing w:line="240" w:lineRule="auto"/>
              <w:ind w:firstLine="0" w:firstLineChars="0"/>
              <w:jc w:val="center"/>
              <w:rPr>
                <w:color w:val="auto"/>
                <w:kern w:val="21"/>
                <w:sz w:val="21"/>
                <w:szCs w:val="21"/>
              </w:rPr>
            </w:pPr>
            <w:r>
              <w:rPr>
                <w:color w:val="auto"/>
                <w:kern w:val="21"/>
                <w:sz w:val="21"/>
                <w:szCs w:val="21"/>
              </w:rPr>
              <w:t>土壤环境</w:t>
            </w:r>
          </w:p>
        </w:tc>
        <w:tc>
          <w:tcPr>
            <w:tcW w:w="2724" w:type="dxa"/>
            <w:vAlign w:val="center"/>
          </w:tcPr>
          <w:p>
            <w:pPr>
              <w:widowControl/>
              <w:spacing w:line="240" w:lineRule="auto"/>
              <w:ind w:firstLine="0" w:firstLineChars="0"/>
              <w:rPr>
                <w:color w:val="auto"/>
                <w:kern w:val="21"/>
                <w:sz w:val="21"/>
                <w:szCs w:val="21"/>
              </w:rPr>
            </w:pPr>
            <w:r>
              <w:rPr>
                <w:color w:val="auto"/>
                <w:kern w:val="21"/>
                <w:sz w:val="21"/>
                <w:szCs w:val="21"/>
              </w:rPr>
              <w:t>运营期活动对厂内土壤环境的影响。</w:t>
            </w:r>
          </w:p>
        </w:tc>
        <w:tc>
          <w:tcPr>
            <w:tcW w:w="3304" w:type="dxa"/>
            <w:vAlign w:val="center"/>
          </w:tcPr>
          <w:p>
            <w:pPr>
              <w:widowControl/>
              <w:spacing w:line="240" w:lineRule="auto"/>
              <w:ind w:firstLine="0" w:firstLineChars="0"/>
              <w:rPr>
                <w:color w:val="auto"/>
                <w:kern w:val="21"/>
                <w:sz w:val="21"/>
                <w:szCs w:val="21"/>
              </w:rPr>
            </w:pPr>
            <w:r>
              <w:rPr>
                <w:color w:val="auto"/>
                <w:kern w:val="21"/>
                <w:sz w:val="21"/>
                <w:szCs w:val="21"/>
              </w:rPr>
              <w:t>砷、镉、六价铬、铜、铅、汞、镍、四氯化碳、氯仿、氯甲烷、1</w:t>
            </w:r>
            <w:r>
              <w:rPr>
                <w:rFonts w:hint="eastAsia"/>
                <w:color w:val="auto"/>
                <w:kern w:val="21"/>
                <w:sz w:val="21"/>
                <w:szCs w:val="21"/>
              </w:rPr>
              <w:t>，</w:t>
            </w:r>
            <w:r>
              <w:rPr>
                <w:color w:val="auto"/>
                <w:kern w:val="21"/>
                <w:sz w:val="21"/>
                <w:szCs w:val="21"/>
              </w:rPr>
              <w:t>1-二氯乙烷、1</w:t>
            </w:r>
            <w:r>
              <w:rPr>
                <w:rFonts w:hint="eastAsia"/>
                <w:color w:val="auto"/>
                <w:kern w:val="21"/>
                <w:sz w:val="21"/>
                <w:szCs w:val="21"/>
              </w:rPr>
              <w:t>，</w:t>
            </w:r>
            <w:r>
              <w:rPr>
                <w:color w:val="auto"/>
                <w:kern w:val="21"/>
                <w:sz w:val="21"/>
                <w:szCs w:val="21"/>
              </w:rPr>
              <w:t>2-二氯乙烷、1</w:t>
            </w:r>
            <w:r>
              <w:rPr>
                <w:rFonts w:hint="eastAsia"/>
                <w:color w:val="auto"/>
                <w:kern w:val="21"/>
                <w:sz w:val="21"/>
                <w:szCs w:val="21"/>
              </w:rPr>
              <w:t>，</w:t>
            </w:r>
            <w:r>
              <w:rPr>
                <w:color w:val="auto"/>
                <w:kern w:val="21"/>
                <w:sz w:val="21"/>
                <w:szCs w:val="21"/>
              </w:rPr>
              <w:t>1-二氯乙烯、顺-1</w:t>
            </w:r>
            <w:r>
              <w:rPr>
                <w:rFonts w:hint="eastAsia"/>
                <w:color w:val="auto"/>
                <w:kern w:val="21"/>
                <w:sz w:val="21"/>
                <w:szCs w:val="21"/>
              </w:rPr>
              <w:t>，</w:t>
            </w:r>
            <w:r>
              <w:rPr>
                <w:color w:val="auto"/>
                <w:kern w:val="21"/>
                <w:sz w:val="21"/>
                <w:szCs w:val="21"/>
              </w:rPr>
              <w:t>2-二氯乙烯、反-1</w:t>
            </w:r>
            <w:r>
              <w:rPr>
                <w:rFonts w:hint="eastAsia"/>
                <w:color w:val="auto"/>
                <w:kern w:val="21"/>
                <w:sz w:val="21"/>
                <w:szCs w:val="21"/>
              </w:rPr>
              <w:t>，</w:t>
            </w:r>
            <w:r>
              <w:rPr>
                <w:color w:val="auto"/>
                <w:kern w:val="21"/>
                <w:sz w:val="21"/>
                <w:szCs w:val="21"/>
              </w:rPr>
              <w:t>2-二氯乙烯、二氯甲烷、1</w:t>
            </w:r>
            <w:r>
              <w:rPr>
                <w:rFonts w:hint="eastAsia"/>
                <w:color w:val="auto"/>
                <w:kern w:val="21"/>
                <w:sz w:val="21"/>
                <w:szCs w:val="21"/>
              </w:rPr>
              <w:t>，</w:t>
            </w:r>
            <w:r>
              <w:rPr>
                <w:color w:val="auto"/>
                <w:kern w:val="21"/>
                <w:sz w:val="21"/>
                <w:szCs w:val="21"/>
              </w:rPr>
              <w:t>2-二氯丙烷、1</w:t>
            </w:r>
            <w:r>
              <w:rPr>
                <w:rFonts w:hint="eastAsia"/>
                <w:color w:val="auto"/>
                <w:kern w:val="21"/>
                <w:sz w:val="21"/>
                <w:szCs w:val="21"/>
              </w:rPr>
              <w:t>，</w:t>
            </w:r>
            <w:r>
              <w:rPr>
                <w:color w:val="auto"/>
                <w:kern w:val="21"/>
                <w:sz w:val="21"/>
                <w:szCs w:val="21"/>
              </w:rPr>
              <w:t>1</w:t>
            </w:r>
            <w:r>
              <w:rPr>
                <w:rFonts w:hint="eastAsia"/>
                <w:color w:val="auto"/>
                <w:kern w:val="21"/>
                <w:sz w:val="21"/>
                <w:szCs w:val="21"/>
              </w:rPr>
              <w:t>，</w:t>
            </w:r>
            <w:r>
              <w:rPr>
                <w:color w:val="auto"/>
                <w:kern w:val="21"/>
                <w:sz w:val="21"/>
                <w:szCs w:val="21"/>
              </w:rPr>
              <w:t>1</w:t>
            </w:r>
            <w:r>
              <w:rPr>
                <w:rFonts w:hint="eastAsia"/>
                <w:color w:val="auto"/>
                <w:kern w:val="21"/>
                <w:sz w:val="21"/>
                <w:szCs w:val="21"/>
              </w:rPr>
              <w:t>，</w:t>
            </w:r>
            <w:r>
              <w:rPr>
                <w:color w:val="auto"/>
                <w:kern w:val="21"/>
                <w:sz w:val="21"/>
                <w:szCs w:val="21"/>
              </w:rPr>
              <w:t>2-四氯乙烷、1</w:t>
            </w:r>
            <w:r>
              <w:rPr>
                <w:rFonts w:hint="eastAsia"/>
                <w:color w:val="auto"/>
                <w:kern w:val="21"/>
                <w:sz w:val="21"/>
                <w:szCs w:val="21"/>
              </w:rPr>
              <w:t>，</w:t>
            </w:r>
            <w:r>
              <w:rPr>
                <w:color w:val="auto"/>
                <w:kern w:val="21"/>
                <w:sz w:val="21"/>
                <w:szCs w:val="21"/>
              </w:rPr>
              <w:t>1</w:t>
            </w:r>
            <w:r>
              <w:rPr>
                <w:rFonts w:hint="eastAsia"/>
                <w:color w:val="auto"/>
                <w:kern w:val="21"/>
                <w:sz w:val="21"/>
                <w:szCs w:val="21"/>
              </w:rPr>
              <w:t>，</w:t>
            </w:r>
            <w:r>
              <w:rPr>
                <w:color w:val="auto"/>
                <w:kern w:val="21"/>
                <w:sz w:val="21"/>
                <w:szCs w:val="21"/>
              </w:rPr>
              <w:t>2</w:t>
            </w:r>
            <w:r>
              <w:rPr>
                <w:rFonts w:hint="eastAsia"/>
                <w:color w:val="auto"/>
                <w:kern w:val="21"/>
                <w:sz w:val="21"/>
                <w:szCs w:val="21"/>
              </w:rPr>
              <w:t>，</w:t>
            </w:r>
            <w:r>
              <w:rPr>
                <w:color w:val="auto"/>
                <w:kern w:val="21"/>
                <w:sz w:val="21"/>
                <w:szCs w:val="21"/>
              </w:rPr>
              <w:t>2-四氯乙烷、四氯乙烯、1</w:t>
            </w:r>
            <w:r>
              <w:rPr>
                <w:rFonts w:hint="eastAsia"/>
                <w:color w:val="auto"/>
                <w:kern w:val="21"/>
                <w:sz w:val="21"/>
                <w:szCs w:val="21"/>
              </w:rPr>
              <w:t>，</w:t>
            </w:r>
            <w:r>
              <w:rPr>
                <w:color w:val="auto"/>
                <w:kern w:val="21"/>
                <w:sz w:val="21"/>
                <w:szCs w:val="21"/>
              </w:rPr>
              <w:t>1</w:t>
            </w:r>
            <w:r>
              <w:rPr>
                <w:rFonts w:hint="eastAsia"/>
                <w:color w:val="auto"/>
                <w:kern w:val="21"/>
                <w:sz w:val="21"/>
                <w:szCs w:val="21"/>
              </w:rPr>
              <w:t>，</w:t>
            </w:r>
            <w:r>
              <w:rPr>
                <w:color w:val="auto"/>
                <w:kern w:val="21"/>
                <w:sz w:val="21"/>
                <w:szCs w:val="21"/>
              </w:rPr>
              <w:t>1-三氯乙烷、1</w:t>
            </w:r>
            <w:r>
              <w:rPr>
                <w:rFonts w:hint="eastAsia"/>
                <w:color w:val="auto"/>
                <w:kern w:val="21"/>
                <w:sz w:val="21"/>
                <w:szCs w:val="21"/>
              </w:rPr>
              <w:t>，</w:t>
            </w:r>
            <w:r>
              <w:rPr>
                <w:color w:val="auto"/>
                <w:kern w:val="21"/>
                <w:sz w:val="21"/>
                <w:szCs w:val="21"/>
              </w:rPr>
              <w:t>1</w:t>
            </w:r>
            <w:r>
              <w:rPr>
                <w:rFonts w:hint="eastAsia"/>
                <w:color w:val="auto"/>
                <w:kern w:val="21"/>
                <w:sz w:val="21"/>
                <w:szCs w:val="21"/>
              </w:rPr>
              <w:t>，</w:t>
            </w:r>
            <w:r>
              <w:rPr>
                <w:color w:val="auto"/>
                <w:kern w:val="21"/>
                <w:sz w:val="21"/>
                <w:szCs w:val="21"/>
              </w:rPr>
              <w:t>2-三氯乙烷、三氯乙烯、1</w:t>
            </w:r>
            <w:r>
              <w:rPr>
                <w:rFonts w:hint="eastAsia"/>
                <w:color w:val="auto"/>
                <w:kern w:val="21"/>
                <w:sz w:val="21"/>
                <w:szCs w:val="21"/>
              </w:rPr>
              <w:t>，</w:t>
            </w:r>
            <w:r>
              <w:rPr>
                <w:color w:val="auto"/>
                <w:kern w:val="21"/>
                <w:sz w:val="21"/>
                <w:szCs w:val="21"/>
              </w:rPr>
              <w:t>2</w:t>
            </w:r>
            <w:r>
              <w:rPr>
                <w:rFonts w:hint="eastAsia"/>
                <w:color w:val="auto"/>
                <w:kern w:val="21"/>
                <w:sz w:val="21"/>
                <w:szCs w:val="21"/>
              </w:rPr>
              <w:t>，</w:t>
            </w:r>
            <w:r>
              <w:rPr>
                <w:color w:val="auto"/>
                <w:kern w:val="21"/>
                <w:sz w:val="21"/>
                <w:szCs w:val="21"/>
              </w:rPr>
              <w:t>3-三氯丙烷、氯乙烯、苯、氯苯、1</w:t>
            </w:r>
            <w:r>
              <w:rPr>
                <w:rFonts w:hint="eastAsia"/>
                <w:color w:val="auto"/>
                <w:kern w:val="21"/>
                <w:sz w:val="21"/>
                <w:szCs w:val="21"/>
              </w:rPr>
              <w:t>，</w:t>
            </w:r>
            <w:r>
              <w:rPr>
                <w:color w:val="auto"/>
                <w:kern w:val="21"/>
                <w:sz w:val="21"/>
                <w:szCs w:val="21"/>
              </w:rPr>
              <w:t>2-二氯苯、1</w:t>
            </w:r>
            <w:r>
              <w:rPr>
                <w:rFonts w:hint="eastAsia"/>
                <w:color w:val="auto"/>
                <w:kern w:val="21"/>
                <w:sz w:val="21"/>
                <w:szCs w:val="21"/>
              </w:rPr>
              <w:t>，</w:t>
            </w:r>
            <w:r>
              <w:rPr>
                <w:color w:val="auto"/>
                <w:kern w:val="21"/>
                <w:sz w:val="21"/>
                <w:szCs w:val="21"/>
              </w:rPr>
              <w:t>4-二氯苯、乙苯、苯乙烯、甲苯、间二甲苯+对二甲苯、邻二甲苯、硝基苯、苯胺、2-氯酚、苯并[a]蒽、苯并[a]芘、苯并[b]荧蒽、苯并[k]荧蒽、䓛、二苯并[a</w:t>
            </w:r>
            <w:r>
              <w:rPr>
                <w:rFonts w:hint="eastAsia"/>
                <w:color w:val="auto"/>
                <w:kern w:val="21"/>
                <w:sz w:val="21"/>
                <w:szCs w:val="21"/>
              </w:rPr>
              <w:t>，</w:t>
            </w:r>
            <w:r>
              <w:rPr>
                <w:color w:val="auto"/>
                <w:kern w:val="21"/>
                <w:sz w:val="21"/>
                <w:szCs w:val="21"/>
              </w:rPr>
              <w:t>h]蒽、茚并[1</w:t>
            </w:r>
            <w:r>
              <w:rPr>
                <w:rFonts w:hint="eastAsia"/>
                <w:color w:val="auto"/>
                <w:kern w:val="21"/>
                <w:sz w:val="21"/>
                <w:szCs w:val="21"/>
              </w:rPr>
              <w:t>，</w:t>
            </w:r>
            <w:r>
              <w:rPr>
                <w:color w:val="auto"/>
                <w:kern w:val="21"/>
                <w:sz w:val="21"/>
                <w:szCs w:val="21"/>
              </w:rPr>
              <w:t>2</w:t>
            </w:r>
            <w:r>
              <w:rPr>
                <w:rFonts w:hint="eastAsia"/>
                <w:color w:val="auto"/>
                <w:kern w:val="21"/>
                <w:sz w:val="21"/>
                <w:szCs w:val="21"/>
              </w:rPr>
              <w:t>，</w:t>
            </w:r>
            <w:r>
              <w:rPr>
                <w:color w:val="auto"/>
                <w:kern w:val="21"/>
                <w:sz w:val="21"/>
                <w:szCs w:val="21"/>
              </w:rPr>
              <w:t>3-cd]芘、萘</w:t>
            </w:r>
          </w:p>
        </w:tc>
        <w:tc>
          <w:tcPr>
            <w:tcW w:w="1758"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定性分析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生态环境</w:t>
            </w:r>
          </w:p>
        </w:tc>
        <w:tc>
          <w:tcPr>
            <w:tcW w:w="7786" w:type="dxa"/>
            <w:gridSpan w:val="3"/>
            <w:vAlign w:val="center"/>
          </w:tcPr>
          <w:p>
            <w:pPr>
              <w:widowControl/>
              <w:spacing w:line="240" w:lineRule="auto"/>
              <w:ind w:firstLine="0" w:firstLineChars="0"/>
              <w:jc w:val="center"/>
              <w:rPr>
                <w:color w:val="auto"/>
                <w:kern w:val="21"/>
                <w:sz w:val="21"/>
                <w:szCs w:val="21"/>
              </w:rPr>
            </w:pPr>
            <w:r>
              <w:rPr>
                <w:color w:val="auto"/>
                <w:kern w:val="21"/>
                <w:sz w:val="21"/>
                <w:szCs w:val="21"/>
                <w:lang w:bidi="ar"/>
              </w:rPr>
              <w:t>项目建设对周边植被和野生动植物的影响。</w:t>
            </w:r>
          </w:p>
        </w:tc>
      </w:tr>
    </w:tbl>
    <w:p>
      <w:pPr>
        <w:pStyle w:val="6"/>
        <w:spacing w:after="0"/>
        <w:rPr>
          <w:color w:val="auto"/>
          <w:kern w:val="21"/>
          <w:sz w:val="24"/>
          <w:szCs w:val="24"/>
        </w:rPr>
      </w:pPr>
      <w:bookmarkStart w:id="24" w:name="_Toc14707"/>
      <w:r>
        <w:rPr>
          <w:color w:val="auto"/>
          <w:kern w:val="21"/>
          <w:sz w:val="24"/>
          <w:szCs w:val="24"/>
        </w:rPr>
        <w:t>2.3.3</w:t>
      </w:r>
      <w:r>
        <w:rPr>
          <w:rFonts w:eastAsia="宋体"/>
          <w:color w:val="auto"/>
          <w:kern w:val="21"/>
          <w:sz w:val="24"/>
          <w:szCs w:val="24"/>
        </w:rPr>
        <w:t>评价等级</w:t>
      </w:r>
      <w:bookmarkEnd w:id="24"/>
    </w:p>
    <w:p>
      <w:pPr>
        <w:ind w:firstLine="474"/>
        <w:rPr>
          <w:b/>
          <w:color w:val="auto"/>
          <w:kern w:val="21"/>
        </w:rPr>
      </w:pPr>
      <w:r>
        <w:rPr>
          <w:rFonts w:hint="eastAsia"/>
          <w:b/>
          <w:color w:val="auto"/>
          <w:kern w:val="21"/>
        </w:rPr>
        <w:t>1</w:t>
      </w:r>
      <w:r>
        <w:rPr>
          <w:b/>
          <w:color w:val="auto"/>
          <w:kern w:val="21"/>
        </w:rPr>
        <w:t>、大气环境评价等级</w:t>
      </w:r>
    </w:p>
    <w:p>
      <w:pPr>
        <w:topLinePunct/>
        <w:ind w:firstLine="472"/>
        <w:rPr>
          <w:color w:val="auto"/>
          <w:kern w:val="21"/>
        </w:rPr>
      </w:pPr>
      <w:r>
        <w:rPr>
          <w:color w:val="auto"/>
          <w:kern w:val="21"/>
        </w:rPr>
        <w:t>根据工程分析，项目运营期废气</w:t>
      </w:r>
      <w:r>
        <w:rPr>
          <w:rFonts w:hint="eastAsia"/>
          <w:color w:val="auto"/>
          <w:kern w:val="21"/>
          <w:lang w:eastAsia="zh-CN"/>
        </w:rPr>
        <w:t>主要为恶臭气体，</w:t>
      </w:r>
      <w:r>
        <w:rPr>
          <w:rFonts w:hint="eastAsia"/>
          <w:color w:val="auto"/>
          <w:kern w:val="21"/>
          <w:lang w:eastAsia="zh-CN" w:bidi="ar"/>
        </w:rPr>
        <w:t>粗格栅及进水泵房、细格栅及调节池、混凝沉淀池、水解酸化池、</w:t>
      </w:r>
      <w:r>
        <w:rPr>
          <w:color w:val="auto"/>
          <w:kern w:val="21"/>
          <w:lang w:bidi="ar"/>
        </w:rPr>
        <w:t>污泥脱水车间</w:t>
      </w:r>
      <w:r>
        <w:rPr>
          <w:rFonts w:hint="eastAsia"/>
          <w:color w:val="auto"/>
          <w:kern w:val="21"/>
          <w:lang w:eastAsia="zh-CN" w:bidi="ar"/>
        </w:rPr>
        <w:t>、污泥浓缩池产生的废气经收集后进入活性炭吸附塔治理后通过</w:t>
      </w:r>
      <w:r>
        <w:rPr>
          <w:rFonts w:hint="eastAsia"/>
          <w:color w:val="auto"/>
          <w:kern w:val="21"/>
          <w:lang w:val="en-US" w:eastAsia="zh-CN" w:bidi="ar"/>
        </w:rPr>
        <w:t>15m排气筒有组织排放，</w:t>
      </w:r>
      <w:r>
        <w:rPr>
          <w:rFonts w:hint="eastAsia"/>
          <w:color w:val="auto"/>
          <w:kern w:val="21"/>
          <w:lang w:eastAsia="zh-CN" w:bidi="ar"/>
        </w:rPr>
        <w:t>粗格栅及进水泵房、细格栅及调节池、混凝沉淀池、水解酸化池、</w:t>
      </w:r>
      <w:r>
        <w:rPr>
          <w:color w:val="auto"/>
          <w:kern w:val="21"/>
          <w:lang w:bidi="ar"/>
        </w:rPr>
        <w:t>污泥脱水车间</w:t>
      </w:r>
      <w:r>
        <w:rPr>
          <w:rFonts w:hint="eastAsia"/>
          <w:color w:val="auto"/>
          <w:kern w:val="21"/>
          <w:lang w:eastAsia="zh-CN" w:bidi="ar"/>
        </w:rPr>
        <w:t>、污泥浓缩池未能完全收集的废气与</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val="en-US" w:eastAsia="zh-CN" w:bidi="ar"/>
        </w:rPr>
        <w:t>/O生化池、MBR膜池废气呈无组织排放。</w:t>
      </w:r>
      <w:r>
        <w:rPr>
          <w:color w:val="auto"/>
          <w:kern w:val="21"/>
        </w:rPr>
        <w:t>选择《环境影响评价技术导则大气环境》（HJ2.2-2018）中推荐估算模型ARESCREEN，对本项目建成后全厂的大气环境评价工作进行分级。结合项目的工程分析结果，选择正常排放的主要污染物及排放参数，计算各污染物的最大地面空气质量浓度占标率（P</w:t>
      </w:r>
      <w:r>
        <w:rPr>
          <w:color w:val="auto"/>
          <w:kern w:val="21"/>
          <w:vertAlign w:val="subscript"/>
        </w:rPr>
        <w:t>max</w:t>
      </w:r>
      <w:r>
        <w:rPr>
          <w:color w:val="auto"/>
          <w:kern w:val="21"/>
        </w:rPr>
        <w:t>）和最远影响距离（D</w:t>
      </w:r>
      <w:r>
        <w:rPr>
          <w:color w:val="auto"/>
          <w:kern w:val="21"/>
          <w:vertAlign w:val="subscript"/>
        </w:rPr>
        <w:t>10%</w:t>
      </w:r>
      <w:r>
        <w:rPr>
          <w:color w:val="auto"/>
          <w:kern w:val="21"/>
        </w:rPr>
        <w:t>），然后按评价工作分级判据进行分级。</w:t>
      </w:r>
    </w:p>
    <w:p>
      <w:pPr>
        <w:pStyle w:val="178"/>
        <w:spacing w:line="240" w:lineRule="auto"/>
        <w:ind w:firstLine="472"/>
        <w:jc w:val="center"/>
        <w:rPr>
          <w:rFonts w:cs="Times New Roman"/>
          <w:color w:val="auto"/>
          <w:kern w:val="21"/>
        </w:rPr>
      </w:pPr>
      <w:r>
        <w:rPr>
          <w:rFonts w:cs="Times New Roman"/>
          <w:color w:val="auto"/>
          <w:kern w:val="21"/>
        </w:rPr>
        <w:drawing>
          <wp:inline distT="0" distB="0" distL="0" distR="0">
            <wp:extent cx="1198245" cy="504190"/>
            <wp:effectExtent l="0" t="0" r="0" b="0"/>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98245" cy="504190"/>
                    </a:xfrm>
                    <a:prstGeom prst="rect">
                      <a:avLst/>
                    </a:prstGeom>
                    <a:noFill/>
                    <a:ln>
                      <a:noFill/>
                    </a:ln>
                    <a:effectLst/>
                  </pic:spPr>
                </pic:pic>
              </a:graphicData>
            </a:graphic>
          </wp:inline>
        </w:drawing>
      </w:r>
    </w:p>
    <w:p>
      <w:pPr>
        <w:pStyle w:val="178"/>
        <w:ind w:firstLine="472"/>
        <w:rPr>
          <w:rFonts w:cs="Times New Roman"/>
          <w:color w:val="auto"/>
          <w:kern w:val="21"/>
        </w:rPr>
      </w:pPr>
      <w:r>
        <w:rPr>
          <w:rFonts w:cs="Times New Roman"/>
          <w:color w:val="auto"/>
          <w:kern w:val="21"/>
        </w:rPr>
        <w:t>式中：P</w:t>
      </w:r>
      <w:r>
        <w:rPr>
          <w:rFonts w:cs="Times New Roman"/>
          <w:color w:val="auto"/>
          <w:kern w:val="21"/>
          <w:vertAlign w:val="subscript"/>
        </w:rPr>
        <w:t>i</w:t>
      </w:r>
      <w:r>
        <w:rPr>
          <w:rFonts w:cs="Times New Roman"/>
          <w:color w:val="auto"/>
          <w:kern w:val="21"/>
        </w:rPr>
        <w:t>—第i个污染物的最大地面浓度占标率，%；</w:t>
      </w:r>
    </w:p>
    <w:p>
      <w:pPr>
        <w:pStyle w:val="178"/>
        <w:ind w:firstLine="472"/>
        <w:rPr>
          <w:rFonts w:cs="Times New Roman"/>
          <w:color w:val="auto"/>
          <w:kern w:val="21"/>
        </w:rPr>
      </w:pPr>
      <w:r>
        <w:rPr>
          <w:rFonts w:cs="Times New Roman"/>
          <w:color w:val="auto"/>
          <w:kern w:val="21"/>
        </w:rPr>
        <w:t>C</w:t>
      </w:r>
      <w:r>
        <w:rPr>
          <w:rFonts w:cs="Times New Roman"/>
          <w:color w:val="auto"/>
          <w:kern w:val="21"/>
          <w:vertAlign w:val="subscript"/>
        </w:rPr>
        <w:t>i</w:t>
      </w:r>
      <w:r>
        <w:rPr>
          <w:rFonts w:cs="Times New Roman"/>
          <w:color w:val="auto"/>
          <w:kern w:val="21"/>
        </w:rPr>
        <w:t>—采用估算模型计算出的第i个污染物的最大1h地面空气质量浓度，μg/m</w:t>
      </w:r>
      <w:r>
        <w:rPr>
          <w:rFonts w:cs="Times New Roman"/>
          <w:color w:val="auto"/>
          <w:kern w:val="21"/>
          <w:vertAlign w:val="superscript"/>
        </w:rPr>
        <w:t>3</w:t>
      </w:r>
      <w:r>
        <w:rPr>
          <w:rFonts w:cs="Times New Roman"/>
          <w:color w:val="auto"/>
          <w:kern w:val="21"/>
        </w:rPr>
        <w:t>；</w:t>
      </w:r>
    </w:p>
    <w:p>
      <w:pPr>
        <w:pStyle w:val="178"/>
        <w:ind w:firstLine="472"/>
        <w:rPr>
          <w:rFonts w:cs="Times New Roman"/>
          <w:color w:val="auto"/>
          <w:kern w:val="21"/>
        </w:rPr>
      </w:pPr>
      <w:r>
        <w:rPr>
          <w:rFonts w:cs="Times New Roman"/>
          <w:color w:val="auto"/>
          <w:kern w:val="21"/>
        </w:rPr>
        <w:t>C</w:t>
      </w:r>
      <w:r>
        <w:rPr>
          <w:rFonts w:cs="Times New Roman"/>
          <w:color w:val="auto"/>
          <w:kern w:val="21"/>
          <w:vertAlign w:val="subscript"/>
        </w:rPr>
        <w:t>oi</w:t>
      </w:r>
      <w:r>
        <w:rPr>
          <w:rFonts w:cs="Times New Roman"/>
          <w:color w:val="auto"/>
          <w:kern w:val="21"/>
        </w:rPr>
        <w:t>—第i个污染物大气环境空气质量标准，μg/m</w:t>
      </w:r>
      <w:r>
        <w:rPr>
          <w:rFonts w:cs="Times New Roman"/>
          <w:color w:val="auto"/>
          <w:kern w:val="21"/>
          <w:vertAlign w:val="superscript"/>
        </w:rPr>
        <w:t>3</w:t>
      </w:r>
      <w:r>
        <w:rPr>
          <w:rFonts w:cs="Times New Roman"/>
          <w:color w:val="auto"/>
          <w:kern w:val="21"/>
        </w:rPr>
        <w:t>。一般选用GB3095中1h平均质量浓度的二级浓度限值，如项目位于一类环境空气功能区，应选择相应的一级浓度限值；对该标准中未包含的污染物，使用《环境影响评价技术</w:t>
      </w:r>
      <w:r>
        <w:rPr>
          <w:rFonts w:hint="eastAsia" w:cs="Times New Roman"/>
          <w:color w:val="auto"/>
          <w:kern w:val="21"/>
          <w:lang w:eastAsia="zh-CN"/>
        </w:rPr>
        <w:t>导则 大气环境</w:t>
      </w:r>
      <w:r>
        <w:rPr>
          <w:rFonts w:cs="Times New Roman"/>
          <w:color w:val="auto"/>
          <w:kern w:val="21"/>
        </w:rPr>
        <w:t>》（HJ2.2-2018）中5.2确定的各评价因子1h平均质量浓度限值。对仅有8h平均质量浓度限值、日平均质量浓度限值或年平均浓度限值的，可分别按2倍、3倍、6倍折算为1h平均质量浓度限值。</w:t>
      </w:r>
    </w:p>
    <w:p>
      <w:pPr>
        <w:ind w:firstLine="472"/>
        <w:rPr>
          <w:color w:val="auto"/>
          <w:kern w:val="21"/>
        </w:rPr>
      </w:pPr>
      <w:r>
        <w:rPr>
          <w:color w:val="auto"/>
          <w:kern w:val="21"/>
        </w:rPr>
        <w:t>根据工程分析结果，本</w:t>
      </w:r>
      <w:r>
        <w:rPr>
          <w:rFonts w:hint="eastAsia"/>
          <w:color w:val="auto"/>
          <w:kern w:val="21"/>
        </w:rPr>
        <w:t>次</w:t>
      </w:r>
      <w:r>
        <w:rPr>
          <w:color w:val="auto"/>
          <w:kern w:val="21"/>
        </w:rPr>
        <w:t>评价选择主要氨</w:t>
      </w:r>
      <w:r>
        <w:rPr>
          <w:rFonts w:hint="eastAsia"/>
          <w:color w:val="auto"/>
          <w:kern w:val="21"/>
        </w:rPr>
        <w:t>和</w:t>
      </w:r>
      <w:r>
        <w:rPr>
          <w:color w:val="auto"/>
          <w:kern w:val="21"/>
        </w:rPr>
        <w:t>硫化氢来判定项目的评价等级。由于GB3095中没有氨、硫化氢的质量浓度限值，因此本次评价参考《环境影响评价技术导则大气环境》（HJ2.2-2018）附录D中氨、硫化氢的1h平均浓度限值（氨：200μg/m</w:t>
      </w:r>
      <w:r>
        <w:rPr>
          <w:color w:val="auto"/>
          <w:kern w:val="21"/>
          <w:vertAlign w:val="superscript"/>
        </w:rPr>
        <w:t>3</w:t>
      </w:r>
      <w:r>
        <w:rPr>
          <w:color w:val="auto"/>
          <w:kern w:val="21"/>
        </w:rPr>
        <w:t>；硫化氢：10μg/m</w:t>
      </w:r>
      <w:r>
        <w:rPr>
          <w:color w:val="auto"/>
          <w:kern w:val="21"/>
          <w:vertAlign w:val="superscript"/>
        </w:rPr>
        <w:t>3</w:t>
      </w:r>
      <w:r>
        <w:rPr>
          <w:color w:val="auto"/>
          <w:kern w:val="21"/>
        </w:rPr>
        <w:t>）进行环境空气评价等级判定。</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hint="default" w:ascii="Times New Roman" w:hAnsi="Times New Roman" w:cs="Times New Roman"/>
          <w:b/>
          <w:bCs/>
          <w:color w:val="auto"/>
          <w:kern w:val="21"/>
        </w:rPr>
      </w:pPr>
      <w:r>
        <w:rPr>
          <w:rFonts w:hint="default" w:ascii="Times New Roman" w:hAnsi="Times New Roman" w:cs="Times New Roman"/>
          <w:b/>
          <w:bCs/>
          <w:color w:val="auto"/>
          <w:kern w:val="21"/>
        </w:rPr>
        <w:t>评价工作等级判据</w:t>
      </w:r>
    </w:p>
    <w:tbl>
      <w:tblPr>
        <w:tblStyle w:val="51"/>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2"/>
        <w:gridCol w:w="5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62" w:type="dxa"/>
            <w:vAlign w:val="center"/>
          </w:tcPr>
          <w:p>
            <w:pPr>
              <w:spacing w:line="240" w:lineRule="auto"/>
              <w:ind w:firstLine="0" w:firstLineChars="0"/>
              <w:jc w:val="center"/>
              <w:rPr>
                <w:bCs/>
                <w:color w:val="auto"/>
                <w:kern w:val="21"/>
                <w:sz w:val="21"/>
                <w:szCs w:val="21"/>
              </w:rPr>
            </w:pPr>
            <w:r>
              <w:rPr>
                <w:bCs/>
                <w:color w:val="auto"/>
                <w:kern w:val="21"/>
                <w:sz w:val="21"/>
                <w:szCs w:val="21"/>
              </w:rPr>
              <w:t>评价工作等级</w:t>
            </w:r>
          </w:p>
        </w:tc>
        <w:tc>
          <w:tcPr>
            <w:tcW w:w="5158" w:type="dxa"/>
            <w:vAlign w:val="center"/>
          </w:tcPr>
          <w:p>
            <w:pPr>
              <w:spacing w:line="240" w:lineRule="auto"/>
              <w:ind w:firstLine="0" w:firstLineChars="0"/>
              <w:jc w:val="center"/>
              <w:rPr>
                <w:bCs/>
                <w:color w:val="auto"/>
                <w:kern w:val="21"/>
                <w:sz w:val="21"/>
                <w:szCs w:val="21"/>
              </w:rPr>
            </w:pPr>
            <w:r>
              <w:rPr>
                <w:bCs/>
                <w:color w:val="auto"/>
                <w:kern w:val="21"/>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2" w:type="dxa"/>
            <w:vAlign w:val="center"/>
          </w:tcPr>
          <w:p>
            <w:pPr>
              <w:spacing w:line="240" w:lineRule="auto"/>
              <w:ind w:firstLine="0" w:firstLineChars="0"/>
              <w:jc w:val="center"/>
              <w:rPr>
                <w:bCs/>
                <w:color w:val="auto"/>
                <w:kern w:val="21"/>
                <w:sz w:val="21"/>
                <w:szCs w:val="21"/>
              </w:rPr>
            </w:pPr>
            <w:r>
              <w:rPr>
                <w:bCs/>
                <w:color w:val="auto"/>
                <w:kern w:val="21"/>
                <w:sz w:val="21"/>
                <w:szCs w:val="21"/>
              </w:rPr>
              <w:t>一级评价</w:t>
            </w:r>
          </w:p>
        </w:tc>
        <w:tc>
          <w:tcPr>
            <w:tcW w:w="5158" w:type="dxa"/>
            <w:vAlign w:val="center"/>
          </w:tcPr>
          <w:p>
            <w:pPr>
              <w:spacing w:line="240" w:lineRule="auto"/>
              <w:ind w:firstLine="0" w:firstLineChars="0"/>
              <w:jc w:val="center"/>
              <w:rPr>
                <w:bCs/>
                <w:color w:val="auto"/>
                <w:kern w:val="21"/>
                <w:sz w:val="21"/>
                <w:szCs w:val="21"/>
              </w:rPr>
            </w:pPr>
            <w:r>
              <w:rPr>
                <w:bCs/>
                <w:color w:val="auto"/>
                <w:kern w:val="21"/>
                <w:sz w:val="21"/>
                <w:szCs w:val="21"/>
              </w:rPr>
              <w:t>P</w:t>
            </w:r>
            <w:r>
              <w:rPr>
                <w:bCs/>
                <w:color w:val="auto"/>
                <w:kern w:val="21"/>
                <w:sz w:val="21"/>
                <w:szCs w:val="21"/>
                <w:vertAlign w:val="subscript"/>
              </w:rPr>
              <w:t>max</w:t>
            </w:r>
            <w:r>
              <w:rPr>
                <w:bCs/>
                <w:color w:val="auto"/>
                <w:kern w:val="21"/>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62" w:type="dxa"/>
            <w:vAlign w:val="center"/>
          </w:tcPr>
          <w:p>
            <w:pPr>
              <w:spacing w:line="240" w:lineRule="auto"/>
              <w:ind w:firstLine="0" w:firstLineChars="0"/>
              <w:jc w:val="center"/>
              <w:rPr>
                <w:bCs/>
                <w:color w:val="auto"/>
                <w:kern w:val="21"/>
                <w:sz w:val="21"/>
                <w:szCs w:val="21"/>
              </w:rPr>
            </w:pPr>
            <w:r>
              <w:rPr>
                <w:bCs/>
                <w:color w:val="auto"/>
                <w:kern w:val="21"/>
                <w:sz w:val="21"/>
                <w:szCs w:val="21"/>
              </w:rPr>
              <w:t>二级评价</w:t>
            </w:r>
          </w:p>
        </w:tc>
        <w:tc>
          <w:tcPr>
            <w:tcW w:w="5158" w:type="dxa"/>
            <w:vAlign w:val="center"/>
          </w:tcPr>
          <w:p>
            <w:pPr>
              <w:spacing w:line="240" w:lineRule="auto"/>
              <w:ind w:firstLine="0" w:firstLineChars="0"/>
              <w:jc w:val="center"/>
              <w:rPr>
                <w:bCs/>
                <w:color w:val="auto"/>
                <w:kern w:val="21"/>
                <w:sz w:val="21"/>
                <w:szCs w:val="21"/>
              </w:rPr>
            </w:pPr>
            <w:r>
              <w:rPr>
                <w:bCs/>
                <w:color w:val="auto"/>
                <w:kern w:val="21"/>
                <w:sz w:val="21"/>
                <w:szCs w:val="21"/>
              </w:rPr>
              <w:t>1%≤P</w:t>
            </w:r>
            <w:r>
              <w:rPr>
                <w:bCs/>
                <w:color w:val="auto"/>
                <w:kern w:val="21"/>
                <w:sz w:val="21"/>
                <w:szCs w:val="21"/>
                <w:vertAlign w:val="subscript"/>
              </w:rPr>
              <w:t>max</w:t>
            </w:r>
            <w:r>
              <w:rPr>
                <w:bCs/>
                <w:color w:val="auto"/>
                <w:kern w:val="21"/>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62" w:type="dxa"/>
            <w:vAlign w:val="center"/>
          </w:tcPr>
          <w:p>
            <w:pPr>
              <w:spacing w:line="240" w:lineRule="auto"/>
              <w:ind w:firstLine="0" w:firstLineChars="0"/>
              <w:jc w:val="center"/>
              <w:rPr>
                <w:bCs/>
                <w:color w:val="auto"/>
                <w:kern w:val="21"/>
                <w:sz w:val="21"/>
                <w:szCs w:val="21"/>
              </w:rPr>
            </w:pPr>
            <w:r>
              <w:rPr>
                <w:bCs/>
                <w:color w:val="auto"/>
                <w:kern w:val="21"/>
                <w:sz w:val="21"/>
                <w:szCs w:val="21"/>
              </w:rPr>
              <w:t>三级评价</w:t>
            </w:r>
          </w:p>
        </w:tc>
        <w:tc>
          <w:tcPr>
            <w:tcW w:w="5158" w:type="dxa"/>
            <w:vAlign w:val="center"/>
          </w:tcPr>
          <w:p>
            <w:pPr>
              <w:spacing w:line="240" w:lineRule="auto"/>
              <w:ind w:firstLine="0" w:firstLineChars="0"/>
              <w:jc w:val="center"/>
              <w:rPr>
                <w:bCs/>
                <w:color w:val="auto"/>
                <w:kern w:val="21"/>
                <w:sz w:val="21"/>
                <w:szCs w:val="21"/>
              </w:rPr>
            </w:pPr>
            <w:r>
              <w:rPr>
                <w:bCs/>
                <w:color w:val="auto"/>
                <w:kern w:val="21"/>
                <w:sz w:val="21"/>
                <w:szCs w:val="21"/>
              </w:rPr>
              <w:t>P</w:t>
            </w:r>
            <w:r>
              <w:rPr>
                <w:bCs/>
                <w:color w:val="auto"/>
                <w:kern w:val="21"/>
                <w:sz w:val="21"/>
                <w:szCs w:val="21"/>
                <w:vertAlign w:val="subscript"/>
              </w:rPr>
              <w:t>max</w:t>
            </w:r>
            <w:r>
              <w:rPr>
                <w:bCs/>
                <w:color w:val="auto"/>
                <w:kern w:val="21"/>
                <w:sz w:val="21"/>
                <w:szCs w:val="21"/>
              </w:rPr>
              <w:t>＜1%</w:t>
            </w:r>
          </w:p>
        </w:tc>
      </w:tr>
    </w:tbl>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hint="default" w:ascii="Times New Roman" w:hAnsi="Times New Roman" w:cs="Times New Roman"/>
          <w:b/>
          <w:bCs/>
          <w:color w:val="auto"/>
          <w:kern w:val="21"/>
        </w:rPr>
      </w:pPr>
      <w:r>
        <w:rPr>
          <w:rFonts w:hint="default" w:ascii="Times New Roman" w:hAnsi="Times New Roman" w:cs="Times New Roman"/>
          <w:b/>
          <w:bCs/>
          <w:color w:val="auto"/>
          <w:kern w:val="21"/>
        </w:rPr>
        <w:t>估算模式计算参数表</w:t>
      </w:r>
    </w:p>
    <w:tbl>
      <w:tblPr>
        <w:tblStyle w:val="51"/>
        <w:tblW w:w="8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181"/>
        <w:gridCol w:w="4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2" w:type="dxa"/>
            <w:gridSpan w:val="2"/>
          </w:tcPr>
          <w:p>
            <w:pPr>
              <w:spacing w:line="240" w:lineRule="auto"/>
              <w:ind w:firstLine="0" w:firstLineChars="0"/>
              <w:jc w:val="center"/>
              <w:rPr>
                <w:bCs/>
                <w:color w:val="auto"/>
                <w:kern w:val="21"/>
                <w:sz w:val="21"/>
                <w:szCs w:val="21"/>
              </w:rPr>
            </w:pPr>
            <w:r>
              <w:rPr>
                <w:bCs/>
                <w:color w:val="auto"/>
                <w:kern w:val="21"/>
                <w:sz w:val="21"/>
                <w:szCs w:val="21"/>
              </w:rPr>
              <w:t>参数名称</w:t>
            </w:r>
          </w:p>
        </w:tc>
        <w:tc>
          <w:tcPr>
            <w:tcW w:w="4363" w:type="dxa"/>
          </w:tcPr>
          <w:p>
            <w:pPr>
              <w:spacing w:line="240" w:lineRule="auto"/>
              <w:ind w:firstLine="0" w:firstLineChars="0"/>
              <w:jc w:val="center"/>
              <w:rPr>
                <w:bCs/>
                <w:color w:val="auto"/>
                <w:kern w:val="21"/>
                <w:sz w:val="21"/>
                <w:szCs w:val="21"/>
              </w:rPr>
            </w:pPr>
            <w:r>
              <w:rPr>
                <w:bCs/>
                <w:color w:val="auto"/>
                <w:kern w:val="21"/>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2" w:type="dxa"/>
            <w:gridSpan w:val="2"/>
          </w:tcPr>
          <w:p>
            <w:pPr>
              <w:spacing w:line="240" w:lineRule="auto"/>
              <w:ind w:firstLine="0" w:firstLineChars="0"/>
              <w:jc w:val="center"/>
              <w:rPr>
                <w:bCs/>
                <w:color w:val="auto"/>
                <w:kern w:val="21"/>
                <w:sz w:val="21"/>
                <w:szCs w:val="21"/>
              </w:rPr>
            </w:pPr>
            <w:r>
              <w:rPr>
                <w:bCs/>
                <w:color w:val="auto"/>
                <w:kern w:val="21"/>
                <w:sz w:val="21"/>
                <w:szCs w:val="21"/>
              </w:rPr>
              <w:t>城市/农村选项</w:t>
            </w:r>
          </w:p>
        </w:tc>
        <w:tc>
          <w:tcPr>
            <w:tcW w:w="4363" w:type="dxa"/>
          </w:tcPr>
          <w:p>
            <w:pPr>
              <w:spacing w:line="240" w:lineRule="auto"/>
              <w:ind w:firstLine="0" w:firstLineChars="0"/>
              <w:jc w:val="center"/>
              <w:rPr>
                <w:bCs/>
                <w:color w:val="auto"/>
                <w:kern w:val="21"/>
                <w:sz w:val="21"/>
                <w:szCs w:val="21"/>
              </w:rPr>
            </w:pPr>
            <w:r>
              <w:rPr>
                <w:rFonts w:hint="eastAsia"/>
                <w:bCs/>
                <w:color w:val="auto"/>
                <w:kern w:val="21"/>
                <w:sz w:val="21"/>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2" w:type="dxa"/>
            <w:gridSpan w:val="2"/>
          </w:tcPr>
          <w:p>
            <w:pPr>
              <w:spacing w:line="240" w:lineRule="auto"/>
              <w:ind w:firstLine="0" w:firstLineChars="0"/>
              <w:jc w:val="center"/>
              <w:rPr>
                <w:bCs/>
                <w:color w:val="auto"/>
                <w:kern w:val="21"/>
                <w:sz w:val="21"/>
                <w:szCs w:val="21"/>
              </w:rPr>
            </w:pPr>
            <w:r>
              <w:rPr>
                <w:rFonts w:hint="eastAsia"/>
                <w:bCs/>
                <w:color w:val="auto"/>
                <w:kern w:val="21"/>
                <w:sz w:val="21"/>
                <w:szCs w:val="21"/>
              </w:rPr>
              <w:t>人口</w:t>
            </w:r>
          </w:p>
        </w:tc>
        <w:tc>
          <w:tcPr>
            <w:tcW w:w="4363" w:type="dxa"/>
          </w:tcPr>
          <w:p>
            <w:pPr>
              <w:spacing w:line="240" w:lineRule="auto"/>
              <w:ind w:firstLine="0" w:firstLineChars="0"/>
              <w:jc w:val="center"/>
              <w:rPr>
                <w:bCs/>
                <w:color w:val="auto"/>
                <w:kern w:val="21"/>
                <w:sz w:val="21"/>
                <w:szCs w:val="21"/>
              </w:rPr>
            </w:pPr>
            <w:r>
              <w:rPr>
                <w:rFonts w:hint="eastAsia"/>
                <w:bCs/>
                <w:color w:val="auto"/>
                <w:kern w:val="21"/>
                <w:sz w:val="21"/>
                <w:szCs w:val="21"/>
              </w:rPr>
              <w:t>546924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2" w:type="dxa"/>
            <w:gridSpan w:val="2"/>
          </w:tcPr>
          <w:p>
            <w:pPr>
              <w:spacing w:line="240" w:lineRule="auto"/>
              <w:ind w:firstLine="0" w:firstLineChars="0"/>
              <w:jc w:val="center"/>
              <w:rPr>
                <w:bCs/>
                <w:color w:val="auto"/>
                <w:kern w:val="21"/>
                <w:sz w:val="21"/>
                <w:szCs w:val="21"/>
              </w:rPr>
            </w:pPr>
            <w:r>
              <w:rPr>
                <w:bCs/>
                <w:color w:val="auto"/>
                <w:kern w:val="21"/>
                <w:sz w:val="21"/>
                <w:szCs w:val="21"/>
              </w:rPr>
              <w:t>最高环境温度/℃</w:t>
            </w:r>
          </w:p>
        </w:tc>
        <w:tc>
          <w:tcPr>
            <w:tcW w:w="4363" w:type="dxa"/>
            <w:vAlign w:val="center"/>
          </w:tcPr>
          <w:p>
            <w:pPr>
              <w:adjustRightInd w:val="0"/>
              <w:snapToGrid w:val="0"/>
              <w:spacing w:line="240" w:lineRule="auto"/>
              <w:ind w:firstLine="0" w:firstLineChars="0"/>
              <w:jc w:val="center"/>
              <w:rPr>
                <w:bCs/>
                <w:color w:val="auto"/>
                <w:kern w:val="21"/>
                <w:sz w:val="21"/>
                <w:szCs w:val="21"/>
              </w:rPr>
            </w:pPr>
            <w:r>
              <w:rPr>
                <w:rFonts w:eastAsia="Times New Roman"/>
                <w:color w:val="auto"/>
                <w:spacing w:val="-5"/>
                <w:sz w:val="21"/>
                <w:szCs w:val="21"/>
              </w:rPr>
              <w:t>34.20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2" w:type="dxa"/>
            <w:gridSpan w:val="2"/>
          </w:tcPr>
          <w:p>
            <w:pPr>
              <w:spacing w:line="240" w:lineRule="auto"/>
              <w:ind w:firstLine="0" w:firstLineChars="0"/>
              <w:jc w:val="center"/>
              <w:rPr>
                <w:bCs/>
                <w:color w:val="auto"/>
                <w:kern w:val="21"/>
                <w:sz w:val="21"/>
                <w:szCs w:val="21"/>
              </w:rPr>
            </w:pPr>
            <w:r>
              <w:rPr>
                <w:bCs/>
                <w:color w:val="auto"/>
                <w:kern w:val="21"/>
                <w:sz w:val="21"/>
                <w:szCs w:val="21"/>
              </w:rPr>
              <w:t>最低环境温度/℃</w:t>
            </w:r>
          </w:p>
        </w:tc>
        <w:tc>
          <w:tcPr>
            <w:tcW w:w="4363" w:type="dxa"/>
            <w:vAlign w:val="center"/>
          </w:tcPr>
          <w:p>
            <w:pPr>
              <w:adjustRightInd w:val="0"/>
              <w:snapToGrid w:val="0"/>
              <w:spacing w:line="240" w:lineRule="auto"/>
              <w:ind w:firstLine="0" w:firstLineChars="0"/>
              <w:jc w:val="center"/>
              <w:rPr>
                <w:bCs/>
                <w:color w:val="auto"/>
                <w:kern w:val="21"/>
                <w:sz w:val="21"/>
                <w:szCs w:val="21"/>
              </w:rPr>
            </w:pPr>
            <w:r>
              <w:rPr>
                <w:rFonts w:eastAsia="Times New Roman"/>
                <w:color w:val="auto"/>
                <w:spacing w:val="-6"/>
                <w:w w:val="95"/>
                <w:sz w:val="21"/>
                <w:szCs w:val="21"/>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2" w:type="dxa"/>
            <w:gridSpan w:val="2"/>
          </w:tcPr>
          <w:p>
            <w:pPr>
              <w:spacing w:line="240" w:lineRule="auto"/>
              <w:ind w:firstLine="0" w:firstLineChars="0"/>
              <w:jc w:val="center"/>
              <w:rPr>
                <w:bCs/>
                <w:color w:val="auto"/>
                <w:kern w:val="21"/>
                <w:sz w:val="21"/>
                <w:szCs w:val="21"/>
              </w:rPr>
            </w:pPr>
            <w:r>
              <w:rPr>
                <w:bCs/>
                <w:color w:val="auto"/>
                <w:kern w:val="21"/>
                <w:sz w:val="21"/>
                <w:szCs w:val="21"/>
              </w:rPr>
              <w:t>土地利用类型</w:t>
            </w:r>
          </w:p>
        </w:tc>
        <w:tc>
          <w:tcPr>
            <w:tcW w:w="4363" w:type="dxa"/>
          </w:tcPr>
          <w:p>
            <w:pPr>
              <w:spacing w:line="240" w:lineRule="auto"/>
              <w:ind w:firstLine="0" w:firstLineChars="0"/>
              <w:jc w:val="center"/>
              <w:rPr>
                <w:bCs/>
                <w:color w:val="auto"/>
                <w:kern w:val="21"/>
                <w:sz w:val="21"/>
                <w:szCs w:val="21"/>
              </w:rPr>
            </w:pPr>
            <w:r>
              <w:rPr>
                <w:rFonts w:hint="eastAsia"/>
                <w:bCs/>
                <w:color w:val="auto"/>
                <w:kern w:val="21"/>
                <w:sz w:val="21"/>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2" w:type="dxa"/>
            <w:gridSpan w:val="2"/>
          </w:tcPr>
          <w:p>
            <w:pPr>
              <w:spacing w:line="240" w:lineRule="auto"/>
              <w:ind w:firstLine="0" w:firstLineChars="0"/>
              <w:jc w:val="center"/>
              <w:rPr>
                <w:bCs/>
                <w:color w:val="auto"/>
                <w:kern w:val="21"/>
                <w:sz w:val="21"/>
                <w:szCs w:val="21"/>
              </w:rPr>
            </w:pPr>
            <w:r>
              <w:rPr>
                <w:bCs/>
                <w:color w:val="auto"/>
                <w:kern w:val="21"/>
                <w:sz w:val="21"/>
                <w:szCs w:val="21"/>
              </w:rPr>
              <w:t>区域湿度条件</w:t>
            </w:r>
          </w:p>
        </w:tc>
        <w:tc>
          <w:tcPr>
            <w:tcW w:w="4363" w:type="dxa"/>
          </w:tcPr>
          <w:p>
            <w:pPr>
              <w:spacing w:line="240" w:lineRule="auto"/>
              <w:ind w:firstLine="0" w:firstLineChars="0"/>
              <w:jc w:val="center"/>
              <w:rPr>
                <w:bCs/>
                <w:color w:val="auto"/>
                <w:kern w:val="21"/>
                <w:sz w:val="21"/>
                <w:szCs w:val="21"/>
              </w:rPr>
            </w:pPr>
            <w:r>
              <w:rPr>
                <w:bCs/>
                <w:color w:val="auto"/>
                <w:kern w:val="21"/>
                <w:sz w:val="21"/>
                <w:szCs w:val="21"/>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vMerge w:val="restart"/>
            <w:vAlign w:val="center"/>
          </w:tcPr>
          <w:p>
            <w:pPr>
              <w:spacing w:line="240" w:lineRule="auto"/>
              <w:ind w:firstLine="0" w:firstLineChars="0"/>
              <w:jc w:val="center"/>
              <w:rPr>
                <w:bCs/>
                <w:color w:val="auto"/>
                <w:kern w:val="21"/>
                <w:sz w:val="21"/>
                <w:szCs w:val="21"/>
              </w:rPr>
            </w:pPr>
            <w:r>
              <w:rPr>
                <w:bCs/>
                <w:color w:val="auto"/>
                <w:kern w:val="21"/>
                <w:sz w:val="21"/>
                <w:szCs w:val="21"/>
              </w:rPr>
              <w:t>是否考虑地形</w:t>
            </w:r>
          </w:p>
        </w:tc>
        <w:tc>
          <w:tcPr>
            <w:tcW w:w="2181" w:type="dxa"/>
          </w:tcPr>
          <w:p>
            <w:pPr>
              <w:spacing w:line="240" w:lineRule="auto"/>
              <w:ind w:firstLine="0" w:firstLineChars="0"/>
              <w:jc w:val="center"/>
              <w:rPr>
                <w:bCs/>
                <w:color w:val="auto"/>
                <w:kern w:val="21"/>
                <w:sz w:val="21"/>
                <w:szCs w:val="21"/>
              </w:rPr>
            </w:pPr>
            <w:r>
              <w:rPr>
                <w:bCs/>
                <w:color w:val="auto"/>
                <w:kern w:val="21"/>
                <w:sz w:val="21"/>
                <w:szCs w:val="21"/>
              </w:rPr>
              <w:t>考虑地形</w:t>
            </w:r>
          </w:p>
        </w:tc>
        <w:tc>
          <w:tcPr>
            <w:tcW w:w="4363" w:type="dxa"/>
          </w:tcPr>
          <w:p>
            <w:pPr>
              <w:spacing w:line="240" w:lineRule="auto"/>
              <w:ind w:firstLine="0" w:firstLineChars="0"/>
              <w:jc w:val="center"/>
              <w:rPr>
                <w:bCs/>
                <w:color w:val="auto"/>
                <w:kern w:val="21"/>
                <w:sz w:val="21"/>
                <w:szCs w:val="21"/>
              </w:rPr>
            </w:pPr>
            <w:r>
              <w:rPr>
                <w:bCs/>
                <w:color w:val="auto"/>
                <w:kern w:val="21"/>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81" w:type="dxa"/>
            <w:vMerge w:val="continue"/>
          </w:tcPr>
          <w:p>
            <w:pPr>
              <w:spacing w:line="240" w:lineRule="auto"/>
              <w:ind w:firstLine="0" w:firstLineChars="0"/>
              <w:jc w:val="center"/>
              <w:rPr>
                <w:color w:val="auto"/>
                <w:kern w:val="21"/>
              </w:rPr>
            </w:pPr>
          </w:p>
        </w:tc>
        <w:tc>
          <w:tcPr>
            <w:tcW w:w="2181" w:type="dxa"/>
          </w:tcPr>
          <w:p>
            <w:pPr>
              <w:spacing w:line="240" w:lineRule="auto"/>
              <w:ind w:firstLine="0" w:firstLineChars="0"/>
              <w:jc w:val="center"/>
              <w:rPr>
                <w:bCs/>
                <w:color w:val="auto"/>
                <w:kern w:val="21"/>
                <w:sz w:val="21"/>
                <w:szCs w:val="21"/>
              </w:rPr>
            </w:pPr>
            <w:r>
              <w:rPr>
                <w:bCs/>
                <w:color w:val="auto"/>
                <w:kern w:val="21"/>
                <w:sz w:val="21"/>
                <w:szCs w:val="21"/>
              </w:rPr>
              <w:t>地形数据分辨率</w:t>
            </w:r>
          </w:p>
        </w:tc>
        <w:tc>
          <w:tcPr>
            <w:tcW w:w="4363" w:type="dxa"/>
          </w:tcPr>
          <w:p>
            <w:pPr>
              <w:spacing w:line="240" w:lineRule="auto"/>
              <w:ind w:firstLine="0" w:firstLineChars="0"/>
              <w:jc w:val="center"/>
              <w:rPr>
                <w:rFonts w:hint="eastAsia" w:eastAsia="宋体"/>
                <w:bCs/>
                <w:color w:val="auto"/>
                <w:kern w:val="21"/>
                <w:sz w:val="21"/>
                <w:szCs w:val="21"/>
                <w:lang w:eastAsia="zh-CN"/>
              </w:rPr>
            </w:pPr>
            <w:r>
              <w:rPr>
                <w:rFonts w:hint="eastAsia"/>
                <w:bCs/>
                <w:color w:val="auto"/>
                <w:kern w:val="2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81" w:type="dxa"/>
            <w:vMerge w:val="restart"/>
            <w:vAlign w:val="center"/>
          </w:tcPr>
          <w:p>
            <w:pPr>
              <w:spacing w:line="240" w:lineRule="auto"/>
              <w:ind w:firstLine="0" w:firstLineChars="0"/>
              <w:jc w:val="center"/>
              <w:rPr>
                <w:color w:val="auto"/>
                <w:kern w:val="21"/>
              </w:rPr>
            </w:pPr>
            <w:r>
              <w:rPr>
                <w:bCs/>
                <w:color w:val="auto"/>
                <w:kern w:val="21"/>
                <w:sz w:val="21"/>
                <w:szCs w:val="21"/>
              </w:rPr>
              <w:t>是否考虑岸线熏烟</w:t>
            </w:r>
          </w:p>
        </w:tc>
        <w:tc>
          <w:tcPr>
            <w:tcW w:w="2181" w:type="dxa"/>
            <w:vAlign w:val="center"/>
          </w:tcPr>
          <w:p>
            <w:pPr>
              <w:spacing w:line="240" w:lineRule="auto"/>
              <w:ind w:firstLine="0" w:firstLineChars="0"/>
              <w:jc w:val="center"/>
              <w:rPr>
                <w:bCs/>
                <w:color w:val="auto"/>
                <w:kern w:val="21"/>
                <w:sz w:val="21"/>
                <w:szCs w:val="21"/>
              </w:rPr>
            </w:pPr>
            <w:r>
              <w:rPr>
                <w:bCs/>
                <w:color w:val="auto"/>
                <w:kern w:val="21"/>
                <w:sz w:val="21"/>
                <w:szCs w:val="21"/>
              </w:rPr>
              <w:t>考虑岸线熏烟</w:t>
            </w:r>
          </w:p>
        </w:tc>
        <w:tc>
          <w:tcPr>
            <w:tcW w:w="4363" w:type="dxa"/>
            <w:vAlign w:val="center"/>
          </w:tcPr>
          <w:p>
            <w:pPr>
              <w:spacing w:line="240" w:lineRule="auto"/>
              <w:ind w:firstLine="0" w:firstLineChars="0"/>
              <w:jc w:val="center"/>
              <w:rPr>
                <w:bCs/>
                <w:color w:val="auto"/>
                <w:kern w:val="21"/>
                <w:sz w:val="21"/>
                <w:szCs w:val="21"/>
              </w:rPr>
            </w:pPr>
            <w:r>
              <w:rPr>
                <w:bCs/>
                <w:color w:val="auto"/>
                <w:kern w:val="21"/>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81" w:type="dxa"/>
            <w:vMerge w:val="continue"/>
            <w:vAlign w:val="center"/>
          </w:tcPr>
          <w:p>
            <w:pPr>
              <w:spacing w:line="240" w:lineRule="auto"/>
              <w:ind w:firstLine="0" w:firstLineChars="0"/>
              <w:jc w:val="center"/>
              <w:rPr>
                <w:bCs/>
                <w:color w:val="auto"/>
                <w:kern w:val="21"/>
                <w:sz w:val="21"/>
                <w:szCs w:val="21"/>
              </w:rPr>
            </w:pPr>
          </w:p>
        </w:tc>
        <w:tc>
          <w:tcPr>
            <w:tcW w:w="2181" w:type="dxa"/>
            <w:vAlign w:val="center"/>
          </w:tcPr>
          <w:p>
            <w:pPr>
              <w:spacing w:line="240" w:lineRule="auto"/>
              <w:ind w:firstLine="0" w:firstLineChars="0"/>
              <w:jc w:val="center"/>
              <w:rPr>
                <w:color w:val="auto"/>
                <w:kern w:val="21"/>
              </w:rPr>
            </w:pPr>
            <w:r>
              <w:rPr>
                <w:bCs/>
                <w:color w:val="auto"/>
                <w:kern w:val="21"/>
                <w:sz w:val="21"/>
                <w:szCs w:val="21"/>
              </w:rPr>
              <w:t>岸线距离/km</w:t>
            </w:r>
          </w:p>
        </w:tc>
        <w:tc>
          <w:tcPr>
            <w:tcW w:w="4363" w:type="dxa"/>
            <w:vAlign w:val="center"/>
          </w:tcPr>
          <w:p>
            <w:pPr>
              <w:spacing w:line="240" w:lineRule="auto"/>
              <w:ind w:firstLine="0" w:firstLineChars="0"/>
              <w:jc w:val="center"/>
              <w:rPr>
                <w:bCs/>
                <w:color w:val="auto"/>
                <w:kern w:val="21"/>
                <w:sz w:val="21"/>
                <w:szCs w:val="21"/>
              </w:rPr>
            </w:pPr>
            <w:r>
              <w:rPr>
                <w:bCs/>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81" w:type="dxa"/>
            <w:vMerge w:val="continue"/>
            <w:vAlign w:val="center"/>
          </w:tcPr>
          <w:p>
            <w:pPr>
              <w:spacing w:line="240" w:lineRule="auto"/>
              <w:ind w:firstLine="0" w:firstLineChars="0"/>
              <w:jc w:val="center"/>
              <w:rPr>
                <w:bCs/>
                <w:color w:val="auto"/>
                <w:kern w:val="21"/>
                <w:sz w:val="21"/>
                <w:szCs w:val="21"/>
              </w:rPr>
            </w:pPr>
          </w:p>
        </w:tc>
        <w:tc>
          <w:tcPr>
            <w:tcW w:w="2181" w:type="dxa"/>
            <w:vAlign w:val="center"/>
          </w:tcPr>
          <w:p>
            <w:pPr>
              <w:spacing w:line="240" w:lineRule="auto"/>
              <w:ind w:firstLine="0" w:firstLineChars="0"/>
              <w:jc w:val="center"/>
              <w:rPr>
                <w:color w:val="auto"/>
                <w:kern w:val="21"/>
              </w:rPr>
            </w:pPr>
            <w:r>
              <w:rPr>
                <w:bCs/>
                <w:color w:val="auto"/>
                <w:kern w:val="21"/>
                <w:sz w:val="21"/>
                <w:szCs w:val="21"/>
              </w:rPr>
              <w:t>岸线方向/°</w:t>
            </w:r>
          </w:p>
        </w:tc>
        <w:tc>
          <w:tcPr>
            <w:tcW w:w="4363" w:type="dxa"/>
            <w:vAlign w:val="center"/>
          </w:tcPr>
          <w:p>
            <w:pPr>
              <w:spacing w:line="240" w:lineRule="auto"/>
              <w:ind w:firstLine="0" w:firstLineChars="0"/>
              <w:jc w:val="center"/>
              <w:rPr>
                <w:bCs/>
                <w:color w:val="auto"/>
                <w:kern w:val="21"/>
                <w:sz w:val="21"/>
                <w:szCs w:val="21"/>
              </w:rPr>
            </w:pPr>
            <w:r>
              <w:rPr>
                <w:bCs/>
                <w:color w:val="auto"/>
                <w:kern w:val="21"/>
                <w:sz w:val="21"/>
                <w:szCs w:val="21"/>
              </w:rPr>
              <w:t>/</w:t>
            </w:r>
          </w:p>
        </w:tc>
      </w:tr>
    </w:tbl>
    <w:p>
      <w:pPr>
        <w:keepNext w:val="0"/>
        <w:keepLines w:val="0"/>
        <w:pageBreakBefore w:val="0"/>
        <w:widowControl w:val="0"/>
        <w:numPr>
          <w:ilvl w:val="0"/>
          <w:numId w:val="2"/>
        </w:numPr>
        <w:kinsoku/>
        <w:wordWrap/>
        <w:overflowPunct/>
        <w:topLinePunct/>
        <w:autoSpaceDE/>
        <w:autoSpaceDN/>
        <w:bidi w:val="0"/>
        <w:adjustRightInd/>
        <w:snapToGrid/>
        <w:spacing w:before="0" w:beforeLines="50"/>
        <w:ind w:left="0" w:leftChars="0" w:firstLine="0" w:firstLineChars="0"/>
        <w:jc w:val="center"/>
        <w:textAlignment w:val="auto"/>
        <w:rPr>
          <w:rFonts w:hint="eastAsia" w:ascii="Times New Roman" w:hAnsi="Times New Roman" w:cs="Times New Roman"/>
          <w:b/>
          <w:bCs/>
          <w:color w:val="auto"/>
          <w:kern w:val="21"/>
          <w:lang w:eastAsia="zh-CN"/>
        </w:rPr>
      </w:pPr>
      <w:r>
        <w:rPr>
          <w:rFonts w:hint="eastAsia" w:cs="Times New Roman"/>
          <w:b/>
          <w:bCs/>
          <w:color w:val="auto"/>
          <w:kern w:val="21"/>
          <w:lang w:eastAsia="zh-CN"/>
        </w:rPr>
        <w:t>项目点源参数调查清单</w:t>
      </w:r>
    </w:p>
    <w:tbl>
      <w:tblPr>
        <w:tblStyle w:val="51"/>
        <w:tblW w:w="9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753"/>
        <w:gridCol w:w="761"/>
        <w:gridCol w:w="825"/>
        <w:gridCol w:w="814"/>
        <w:gridCol w:w="739"/>
        <w:gridCol w:w="671"/>
        <w:gridCol w:w="653"/>
        <w:gridCol w:w="729"/>
        <w:gridCol w:w="664"/>
        <w:gridCol w:w="675"/>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排气筒名称</w:t>
            </w:r>
          </w:p>
        </w:tc>
        <w:tc>
          <w:tcPr>
            <w:tcW w:w="15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排气筒底部中心坐标</w:t>
            </w:r>
          </w:p>
        </w:tc>
        <w:tc>
          <w:tcPr>
            <w:tcW w:w="82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排气筒底部海拔高度/m</w:t>
            </w:r>
          </w:p>
        </w:tc>
        <w:tc>
          <w:tcPr>
            <w:tcW w:w="81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排气筒高度m</w:t>
            </w:r>
          </w:p>
        </w:tc>
        <w:tc>
          <w:tcPr>
            <w:tcW w:w="73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排气筒内径m</w:t>
            </w:r>
          </w:p>
        </w:tc>
        <w:tc>
          <w:tcPr>
            <w:tcW w:w="67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烟气流速m/s</w:t>
            </w:r>
          </w:p>
        </w:tc>
        <w:tc>
          <w:tcPr>
            <w:tcW w:w="65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烟气温度</w:t>
            </w:r>
            <w:r>
              <w:rPr>
                <w:rFonts w:hint="eastAsia" w:ascii="宋体" w:hAnsi="宋体" w:cs="宋体"/>
                <w:bCs/>
                <w:color w:val="auto"/>
                <w:sz w:val="21"/>
                <w:szCs w:val="21"/>
              </w:rPr>
              <w:t>℃</w:t>
            </w:r>
          </w:p>
        </w:tc>
        <w:tc>
          <w:tcPr>
            <w:tcW w:w="72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年排放小时数h</w:t>
            </w:r>
          </w:p>
        </w:tc>
        <w:tc>
          <w:tcPr>
            <w:tcW w:w="66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排放工况</w:t>
            </w:r>
          </w:p>
        </w:tc>
        <w:tc>
          <w:tcPr>
            <w:tcW w:w="1595"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最大排放速率kg/h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53"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X</w:t>
            </w:r>
          </w:p>
        </w:tc>
        <w:tc>
          <w:tcPr>
            <w:tcW w:w="76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Y</w:t>
            </w:r>
          </w:p>
        </w:tc>
        <w:tc>
          <w:tcPr>
            <w:tcW w:w="8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8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7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5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6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1595"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排气筒DA001</w:t>
            </w:r>
          </w:p>
        </w:tc>
        <w:tc>
          <w:tcPr>
            <w:tcW w:w="753" w:type="dxa"/>
            <w:vMerge w:val="restart"/>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rPr>
            </w:pPr>
            <w:r>
              <w:rPr>
                <w:rFonts w:hint="eastAsia"/>
                <w:color w:val="auto"/>
                <w:sz w:val="21"/>
                <w:szCs w:val="21"/>
              </w:rPr>
              <w:t>101.6027</w:t>
            </w:r>
          </w:p>
        </w:tc>
        <w:tc>
          <w:tcPr>
            <w:tcW w:w="761" w:type="dxa"/>
            <w:vMerge w:val="restart"/>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rPr>
            </w:pPr>
            <w:r>
              <w:rPr>
                <w:rFonts w:hint="eastAsia"/>
                <w:color w:val="auto"/>
                <w:sz w:val="21"/>
                <w:szCs w:val="21"/>
              </w:rPr>
              <w:t>25.0217</w:t>
            </w:r>
          </w:p>
        </w:tc>
        <w:tc>
          <w:tcPr>
            <w:tcW w:w="82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1837</w:t>
            </w:r>
          </w:p>
        </w:tc>
        <w:tc>
          <w:tcPr>
            <w:tcW w:w="81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15</w:t>
            </w:r>
          </w:p>
        </w:tc>
        <w:tc>
          <w:tcPr>
            <w:tcW w:w="73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bCs/>
                <w:color w:val="auto"/>
                <w:sz w:val="21"/>
                <w:szCs w:val="21"/>
                <w:lang w:eastAsia="zh-CN"/>
              </w:rPr>
            </w:pPr>
            <w:r>
              <w:rPr>
                <w:rFonts w:hint="eastAsia"/>
                <w:bCs/>
                <w:color w:val="auto"/>
                <w:sz w:val="21"/>
                <w:szCs w:val="21"/>
              </w:rPr>
              <w:t>0.</w:t>
            </w:r>
            <w:r>
              <w:rPr>
                <w:rFonts w:hint="eastAsia"/>
                <w:bCs/>
                <w:color w:val="auto"/>
                <w:sz w:val="21"/>
                <w:szCs w:val="21"/>
                <w:lang w:val="en-US" w:eastAsia="zh-CN"/>
              </w:rPr>
              <w:t>3</w:t>
            </w:r>
          </w:p>
        </w:tc>
        <w:tc>
          <w:tcPr>
            <w:tcW w:w="67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lang w:val="en-US" w:eastAsia="zh-CN"/>
              </w:rPr>
              <w:t>19.66</w:t>
            </w:r>
          </w:p>
        </w:tc>
        <w:tc>
          <w:tcPr>
            <w:tcW w:w="65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25</w:t>
            </w:r>
          </w:p>
        </w:tc>
        <w:tc>
          <w:tcPr>
            <w:tcW w:w="72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8760</w:t>
            </w:r>
          </w:p>
        </w:tc>
        <w:tc>
          <w:tcPr>
            <w:tcW w:w="66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正常排放</w:t>
            </w:r>
          </w:p>
        </w:tc>
        <w:tc>
          <w:tcPr>
            <w:tcW w:w="675" w:type="dxa"/>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p>
        </w:tc>
        <w:tc>
          <w:tcPr>
            <w:tcW w:w="920" w:type="dxa"/>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53" w:type="dxa"/>
            <w:vMerge w:val="continue"/>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rPr>
            </w:pPr>
          </w:p>
        </w:tc>
        <w:tc>
          <w:tcPr>
            <w:tcW w:w="761" w:type="dxa"/>
            <w:vMerge w:val="continue"/>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rPr>
            </w:pPr>
          </w:p>
        </w:tc>
        <w:tc>
          <w:tcPr>
            <w:tcW w:w="825" w:type="dxa"/>
            <w:vMerge w:val="continue"/>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rPr>
            </w:pPr>
          </w:p>
        </w:tc>
        <w:tc>
          <w:tcPr>
            <w:tcW w:w="8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7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5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6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75" w:type="dxa"/>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920" w:type="dxa"/>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0001</w:t>
            </w:r>
          </w:p>
        </w:tc>
      </w:tr>
    </w:tbl>
    <w:p>
      <w:pPr>
        <w:keepNext w:val="0"/>
        <w:keepLines w:val="0"/>
        <w:pageBreakBefore w:val="0"/>
        <w:widowControl w:val="0"/>
        <w:numPr>
          <w:ilvl w:val="0"/>
          <w:numId w:val="2"/>
        </w:numPr>
        <w:kinsoku/>
        <w:wordWrap/>
        <w:overflowPunct/>
        <w:topLinePunct/>
        <w:autoSpaceDE/>
        <w:autoSpaceDN/>
        <w:bidi w:val="0"/>
        <w:adjustRightInd/>
        <w:snapToGrid/>
        <w:spacing w:before="0" w:beforeLines="50"/>
        <w:ind w:left="0" w:leftChars="0" w:firstLine="0" w:firstLineChars="0"/>
        <w:jc w:val="center"/>
        <w:textAlignment w:val="auto"/>
        <w:rPr>
          <w:rFonts w:hint="eastAsia" w:ascii="Times New Roman" w:hAnsi="Times New Roman" w:cs="Times New Roman"/>
          <w:b/>
          <w:bCs/>
          <w:color w:val="auto"/>
          <w:kern w:val="21"/>
          <w:lang w:eastAsia="zh-CN"/>
        </w:rPr>
      </w:pPr>
      <w:r>
        <w:rPr>
          <w:rFonts w:hint="eastAsia" w:ascii="Times New Roman" w:hAnsi="Times New Roman" w:cs="Times New Roman"/>
          <w:b/>
          <w:bCs/>
          <w:color w:val="auto"/>
          <w:kern w:val="21"/>
          <w:lang w:eastAsia="zh-CN"/>
        </w:rPr>
        <w:t>项目面源参数（等效为圆形面源）调查清单</w:t>
      </w:r>
    </w:p>
    <w:tbl>
      <w:tblPr>
        <w:tblStyle w:val="51"/>
        <w:tblW w:w="906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Layout w:type="fixed"/>
        <w:tblCellMar>
          <w:top w:w="0" w:type="dxa"/>
          <w:left w:w="0" w:type="dxa"/>
          <w:bottom w:w="0" w:type="dxa"/>
          <w:right w:w="0" w:type="dxa"/>
        </w:tblCellMar>
      </w:tblPr>
      <w:tblGrid>
        <w:gridCol w:w="568"/>
        <w:gridCol w:w="1735"/>
        <w:gridCol w:w="892"/>
        <w:gridCol w:w="802"/>
        <w:gridCol w:w="856"/>
        <w:gridCol w:w="768"/>
        <w:gridCol w:w="768"/>
        <w:gridCol w:w="900"/>
        <w:gridCol w:w="803"/>
        <w:gridCol w:w="9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657" w:hRule="atLeast"/>
          <w:jc w:val="center"/>
        </w:trPr>
        <w:tc>
          <w:tcPr>
            <w:tcW w:w="568"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18"/>
                <w:szCs w:val="18"/>
              </w:rPr>
            </w:pPr>
            <w:r>
              <w:rPr>
                <w:color w:val="auto"/>
                <w:sz w:val="18"/>
                <w:szCs w:val="18"/>
              </w:rPr>
              <w:t>编号</w:t>
            </w:r>
          </w:p>
        </w:tc>
        <w:tc>
          <w:tcPr>
            <w:tcW w:w="1735"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18"/>
                <w:szCs w:val="18"/>
              </w:rPr>
            </w:pPr>
            <w:r>
              <w:rPr>
                <w:color w:val="auto"/>
                <w:sz w:val="18"/>
                <w:szCs w:val="18"/>
              </w:rPr>
              <w:t>名称</w:t>
            </w:r>
          </w:p>
        </w:tc>
        <w:tc>
          <w:tcPr>
            <w:tcW w:w="892"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18"/>
                <w:szCs w:val="18"/>
              </w:rPr>
            </w:pPr>
            <w:r>
              <w:rPr>
                <w:color w:val="auto"/>
                <w:spacing w:val="-2"/>
                <w:sz w:val="18"/>
                <w:szCs w:val="18"/>
              </w:rPr>
              <w:t>面源海拔</w:t>
            </w:r>
            <w:r>
              <w:rPr>
                <w:color w:val="auto"/>
                <w:spacing w:val="-3"/>
                <w:sz w:val="18"/>
                <w:szCs w:val="18"/>
              </w:rPr>
              <w:t>高度</w:t>
            </w:r>
            <w:r>
              <w:rPr>
                <w:color w:val="auto"/>
                <w:sz w:val="18"/>
                <w:szCs w:val="18"/>
              </w:rPr>
              <w:t>/m</w:t>
            </w:r>
          </w:p>
        </w:tc>
        <w:tc>
          <w:tcPr>
            <w:tcW w:w="802"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18"/>
                <w:szCs w:val="18"/>
              </w:rPr>
            </w:pPr>
          </w:p>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18"/>
                <w:szCs w:val="18"/>
              </w:rPr>
            </w:pPr>
            <w:r>
              <w:rPr>
                <w:color w:val="auto"/>
                <w:spacing w:val="-2"/>
                <w:sz w:val="18"/>
                <w:szCs w:val="18"/>
              </w:rPr>
              <w:t>面源长度</w:t>
            </w:r>
            <w:r>
              <w:rPr>
                <w:color w:val="auto"/>
                <w:sz w:val="18"/>
                <w:szCs w:val="18"/>
              </w:rPr>
              <w:t>/m</w:t>
            </w:r>
          </w:p>
        </w:tc>
        <w:tc>
          <w:tcPr>
            <w:tcW w:w="856"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18"/>
                <w:szCs w:val="18"/>
              </w:rPr>
            </w:pPr>
            <w:r>
              <w:rPr>
                <w:color w:val="auto"/>
                <w:spacing w:val="-2"/>
                <w:sz w:val="18"/>
                <w:szCs w:val="18"/>
              </w:rPr>
              <w:t>面源</w:t>
            </w:r>
            <w:r>
              <w:rPr>
                <w:color w:val="auto"/>
                <w:spacing w:val="-5"/>
                <w:sz w:val="18"/>
                <w:szCs w:val="18"/>
              </w:rPr>
              <w:t>宽度</w:t>
            </w:r>
            <w:r>
              <w:rPr>
                <w:color w:val="auto"/>
                <w:sz w:val="18"/>
                <w:szCs w:val="18"/>
              </w:rPr>
              <w:t>/m</w:t>
            </w:r>
          </w:p>
        </w:tc>
        <w:tc>
          <w:tcPr>
            <w:tcW w:w="768"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rFonts w:hint="eastAsia" w:eastAsia="宋体"/>
                <w:color w:val="auto"/>
                <w:spacing w:val="-3"/>
                <w:sz w:val="18"/>
                <w:szCs w:val="18"/>
                <w:lang w:eastAsia="zh-CN"/>
              </w:rPr>
            </w:pPr>
            <w:r>
              <w:rPr>
                <w:rFonts w:hint="eastAsia"/>
                <w:color w:val="auto"/>
                <w:spacing w:val="-3"/>
                <w:sz w:val="18"/>
                <w:szCs w:val="18"/>
                <w:lang w:eastAsia="zh-CN"/>
              </w:rPr>
              <w:t>等效后圆形半径</w:t>
            </w:r>
            <w:r>
              <w:rPr>
                <w:color w:val="auto"/>
                <w:sz w:val="18"/>
                <w:szCs w:val="18"/>
              </w:rPr>
              <w:t>/m</w:t>
            </w:r>
          </w:p>
        </w:tc>
        <w:tc>
          <w:tcPr>
            <w:tcW w:w="768"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18"/>
                <w:szCs w:val="18"/>
              </w:rPr>
            </w:pPr>
            <w:r>
              <w:rPr>
                <w:color w:val="auto"/>
                <w:spacing w:val="-3"/>
                <w:sz w:val="18"/>
                <w:szCs w:val="18"/>
              </w:rPr>
              <w:t>面源有</w:t>
            </w:r>
            <w:r>
              <w:rPr>
                <w:color w:val="auto"/>
                <w:spacing w:val="-63"/>
                <w:sz w:val="18"/>
                <w:szCs w:val="18"/>
              </w:rPr>
              <w:t xml:space="preserve"> </w:t>
            </w:r>
            <w:r>
              <w:rPr>
                <w:color w:val="auto"/>
                <w:spacing w:val="-3"/>
                <w:sz w:val="18"/>
                <w:szCs w:val="18"/>
              </w:rPr>
              <w:t>效排放</w:t>
            </w:r>
            <w:r>
              <w:rPr>
                <w:color w:val="auto"/>
                <w:spacing w:val="-63"/>
                <w:sz w:val="18"/>
                <w:szCs w:val="18"/>
              </w:rPr>
              <w:t xml:space="preserve"> </w:t>
            </w:r>
            <w:r>
              <w:rPr>
                <w:color w:val="auto"/>
                <w:spacing w:val="-3"/>
                <w:sz w:val="18"/>
                <w:szCs w:val="18"/>
              </w:rPr>
              <w:t>高度/m</w:t>
            </w:r>
          </w:p>
        </w:tc>
        <w:tc>
          <w:tcPr>
            <w:tcW w:w="900"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18"/>
                <w:szCs w:val="18"/>
              </w:rPr>
            </w:pPr>
            <w:r>
              <w:rPr>
                <w:color w:val="auto"/>
                <w:spacing w:val="-2"/>
                <w:sz w:val="18"/>
                <w:szCs w:val="18"/>
              </w:rPr>
              <w:t>年排放</w:t>
            </w:r>
            <w:r>
              <w:rPr>
                <w:color w:val="auto"/>
                <w:spacing w:val="-3"/>
                <w:sz w:val="18"/>
                <w:szCs w:val="18"/>
              </w:rPr>
              <w:t>小时数</w:t>
            </w:r>
            <w:r>
              <w:rPr>
                <w:color w:val="auto"/>
                <w:sz w:val="18"/>
                <w:szCs w:val="18"/>
              </w:rPr>
              <w:t>/h</w:t>
            </w:r>
          </w:p>
        </w:tc>
        <w:tc>
          <w:tcPr>
            <w:tcW w:w="1776" w:type="dxa"/>
            <w:gridSpan w:val="2"/>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18"/>
                <w:szCs w:val="18"/>
              </w:rPr>
            </w:pPr>
            <w:r>
              <w:rPr>
                <w:color w:val="auto"/>
                <w:spacing w:val="-2"/>
                <w:sz w:val="18"/>
                <w:szCs w:val="18"/>
              </w:rPr>
              <w:t>污染物排放速率/</w:t>
            </w:r>
          </w:p>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18"/>
                <w:szCs w:val="18"/>
              </w:rPr>
            </w:pPr>
            <w:r>
              <w:rPr>
                <w:color w:val="auto"/>
                <w:spacing w:val="-18"/>
                <w:sz w:val="18"/>
                <w:szCs w:val="18"/>
              </w:rPr>
              <w:t>（kg/h）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159" w:hRule="atLeast"/>
          <w:jc w:val="center"/>
        </w:trPr>
        <w:tc>
          <w:tcPr>
            <w:tcW w:w="568" w:type="dxa"/>
            <w:vMerge w:val="continue"/>
            <w:shd w:val="clear" w:color="auto" w:fill="auto"/>
            <w:textDirection w:val="tbRlV"/>
            <w:vAlign w:val="center"/>
          </w:tcPr>
          <w:p>
            <w:pPr>
              <w:widowControl/>
              <w:kinsoku w:val="0"/>
              <w:autoSpaceDE w:val="0"/>
              <w:autoSpaceDN w:val="0"/>
              <w:spacing w:line="240" w:lineRule="auto"/>
              <w:ind w:firstLine="0" w:firstLineChars="0"/>
              <w:jc w:val="center"/>
              <w:textAlignment w:val="baseline"/>
              <w:rPr>
                <w:color w:val="auto"/>
                <w:sz w:val="18"/>
                <w:szCs w:val="18"/>
              </w:rPr>
            </w:pPr>
          </w:p>
        </w:tc>
        <w:tc>
          <w:tcPr>
            <w:tcW w:w="1735" w:type="dxa"/>
            <w:vMerge w:val="continue"/>
            <w:shd w:val="clear" w:color="auto" w:fill="auto"/>
            <w:textDirection w:val="tbRlV"/>
            <w:vAlign w:val="center"/>
          </w:tcPr>
          <w:p>
            <w:pPr>
              <w:widowControl/>
              <w:kinsoku w:val="0"/>
              <w:autoSpaceDE w:val="0"/>
              <w:autoSpaceDN w:val="0"/>
              <w:spacing w:line="240" w:lineRule="auto"/>
              <w:ind w:firstLine="0" w:firstLineChars="0"/>
              <w:jc w:val="center"/>
              <w:textAlignment w:val="baseline"/>
              <w:rPr>
                <w:color w:val="auto"/>
                <w:sz w:val="18"/>
                <w:szCs w:val="18"/>
              </w:rPr>
            </w:pPr>
          </w:p>
        </w:tc>
        <w:tc>
          <w:tcPr>
            <w:tcW w:w="892"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18"/>
                <w:szCs w:val="18"/>
              </w:rPr>
            </w:pPr>
          </w:p>
        </w:tc>
        <w:tc>
          <w:tcPr>
            <w:tcW w:w="802"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18"/>
                <w:szCs w:val="18"/>
              </w:rPr>
            </w:pPr>
          </w:p>
        </w:tc>
        <w:tc>
          <w:tcPr>
            <w:tcW w:w="856"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18"/>
                <w:szCs w:val="18"/>
              </w:rPr>
            </w:pPr>
          </w:p>
        </w:tc>
        <w:tc>
          <w:tcPr>
            <w:tcW w:w="768"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18"/>
                <w:szCs w:val="18"/>
              </w:rPr>
            </w:pPr>
          </w:p>
        </w:tc>
        <w:tc>
          <w:tcPr>
            <w:tcW w:w="768"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18"/>
                <w:szCs w:val="18"/>
              </w:rPr>
            </w:pPr>
          </w:p>
        </w:tc>
        <w:tc>
          <w:tcPr>
            <w:tcW w:w="900"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18"/>
                <w:szCs w:val="18"/>
              </w:rPr>
            </w:pPr>
          </w:p>
        </w:tc>
        <w:tc>
          <w:tcPr>
            <w:tcW w:w="803"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pacing w:val="-3"/>
                <w:sz w:val="18"/>
                <w:szCs w:val="18"/>
              </w:rPr>
              <w:t>NH</w:t>
            </w:r>
            <w:r>
              <w:rPr>
                <w:color w:val="auto"/>
                <w:spacing w:val="-3"/>
                <w:sz w:val="18"/>
                <w:szCs w:val="18"/>
                <w:vertAlign w:val="subscript"/>
              </w:rPr>
              <w:t>3</w:t>
            </w:r>
          </w:p>
        </w:tc>
        <w:tc>
          <w:tcPr>
            <w:tcW w:w="973"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pacing w:val="-2"/>
                <w:sz w:val="18"/>
                <w:szCs w:val="18"/>
              </w:rPr>
              <w:t>H</w:t>
            </w:r>
            <w:r>
              <w:rPr>
                <w:color w:val="auto"/>
                <w:spacing w:val="-2"/>
                <w:sz w:val="18"/>
                <w:szCs w:val="18"/>
                <w:vertAlign w:val="subscript"/>
              </w:rPr>
              <w:t>2</w:t>
            </w:r>
            <w:r>
              <w:rPr>
                <w:color w:val="auto"/>
                <w:spacing w:val="-2"/>
                <w:sz w:val="18"/>
                <w:szCs w:val="18"/>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1</w:t>
            </w:r>
          </w:p>
        </w:tc>
        <w:tc>
          <w:tcPr>
            <w:tcW w:w="1735" w:type="dxa"/>
            <w:shd w:val="clear" w:color="auto" w:fill="FFFFFF"/>
            <w:vAlign w:val="center"/>
          </w:tcPr>
          <w:p>
            <w:pPr>
              <w:pStyle w:val="23"/>
              <w:spacing w:after="0" w:line="240" w:lineRule="auto"/>
              <w:ind w:left="0" w:leftChars="0" w:firstLine="0" w:firstLineChars="0"/>
              <w:jc w:val="center"/>
              <w:rPr>
                <w:color w:val="auto"/>
                <w:sz w:val="18"/>
                <w:szCs w:val="18"/>
              </w:rPr>
            </w:pPr>
            <w:r>
              <w:rPr>
                <w:color w:val="auto"/>
                <w:kern w:val="21"/>
                <w:sz w:val="18"/>
                <w:szCs w:val="18"/>
              </w:rPr>
              <w:t>粗格栅及进水泵房</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1819.99</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10.1</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8.9</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5.35</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5.3</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8760</w:t>
            </w:r>
          </w:p>
        </w:tc>
        <w:tc>
          <w:tcPr>
            <w:tcW w:w="803" w:type="dxa"/>
            <w:shd w:val="clear" w:color="auto" w:fill="FFFFFF"/>
            <w:vAlign w:val="center"/>
          </w:tcPr>
          <w:p>
            <w:pPr>
              <w:widowControl/>
              <w:spacing w:line="240" w:lineRule="auto"/>
              <w:ind w:firstLine="0" w:firstLineChars="0"/>
              <w:jc w:val="center"/>
              <w:textAlignment w:val="center"/>
              <w:rPr>
                <w:rFonts w:hint="default" w:eastAsia="宋体"/>
                <w:color w:val="auto"/>
                <w:sz w:val="18"/>
                <w:szCs w:val="18"/>
                <w:lang w:val="en-US" w:eastAsia="zh-CN"/>
              </w:rPr>
            </w:pPr>
            <w:r>
              <w:rPr>
                <w:rFonts w:hint="eastAsia"/>
                <w:color w:val="auto"/>
                <w:sz w:val="18"/>
                <w:szCs w:val="18"/>
                <w:lang w:val="en-US" w:eastAsia="zh-CN"/>
              </w:rPr>
              <w:t>0.0023</w:t>
            </w:r>
          </w:p>
        </w:tc>
        <w:tc>
          <w:tcPr>
            <w:tcW w:w="973" w:type="dxa"/>
            <w:shd w:val="clear" w:color="auto" w:fill="FFFFFF"/>
            <w:vAlign w:val="center"/>
          </w:tcPr>
          <w:p>
            <w:pPr>
              <w:widowControl/>
              <w:spacing w:line="240" w:lineRule="auto"/>
              <w:ind w:firstLine="0" w:firstLineChars="0"/>
              <w:jc w:val="center"/>
              <w:textAlignment w:val="center"/>
              <w:rPr>
                <w:rFonts w:hint="default" w:eastAsia="宋体"/>
                <w:color w:val="auto"/>
                <w:sz w:val="18"/>
                <w:szCs w:val="18"/>
                <w:lang w:val="en-US" w:eastAsia="zh-CN"/>
              </w:rPr>
            </w:pPr>
            <w:r>
              <w:rPr>
                <w:rFonts w:hint="eastAsia"/>
                <w:color w:val="auto"/>
                <w:sz w:val="18"/>
                <w:szCs w:val="18"/>
                <w:lang w:val="en-US" w:eastAsia="zh-CN"/>
              </w:rPr>
              <w:t>0.000004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2</w:t>
            </w:r>
          </w:p>
        </w:tc>
        <w:tc>
          <w:tcPr>
            <w:tcW w:w="1735" w:type="dxa"/>
            <w:shd w:val="clear" w:color="auto" w:fill="FFFFFF"/>
            <w:vAlign w:val="center"/>
          </w:tcPr>
          <w:p>
            <w:pPr>
              <w:pStyle w:val="23"/>
              <w:spacing w:after="0" w:line="240" w:lineRule="auto"/>
              <w:ind w:left="0" w:leftChars="0" w:firstLine="0" w:firstLineChars="0"/>
              <w:jc w:val="center"/>
              <w:rPr>
                <w:color w:val="auto"/>
                <w:sz w:val="18"/>
                <w:szCs w:val="18"/>
              </w:rPr>
            </w:pPr>
            <w:r>
              <w:rPr>
                <w:color w:val="auto"/>
                <w:kern w:val="21"/>
                <w:sz w:val="18"/>
                <w:szCs w:val="18"/>
              </w:rPr>
              <w:t>细格栅及调节池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1819.80</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20.6</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15.6</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10.11</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4.7</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8760</w:t>
            </w:r>
          </w:p>
        </w:tc>
        <w:tc>
          <w:tcPr>
            <w:tcW w:w="803" w:type="dxa"/>
            <w:shd w:val="clear" w:color="auto" w:fill="FFFFFF"/>
            <w:vAlign w:val="center"/>
          </w:tcPr>
          <w:p>
            <w:pPr>
              <w:widowControl/>
              <w:spacing w:line="240" w:lineRule="auto"/>
              <w:ind w:firstLine="0" w:firstLineChars="0"/>
              <w:jc w:val="center"/>
              <w:textAlignment w:val="center"/>
              <w:rPr>
                <w:rFonts w:hint="default" w:eastAsia="宋体"/>
                <w:color w:val="auto"/>
                <w:sz w:val="18"/>
                <w:szCs w:val="18"/>
                <w:lang w:val="en-US" w:eastAsia="zh-CN"/>
              </w:rPr>
            </w:pPr>
            <w:r>
              <w:rPr>
                <w:rFonts w:hint="eastAsia"/>
                <w:color w:val="auto"/>
                <w:sz w:val="18"/>
                <w:szCs w:val="18"/>
                <w:lang w:val="en-US" w:eastAsia="zh-CN"/>
              </w:rPr>
              <w:t>0.007</w:t>
            </w:r>
          </w:p>
        </w:tc>
        <w:tc>
          <w:tcPr>
            <w:tcW w:w="973" w:type="dxa"/>
            <w:shd w:val="clear" w:color="auto" w:fill="FFFFFF"/>
            <w:vAlign w:val="center"/>
          </w:tcPr>
          <w:p>
            <w:pPr>
              <w:widowControl/>
              <w:spacing w:line="240" w:lineRule="auto"/>
              <w:ind w:firstLine="0" w:firstLineChars="0"/>
              <w:jc w:val="center"/>
              <w:textAlignment w:val="center"/>
              <w:rPr>
                <w:rFonts w:hint="default" w:eastAsia="宋体"/>
                <w:color w:val="auto"/>
                <w:sz w:val="18"/>
                <w:szCs w:val="18"/>
                <w:lang w:val="en-US" w:eastAsia="zh-CN"/>
              </w:rPr>
            </w:pPr>
            <w:r>
              <w:rPr>
                <w:rFonts w:hint="eastAsia"/>
                <w:color w:val="auto"/>
                <w:sz w:val="18"/>
                <w:szCs w:val="18"/>
                <w:lang w:val="en-US" w:eastAsia="zh-CN"/>
              </w:rPr>
              <w:t>0.000015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3</w:t>
            </w:r>
          </w:p>
        </w:tc>
        <w:tc>
          <w:tcPr>
            <w:tcW w:w="1735" w:type="dxa"/>
            <w:shd w:val="clear" w:color="auto" w:fill="FFFFFF"/>
            <w:vAlign w:val="center"/>
          </w:tcPr>
          <w:p>
            <w:pPr>
              <w:pStyle w:val="23"/>
              <w:spacing w:after="0" w:line="240" w:lineRule="auto"/>
              <w:ind w:left="0" w:leftChars="0" w:firstLine="0" w:firstLineChars="0"/>
              <w:jc w:val="center"/>
              <w:rPr>
                <w:color w:val="auto"/>
                <w:sz w:val="18"/>
                <w:szCs w:val="18"/>
              </w:rPr>
            </w:pPr>
            <w:r>
              <w:rPr>
                <w:color w:val="auto"/>
                <w:kern w:val="21"/>
                <w:sz w:val="18"/>
                <w:szCs w:val="18"/>
              </w:rPr>
              <w:t>混凝沉淀池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1819.73</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11.04</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41.8</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12.12</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3.9</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8760</w:t>
            </w:r>
          </w:p>
        </w:tc>
        <w:tc>
          <w:tcPr>
            <w:tcW w:w="803" w:type="dxa"/>
            <w:shd w:val="clear" w:color="auto" w:fill="FFFFFF"/>
            <w:vAlign w:val="center"/>
          </w:tcPr>
          <w:p>
            <w:pPr>
              <w:widowControl/>
              <w:spacing w:line="240" w:lineRule="auto"/>
              <w:ind w:firstLine="0" w:firstLineChars="0"/>
              <w:jc w:val="center"/>
              <w:textAlignment w:val="center"/>
              <w:rPr>
                <w:rFonts w:hint="default" w:eastAsia="宋体"/>
                <w:color w:val="auto"/>
                <w:sz w:val="18"/>
                <w:szCs w:val="18"/>
                <w:lang w:val="en-US" w:eastAsia="zh-CN"/>
              </w:rPr>
            </w:pPr>
            <w:r>
              <w:rPr>
                <w:rFonts w:hint="eastAsia"/>
                <w:color w:val="auto"/>
                <w:sz w:val="18"/>
                <w:szCs w:val="18"/>
                <w:lang w:val="en-US" w:eastAsia="zh-CN"/>
              </w:rPr>
              <w:t>0.0100</w:t>
            </w:r>
          </w:p>
        </w:tc>
        <w:tc>
          <w:tcPr>
            <w:tcW w:w="973" w:type="dxa"/>
            <w:shd w:val="clear" w:color="auto" w:fill="FFFFFF"/>
            <w:vAlign w:val="center"/>
          </w:tcPr>
          <w:p>
            <w:pPr>
              <w:widowControl/>
              <w:spacing w:line="240" w:lineRule="auto"/>
              <w:ind w:firstLine="0" w:firstLineChars="0"/>
              <w:jc w:val="center"/>
              <w:textAlignment w:val="center"/>
              <w:rPr>
                <w:rFonts w:hint="default" w:eastAsia="宋体"/>
                <w:color w:val="auto"/>
                <w:sz w:val="18"/>
                <w:szCs w:val="18"/>
                <w:lang w:val="en-US" w:eastAsia="zh-CN"/>
              </w:rPr>
            </w:pPr>
            <w:r>
              <w:rPr>
                <w:rFonts w:hint="eastAsia"/>
                <w:color w:val="auto"/>
                <w:sz w:val="18"/>
                <w:szCs w:val="18"/>
                <w:lang w:val="en-US" w:eastAsia="zh-CN"/>
              </w:rPr>
              <w:t>0.000021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4</w:t>
            </w:r>
          </w:p>
        </w:tc>
        <w:tc>
          <w:tcPr>
            <w:tcW w:w="1735" w:type="dxa"/>
            <w:shd w:val="clear" w:color="auto" w:fill="FFFFFF"/>
            <w:vAlign w:val="center"/>
          </w:tcPr>
          <w:p>
            <w:pPr>
              <w:pStyle w:val="23"/>
              <w:spacing w:after="0" w:line="240" w:lineRule="auto"/>
              <w:ind w:left="0" w:leftChars="0" w:firstLine="0" w:firstLineChars="0"/>
              <w:jc w:val="center"/>
              <w:rPr>
                <w:rFonts w:hint="eastAsia" w:eastAsia="宋体"/>
                <w:color w:val="auto"/>
                <w:sz w:val="18"/>
                <w:szCs w:val="18"/>
                <w:lang w:eastAsia="zh-CN"/>
              </w:rPr>
            </w:pPr>
            <w:r>
              <w:rPr>
                <w:rFonts w:hint="eastAsia"/>
                <w:color w:val="auto"/>
                <w:kern w:val="21"/>
                <w:sz w:val="18"/>
                <w:szCs w:val="18"/>
                <w:lang w:eastAsia="zh-CN"/>
              </w:rPr>
              <w:t>水解酸化池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1815.65</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20.2</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16.8</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10.39</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6.5</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8760</w:t>
            </w:r>
          </w:p>
        </w:tc>
        <w:tc>
          <w:tcPr>
            <w:tcW w:w="803" w:type="dxa"/>
            <w:shd w:val="clear" w:color="auto" w:fill="FFFFFF"/>
            <w:vAlign w:val="center"/>
          </w:tcPr>
          <w:p>
            <w:pPr>
              <w:widowControl/>
              <w:spacing w:line="240" w:lineRule="auto"/>
              <w:ind w:firstLine="0" w:firstLineChars="0"/>
              <w:jc w:val="center"/>
              <w:textAlignment w:val="center"/>
              <w:rPr>
                <w:rFonts w:hint="default" w:eastAsia="宋体"/>
                <w:color w:val="auto"/>
                <w:sz w:val="18"/>
                <w:szCs w:val="18"/>
                <w:lang w:val="en-US" w:eastAsia="zh-CN"/>
              </w:rPr>
            </w:pPr>
            <w:r>
              <w:rPr>
                <w:rFonts w:hint="eastAsia"/>
                <w:color w:val="auto"/>
                <w:sz w:val="18"/>
                <w:szCs w:val="18"/>
                <w:lang w:val="en-US" w:eastAsia="zh-CN"/>
              </w:rPr>
              <w:t>0.0074</w:t>
            </w:r>
          </w:p>
        </w:tc>
        <w:tc>
          <w:tcPr>
            <w:tcW w:w="973" w:type="dxa"/>
            <w:shd w:val="clear" w:color="auto" w:fill="FFFFFF"/>
            <w:vAlign w:val="center"/>
          </w:tcPr>
          <w:p>
            <w:pPr>
              <w:widowControl/>
              <w:spacing w:line="240" w:lineRule="auto"/>
              <w:ind w:firstLine="0" w:firstLineChars="0"/>
              <w:jc w:val="center"/>
              <w:textAlignment w:val="center"/>
              <w:rPr>
                <w:color w:val="auto"/>
                <w:sz w:val="18"/>
                <w:szCs w:val="18"/>
              </w:rPr>
            </w:pPr>
            <w:r>
              <w:rPr>
                <w:rFonts w:hint="eastAsia"/>
                <w:color w:val="auto"/>
                <w:sz w:val="18"/>
                <w:szCs w:val="18"/>
                <w:lang w:val="en-US" w:eastAsia="zh-CN"/>
              </w:rPr>
              <w:t>0.000015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5</w:t>
            </w:r>
          </w:p>
        </w:tc>
        <w:tc>
          <w:tcPr>
            <w:tcW w:w="1735" w:type="dxa"/>
            <w:shd w:val="clear" w:color="auto" w:fill="FFFFFF"/>
            <w:vAlign w:val="center"/>
          </w:tcPr>
          <w:p>
            <w:pPr>
              <w:pStyle w:val="23"/>
              <w:spacing w:after="0" w:line="240" w:lineRule="auto"/>
              <w:ind w:left="0" w:leftChars="0" w:firstLine="0" w:firstLineChars="0"/>
              <w:jc w:val="center"/>
              <w:rPr>
                <w:rFonts w:hint="eastAsia" w:eastAsia="宋体"/>
                <w:color w:val="auto"/>
                <w:sz w:val="18"/>
                <w:szCs w:val="18"/>
                <w:lang w:eastAsia="zh-CN"/>
              </w:rPr>
            </w:pPr>
            <w:r>
              <w:rPr>
                <w:rFonts w:hint="eastAsia"/>
                <w:color w:val="auto"/>
                <w:kern w:val="21"/>
                <w:sz w:val="18"/>
                <w:szCs w:val="18"/>
                <w:lang w:eastAsia="zh-CN"/>
              </w:rPr>
              <w:t>污泥脱水车间</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1819.88</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18</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20.41</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10.96</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10</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8760</w:t>
            </w:r>
          </w:p>
        </w:tc>
        <w:tc>
          <w:tcPr>
            <w:tcW w:w="803" w:type="dxa"/>
            <w:shd w:val="clear" w:color="auto" w:fill="FFFFFF"/>
            <w:vAlign w:val="center"/>
          </w:tcPr>
          <w:p>
            <w:pPr>
              <w:widowControl/>
              <w:spacing w:line="240" w:lineRule="auto"/>
              <w:ind w:firstLine="0" w:firstLineChars="0"/>
              <w:jc w:val="center"/>
              <w:textAlignment w:val="center"/>
              <w:rPr>
                <w:color w:val="auto"/>
                <w:sz w:val="18"/>
                <w:szCs w:val="18"/>
              </w:rPr>
            </w:pPr>
            <w:r>
              <w:rPr>
                <w:rFonts w:hint="eastAsia"/>
                <w:color w:val="auto"/>
                <w:kern w:val="0"/>
                <w:sz w:val="18"/>
                <w:szCs w:val="18"/>
                <w:lang w:val="en-US" w:eastAsia="zh-CN"/>
              </w:rPr>
              <w:t>0.0016</w:t>
            </w:r>
          </w:p>
        </w:tc>
        <w:tc>
          <w:tcPr>
            <w:tcW w:w="973" w:type="dxa"/>
            <w:shd w:val="clear" w:color="auto" w:fill="FFFFFF"/>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0.0000005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6</w:t>
            </w:r>
          </w:p>
        </w:tc>
        <w:tc>
          <w:tcPr>
            <w:tcW w:w="1735" w:type="dxa"/>
            <w:shd w:val="clear" w:color="auto" w:fill="FFFFFF"/>
            <w:vAlign w:val="center"/>
          </w:tcPr>
          <w:p>
            <w:pPr>
              <w:pStyle w:val="23"/>
              <w:spacing w:after="0" w:line="240" w:lineRule="auto"/>
              <w:ind w:left="0" w:leftChars="0" w:firstLine="0" w:firstLineChars="0"/>
              <w:jc w:val="center"/>
              <w:rPr>
                <w:rFonts w:hint="eastAsia" w:eastAsia="宋体"/>
                <w:color w:val="auto"/>
                <w:sz w:val="18"/>
                <w:szCs w:val="18"/>
                <w:lang w:eastAsia="zh-CN"/>
              </w:rPr>
            </w:pPr>
            <w:r>
              <w:rPr>
                <w:rFonts w:hint="eastAsia"/>
                <w:color w:val="auto"/>
                <w:kern w:val="21"/>
                <w:sz w:val="18"/>
                <w:szCs w:val="18"/>
                <w:lang w:eastAsia="zh-CN"/>
              </w:rPr>
              <w:t>污泥浓缩池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1819.00</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eastAsia" w:eastAsia="宋体"/>
                <w:color w:val="auto"/>
                <w:sz w:val="18"/>
                <w:szCs w:val="18"/>
                <w:lang w:val="en-US" w:eastAsia="zh-CN"/>
              </w:rPr>
            </w:pPr>
            <w:r>
              <w:rPr>
                <w:rFonts w:hint="eastAsia"/>
                <w:color w:val="auto"/>
                <w:sz w:val="18"/>
                <w:szCs w:val="18"/>
                <w:lang w:val="en-US" w:eastAsia="zh-CN"/>
              </w:rPr>
              <w:t>/</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eastAsia" w:eastAsia="宋体"/>
                <w:color w:val="auto"/>
                <w:sz w:val="18"/>
                <w:szCs w:val="18"/>
                <w:lang w:val="en-US" w:eastAsia="zh-CN"/>
              </w:rPr>
            </w:pPr>
            <w:r>
              <w:rPr>
                <w:rFonts w:hint="eastAsia"/>
                <w:color w:val="auto"/>
                <w:sz w:val="18"/>
                <w:szCs w:val="18"/>
                <w:lang w:val="en-US" w:eastAsia="zh-CN"/>
              </w:rPr>
              <w:t>/</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eastAsia" w:eastAsia="宋体"/>
                <w:color w:val="auto"/>
                <w:sz w:val="18"/>
                <w:szCs w:val="18"/>
                <w:lang w:val="en-US" w:eastAsia="zh-CN"/>
              </w:rPr>
            </w:pPr>
            <w:r>
              <w:rPr>
                <w:rFonts w:hint="eastAsia"/>
                <w:color w:val="auto"/>
                <w:sz w:val="18"/>
                <w:szCs w:val="18"/>
                <w:lang w:val="en-US" w:eastAsia="zh-CN"/>
              </w:rPr>
              <w:t>4</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5.8</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8760</w:t>
            </w:r>
          </w:p>
        </w:tc>
        <w:tc>
          <w:tcPr>
            <w:tcW w:w="803" w:type="dxa"/>
            <w:shd w:val="clear" w:color="auto" w:fill="FFFFFF"/>
            <w:vAlign w:val="center"/>
          </w:tcPr>
          <w:p>
            <w:pPr>
              <w:widowControl/>
              <w:spacing w:line="240" w:lineRule="auto"/>
              <w:ind w:firstLine="0" w:firstLineChars="0"/>
              <w:jc w:val="center"/>
              <w:textAlignment w:val="center"/>
              <w:rPr>
                <w:color w:val="auto"/>
                <w:sz w:val="18"/>
                <w:szCs w:val="18"/>
              </w:rPr>
            </w:pPr>
            <w:r>
              <w:rPr>
                <w:rFonts w:hint="eastAsia"/>
                <w:color w:val="auto"/>
                <w:kern w:val="0"/>
                <w:sz w:val="18"/>
                <w:szCs w:val="18"/>
                <w:lang w:val="en-US" w:eastAsia="zh-CN"/>
              </w:rPr>
              <w:t>0.0002</w:t>
            </w:r>
          </w:p>
        </w:tc>
        <w:tc>
          <w:tcPr>
            <w:tcW w:w="973" w:type="dxa"/>
            <w:shd w:val="clear" w:color="auto" w:fill="FFFFFF"/>
            <w:vAlign w:val="center"/>
          </w:tcPr>
          <w:p>
            <w:pPr>
              <w:widowControl/>
              <w:spacing w:line="240" w:lineRule="auto"/>
              <w:ind w:firstLine="0" w:firstLineChars="0"/>
              <w:jc w:val="center"/>
              <w:textAlignment w:val="center"/>
              <w:rPr>
                <w:color w:val="auto"/>
                <w:sz w:val="18"/>
                <w:szCs w:val="18"/>
              </w:rPr>
            </w:pPr>
            <w:r>
              <w:rPr>
                <w:rFonts w:hint="eastAsia"/>
                <w:color w:val="auto"/>
                <w:kern w:val="0"/>
                <w:sz w:val="18"/>
                <w:szCs w:val="18"/>
                <w:lang w:val="en-US" w:eastAsia="zh-CN"/>
              </w:rPr>
              <w:t>0.0000001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rFonts w:hint="eastAsia" w:eastAsia="宋体"/>
                <w:color w:val="auto"/>
                <w:sz w:val="18"/>
                <w:szCs w:val="18"/>
                <w:lang w:eastAsia="zh-CN"/>
              </w:rPr>
            </w:pPr>
            <w:r>
              <w:rPr>
                <w:rFonts w:hint="eastAsia"/>
                <w:color w:val="auto"/>
                <w:sz w:val="18"/>
                <w:szCs w:val="18"/>
                <w:lang w:val="en-US" w:eastAsia="zh-CN"/>
              </w:rPr>
              <w:t>7</w:t>
            </w:r>
          </w:p>
        </w:tc>
        <w:tc>
          <w:tcPr>
            <w:tcW w:w="1735" w:type="dxa"/>
            <w:shd w:val="clear" w:color="auto" w:fill="FFFFFF"/>
            <w:vAlign w:val="center"/>
          </w:tcPr>
          <w:p>
            <w:pPr>
              <w:pStyle w:val="23"/>
              <w:spacing w:after="0" w:line="240" w:lineRule="auto"/>
              <w:ind w:left="0" w:leftChars="0" w:firstLine="0" w:firstLineChars="0"/>
              <w:jc w:val="center"/>
              <w:rPr>
                <w:rFonts w:hint="default" w:eastAsia="宋体"/>
                <w:color w:val="auto"/>
                <w:sz w:val="18"/>
                <w:szCs w:val="18"/>
                <w:lang w:val="en-US" w:eastAsia="zh-CN"/>
              </w:rPr>
            </w:pPr>
            <w:r>
              <w:rPr>
                <w:rFonts w:hint="eastAsia"/>
                <w:i w:val="0"/>
                <w:iCs/>
                <w:color w:val="auto"/>
                <w:kern w:val="21"/>
                <w:sz w:val="18"/>
                <w:szCs w:val="18"/>
              </w:rPr>
              <w:t>A</w:t>
            </w:r>
            <w:r>
              <w:rPr>
                <w:rFonts w:hint="eastAsia"/>
                <w:i w:val="0"/>
                <w:iCs/>
                <w:color w:val="auto"/>
                <w:kern w:val="21"/>
                <w:sz w:val="18"/>
                <w:szCs w:val="18"/>
                <w:vertAlign w:val="superscript"/>
              </w:rPr>
              <w:t>2</w:t>
            </w:r>
            <w:r>
              <w:rPr>
                <w:rFonts w:hint="eastAsia"/>
                <w:color w:val="auto"/>
                <w:kern w:val="21"/>
                <w:sz w:val="18"/>
                <w:szCs w:val="18"/>
                <w:lang w:val="en-US" w:eastAsia="zh-CN"/>
              </w:rPr>
              <w:t>/O生化池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1819.00</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23.2</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32.7</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15.54</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7</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8760</w:t>
            </w:r>
          </w:p>
        </w:tc>
        <w:tc>
          <w:tcPr>
            <w:tcW w:w="803" w:type="dxa"/>
            <w:shd w:val="clear" w:color="auto" w:fill="FFFFFF"/>
            <w:vAlign w:val="center"/>
          </w:tcPr>
          <w:p>
            <w:pPr>
              <w:widowControl/>
              <w:spacing w:line="240" w:lineRule="auto"/>
              <w:ind w:firstLine="0" w:firstLineChars="0"/>
              <w:jc w:val="center"/>
              <w:textAlignment w:val="center"/>
              <w:rPr>
                <w:color w:val="auto"/>
                <w:sz w:val="18"/>
                <w:szCs w:val="18"/>
              </w:rPr>
            </w:pPr>
            <w:r>
              <w:rPr>
                <w:rFonts w:hint="eastAsia"/>
                <w:color w:val="auto"/>
                <w:kern w:val="0"/>
                <w:sz w:val="18"/>
                <w:szCs w:val="18"/>
                <w:lang w:val="en-US" w:eastAsia="zh-CN"/>
              </w:rPr>
              <w:t>0.0010</w:t>
            </w:r>
          </w:p>
        </w:tc>
        <w:tc>
          <w:tcPr>
            <w:tcW w:w="973" w:type="dxa"/>
            <w:shd w:val="clear" w:color="auto" w:fill="FFFFFF"/>
            <w:vAlign w:val="center"/>
          </w:tcPr>
          <w:p>
            <w:pPr>
              <w:widowControl/>
              <w:spacing w:line="240" w:lineRule="auto"/>
              <w:ind w:firstLine="0" w:firstLineChars="0"/>
              <w:jc w:val="center"/>
              <w:textAlignment w:val="center"/>
              <w:rPr>
                <w:color w:val="auto"/>
                <w:sz w:val="18"/>
                <w:szCs w:val="18"/>
              </w:rPr>
            </w:pPr>
            <w:r>
              <w:rPr>
                <w:rFonts w:hint="eastAsia"/>
                <w:color w:val="auto"/>
                <w:kern w:val="0"/>
                <w:sz w:val="18"/>
                <w:szCs w:val="18"/>
                <w:lang w:val="en-US" w:eastAsia="zh-CN"/>
              </w:rPr>
              <w:t>0.000055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rFonts w:hint="eastAsia" w:eastAsia="宋体"/>
                <w:color w:val="auto"/>
                <w:sz w:val="18"/>
                <w:szCs w:val="18"/>
                <w:lang w:eastAsia="zh-CN"/>
              </w:rPr>
            </w:pPr>
            <w:r>
              <w:rPr>
                <w:rFonts w:hint="eastAsia"/>
                <w:color w:val="auto"/>
                <w:sz w:val="18"/>
                <w:szCs w:val="18"/>
                <w:lang w:val="en-US" w:eastAsia="zh-CN"/>
              </w:rPr>
              <w:t>8</w:t>
            </w:r>
          </w:p>
        </w:tc>
        <w:tc>
          <w:tcPr>
            <w:tcW w:w="1735" w:type="dxa"/>
            <w:shd w:val="clear" w:color="auto" w:fill="FFFFFF"/>
            <w:vAlign w:val="center"/>
          </w:tcPr>
          <w:p>
            <w:pPr>
              <w:pStyle w:val="23"/>
              <w:spacing w:after="0" w:line="240" w:lineRule="auto"/>
              <w:ind w:left="0" w:leftChars="0" w:firstLine="0" w:firstLineChars="0"/>
              <w:jc w:val="center"/>
              <w:rPr>
                <w:rFonts w:hint="default" w:eastAsia="宋体"/>
                <w:color w:val="auto"/>
                <w:sz w:val="18"/>
                <w:szCs w:val="18"/>
                <w:lang w:val="en-US" w:eastAsia="zh-CN"/>
              </w:rPr>
            </w:pPr>
            <w:r>
              <w:rPr>
                <w:rFonts w:hint="eastAsia"/>
                <w:color w:val="auto"/>
                <w:kern w:val="21"/>
                <w:sz w:val="18"/>
                <w:szCs w:val="18"/>
                <w:lang w:val="en-US" w:eastAsia="zh-CN"/>
              </w:rPr>
              <w:t>MBR膜池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1819.00</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18</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20.41</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13.97</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5</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18"/>
                <w:szCs w:val="18"/>
              </w:rPr>
            </w:pPr>
            <w:r>
              <w:rPr>
                <w:color w:val="auto"/>
                <w:sz w:val="18"/>
                <w:szCs w:val="18"/>
              </w:rPr>
              <w:t>8760</w:t>
            </w:r>
          </w:p>
        </w:tc>
        <w:tc>
          <w:tcPr>
            <w:tcW w:w="803" w:type="dxa"/>
            <w:shd w:val="clear" w:color="auto" w:fill="FFFFFF"/>
            <w:vAlign w:val="center"/>
          </w:tcPr>
          <w:p>
            <w:pPr>
              <w:widowControl/>
              <w:spacing w:line="240" w:lineRule="auto"/>
              <w:ind w:firstLine="0" w:firstLineChars="0"/>
              <w:jc w:val="center"/>
              <w:textAlignment w:val="center"/>
              <w:rPr>
                <w:color w:val="auto"/>
                <w:sz w:val="18"/>
                <w:szCs w:val="18"/>
              </w:rPr>
            </w:pPr>
            <w:r>
              <w:rPr>
                <w:rFonts w:hint="eastAsia"/>
                <w:color w:val="auto"/>
                <w:kern w:val="0"/>
                <w:sz w:val="18"/>
                <w:szCs w:val="18"/>
                <w:lang w:val="en-US" w:eastAsia="zh-CN"/>
              </w:rPr>
              <w:t>0.0008</w:t>
            </w:r>
          </w:p>
        </w:tc>
        <w:tc>
          <w:tcPr>
            <w:tcW w:w="973" w:type="dxa"/>
            <w:shd w:val="clear" w:color="auto" w:fill="FFFFFF"/>
            <w:vAlign w:val="center"/>
          </w:tcPr>
          <w:p>
            <w:pPr>
              <w:widowControl/>
              <w:spacing w:line="240" w:lineRule="auto"/>
              <w:ind w:firstLine="0" w:firstLineChars="0"/>
              <w:jc w:val="center"/>
              <w:textAlignment w:val="center"/>
              <w:rPr>
                <w:color w:val="auto"/>
                <w:sz w:val="18"/>
                <w:szCs w:val="18"/>
              </w:rPr>
            </w:pPr>
            <w:r>
              <w:rPr>
                <w:rFonts w:hint="eastAsia"/>
                <w:color w:val="auto"/>
                <w:kern w:val="0"/>
                <w:sz w:val="18"/>
                <w:szCs w:val="18"/>
                <w:lang w:val="en-US" w:eastAsia="zh-CN"/>
              </w:rPr>
              <w:t>0.000044</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rPr>
      </w:pPr>
      <w:r>
        <w:rPr>
          <w:color w:val="auto"/>
        </w:rPr>
        <w:t>本项目所有污染源的正常排放的污染物的P</w:t>
      </w:r>
      <w:r>
        <w:rPr>
          <w:color w:val="auto"/>
          <w:vertAlign w:val="subscript"/>
        </w:rPr>
        <w:t>max</w:t>
      </w:r>
      <w:r>
        <w:rPr>
          <w:color w:val="auto"/>
        </w:rPr>
        <w:t>和D</w:t>
      </w:r>
      <w:r>
        <w:rPr>
          <w:color w:val="auto"/>
          <w:vertAlign w:val="subscript"/>
        </w:rPr>
        <w:t>10%</w:t>
      </w:r>
      <w:r>
        <w:rPr>
          <w:rFonts w:hint="eastAsia"/>
          <w:color w:val="auto"/>
          <w:lang w:eastAsia="zh-CN"/>
        </w:rPr>
        <w:t>估算</w:t>
      </w:r>
      <w:r>
        <w:rPr>
          <w:color w:val="auto"/>
        </w:rPr>
        <w:t>结果如下：</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hint="eastAsia" w:ascii="Times New Roman" w:hAnsi="Times New Roman" w:cs="Times New Roman"/>
          <w:b/>
          <w:bCs/>
          <w:color w:val="auto"/>
          <w:kern w:val="21"/>
          <w:lang w:eastAsia="zh-CN"/>
        </w:rPr>
      </w:pPr>
      <w:r>
        <w:rPr>
          <w:rFonts w:hint="eastAsia" w:ascii="Times New Roman" w:hAnsi="Times New Roman" w:cs="Times New Roman"/>
          <w:b/>
          <w:bCs/>
          <w:color w:val="auto"/>
          <w:kern w:val="21"/>
          <w:lang w:eastAsia="zh-CN"/>
        </w:rPr>
        <w:t>大气环境影响评价等级</w:t>
      </w:r>
    </w:p>
    <w:tbl>
      <w:tblPr>
        <w:tblStyle w:val="51"/>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1152"/>
        <w:gridCol w:w="1116"/>
        <w:gridCol w:w="1176"/>
        <w:gridCol w:w="1027"/>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9" w:type="dxa"/>
            <w:vAlign w:val="center"/>
          </w:tcPr>
          <w:p>
            <w:pPr>
              <w:spacing w:line="240" w:lineRule="auto"/>
              <w:ind w:firstLine="0" w:firstLineChars="0"/>
              <w:jc w:val="center"/>
              <w:rPr>
                <w:bCs/>
                <w:color w:val="auto"/>
                <w:kern w:val="21"/>
                <w:sz w:val="21"/>
                <w:szCs w:val="21"/>
              </w:rPr>
            </w:pPr>
            <w:r>
              <w:rPr>
                <w:bCs/>
                <w:color w:val="auto"/>
                <w:kern w:val="21"/>
                <w:sz w:val="21"/>
                <w:szCs w:val="21"/>
              </w:rPr>
              <w:t>污染源</w:t>
            </w:r>
          </w:p>
        </w:tc>
        <w:tc>
          <w:tcPr>
            <w:tcW w:w="1152" w:type="dxa"/>
            <w:vAlign w:val="center"/>
          </w:tcPr>
          <w:p>
            <w:pPr>
              <w:spacing w:line="240" w:lineRule="auto"/>
              <w:ind w:firstLine="0" w:firstLineChars="0"/>
              <w:jc w:val="center"/>
              <w:rPr>
                <w:bCs/>
                <w:color w:val="auto"/>
                <w:kern w:val="21"/>
                <w:sz w:val="21"/>
                <w:szCs w:val="21"/>
              </w:rPr>
            </w:pPr>
            <w:r>
              <w:rPr>
                <w:bCs/>
                <w:color w:val="auto"/>
                <w:kern w:val="21"/>
                <w:sz w:val="21"/>
                <w:szCs w:val="21"/>
              </w:rPr>
              <w:t>污染物</w:t>
            </w:r>
          </w:p>
        </w:tc>
        <w:tc>
          <w:tcPr>
            <w:tcW w:w="1116" w:type="dxa"/>
            <w:vAlign w:val="center"/>
          </w:tcPr>
          <w:p>
            <w:pPr>
              <w:spacing w:line="240" w:lineRule="auto"/>
              <w:ind w:firstLine="0" w:firstLineChars="0"/>
              <w:jc w:val="center"/>
              <w:rPr>
                <w:bCs/>
                <w:color w:val="auto"/>
                <w:kern w:val="21"/>
                <w:sz w:val="21"/>
                <w:szCs w:val="21"/>
              </w:rPr>
            </w:pPr>
            <w:r>
              <w:rPr>
                <w:bCs/>
                <w:color w:val="auto"/>
                <w:kern w:val="21"/>
                <w:sz w:val="21"/>
                <w:szCs w:val="21"/>
              </w:rPr>
              <w:t>C</w:t>
            </w:r>
            <w:r>
              <w:rPr>
                <w:bCs/>
                <w:color w:val="auto"/>
                <w:kern w:val="21"/>
                <w:sz w:val="21"/>
                <w:szCs w:val="21"/>
                <w:vertAlign w:val="subscript"/>
              </w:rPr>
              <w:t>i</w:t>
            </w:r>
            <w:r>
              <w:rPr>
                <w:bCs/>
                <w:color w:val="auto"/>
                <w:kern w:val="21"/>
                <w:sz w:val="21"/>
                <w:szCs w:val="21"/>
              </w:rPr>
              <w:t>（μg/m</w:t>
            </w:r>
            <w:r>
              <w:rPr>
                <w:bCs/>
                <w:color w:val="auto"/>
                <w:kern w:val="21"/>
                <w:sz w:val="21"/>
                <w:szCs w:val="21"/>
                <w:vertAlign w:val="superscript"/>
              </w:rPr>
              <w:t>3</w:t>
            </w:r>
            <w:r>
              <w:rPr>
                <w:bCs/>
                <w:color w:val="auto"/>
                <w:kern w:val="21"/>
                <w:sz w:val="21"/>
                <w:szCs w:val="21"/>
              </w:rPr>
              <w:t>）</w:t>
            </w:r>
          </w:p>
        </w:tc>
        <w:tc>
          <w:tcPr>
            <w:tcW w:w="1176" w:type="dxa"/>
            <w:vAlign w:val="center"/>
          </w:tcPr>
          <w:p>
            <w:pPr>
              <w:spacing w:line="240" w:lineRule="auto"/>
              <w:ind w:firstLine="0" w:firstLineChars="0"/>
              <w:jc w:val="center"/>
              <w:rPr>
                <w:bCs/>
                <w:color w:val="auto"/>
                <w:kern w:val="21"/>
                <w:sz w:val="21"/>
                <w:szCs w:val="21"/>
              </w:rPr>
            </w:pPr>
            <w:r>
              <w:rPr>
                <w:bCs/>
                <w:color w:val="auto"/>
                <w:kern w:val="21"/>
                <w:sz w:val="21"/>
                <w:szCs w:val="21"/>
              </w:rPr>
              <w:t>P</w:t>
            </w:r>
            <w:r>
              <w:rPr>
                <w:bCs/>
                <w:color w:val="auto"/>
                <w:kern w:val="21"/>
                <w:sz w:val="21"/>
                <w:szCs w:val="21"/>
                <w:vertAlign w:val="subscript"/>
              </w:rPr>
              <w:t>max</w:t>
            </w:r>
            <w:r>
              <w:rPr>
                <w:bCs/>
                <w:color w:val="auto"/>
                <w:kern w:val="21"/>
                <w:sz w:val="21"/>
                <w:szCs w:val="21"/>
              </w:rPr>
              <w:t>（%）</w:t>
            </w:r>
          </w:p>
        </w:tc>
        <w:tc>
          <w:tcPr>
            <w:tcW w:w="1027" w:type="dxa"/>
            <w:vAlign w:val="center"/>
          </w:tcPr>
          <w:p>
            <w:pPr>
              <w:spacing w:line="240" w:lineRule="auto"/>
              <w:ind w:firstLine="0" w:firstLineChars="0"/>
              <w:jc w:val="center"/>
              <w:rPr>
                <w:bCs/>
                <w:color w:val="auto"/>
                <w:kern w:val="21"/>
                <w:sz w:val="21"/>
                <w:szCs w:val="21"/>
              </w:rPr>
            </w:pPr>
            <w:r>
              <w:rPr>
                <w:bCs/>
                <w:color w:val="auto"/>
                <w:kern w:val="21"/>
                <w:sz w:val="21"/>
                <w:szCs w:val="21"/>
              </w:rPr>
              <w:t>D</w:t>
            </w:r>
            <w:r>
              <w:rPr>
                <w:bCs/>
                <w:color w:val="auto"/>
                <w:kern w:val="21"/>
                <w:sz w:val="21"/>
                <w:szCs w:val="21"/>
                <w:vertAlign w:val="subscript"/>
              </w:rPr>
              <w:t>10%</w:t>
            </w:r>
            <w:r>
              <w:rPr>
                <w:bCs/>
                <w:color w:val="auto"/>
                <w:kern w:val="21"/>
                <w:sz w:val="21"/>
                <w:szCs w:val="21"/>
              </w:rPr>
              <w:t>（m）</w:t>
            </w:r>
          </w:p>
        </w:tc>
        <w:tc>
          <w:tcPr>
            <w:tcW w:w="1866" w:type="dxa"/>
            <w:vAlign w:val="center"/>
          </w:tcPr>
          <w:p>
            <w:pPr>
              <w:spacing w:line="240" w:lineRule="auto"/>
              <w:ind w:firstLine="0" w:firstLineChars="0"/>
              <w:jc w:val="center"/>
              <w:rPr>
                <w:bCs/>
                <w:color w:val="auto"/>
                <w:kern w:val="21"/>
                <w:sz w:val="21"/>
                <w:szCs w:val="21"/>
              </w:rPr>
            </w:pPr>
            <w:r>
              <w:rPr>
                <w:bCs/>
                <w:color w:val="auto"/>
                <w:kern w:val="21"/>
                <w:sz w:val="21"/>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9" w:type="dxa"/>
            <w:vMerge w:val="restart"/>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DA001排气筒</w:t>
            </w:r>
          </w:p>
        </w:tc>
        <w:tc>
          <w:tcPr>
            <w:tcW w:w="1152"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NH</w:t>
            </w:r>
            <w:r>
              <w:rPr>
                <w:rFonts w:hint="eastAsia"/>
                <w:bCs/>
                <w:color w:val="auto"/>
                <w:kern w:val="21"/>
                <w:sz w:val="21"/>
                <w:szCs w:val="21"/>
                <w:vertAlign w:val="subscript"/>
              </w:rPr>
              <w:t>3</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26.7610</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13.3805</w:t>
            </w:r>
          </w:p>
        </w:tc>
        <w:tc>
          <w:tcPr>
            <w:tcW w:w="1027"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50.0</w:t>
            </w:r>
          </w:p>
        </w:tc>
        <w:tc>
          <w:tcPr>
            <w:tcW w:w="1866" w:type="dxa"/>
            <w:vAlign w:val="center"/>
          </w:tcPr>
          <w:p>
            <w:pPr>
              <w:spacing w:line="240" w:lineRule="auto"/>
              <w:ind w:firstLine="0" w:firstLineChars="0"/>
              <w:jc w:val="center"/>
              <w:rPr>
                <w:rFonts w:hint="eastAsia" w:eastAsia="宋体"/>
                <w:bCs/>
                <w:color w:val="auto"/>
                <w:kern w:val="21"/>
                <w:sz w:val="21"/>
                <w:szCs w:val="21"/>
                <w:lang w:eastAsia="zh-CN"/>
              </w:rPr>
            </w:pPr>
            <w:r>
              <w:rPr>
                <w:rFonts w:hint="eastAsia"/>
                <w:bCs/>
                <w:color w:val="auto"/>
                <w:kern w:val="21"/>
                <w:sz w:val="21"/>
                <w:szCs w:val="21"/>
                <w:lang w:eastAsia="zh-CN"/>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9" w:type="dxa"/>
            <w:vMerge w:val="continue"/>
            <w:vAlign w:val="center"/>
          </w:tcPr>
          <w:p>
            <w:pPr>
              <w:spacing w:line="240" w:lineRule="auto"/>
              <w:ind w:firstLine="0" w:firstLineChars="0"/>
              <w:jc w:val="center"/>
              <w:rPr>
                <w:color w:val="auto"/>
                <w:kern w:val="21"/>
                <w:sz w:val="21"/>
                <w:szCs w:val="21"/>
              </w:rPr>
            </w:pPr>
          </w:p>
        </w:tc>
        <w:tc>
          <w:tcPr>
            <w:tcW w:w="1152"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H</w:t>
            </w:r>
            <w:r>
              <w:rPr>
                <w:rFonts w:hint="eastAsia"/>
                <w:bCs/>
                <w:color w:val="auto"/>
                <w:kern w:val="21"/>
                <w:sz w:val="21"/>
                <w:szCs w:val="21"/>
                <w:vertAlign w:val="subscript"/>
              </w:rPr>
              <w:t>2</w:t>
            </w:r>
            <w:r>
              <w:rPr>
                <w:rFonts w:hint="eastAsia"/>
                <w:bCs/>
                <w:color w:val="auto"/>
                <w:kern w:val="21"/>
                <w:sz w:val="21"/>
                <w:szCs w:val="21"/>
              </w:rPr>
              <w:t>S</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0.0415</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0.4149</w:t>
            </w:r>
          </w:p>
        </w:tc>
        <w:tc>
          <w:tcPr>
            <w:tcW w:w="1027"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w:t>
            </w:r>
          </w:p>
        </w:tc>
        <w:tc>
          <w:tcPr>
            <w:tcW w:w="1866" w:type="dxa"/>
            <w:vAlign w:val="center"/>
          </w:tcPr>
          <w:p>
            <w:pPr>
              <w:spacing w:line="240" w:lineRule="auto"/>
              <w:ind w:firstLine="0" w:firstLineChars="0"/>
              <w:jc w:val="center"/>
              <w:rPr>
                <w:rFonts w:hint="eastAsia" w:eastAsia="宋体"/>
                <w:bCs/>
                <w:color w:val="auto"/>
                <w:kern w:val="21"/>
                <w:sz w:val="21"/>
                <w:szCs w:val="21"/>
                <w:lang w:eastAsia="zh-CN"/>
              </w:rPr>
            </w:pPr>
            <w:r>
              <w:rPr>
                <w:rFonts w:hint="eastAsia"/>
                <w:bCs/>
                <w:color w:val="auto"/>
                <w:kern w:val="21"/>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9" w:type="dxa"/>
            <w:vMerge w:val="restart"/>
            <w:vAlign w:val="center"/>
          </w:tcPr>
          <w:p>
            <w:pPr>
              <w:spacing w:line="240" w:lineRule="auto"/>
              <w:ind w:firstLine="0" w:firstLineChars="0"/>
              <w:jc w:val="center"/>
              <w:rPr>
                <w:bCs/>
                <w:color w:val="auto"/>
                <w:kern w:val="21"/>
                <w:sz w:val="21"/>
                <w:szCs w:val="21"/>
              </w:rPr>
            </w:pPr>
            <w:r>
              <w:rPr>
                <w:color w:val="auto"/>
                <w:kern w:val="21"/>
                <w:sz w:val="21"/>
                <w:szCs w:val="21"/>
              </w:rPr>
              <w:t>粗格栅及进水泵房</w:t>
            </w: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NH</w:t>
            </w:r>
            <w:r>
              <w:rPr>
                <w:rFonts w:hint="eastAsia"/>
                <w:bCs/>
                <w:color w:val="auto"/>
                <w:kern w:val="21"/>
                <w:sz w:val="21"/>
                <w:szCs w:val="21"/>
                <w:vertAlign w:val="subscript"/>
              </w:rPr>
              <w:t>3</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11.0730</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5.5365</w:t>
            </w:r>
          </w:p>
        </w:tc>
        <w:tc>
          <w:tcPr>
            <w:tcW w:w="1027" w:type="dxa"/>
            <w:vAlign w:val="center"/>
          </w:tcPr>
          <w:p>
            <w:pPr>
              <w:spacing w:line="240" w:lineRule="auto"/>
              <w:ind w:firstLine="0" w:firstLineChars="0"/>
              <w:jc w:val="center"/>
              <w:rPr>
                <w:bCs/>
                <w:color w:val="auto"/>
                <w:kern w:val="21"/>
                <w:sz w:val="21"/>
                <w:szCs w:val="21"/>
              </w:rPr>
            </w:pPr>
            <w:r>
              <w:rPr>
                <w:bCs/>
                <w:color w:val="auto"/>
                <w:kern w:val="21"/>
                <w:sz w:val="21"/>
                <w:szCs w:val="21"/>
              </w:rPr>
              <w:t>/</w:t>
            </w:r>
          </w:p>
        </w:tc>
        <w:tc>
          <w:tcPr>
            <w:tcW w:w="1866" w:type="dxa"/>
            <w:vAlign w:val="center"/>
          </w:tcPr>
          <w:p>
            <w:pPr>
              <w:spacing w:line="240" w:lineRule="auto"/>
              <w:ind w:firstLine="0" w:firstLineChars="0"/>
              <w:jc w:val="center"/>
              <w:rPr>
                <w:rFonts w:hint="eastAsia" w:eastAsia="宋体"/>
                <w:bCs/>
                <w:color w:val="auto"/>
                <w:kern w:val="21"/>
                <w:sz w:val="21"/>
                <w:szCs w:val="21"/>
                <w:lang w:eastAsia="zh-CN"/>
              </w:rPr>
            </w:pPr>
            <w:r>
              <w:rPr>
                <w:rFonts w:hint="eastAsia"/>
                <w:bCs/>
                <w:color w:val="auto"/>
                <w:kern w:val="21"/>
                <w:sz w:val="21"/>
                <w:szCs w:val="21"/>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continue"/>
            <w:vAlign w:val="center"/>
          </w:tcPr>
          <w:p>
            <w:pPr>
              <w:spacing w:line="240" w:lineRule="auto"/>
              <w:ind w:firstLine="0" w:firstLineChars="0"/>
              <w:jc w:val="center"/>
              <w:rPr>
                <w:bCs/>
                <w:color w:val="auto"/>
                <w:kern w:val="21"/>
                <w:sz w:val="21"/>
                <w:szCs w:val="21"/>
              </w:rPr>
            </w:pP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H</w:t>
            </w:r>
            <w:r>
              <w:rPr>
                <w:rFonts w:hint="eastAsia"/>
                <w:bCs/>
                <w:color w:val="auto"/>
                <w:kern w:val="21"/>
                <w:sz w:val="21"/>
                <w:szCs w:val="21"/>
                <w:vertAlign w:val="subscript"/>
              </w:rPr>
              <w:t>2</w:t>
            </w:r>
            <w:r>
              <w:rPr>
                <w:rFonts w:hint="eastAsia"/>
                <w:bCs/>
                <w:color w:val="auto"/>
                <w:kern w:val="21"/>
                <w:sz w:val="21"/>
                <w:szCs w:val="21"/>
              </w:rPr>
              <w:t>S</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0.0193</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0.1926</w:t>
            </w:r>
          </w:p>
        </w:tc>
        <w:tc>
          <w:tcPr>
            <w:tcW w:w="1027" w:type="dxa"/>
            <w:vAlign w:val="center"/>
          </w:tcPr>
          <w:p>
            <w:pPr>
              <w:spacing w:line="240" w:lineRule="auto"/>
              <w:ind w:firstLine="0" w:firstLineChars="0"/>
              <w:jc w:val="center"/>
              <w:rPr>
                <w:bCs/>
                <w:color w:val="auto"/>
                <w:kern w:val="21"/>
                <w:sz w:val="21"/>
                <w:szCs w:val="21"/>
              </w:rPr>
            </w:pPr>
            <w:r>
              <w:rPr>
                <w:bCs/>
                <w:color w:val="auto"/>
                <w:kern w:val="21"/>
                <w:sz w:val="21"/>
                <w:szCs w:val="21"/>
              </w:rPr>
              <w:t>/</w:t>
            </w:r>
          </w:p>
        </w:tc>
        <w:tc>
          <w:tcPr>
            <w:tcW w:w="1866" w:type="dxa"/>
            <w:vAlign w:val="center"/>
          </w:tcPr>
          <w:p>
            <w:pPr>
              <w:spacing w:line="240" w:lineRule="auto"/>
              <w:ind w:firstLine="0" w:firstLineChars="0"/>
              <w:jc w:val="center"/>
              <w:rPr>
                <w:rFonts w:hint="eastAsia" w:eastAsia="宋体"/>
                <w:bCs/>
                <w:color w:val="auto"/>
                <w:kern w:val="21"/>
                <w:sz w:val="21"/>
                <w:szCs w:val="21"/>
                <w:lang w:eastAsia="zh-CN"/>
              </w:rPr>
            </w:pPr>
            <w:r>
              <w:rPr>
                <w:rFonts w:hint="eastAsia"/>
                <w:bCs/>
                <w:color w:val="auto"/>
                <w:kern w:val="21"/>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restart"/>
            <w:vAlign w:val="center"/>
          </w:tcPr>
          <w:p>
            <w:pPr>
              <w:spacing w:line="240" w:lineRule="auto"/>
              <w:ind w:firstLine="0" w:firstLineChars="0"/>
              <w:jc w:val="center"/>
              <w:rPr>
                <w:bCs/>
                <w:color w:val="auto"/>
                <w:kern w:val="21"/>
                <w:sz w:val="21"/>
                <w:szCs w:val="21"/>
              </w:rPr>
            </w:pPr>
            <w:r>
              <w:rPr>
                <w:color w:val="auto"/>
                <w:kern w:val="21"/>
                <w:sz w:val="21"/>
                <w:szCs w:val="21"/>
              </w:rPr>
              <w:t>细格栅及调节池</w:t>
            </w: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NH</w:t>
            </w:r>
            <w:r>
              <w:rPr>
                <w:rFonts w:hint="eastAsia"/>
                <w:bCs/>
                <w:color w:val="auto"/>
                <w:kern w:val="21"/>
                <w:sz w:val="21"/>
                <w:szCs w:val="21"/>
                <w:vertAlign w:val="subscript"/>
              </w:rPr>
              <w:t>3</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28.2310</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14.1155</w:t>
            </w:r>
          </w:p>
        </w:tc>
        <w:tc>
          <w:tcPr>
            <w:tcW w:w="1027"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24.58</w:t>
            </w:r>
          </w:p>
        </w:tc>
        <w:tc>
          <w:tcPr>
            <w:tcW w:w="1866" w:type="dxa"/>
            <w:vAlign w:val="center"/>
          </w:tcPr>
          <w:p>
            <w:pPr>
              <w:spacing w:line="240" w:lineRule="auto"/>
              <w:ind w:firstLine="0" w:firstLineChars="0"/>
              <w:jc w:val="center"/>
              <w:rPr>
                <w:rFonts w:hint="eastAsia" w:ascii="Times New Roman" w:hAnsi="Times New Roman" w:eastAsia="宋体" w:cs="Times New Roman"/>
                <w:bCs/>
                <w:color w:val="auto"/>
                <w:kern w:val="21"/>
                <w:sz w:val="21"/>
                <w:szCs w:val="21"/>
                <w:lang w:val="en-US" w:eastAsia="zh-CN" w:bidi="ar-SA"/>
              </w:rPr>
            </w:pPr>
            <w:r>
              <w:rPr>
                <w:rFonts w:hint="eastAsia"/>
                <w:bCs/>
                <w:color w:val="auto"/>
                <w:kern w:val="21"/>
                <w:sz w:val="21"/>
                <w:szCs w:val="21"/>
                <w:lang w:eastAsia="zh-CN"/>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continue"/>
            <w:vAlign w:val="center"/>
          </w:tcPr>
          <w:p>
            <w:pPr>
              <w:spacing w:line="240" w:lineRule="auto"/>
              <w:ind w:firstLine="0" w:firstLineChars="0"/>
              <w:jc w:val="center"/>
              <w:rPr>
                <w:bCs/>
                <w:color w:val="auto"/>
                <w:kern w:val="21"/>
                <w:sz w:val="21"/>
                <w:szCs w:val="21"/>
              </w:rPr>
            </w:pP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H</w:t>
            </w:r>
            <w:r>
              <w:rPr>
                <w:rFonts w:hint="eastAsia"/>
                <w:bCs/>
                <w:color w:val="auto"/>
                <w:kern w:val="21"/>
                <w:sz w:val="21"/>
                <w:szCs w:val="21"/>
                <w:vertAlign w:val="subscript"/>
              </w:rPr>
              <w:t>2</w:t>
            </w:r>
            <w:r>
              <w:rPr>
                <w:rFonts w:hint="eastAsia"/>
                <w:bCs/>
                <w:color w:val="auto"/>
                <w:kern w:val="21"/>
                <w:sz w:val="21"/>
                <w:szCs w:val="21"/>
              </w:rPr>
              <w:t>S</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0.0605</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0.6049</w:t>
            </w:r>
          </w:p>
        </w:tc>
        <w:tc>
          <w:tcPr>
            <w:tcW w:w="1027"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w:t>
            </w:r>
          </w:p>
        </w:tc>
        <w:tc>
          <w:tcPr>
            <w:tcW w:w="1866" w:type="dxa"/>
            <w:vAlign w:val="center"/>
          </w:tcPr>
          <w:p>
            <w:pPr>
              <w:spacing w:line="240" w:lineRule="auto"/>
              <w:ind w:firstLine="0" w:firstLineChars="0"/>
              <w:jc w:val="center"/>
              <w:rPr>
                <w:rFonts w:hint="eastAsia" w:ascii="Times New Roman" w:hAnsi="Times New Roman" w:eastAsia="宋体" w:cs="Times New Roman"/>
                <w:bCs/>
                <w:color w:val="auto"/>
                <w:kern w:val="21"/>
                <w:sz w:val="21"/>
                <w:szCs w:val="21"/>
                <w:lang w:val="en-US" w:eastAsia="zh-CN" w:bidi="ar-SA"/>
              </w:rPr>
            </w:pPr>
            <w:r>
              <w:rPr>
                <w:rFonts w:hint="eastAsia"/>
                <w:bCs/>
                <w:color w:val="auto"/>
                <w:kern w:val="21"/>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restart"/>
            <w:vAlign w:val="center"/>
          </w:tcPr>
          <w:p>
            <w:pPr>
              <w:spacing w:line="240" w:lineRule="auto"/>
              <w:ind w:firstLine="0" w:firstLineChars="0"/>
              <w:jc w:val="center"/>
              <w:rPr>
                <w:bCs/>
                <w:color w:val="auto"/>
                <w:kern w:val="21"/>
                <w:sz w:val="21"/>
                <w:szCs w:val="21"/>
              </w:rPr>
            </w:pPr>
            <w:r>
              <w:rPr>
                <w:color w:val="auto"/>
                <w:kern w:val="21"/>
                <w:sz w:val="21"/>
                <w:szCs w:val="21"/>
              </w:rPr>
              <w:t>混凝沉淀池</w:t>
            </w: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NH</w:t>
            </w:r>
            <w:r>
              <w:rPr>
                <w:rFonts w:hint="eastAsia"/>
                <w:bCs/>
                <w:color w:val="auto"/>
                <w:kern w:val="21"/>
                <w:sz w:val="21"/>
                <w:szCs w:val="21"/>
                <w:vertAlign w:val="subscript"/>
              </w:rPr>
              <w:t>3</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42.1210</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21.0605</w:t>
            </w:r>
          </w:p>
        </w:tc>
        <w:tc>
          <w:tcPr>
            <w:tcW w:w="1027"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32.95</w:t>
            </w:r>
          </w:p>
        </w:tc>
        <w:tc>
          <w:tcPr>
            <w:tcW w:w="1866" w:type="dxa"/>
            <w:vAlign w:val="center"/>
          </w:tcPr>
          <w:p>
            <w:pPr>
              <w:spacing w:line="240" w:lineRule="auto"/>
              <w:ind w:firstLine="0" w:firstLineChars="0"/>
              <w:jc w:val="center"/>
              <w:rPr>
                <w:rFonts w:hint="eastAsia" w:ascii="Times New Roman" w:hAnsi="Times New Roman" w:eastAsia="宋体" w:cs="Times New Roman"/>
                <w:bCs/>
                <w:color w:val="auto"/>
                <w:kern w:val="21"/>
                <w:sz w:val="21"/>
                <w:szCs w:val="21"/>
                <w:lang w:val="en-US" w:eastAsia="zh-CN" w:bidi="ar-SA"/>
              </w:rPr>
            </w:pPr>
            <w:r>
              <w:rPr>
                <w:rFonts w:hint="eastAsia"/>
                <w:bCs/>
                <w:color w:val="auto"/>
                <w:kern w:val="21"/>
                <w:sz w:val="21"/>
                <w:szCs w:val="21"/>
                <w:lang w:eastAsia="zh-CN"/>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continue"/>
            <w:vAlign w:val="center"/>
          </w:tcPr>
          <w:p>
            <w:pPr>
              <w:spacing w:line="240" w:lineRule="auto"/>
              <w:ind w:firstLine="0" w:firstLineChars="0"/>
              <w:jc w:val="center"/>
              <w:rPr>
                <w:bCs/>
                <w:color w:val="auto"/>
                <w:kern w:val="21"/>
                <w:sz w:val="21"/>
                <w:szCs w:val="21"/>
              </w:rPr>
            </w:pP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H</w:t>
            </w:r>
            <w:r>
              <w:rPr>
                <w:rFonts w:hint="eastAsia"/>
                <w:bCs/>
                <w:color w:val="auto"/>
                <w:kern w:val="21"/>
                <w:sz w:val="21"/>
                <w:szCs w:val="21"/>
                <w:vertAlign w:val="subscript"/>
              </w:rPr>
              <w:t>2</w:t>
            </w:r>
            <w:r>
              <w:rPr>
                <w:rFonts w:hint="eastAsia"/>
                <w:bCs/>
                <w:color w:val="auto"/>
                <w:kern w:val="21"/>
                <w:sz w:val="21"/>
                <w:szCs w:val="21"/>
              </w:rPr>
              <w:t>S</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0.0885</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0.8845</w:t>
            </w:r>
          </w:p>
        </w:tc>
        <w:tc>
          <w:tcPr>
            <w:tcW w:w="1027"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w:t>
            </w:r>
          </w:p>
        </w:tc>
        <w:tc>
          <w:tcPr>
            <w:tcW w:w="1866" w:type="dxa"/>
            <w:vAlign w:val="center"/>
          </w:tcPr>
          <w:p>
            <w:pPr>
              <w:spacing w:line="240" w:lineRule="auto"/>
              <w:ind w:firstLine="0" w:firstLineChars="0"/>
              <w:jc w:val="center"/>
              <w:rPr>
                <w:rFonts w:hint="eastAsia" w:ascii="Times New Roman" w:hAnsi="Times New Roman" w:eastAsia="宋体" w:cs="Times New Roman"/>
                <w:bCs/>
                <w:color w:val="auto"/>
                <w:kern w:val="21"/>
                <w:sz w:val="21"/>
                <w:szCs w:val="21"/>
                <w:lang w:val="en-US" w:eastAsia="zh-CN" w:bidi="ar-SA"/>
              </w:rPr>
            </w:pPr>
            <w:r>
              <w:rPr>
                <w:rFonts w:hint="eastAsia"/>
                <w:bCs/>
                <w:color w:val="auto"/>
                <w:kern w:val="21"/>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restart"/>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水解酸化池</w:t>
            </w:r>
          </w:p>
        </w:tc>
        <w:tc>
          <w:tcPr>
            <w:tcW w:w="1152"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NH</w:t>
            </w:r>
            <w:r>
              <w:rPr>
                <w:rFonts w:hint="eastAsia"/>
                <w:bCs/>
                <w:color w:val="auto"/>
                <w:kern w:val="21"/>
                <w:sz w:val="21"/>
                <w:szCs w:val="21"/>
                <w:vertAlign w:val="subscript"/>
              </w:rPr>
              <w:t>3</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18.7490</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9.3745</w:t>
            </w:r>
          </w:p>
        </w:tc>
        <w:tc>
          <w:tcPr>
            <w:tcW w:w="1027"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w:t>
            </w:r>
          </w:p>
        </w:tc>
        <w:tc>
          <w:tcPr>
            <w:tcW w:w="1866" w:type="dxa"/>
            <w:vAlign w:val="center"/>
          </w:tcPr>
          <w:p>
            <w:pPr>
              <w:spacing w:line="240" w:lineRule="auto"/>
              <w:ind w:firstLine="0" w:firstLineChars="0"/>
              <w:jc w:val="center"/>
              <w:rPr>
                <w:rFonts w:hint="eastAsia" w:ascii="Times New Roman" w:hAnsi="Times New Roman" w:eastAsia="宋体" w:cs="Times New Roman"/>
                <w:bCs/>
                <w:color w:val="auto"/>
                <w:kern w:val="21"/>
                <w:sz w:val="21"/>
                <w:szCs w:val="21"/>
                <w:lang w:val="en-US" w:eastAsia="zh-CN" w:bidi="ar-SA"/>
              </w:rPr>
            </w:pPr>
            <w:r>
              <w:rPr>
                <w:rFonts w:hint="eastAsia"/>
                <w:bCs/>
                <w:color w:val="auto"/>
                <w:kern w:val="21"/>
                <w:sz w:val="21"/>
                <w:szCs w:val="21"/>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continue"/>
            <w:vAlign w:val="center"/>
          </w:tcPr>
          <w:p>
            <w:pPr>
              <w:spacing w:line="240" w:lineRule="auto"/>
              <w:ind w:firstLine="0" w:firstLineChars="0"/>
              <w:jc w:val="center"/>
              <w:rPr>
                <w:color w:val="auto"/>
                <w:kern w:val="21"/>
                <w:sz w:val="21"/>
                <w:szCs w:val="21"/>
              </w:rPr>
            </w:pPr>
          </w:p>
        </w:tc>
        <w:tc>
          <w:tcPr>
            <w:tcW w:w="1152"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H</w:t>
            </w:r>
            <w:r>
              <w:rPr>
                <w:rFonts w:hint="eastAsia"/>
                <w:bCs/>
                <w:color w:val="auto"/>
                <w:kern w:val="21"/>
                <w:sz w:val="21"/>
                <w:szCs w:val="21"/>
                <w:vertAlign w:val="subscript"/>
              </w:rPr>
              <w:t>2</w:t>
            </w:r>
            <w:r>
              <w:rPr>
                <w:rFonts w:hint="eastAsia"/>
                <w:bCs/>
                <w:color w:val="auto"/>
                <w:kern w:val="21"/>
                <w:sz w:val="21"/>
                <w:szCs w:val="21"/>
              </w:rPr>
              <w:t>S</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0.0380</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0.3800</w:t>
            </w:r>
          </w:p>
        </w:tc>
        <w:tc>
          <w:tcPr>
            <w:tcW w:w="1027"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w:t>
            </w:r>
          </w:p>
        </w:tc>
        <w:tc>
          <w:tcPr>
            <w:tcW w:w="1866" w:type="dxa"/>
            <w:vAlign w:val="center"/>
          </w:tcPr>
          <w:p>
            <w:pPr>
              <w:spacing w:line="240" w:lineRule="auto"/>
              <w:ind w:firstLine="0" w:firstLineChars="0"/>
              <w:jc w:val="center"/>
              <w:rPr>
                <w:rFonts w:hint="eastAsia" w:ascii="Times New Roman" w:hAnsi="Times New Roman" w:eastAsia="宋体" w:cs="Times New Roman"/>
                <w:bCs/>
                <w:color w:val="auto"/>
                <w:kern w:val="21"/>
                <w:sz w:val="21"/>
                <w:szCs w:val="21"/>
                <w:lang w:val="en-US" w:eastAsia="zh-CN" w:bidi="ar-SA"/>
              </w:rPr>
            </w:pPr>
            <w:r>
              <w:rPr>
                <w:rFonts w:hint="eastAsia"/>
                <w:bCs/>
                <w:color w:val="auto"/>
                <w:kern w:val="21"/>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restart"/>
            <w:vAlign w:val="center"/>
          </w:tcPr>
          <w:p>
            <w:pPr>
              <w:spacing w:line="240" w:lineRule="auto"/>
              <w:ind w:firstLine="0" w:firstLineChars="0"/>
              <w:jc w:val="center"/>
              <w:rPr>
                <w:rFonts w:hint="eastAsia" w:eastAsia="宋体"/>
                <w:bCs/>
                <w:color w:val="auto"/>
                <w:kern w:val="21"/>
                <w:sz w:val="21"/>
                <w:szCs w:val="21"/>
                <w:lang w:eastAsia="zh-CN"/>
              </w:rPr>
            </w:pPr>
            <w:r>
              <w:rPr>
                <w:rFonts w:hint="eastAsia"/>
                <w:color w:val="auto"/>
                <w:kern w:val="21"/>
                <w:sz w:val="21"/>
                <w:szCs w:val="21"/>
                <w:lang w:eastAsia="zh-CN"/>
              </w:rPr>
              <w:t>污泥浓缩池</w:t>
            </w: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NH</w:t>
            </w:r>
            <w:r>
              <w:rPr>
                <w:rFonts w:hint="eastAsia"/>
                <w:bCs/>
                <w:color w:val="auto"/>
                <w:kern w:val="21"/>
                <w:sz w:val="21"/>
                <w:szCs w:val="21"/>
                <w:vertAlign w:val="subscript"/>
              </w:rPr>
              <w:t>3</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1.0800</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0.5400</w:t>
            </w:r>
          </w:p>
        </w:tc>
        <w:tc>
          <w:tcPr>
            <w:tcW w:w="1027"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w:t>
            </w:r>
          </w:p>
        </w:tc>
        <w:tc>
          <w:tcPr>
            <w:tcW w:w="1866"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continue"/>
            <w:vAlign w:val="center"/>
          </w:tcPr>
          <w:p>
            <w:pPr>
              <w:spacing w:line="240" w:lineRule="auto"/>
              <w:ind w:firstLine="0" w:firstLineChars="0"/>
              <w:jc w:val="center"/>
              <w:rPr>
                <w:bCs/>
                <w:color w:val="auto"/>
                <w:kern w:val="21"/>
                <w:sz w:val="21"/>
                <w:szCs w:val="21"/>
              </w:rPr>
            </w:pP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H</w:t>
            </w:r>
            <w:r>
              <w:rPr>
                <w:rFonts w:hint="eastAsia"/>
                <w:bCs/>
                <w:color w:val="auto"/>
                <w:kern w:val="21"/>
                <w:sz w:val="21"/>
                <w:szCs w:val="21"/>
                <w:vertAlign w:val="subscript"/>
              </w:rPr>
              <w:t>2</w:t>
            </w:r>
            <w:r>
              <w:rPr>
                <w:rFonts w:hint="eastAsia"/>
                <w:bCs/>
                <w:color w:val="auto"/>
                <w:kern w:val="21"/>
                <w:sz w:val="21"/>
                <w:szCs w:val="21"/>
              </w:rPr>
              <w:t>S</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0.0005</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0.0054</w:t>
            </w:r>
          </w:p>
        </w:tc>
        <w:tc>
          <w:tcPr>
            <w:tcW w:w="1027"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w:t>
            </w:r>
          </w:p>
        </w:tc>
        <w:tc>
          <w:tcPr>
            <w:tcW w:w="1866"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restart"/>
            <w:vAlign w:val="center"/>
          </w:tcPr>
          <w:p>
            <w:pPr>
              <w:spacing w:line="240" w:lineRule="auto"/>
              <w:ind w:firstLine="0" w:firstLineChars="0"/>
              <w:jc w:val="center"/>
              <w:rPr>
                <w:bCs/>
                <w:color w:val="auto"/>
                <w:kern w:val="21"/>
                <w:sz w:val="21"/>
                <w:szCs w:val="21"/>
              </w:rPr>
            </w:pPr>
            <w:r>
              <w:rPr>
                <w:color w:val="auto"/>
                <w:kern w:val="21"/>
                <w:sz w:val="21"/>
                <w:szCs w:val="21"/>
              </w:rPr>
              <w:t>MBR膜池</w:t>
            </w: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NH</w:t>
            </w:r>
            <w:r>
              <w:rPr>
                <w:rFonts w:hint="eastAsia"/>
                <w:bCs/>
                <w:color w:val="auto"/>
                <w:kern w:val="21"/>
                <w:sz w:val="21"/>
                <w:szCs w:val="21"/>
                <w:vertAlign w:val="subscript"/>
              </w:rPr>
              <w:t>3</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2.2914</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1.1457</w:t>
            </w:r>
          </w:p>
        </w:tc>
        <w:tc>
          <w:tcPr>
            <w:tcW w:w="1027" w:type="dxa"/>
            <w:vAlign w:val="center"/>
          </w:tcPr>
          <w:p>
            <w:pPr>
              <w:spacing w:line="240" w:lineRule="auto"/>
              <w:ind w:firstLine="0" w:firstLineChars="0"/>
              <w:jc w:val="center"/>
              <w:rPr>
                <w:bCs/>
                <w:color w:val="auto"/>
                <w:kern w:val="21"/>
                <w:sz w:val="21"/>
                <w:szCs w:val="21"/>
              </w:rPr>
            </w:pPr>
            <w:r>
              <w:rPr>
                <w:bCs/>
                <w:color w:val="auto"/>
                <w:kern w:val="21"/>
                <w:sz w:val="21"/>
                <w:szCs w:val="21"/>
              </w:rPr>
              <w:t>/</w:t>
            </w:r>
          </w:p>
        </w:tc>
        <w:tc>
          <w:tcPr>
            <w:tcW w:w="1866" w:type="dxa"/>
            <w:vAlign w:val="center"/>
          </w:tcPr>
          <w:p>
            <w:pPr>
              <w:spacing w:line="240" w:lineRule="auto"/>
              <w:ind w:firstLine="0" w:firstLineChars="0"/>
              <w:jc w:val="center"/>
              <w:rPr>
                <w:rFonts w:hint="eastAsia" w:eastAsia="宋体"/>
                <w:bCs/>
                <w:color w:val="auto"/>
                <w:kern w:val="21"/>
                <w:sz w:val="21"/>
                <w:szCs w:val="21"/>
                <w:lang w:eastAsia="zh-CN"/>
              </w:rPr>
            </w:pPr>
            <w:r>
              <w:rPr>
                <w:rFonts w:hint="eastAsia"/>
                <w:bCs/>
                <w:color w:val="auto"/>
                <w:kern w:val="21"/>
                <w:sz w:val="21"/>
                <w:szCs w:val="21"/>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continue"/>
            <w:vAlign w:val="center"/>
          </w:tcPr>
          <w:p>
            <w:pPr>
              <w:spacing w:line="240" w:lineRule="auto"/>
              <w:ind w:firstLine="0" w:firstLineChars="0"/>
              <w:jc w:val="center"/>
              <w:rPr>
                <w:bCs/>
                <w:color w:val="auto"/>
                <w:kern w:val="21"/>
                <w:sz w:val="21"/>
                <w:szCs w:val="21"/>
              </w:rPr>
            </w:pP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H</w:t>
            </w:r>
            <w:r>
              <w:rPr>
                <w:rFonts w:hint="eastAsia"/>
                <w:bCs/>
                <w:color w:val="auto"/>
                <w:kern w:val="21"/>
                <w:sz w:val="21"/>
                <w:szCs w:val="21"/>
                <w:vertAlign w:val="subscript"/>
              </w:rPr>
              <w:t>2</w:t>
            </w:r>
            <w:r>
              <w:rPr>
                <w:rFonts w:hint="eastAsia"/>
                <w:bCs/>
                <w:color w:val="auto"/>
                <w:kern w:val="21"/>
                <w:sz w:val="21"/>
                <w:szCs w:val="21"/>
              </w:rPr>
              <w:t>S</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0.1260</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1.2603</w:t>
            </w:r>
          </w:p>
        </w:tc>
        <w:tc>
          <w:tcPr>
            <w:tcW w:w="1027" w:type="dxa"/>
            <w:vAlign w:val="center"/>
          </w:tcPr>
          <w:p>
            <w:pPr>
              <w:spacing w:line="240" w:lineRule="auto"/>
              <w:ind w:firstLine="0" w:firstLineChars="0"/>
              <w:jc w:val="center"/>
              <w:rPr>
                <w:bCs/>
                <w:color w:val="auto"/>
                <w:kern w:val="21"/>
                <w:sz w:val="21"/>
                <w:szCs w:val="21"/>
              </w:rPr>
            </w:pPr>
            <w:r>
              <w:rPr>
                <w:bCs/>
                <w:color w:val="auto"/>
                <w:kern w:val="21"/>
                <w:sz w:val="21"/>
                <w:szCs w:val="21"/>
              </w:rPr>
              <w:t>/</w:t>
            </w:r>
          </w:p>
        </w:tc>
        <w:tc>
          <w:tcPr>
            <w:tcW w:w="1866" w:type="dxa"/>
            <w:vAlign w:val="center"/>
          </w:tcPr>
          <w:p>
            <w:pPr>
              <w:spacing w:line="240" w:lineRule="auto"/>
              <w:ind w:firstLine="0" w:firstLineChars="0"/>
              <w:jc w:val="center"/>
              <w:rPr>
                <w:rFonts w:hint="eastAsia" w:eastAsia="宋体"/>
                <w:bCs/>
                <w:color w:val="auto"/>
                <w:kern w:val="21"/>
                <w:sz w:val="21"/>
                <w:szCs w:val="21"/>
                <w:lang w:eastAsia="zh-CN"/>
              </w:rPr>
            </w:pPr>
            <w:r>
              <w:rPr>
                <w:rFonts w:hint="eastAsia"/>
                <w:bCs/>
                <w:color w:val="auto"/>
                <w:kern w:val="21"/>
                <w:sz w:val="21"/>
                <w:szCs w:val="21"/>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restart"/>
            <w:vAlign w:val="center"/>
          </w:tcPr>
          <w:p>
            <w:pPr>
              <w:spacing w:line="240" w:lineRule="auto"/>
              <w:ind w:firstLine="0" w:firstLineChars="0"/>
              <w:jc w:val="center"/>
              <w:rPr>
                <w:bCs/>
                <w:color w:val="auto"/>
                <w:kern w:val="21"/>
                <w:sz w:val="21"/>
                <w:szCs w:val="21"/>
              </w:rPr>
            </w:pPr>
            <w:r>
              <w:rPr>
                <w:rFonts w:hint="eastAsia"/>
                <w:i w:val="0"/>
                <w:iCs/>
                <w:color w:val="auto"/>
                <w:kern w:val="21"/>
                <w:sz w:val="21"/>
                <w:szCs w:val="21"/>
              </w:rPr>
              <w:t>A</w:t>
            </w:r>
            <w:r>
              <w:rPr>
                <w:rFonts w:hint="eastAsia"/>
                <w:i w:val="0"/>
                <w:iCs/>
                <w:color w:val="auto"/>
                <w:kern w:val="21"/>
                <w:sz w:val="21"/>
                <w:szCs w:val="21"/>
                <w:vertAlign w:val="superscript"/>
              </w:rPr>
              <w:t>2</w:t>
            </w:r>
            <w:r>
              <w:rPr>
                <w:rFonts w:hint="eastAsia"/>
                <w:color w:val="auto"/>
                <w:kern w:val="21"/>
                <w:sz w:val="21"/>
                <w:szCs w:val="21"/>
              </w:rPr>
              <w:t>/O</w:t>
            </w:r>
            <w:r>
              <w:rPr>
                <w:color w:val="auto"/>
                <w:kern w:val="21"/>
                <w:sz w:val="21"/>
                <w:szCs w:val="21"/>
              </w:rPr>
              <w:t>生化池</w:t>
            </w: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NH</w:t>
            </w:r>
            <w:r>
              <w:rPr>
                <w:rFonts w:hint="eastAsia"/>
                <w:bCs/>
                <w:color w:val="auto"/>
                <w:kern w:val="21"/>
                <w:sz w:val="21"/>
                <w:szCs w:val="21"/>
                <w:vertAlign w:val="subscript"/>
              </w:rPr>
              <w:t>3</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1.9211</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0.9605</w:t>
            </w:r>
          </w:p>
        </w:tc>
        <w:tc>
          <w:tcPr>
            <w:tcW w:w="1027" w:type="dxa"/>
            <w:vAlign w:val="center"/>
          </w:tcPr>
          <w:p>
            <w:pPr>
              <w:spacing w:line="240" w:lineRule="auto"/>
              <w:ind w:firstLine="0" w:firstLineChars="0"/>
              <w:jc w:val="center"/>
              <w:rPr>
                <w:bCs/>
                <w:color w:val="auto"/>
                <w:kern w:val="21"/>
                <w:sz w:val="21"/>
                <w:szCs w:val="21"/>
              </w:rPr>
            </w:pPr>
            <w:r>
              <w:rPr>
                <w:bCs/>
                <w:color w:val="auto"/>
                <w:kern w:val="21"/>
                <w:sz w:val="21"/>
                <w:szCs w:val="21"/>
              </w:rPr>
              <w:t>/</w:t>
            </w:r>
          </w:p>
        </w:tc>
        <w:tc>
          <w:tcPr>
            <w:tcW w:w="1866" w:type="dxa"/>
            <w:vAlign w:val="center"/>
          </w:tcPr>
          <w:p>
            <w:pPr>
              <w:spacing w:line="240" w:lineRule="auto"/>
              <w:ind w:firstLine="0" w:firstLineChars="0"/>
              <w:jc w:val="center"/>
              <w:rPr>
                <w:rFonts w:hint="eastAsia" w:eastAsia="宋体"/>
                <w:bCs/>
                <w:color w:val="auto"/>
                <w:kern w:val="21"/>
                <w:sz w:val="21"/>
                <w:szCs w:val="21"/>
                <w:lang w:eastAsia="zh-CN"/>
              </w:rPr>
            </w:pPr>
            <w:r>
              <w:rPr>
                <w:rFonts w:hint="eastAsia"/>
                <w:bCs/>
                <w:color w:val="auto"/>
                <w:kern w:val="21"/>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continue"/>
            <w:vAlign w:val="center"/>
          </w:tcPr>
          <w:p>
            <w:pPr>
              <w:spacing w:line="240" w:lineRule="auto"/>
              <w:ind w:firstLine="0" w:firstLineChars="0"/>
              <w:jc w:val="center"/>
              <w:rPr>
                <w:bCs/>
                <w:color w:val="auto"/>
                <w:kern w:val="21"/>
                <w:sz w:val="21"/>
                <w:szCs w:val="21"/>
              </w:rPr>
            </w:pP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H</w:t>
            </w:r>
            <w:r>
              <w:rPr>
                <w:rFonts w:hint="eastAsia"/>
                <w:bCs/>
                <w:color w:val="auto"/>
                <w:kern w:val="21"/>
                <w:sz w:val="21"/>
                <w:szCs w:val="21"/>
                <w:vertAlign w:val="subscript"/>
              </w:rPr>
              <w:t>2</w:t>
            </w:r>
            <w:r>
              <w:rPr>
                <w:rFonts w:hint="eastAsia"/>
                <w:bCs/>
                <w:color w:val="auto"/>
                <w:kern w:val="21"/>
                <w:sz w:val="21"/>
                <w:szCs w:val="21"/>
              </w:rPr>
              <w:t>S</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0.1057</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1.0566</w:t>
            </w:r>
          </w:p>
        </w:tc>
        <w:tc>
          <w:tcPr>
            <w:tcW w:w="1027" w:type="dxa"/>
            <w:vAlign w:val="center"/>
          </w:tcPr>
          <w:p>
            <w:pPr>
              <w:spacing w:line="240" w:lineRule="auto"/>
              <w:ind w:firstLine="0" w:firstLineChars="0"/>
              <w:jc w:val="center"/>
              <w:rPr>
                <w:bCs/>
                <w:color w:val="auto"/>
                <w:kern w:val="21"/>
                <w:sz w:val="21"/>
                <w:szCs w:val="21"/>
              </w:rPr>
            </w:pPr>
            <w:r>
              <w:rPr>
                <w:bCs/>
                <w:color w:val="auto"/>
                <w:kern w:val="21"/>
                <w:sz w:val="21"/>
                <w:szCs w:val="21"/>
              </w:rPr>
              <w:t>/</w:t>
            </w:r>
          </w:p>
        </w:tc>
        <w:tc>
          <w:tcPr>
            <w:tcW w:w="1866" w:type="dxa"/>
            <w:vAlign w:val="center"/>
          </w:tcPr>
          <w:p>
            <w:pPr>
              <w:spacing w:line="240" w:lineRule="auto"/>
              <w:ind w:firstLine="0" w:firstLineChars="0"/>
              <w:jc w:val="center"/>
              <w:rPr>
                <w:rFonts w:hint="eastAsia" w:eastAsia="宋体"/>
                <w:bCs/>
                <w:color w:val="auto"/>
                <w:kern w:val="21"/>
                <w:sz w:val="21"/>
                <w:szCs w:val="21"/>
                <w:lang w:eastAsia="zh-CN"/>
              </w:rPr>
            </w:pPr>
            <w:r>
              <w:rPr>
                <w:rFonts w:hint="eastAsia"/>
                <w:bCs/>
                <w:color w:val="auto"/>
                <w:kern w:val="21"/>
                <w:sz w:val="21"/>
                <w:szCs w:val="21"/>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restart"/>
            <w:vAlign w:val="center"/>
          </w:tcPr>
          <w:p>
            <w:pPr>
              <w:spacing w:line="240" w:lineRule="auto"/>
              <w:ind w:firstLine="0" w:firstLineChars="0"/>
              <w:jc w:val="center"/>
              <w:rPr>
                <w:bCs/>
                <w:color w:val="auto"/>
                <w:kern w:val="21"/>
                <w:sz w:val="21"/>
                <w:szCs w:val="21"/>
              </w:rPr>
            </w:pPr>
            <w:r>
              <w:rPr>
                <w:color w:val="auto"/>
                <w:kern w:val="21"/>
                <w:sz w:val="21"/>
                <w:szCs w:val="21"/>
              </w:rPr>
              <w:t>污泥脱水车间</w:t>
            </w: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NH</w:t>
            </w:r>
            <w:r>
              <w:rPr>
                <w:rFonts w:hint="eastAsia"/>
                <w:bCs/>
                <w:color w:val="auto"/>
                <w:kern w:val="21"/>
                <w:sz w:val="21"/>
                <w:szCs w:val="21"/>
                <w:vertAlign w:val="subscript"/>
              </w:rPr>
              <w:t>3</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2.0588</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1.0294</w:t>
            </w:r>
          </w:p>
        </w:tc>
        <w:tc>
          <w:tcPr>
            <w:tcW w:w="1027" w:type="dxa"/>
            <w:vAlign w:val="center"/>
          </w:tcPr>
          <w:p>
            <w:pPr>
              <w:spacing w:line="240" w:lineRule="auto"/>
              <w:ind w:firstLine="0" w:firstLineChars="0"/>
              <w:jc w:val="center"/>
              <w:rPr>
                <w:bCs/>
                <w:color w:val="auto"/>
                <w:kern w:val="21"/>
                <w:sz w:val="21"/>
                <w:szCs w:val="21"/>
              </w:rPr>
            </w:pPr>
            <w:r>
              <w:rPr>
                <w:bCs/>
                <w:color w:val="auto"/>
                <w:kern w:val="21"/>
                <w:sz w:val="21"/>
                <w:szCs w:val="21"/>
              </w:rPr>
              <w:t>/</w:t>
            </w:r>
          </w:p>
        </w:tc>
        <w:tc>
          <w:tcPr>
            <w:tcW w:w="1866"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369" w:type="dxa"/>
            <w:vMerge w:val="continue"/>
            <w:vAlign w:val="center"/>
          </w:tcPr>
          <w:p>
            <w:pPr>
              <w:spacing w:line="240" w:lineRule="auto"/>
              <w:ind w:firstLine="0" w:firstLineChars="0"/>
              <w:jc w:val="center"/>
              <w:rPr>
                <w:bCs/>
                <w:color w:val="auto"/>
                <w:kern w:val="21"/>
                <w:sz w:val="21"/>
                <w:szCs w:val="21"/>
              </w:rPr>
            </w:pPr>
          </w:p>
        </w:tc>
        <w:tc>
          <w:tcPr>
            <w:tcW w:w="1152"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rPr>
              <w:t>H</w:t>
            </w:r>
            <w:r>
              <w:rPr>
                <w:rFonts w:hint="eastAsia"/>
                <w:bCs/>
                <w:color w:val="auto"/>
                <w:kern w:val="21"/>
                <w:sz w:val="21"/>
                <w:szCs w:val="21"/>
                <w:vertAlign w:val="subscript"/>
              </w:rPr>
              <w:t>2</w:t>
            </w:r>
            <w:r>
              <w:rPr>
                <w:rFonts w:hint="eastAsia"/>
                <w:bCs/>
                <w:color w:val="auto"/>
                <w:kern w:val="21"/>
                <w:sz w:val="21"/>
                <w:szCs w:val="21"/>
              </w:rPr>
              <w:t>S</w:t>
            </w:r>
          </w:p>
        </w:tc>
        <w:tc>
          <w:tcPr>
            <w:tcW w:w="111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0.0006</w:t>
            </w:r>
          </w:p>
        </w:tc>
        <w:tc>
          <w:tcPr>
            <w:tcW w:w="1176" w:type="dxa"/>
            <w:vAlign w:val="center"/>
          </w:tcPr>
          <w:p>
            <w:pPr>
              <w:spacing w:line="240" w:lineRule="auto"/>
              <w:ind w:firstLine="0" w:firstLineChars="0"/>
              <w:jc w:val="center"/>
              <w:rPr>
                <w:rFonts w:hint="eastAsia"/>
                <w:bCs/>
                <w:color w:val="auto"/>
                <w:kern w:val="21"/>
                <w:sz w:val="21"/>
                <w:szCs w:val="21"/>
              </w:rPr>
            </w:pPr>
            <w:r>
              <w:rPr>
                <w:rFonts w:hint="eastAsia"/>
                <w:bCs/>
                <w:color w:val="auto"/>
                <w:kern w:val="21"/>
                <w:sz w:val="21"/>
                <w:szCs w:val="21"/>
              </w:rPr>
              <w:t>0.0064</w:t>
            </w:r>
          </w:p>
        </w:tc>
        <w:tc>
          <w:tcPr>
            <w:tcW w:w="1027" w:type="dxa"/>
            <w:vAlign w:val="center"/>
          </w:tcPr>
          <w:p>
            <w:pPr>
              <w:spacing w:line="240" w:lineRule="auto"/>
              <w:ind w:firstLine="0" w:firstLineChars="0"/>
              <w:jc w:val="center"/>
              <w:rPr>
                <w:bCs/>
                <w:color w:val="auto"/>
                <w:kern w:val="21"/>
                <w:sz w:val="21"/>
                <w:szCs w:val="21"/>
              </w:rPr>
            </w:pPr>
            <w:r>
              <w:rPr>
                <w:bCs/>
                <w:color w:val="auto"/>
                <w:kern w:val="21"/>
                <w:sz w:val="21"/>
                <w:szCs w:val="21"/>
              </w:rPr>
              <w:t>/</w:t>
            </w:r>
          </w:p>
        </w:tc>
        <w:tc>
          <w:tcPr>
            <w:tcW w:w="1866" w:type="dxa"/>
            <w:vAlign w:val="center"/>
          </w:tcPr>
          <w:p>
            <w:pPr>
              <w:spacing w:line="240" w:lineRule="auto"/>
              <w:ind w:firstLine="0" w:firstLineChars="0"/>
              <w:jc w:val="center"/>
              <w:rPr>
                <w:bCs/>
                <w:color w:val="auto"/>
                <w:kern w:val="21"/>
                <w:sz w:val="21"/>
                <w:szCs w:val="21"/>
              </w:rPr>
            </w:pPr>
            <w:r>
              <w:rPr>
                <w:rFonts w:hint="eastAsia"/>
                <w:bCs/>
                <w:color w:val="auto"/>
                <w:kern w:val="21"/>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6" w:type="dxa"/>
            <w:gridSpan w:val="6"/>
            <w:vAlign w:val="center"/>
          </w:tcPr>
          <w:p>
            <w:pPr>
              <w:spacing w:line="240" w:lineRule="auto"/>
              <w:ind w:firstLine="0" w:firstLineChars="0"/>
              <w:jc w:val="left"/>
              <w:rPr>
                <w:bCs/>
                <w:color w:val="auto"/>
                <w:kern w:val="21"/>
                <w:sz w:val="21"/>
                <w:szCs w:val="21"/>
              </w:rPr>
            </w:pPr>
            <w:r>
              <w:rPr>
                <w:color w:val="auto"/>
                <w:kern w:val="21"/>
                <w:sz w:val="21"/>
                <w:szCs w:val="21"/>
              </w:rPr>
              <w:t>注：粗格栅及进水泵房、细格栅及调节池、混凝沉淀池、</w:t>
            </w:r>
            <w:r>
              <w:rPr>
                <w:rFonts w:hint="eastAsia"/>
                <w:i w:val="0"/>
                <w:iCs/>
                <w:color w:val="auto"/>
                <w:kern w:val="21"/>
                <w:sz w:val="21"/>
                <w:szCs w:val="21"/>
              </w:rPr>
              <w:t>A</w:t>
            </w:r>
            <w:r>
              <w:rPr>
                <w:rFonts w:hint="eastAsia"/>
                <w:i w:val="0"/>
                <w:iCs/>
                <w:color w:val="auto"/>
                <w:kern w:val="21"/>
                <w:sz w:val="21"/>
                <w:szCs w:val="21"/>
                <w:vertAlign w:val="superscript"/>
              </w:rPr>
              <w:t>2</w:t>
            </w:r>
            <w:r>
              <w:rPr>
                <w:rFonts w:hint="eastAsia"/>
                <w:color w:val="auto"/>
                <w:kern w:val="21"/>
                <w:sz w:val="21"/>
                <w:szCs w:val="21"/>
              </w:rPr>
              <w:t>/O</w:t>
            </w:r>
            <w:r>
              <w:rPr>
                <w:color w:val="auto"/>
                <w:kern w:val="21"/>
                <w:sz w:val="21"/>
                <w:szCs w:val="21"/>
              </w:rPr>
              <w:t>生化池、MBR膜池、污泥脱水车间均为无组织排放源。</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textAlignment w:val="auto"/>
        <w:rPr>
          <w:color w:val="auto"/>
        </w:rPr>
      </w:pPr>
      <w:r>
        <w:rPr>
          <w:color w:val="auto"/>
        </w:rPr>
        <w:t>通过</w:t>
      </w:r>
      <w:r>
        <w:rPr>
          <w:rFonts w:hint="eastAsia"/>
          <w:color w:val="auto"/>
          <w:lang w:eastAsia="zh-CN"/>
        </w:rPr>
        <w:t>估算</w:t>
      </w:r>
      <w:r>
        <w:rPr>
          <w:color w:val="auto"/>
        </w:rPr>
        <w:t>模型对各污染源及各污染物进行筛选后，本项目P</w:t>
      </w:r>
      <w:r>
        <w:rPr>
          <w:color w:val="auto"/>
          <w:vertAlign w:val="subscript"/>
        </w:rPr>
        <w:t>max</w:t>
      </w:r>
      <w:r>
        <w:rPr>
          <w:color w:val="auto"/>
        </w:rPr>
        <w:t>为</w:t>
      </w:r>
      <w:r>
        <w:rPr>
          <w:rFonts w:hint="eastAsia"/>
          <w:color w:val="auto"/>
          <w:lang w:val="en-US" w:eastAsia="zh-CN"/>
        </w:rPr>
        <w:t>21.0605</w:t>
      </w:r>
      <w:r>
        <w:rPr>
          <w:color w:val="auto"/>
        </w:rPr>
        <w:t>%，判定本项目大气环境影响评价等级为</w:t>
      </w:r>
      <w:r>
        <w:rPr>
          <w:rFonts w:hint="eastAsia"/>
          <w:color w:val="auto"/>
        </w:rPr>
        <w:t>一</w:t>
      </w:r>
      <w:r>
        <w:rPr>
          <w:color w:val="auto"/>
        </w:rPr>
        <w:t>级。</w:t>
      </w:r>
    </w:p>
    <w:p>
      <w:pPr>
        <w:ind w:firstLine="474"/>
        <w:rPr>
          <w:color w:val="auto"/>
          <w:kern w:val="21"/>
        </w:rPr>
      </w:pPr>
      <w:r>
        <w:rPr>
          <w:b/>
          <w:color w:val="auto"/>
          <w:kern w:val="21"/>
        </w:rPr>
        <w:t>2、地表水环境评价等级</w:t>
      </w:r>
    </w:p>
    <w:p>
      <w:pPr>
        <w:ind w:firstLine="472"/>
        <w:rPr>
          <w:color w:val="auto"/>
          <w:kern w:val="21"/>
        </w:rPr>
      </w:pPr>
      <w:r>
        <w:rPr>
          <w:color w:val="auto"/>
          <w:kern w:val="21"/>
          <w:lang w:bidi="ar"/>
        </w:rPr>
        <w:t>根据《环境影响评价技术导则地表水环境》（HJ</w:t>
      </w:r>
      <w:r>
        <w:rPr>
          <w:rFonts w:hint="eastAsia"/>
          <w:color w:val="auto"/>
          <w:kern w:val="21"/>
          <w:lang w:val="en-US" w:eastAsia="zh-CN" w:bidi="ar"/>
        </w:rPr>
        <w:t xml:space="preserve"> </w:t>
      </w:r>
      <w:r>
        <w:rPr>
          <w:color w:val="auto"/>
          <w:kern w:val="21"/>
          <w:lang w:bidi="ar"/>
        </w:rPr>
        <w:t>2.3-2018）中的评价等级确定规定：水污染影响型建设项目根据排放方式和废水排放量划分评价等级，直接排放建设项目评价等级分为一级、二级和三级A，根据废水排放量、水污染物污染当量数确定，评价等级判定表见</w:t>
      </w:r>
      <w:r>
        <w:rPr>
          <w:rFonts w:hint="eastAsia"/>
          <w:color w:val="auto"/>
          <w:kern w:val="21"/>
          <w:lang w:eastAsia="zh-CN" w:bidi="ar"/>
        </w:rPr>
        <w:t>下表</w:t>
      </w:r>
      <w:r>
        <w:rPr>
          <w:color w:val="auto"/>
          <w:kern w:val="21"/>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hint="eastAsia" w:ascii="Times New Roman" w:hAnsi="Times New Roman" w:cs="Times New Roman"/>
          <w:b/>
          <w:bCs/>
          <w:color w:val="auto"/>
          <w:kern w:val="21"/>
          <w:lang w:eastAsia="zh-CN"/>
        </w:rPr>
      </w:pPr>
      <w:r>
        <w:rPr>
          <w:rFonts w:hint="eastAsia" w:ascii="Times New Roman" w:hAnsi="Times New Roman" w:cs="Times New Roman"/>
          <w:b/>
          <w:bCs/>
          <w:color w:val="auto"/>
          <w:kern w:val="21"/>
          <w:lang w:eastAsia="zh-CN"/>
        </w:rPr>
        <w:t>水污染影响型建设项目评价等级判定</w:t>
      </w:r>
    </w:p>
    <w:tbl>
      <w:tblPr>
        <w:tblStyle w:val="51"/>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488"/>
        <w:gridCol w:w="6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评价等级</w:t>
            </w:r>
          </w:p>
        </w:tc>
        <w:tc>
          <w:tcPr>
            <w:tcW w:w="77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p>
        </w:tc>
        <w:tc>
          <w:tcPr>
            <w:tcW w:w="14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排放方式</w:t>
            </w:r>
          </w:p>
        </w:tc>
        <w:tc>
          <w:tcPr>
            <w:tcW w:w="6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废水排放量Q/（m</w:t>
            </w:r>
            <w:r>
              <w:rPr>
                <w:color w:val="auto"/>
                <w:kern w:val="21"/>
                <w:sz w:val="21"/>
                <w:szCs w:val="21"/>
                <w:vertAlign w:val="superscript"/>
              </w:rPr>
              <w:t>3</w:t>
            </w:r>
            <w:r>
              <w:rPr>
                <w:color w:val="auto"/>
                <w:kern w:val="21"/>
                <w:sz w:val="21"/>
                <w:szCs w:val="21"/>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一级</w:t>
            </w:r>
          </w:p>
        </w:tc>
        <w:tc>
          <w:tcPr>
            <w:tcW w:w="14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直接排放</w:t>
            </w:r>
          </w:p>
        </w:tc>
        <w:tc>
          <w:tcPr>
            <w:tcW w:w="6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二级</w:t>
            </w:r>
          </w:p>
        </w:tc>
        <w:tc>
          <w:tcPr>
            <w:tcW w:w="14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直接排放</w:t>
            </w:r>
          </w:p>
        </w:tc>
        <w:tc>
          <w:tcPr>
            <w:tcW w:w="6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三级A</w:t>
            </w:r>
          </w:p>
        </w:tc>
        <w:tc>
          <w:tcPr>
            <w:tcW w:w="14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直接排放</w:t>
            </w:r>
          </w:p>
        </w:tc>
        <w:tc>
          <w:tcPr>
            <w:tcW w:w="6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三级B</w:t>
            </w:r>
          </w:p>
        </w:tc>
        <w:tc>
          <w:tcPr>
            <w:tcW w:w="14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间接排放</w:t>
            </w:r>
          </w:p>
        </w:tc>
        <w:tc>
          <w:tcPr>
            <w:tcW w:w="62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rPr>
            </w:pPr>
            <w:r>
              <w:rPr>
                <w:color w:val="auto"/>
                <w:kern w:val="21"/>
                <w:sz w:val="21"/>
                <w:szCs w:val="21"/>
              </w:rPr>
              <w:t>/</w:t>
            </w:r>
          </w:p>
        </w:tc>
      </w:tr>
    </w:tbl>
    <w:p>
      <w:pPr>
        <w:widowControl/>
        <w:ind w:firstLine="472"/>
        <w:rPr>
          <w:color w:val="auto"/>
          <w:kern w:val="21"/>
          <w:lang w:bidi="ar"/>
        </w:rPr>
      </w:pPr>
      <w:r>
        <w:rPr>
          <w:color w:val="auto"/>
          <w:kern w:val="21"/>
          <w:lang w:bidi="ar"/>
        </w:rPr>
        <w:t>本工程设计处理规模为5000m</w:t>
      </w:r>
      <w:r>
        <w:rPr>
          <w:color w:val="auto"/>
          <w:kern w:val="21"/>
          <w:vertAlign w:val="superscript"/>
          <w:lang w:bidi="ar"/>
        </w:rPr>
        <w:t>3</w:t>
      </w:r>
      <w:r>
        <w:rPr>
          <w:color w:val="auto"/>
          <w:kern w:val="21"/>
          <w:lang w:bidi="ar"/>
        </w:rPr>
        <w:t>/d，</w:t>
      </w:r>
      <w:r>
        <w:rPr>
          <w:rFonts w:hint="eastAsia"/>
          <w:color w:val="auto"/>
          <w:kern w:val="21"/>
          <w:lang w:bidi="ar"/>
        </w:rPr>
        <w:t>根据工程分析，本项目污染物排放情况为BOD</w:t>
      </w:r>
      <w:r>
        <w:rPr>
          <w:rFonts w:hint="eastAsia"/>
          <w:color w:val="auto"/>
          <w:kern w:val="21"/>
          <w:vertAlign w:val="subscript"/>
          <w:lang w:bidi="ar"/>
        </w:rPr>
        <w:t>5</w:t>
      </w:r>
      <w:r>
        <w:rPr>
          <w:rFonts w:hint="eastAsia"/>
          <w:color w:val="auto"/>
          <w:kern w:val="21"/>
          <w:lang w:bidi="ar"/>
        </w:rPr>
        <w:t>：17.5</w:t>
      </w:r>
      <w:r>
        <w:rPr>
          <w:rFonts w:hint="eastAsia"/>
          <w:color w:val="auto"/>
          <w:kern w:val="21"/>
          <w:lang w:val="en-US" w:eastAsia="zh-CN" w:bidi="ar"/>
        </w:rPr>
        <w:t>1</w:t>
      </w:r>
      <w:r>
        <w:rPr>
          <w:rFonts w:hint="eastAsia"/>
          <w:color w:val="auto"/>
          <w:kern w:val="21"/>
          <w:lang w:bidi="ar"/>
        </w:rPr>
        <w:t>t/a；COD</w:t>
      </w:r>
      <w:r>
        <w:rPr>
          <w:rFonts w:hint="eastAsia"/>
          <w:color w:val="auto"/>
          <w:kern w:val="21"/>
          <w:vertAlign w:val="subscript"/>
          <w:lang w:bidi="ar"/>
        </w:rPr>
        <w:t>Cr</w:t>
      </w:r>
      <w:r>
        <w:rPr>
          <w:rFonts w:hint="eastAsia"/>
          <w:color w:val="auto"/>
          <w:kern w:val="21"/>
          <w:lang w:bidi="ar"/>
        </w:rPr>
        <w:t>：</w:t>
      </w:r>
      <w:r>
        <w:rPr>
          <w:rFonts w:hint="eastAsia"/>
          <w:color w:val="auto"/>
          <w:kern w:val="21"/>
          <w:lang w:val="en-US" w:eastAsia="zh-CN" w:bidi="ar"/>
        </w:rPr>
        <w:t>34.45</w:t>
      </w:r>
      <w:r>
        <w:rPr>
          <w:rFonts w:hint="eastAsia"/>
          <w:color w:val="auto"/>
          <w:kern w:val="21"/>
          <w:lang w:bidi="ar"/>
        </w:rPr>
        <w:t>t/a；氨氮：</w:t>
      </w:r>
      <w:r>
        <w:rPr>
          <w:rFonts w:hint="eastAsia"/>
          <w:color w:val="auto"/>
          <w:kern w:val="21"/>
          <w:lang w:val="en-US" w:eastAsia="zh-CN" w:bidi="ar"/>
        </w:rPr>
        <w:t>3.62</w:t>
      </w:r>
      <w:r>
        <w:rPr>
          <w:rFonts w:hint="eastAsia"/>
          <w:color w:val="auto"/>
          <w:kern w:val="21"/>
          <w:lang w:bidi="ar"/>
        </w:rPr>
        <w:t>t/a；TP：</w:t>
      </w:r>
      <w:r>
        <w:rPr>
          <w:rFonts w:hint="eastAsia"/>
          <w:color w:val="auto"/>
          <w:kern w:val="21"/>
          <w:lang w:val="en-US" w:eastAsia="zh-CN" w:bidi="ar"/>
        </w:rPr>
        <w:t>0.52</w:t>
      </w:r>
      <w:r>
        <w:rPr>
          <w:rFonts w:hint="eastAsia"/>
          <w:color w:val="auto"/>
          <w:kern w:val="21"/>
          <w:lang w:bidi="ar"/>
        </w:rPr>
        <w:t>t/a；SS：17.5</w:t>
      </w:r>
      <w:r>
        <w:rPr>
          <w:rFonts w:hint="eastAsia"/>
          <w:color w:val="auto"/>
          <w:kern w:val="21"/>
          <w:lang w:val="en-US" w:eastAsia="zh-CN" w:bidi="ar"/>
        </w:rPr>
        <w:t>1</w:t>
      </w:r>
      <w:r>
        <w:rPr>
          <w:rFonts w:hint="eastAsia"/>
          <w:color w:val="auto"/>
          <w:kern w:val="21"/>
          <w:lang w:bidi="ar"/>
        </w:rPr>
        <w:t>t/a；氟化物：</w:t>
      </w:r>
      <w:r>
        <w:rPr>
          <w:rFonts w:hint="eastAsia"/>
          <w:color w:val="auto"/>
          <w:kern w:val="21"/>
          <w:lang w:val="en-US" w:eastAsia="zh-CN" w:bidi="ar"/>
        </w:rPr>
        <w:t>4.04</w:t>
      </w:r>
      <w:r>
        <w:rPr>
          <w:rFonts w:hint="eastAsia"/>
          <w:color w:val="auto"/>
          <w:kern w:val="21"/>
          <w:lang w:bidi="ar"/>
        </w:rPr>
        <w:t>t/a，根据地表水导则表A.2第二类水污染物污染当量值表计算得各污染物当量数分别为BOD</w:t>
      </w:r>
      <w:r>
        <w:rPr>
          <w:rFonts w:hint="eastAsia"/>
          <w:color w:val="auto"/>
          <w:kern w:val="21"/>
          <w:vertAlign w:val="subscript"/>
          <w:lang w:bidi="ar"/>
        </w:rPr>
        <w:t>5</w:t>
      </w:r>
      <w:r>
        <w:rPr>
          <w:rFonts w:hint="eastAsia"/>
          <w:color w:val="auto"/>
          <w:kern w:val="21"/>
          <w:lang w:bidi="ar"/>
        </w:rPr>
        <w:t>：</w:t>
      </w:r>
      <w:r>
        <w:rPr>
          <w:rFonts w:hint="eastAsia"/>
          <w:color w:val="auto"/>
          <w:kern w:val="21"/>
          <w:lang w:val="en-US" w:eastAsia="zh-CN" w:bidi="ar"/>
        </w:rPr>
        <w:t>35000</w:t>
      </w:r>
      <w:r>
        <w:rPr>
          <w:rFonts w:hint="eastAsia"/>
          <w:color w:val="auto"/>
          <w:kern w:val="21"/>
          <w:lang w:bidi="ar"/>
        </w:rPr>
        <w:t>；COD</w:t>
      </w:r>
      <w:r>
        <w:rPr>
          <w:rFonts w:hint="eastAsia"/>
          <w:color w:val="auto"/>
          <w:kern w:val="21"/>
          <w:vertAlign w:val="subscript"/>
          <w:lang w:bidi="ar"/>
        </w:rPr>
        <w:t>Cr</w:t>
      </w:r>
      <w:r>
        <w:rPr>
          <w:rFonts w:hint="eastAsia"/>
          <w:color w:val="auto"/>
          <w:kern w:val="21"/>
          <w:lang w:bidi="ar"/>
        </w:rPr>
        <w:t>：</w:t>
      </w:r>
      <w:r>
        <w:rPr>
          <w:rFonts w:hint="eastAsia"/>
          <w:color w:val="auto"/>
          <w:kern w:val="21"/>
          <w:lang w:val="en-US" w:eastAsia="zh-CN" w:bidi="ar"/>
        </w:rPr>
        <w:t>34440</w:t>
      </w:r>
      <w:r>
        <w:rPr>
          <w:rFonts w:hint="eastAsia"/>
          <w:color w:val="auto"/>
          <w:kern w:val="21"/>
          <w:lang w:bidi="ar"/>
        </w:rPr>
        <w:t>；氨氮：</w:t>
      </w:r>
      <w:r>
        <w:rPr>
          <w:rFonts w:hint="eastAsia"/>
          <w:color w:val="auto"/>
          <w:kern w:val="21"/>
          <w:lang w:val="en-US" w:eastAsia="zh-CN" w:bidi="ar"/>
        </w:rPr>
        <w:t>4525</w:t>
      </w:r>
      <w:r>
        <w:rPr>
          <w:rFonts w:hint="eastAsia"/>
          <w:color w:val="auto"/>
          <w:kern w:val="21"/>
          <w:lang w:bidi="ar"/>
        </w:rPr>
        <w:t>；TP：</w:t>
      </w:r>
      <w:r>
        <w:rPr>
          <w:rFonts w:hint="eastAsia"/>
          <w:color w:val="auto"/>
          <w:kern w:val="21"/>
          <w:lang w:val="en-US" w:eastAsia="zh-CN" w:bidi="ar"/>
        </w:rPr>
        <w:t>2080</w:t>
      </w:r>
      <w:r>
        <w:rPr>
          <w:rFonts w:hint="eastAsia"/>
          <w:color w:val="auto"/>
          <w:kern w:val="21"/>
          <w:lang w:bidi="ar"/>
        </w:rPr>
        <w:t>；SS：</w:t>
      </w:r>
      <w:r>
        <w:rPr>
          <w:rFonts w:hint="eastAsia"/>
          <w:color w:val="auto"/>
          <w:kern w:val="21"/>
          <w:lang w:val="en-US" w:eastAsia="zh-CN" w:bidi="ar"/>
        </w:rPr>
        <w:t>4375</w:t>
      </w:r>
      <w:r>
        <w:rPr>
          <w:rFonts w:hint="eastAsia"/>
          <w:color w:val="auto"/>
          <w:kern w:val="21"/>
          <w:lang w:bidi="ar"/>
        </w:rPr>
        <w:t>；氟化物：</w:t>
      </w:r>
      <w:r>
        <w:rPr>
          <w:rFonts w:hint="eastAsia"/>
          <w:color w:val="auto"/>
          <w:kern w:val="21"/>
          <w:lang w:val="en-US" w:eastAsia="zh-CN" w:bidi="ar"/>
        </w:rPr>
        <w:t>8080</w:t>
      </w:r>
      <w:r>
        <w:rPr>
          <w:rFonts w:hint="eastAsia"/>
          <w:color w:val="auto"/>
          <w:kern w:val="21"/>
          <w:lang w:bidi="ar"/>
        </w:rPr>
        <w:t>。污染物当量最大值为</w:t>
      </w:r>
      <w:r>
        <w:rPr>
          <w:rFonts w:hint="eastAsia"/>
          <w:color w:val="auto"/>
          <w:kern w:val="21"/>
          <w:lang w:val="en-US" w:eastAsia="zh-CN" w:bidi="ar"/>
        </w:rPr>
        <w:t>35000</w:t>
      </w:r>
      <w:r>
        <w:rPr>
          <w:rFonts w:hint="eastAsia"/>
          <w:color w:val="auto"/>
          <w:kern w:val="21"/>
          <w:lang w:bidi="ar"/>
        </w:rPr>
        <w:t>，</w:t>
      </w:r>
      <w:r>
        <w:rPr>
          <w:color w:val="auto"/>
          <w:kern w:val="21"/>
          <w:lang w:bidi="ar"/>
        </w:rPr>
        <w:t>废水处理</w:t>
      </w:r>
      <w:r>
        <w:rPr>
          <w:rFonts w:hint="eastAsia"/>
          <w:color w:val="auto"/>
          <w:kern w:val="21"/>
          <w:lang w:eastAsia="zh-CN" w:bidi="ar"/>
        </w:rPr>
        <w:t>达标</w:t>
      </w:r>
      <w:r>
        <w:rPr>
          <w:color w:val="auto"/>
          <w:kern w:val="21"/>
          <w:lang w:bidi="ar"/>
        </w:rPr>
        <w:t>后排入青龙河，排放方式为直接排放，故项目地表水环境评价确定为二级。</w:t>
      </w:r>
    </w:p>
    <w:p>
      <w:pPr>
        <w:ind w:firstLine="474"/>
        <w:rPr>
          <w:b/>
          <w:color w:val="auto"/>
          <w:kern w:val="21"/>
        </w:rPr>
      </w:pPr>
      <w:r>
        <w:rPr>
          <w:b/>
          <w:color w:val="auto"/>
          <w:kern w:val="21"/>
        </w:rPr>
        <w:t>3、地下水环境评价等级</w:t>
      </w:r>
    </w:p>
    <w:p>
      <w:pPr>
        <w:widowControl/>
        <w:ind w:firstLine="472"/>
        <w:jc w:val="left"/>
        <w:rPr>
          <w:color w:val="auto"/>
          <w:kern w:val="21"/>
          <w:lang w:bidi="ar"/>
        </w:rPr>
      </w:pPr>
      <w:r>
        <w:rPr>
          <w:color w:val="auto"/>
          <w:kern w:val="21"/>
          <w:lang w:bidi="ar"/>
        </w:rPr>
        <w:t>根据《环境影响评价技术导则地下水环境》（</w:t>
      </w:r>
      <w:r>
        <w:rPr>
          <w:rFonts w:eastAsia="TimesNewRomanPSMT"/>
          <w:color w:val="auto"/>
          <w:kern w:val="21"/>
          <w:lang w:bidi="ar"/>
        </w:rPr>
        <w:t>HJ610-2016</w:t>
      </w:r>
      <w:r>
        <w:rPr>
          <w:color w:val="auto"/>
          <w:kern w:val="21"/>
          <w:lang w:bidi="ar"/>
        </w:rPr>
        <w:t>），建设项目的地下水环境敏感程度可分为敏感、较敏感、不敏感三级，分级原则见</w:t>
      </w:r>
      <w:r>
        <w:rPr>
          <w:rFonts w:hint="eastAsia"/>
          <w:color w:val="auto"/>
          <w:kern w:val="21"/>
          <w:lang w:eastAsia="zh-CN" w:bidi="ar"/>
        </w:rPr>
        <w:t>下表</w:t>
      </w:r>
      <w:r>
        <w:rPr>
          <w:color w:val="auto"/>
          <w:kern w:val="21"/>
          <w:lang w:bidi="ar"/>
        </w:rPr>
        <w:t>。</w:t>
      </w:r>
    </w:p>
    <w:p>
      <w:pPr>
        <w:pStyle w:val="2"/>
      </w:pP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bCs/>
          <w:color w:val="auto"/>
          <w:kern w:val="21"/>
        </w:rPr>
      </w:pPr>
      <w:r>
        <w:rPr>
          <w:rFonts w:hint="eastAsia" w:ascii="Times New Roman" w:hAnsi="Times New Roman" w:cs="Times New Roman"/>
          <w:b/>
          <w:bCs/>
          <w:color w:val="auto"/>
          <w:kern w:val="21"/>
          <w:lang w:eastAsia="zh-CN"/>
        </w:rPr>
        <w:t>地下水环境敏感程度分级表</w:t>
      </w:r>
    </w:p>
    <w:tbl>
      <w:tblPr>
        <w:tblStyle w:val="51"/>
        <w:tblW w:w="87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6"/>
        <w:gridCol w:w="74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敏感程度</w:t>
            </w:r>
          </w:p>
        </w:tc>
        <w:tc>
          <w:tcPr>
            <w:tcW w:w="747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地下水环境敏感特征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敏感</w:t>
            </w:r>
          </w:p>
        </w:tc>
        <w:tc>
          <w:tcPr>
            <w:tcW w:w="747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color w:val="auto"/>
                <w:kern w:val="21"/>
                <w:sz w:val="21"/>
                <w:szCs w:val="21"/>
              </w:rPr>
            </w:pPr>
            <w:r>
              <w:rPr>
                <w:color w:val="auto"/>
                <w:kern w:val="21"/>
                <w:sz w:val="21"/>
                <w:szCs w:val="21"/>
                <w:lang w:bidi="ar"/>
              </w:rPr>
              <w:t>集中式饮用水水源（包括已建成的在用、备用、应急水源，在建和规划的饮用水水源）准保护区；除集中饮用水水源以外的国家或地方政府设定的与地下水环境相关的其他保护区，如热水、矿泉水、温泉等特殊地下水资源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较敏感</w:t>
            </w:r>
          </w:p>
        </w:tc>
        <w:tc>
          <w:tcPr>
            <w:tcW w:w="747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color w:val="auto"/>
                <w:kern w:val="21"/>
                <w:sz w:val="21"/>
                <w:szCs w:val="21"/>
              </w:rPr>
            </w:pPr>
            <w:r>
              <w:rPr>
                <w:color w:val="auto"/>
                <w:kern w:val="21"/>
                <w:sz w:val="21"/>
                <w:szCs w:val="21"/>
                <w:lang w:bidi="ar"/>
              </w:rPr>
              <w:t>集中式饮用水水源（包括已建成的在用、备用、应急水源，在建和规划的饮用水水源）准保护区以外的补给径流区；未划定准保护区的集中水式饮用水水源，其保护区以外的补给径流区；分散式饮用水水源地；特殊地下水资源（矿泉水、温泉等）保护区以外的分布区等其他未列入上述敏感分级的环境敏感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不敏感</w:t>
            </w:r>
          </w:p>
        </w:tc>
        <w:tc>
          <w:tcPr>
            <w:tcW w:w="747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上述地区之外的其他地区。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color w:val="auto"/>
                <w:kern w:val="21"/>
                <w:sz w:val="21"/>
                <w:szCs w:val="21"/>
              </w:rPr>
            </w:pPr>
            <w:r>
              <w:rPr>
                <w:color w:val="auto"/>
                <w:kern w:val="21"/>
                <w:sz w:val="21"/>
                <w:szCs w:val="21"/>
                <w:lang w:bidi="ar"/>
              </w:rPr>
              <w:t>注：</w:t>
            </w:r>
            <w:r>
              <w:rPr>
                <w:rFonts w:eastAsia="TimesNewRomanPSMT"/>
                <w:color w:val="auto"/>
                <w:kern w:val="21"/>
                <w:sz w:val="21"/>
                <w:szCs w:val="21"/>
                <w:lang w:bidi="ar"/>
              </w:rPr>
              <w:t>a</w:t>
            </w:r>
            <w:r>
              <w:rPr>
                <w:color w:val="auto"/>
                <w:kern w:val="21"/>
                <w:sz w:val="21"/>
                <w:szCs w:val="21"/>
                <w:lang w:bidi="ar"/>
              </w:rPr>
              <w:t>“环境敏感区”是指《建设项目环境影响评价分类管理名录》中所界定的涉及地下水的环境敏感区。</w:t>
            </w:r>
          </w:p>
        </w:tc>
      </w:tr>
    </w:tbl>
    <w:p>
      <w:pPr>
        <w:ind w:firstLine="472"/>
        <w:rPr>
          <w:color w:val="auto"/>
          <w:kern w:val="21"/>
        </w:rPr>
      </w:pPr>
      <w:r>
        <w:rPr>
          <w:color w:val="auto"/>
          <w:kern w:val="21"/>
        </w:rPr>
        <w:t>建设项目地下水环境影响评价工作等级划分见</w:t>
      </w:r>
      <w:r>
        <w:rPr>
          <w:rFonts w:hint="eastAsia"/>
          <w:color w:val="auto"/>
          <w:kern w:val="21"/>
          <w:lang w:eastAsia="zh-CN"/>
        </w:rPr>
        <w:t>下表</w:t>
      </w:r>
      <w:r>
        <w:rPr>
          <w:color w:val="auto"/>
          <w:kern w:val="21"/>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bCs/>
          <w:color w:val="auto"/>
          <w:kern w:val="21"/>
        </w:rPr>
      </w:pPr>
      <w:r>
        <w:rPr>
          <w:b/>
          <w:bCs/>
          <w:color w:val="auto"/>
          <w:kern w:val="21"/>
        </w:rPr>
        <w:t>评价工作等级分级表</w:t>
      </w:r>
    </w:p>
    <w:tbl>
      <w:tblPr>
        <w:tblStyle w:val="51"/>
        <w:tblW w:w="87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568"/>
        <w:gridCol w:w="2046"/>
        <w:gridCol w:w="2322"/>
        <w:gridCol w:w="178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25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项目类别环境敏感程度</w:t>
            </w:r>
          </w:p>
        </w:tc>
        <w:tc>
          <w:tcPr>
            <w:tcW w:w="20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Ⅰ类项目</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Ⅱ类项目</w:t>
            </w:r>
          </w:p>
        </w:tc>
        <w:tc>
          <w:tcPr>
            <w:tcW w:w="178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Ⅲ类项目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5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敏感</w:t>
            </w:r>
          </w:p>
        </w:tc>
        <w:tc>
          <w:tcPr>
            <w:tcW w:w="20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一</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一</w:t>
            </w:r>
          </w:p>
        </w:tc>
        <w:tc>
          <w:tcPr>
            <w:tcW w:w="178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5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较敏感</w:t>
            </w:r>
          </w:p>
        </w:tc>
        <w:tc>
          <w:tcPr>
            <w:tcW w:w="20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一</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二</w:t>
            </w:r>
          </w:p>
        </w:tc>
        <w:tc>
          <w:tcPr>
            <w:tcW w:w="178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5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不敏感</w:t>
            </w:r>
          </w:p>
        </w:tc>
        <w:tc>
          <w:tcPr>
            <w:tcW w:w="20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二</w:t>
            </w:r>
          </w:p>
        </w:tc>
        <w:tc>
          <w:tcPr>
            <w:tcW w:w="232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三</w:t>
            </w:r>
          </w:p>
        </w:tc>
        <w:tc>
          <w:tcPr>
            <w:tcW w:w="178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三</w:t>
            </w:r>
          </w:p>
        </w:tc>
      </w:tr>
    </w:tbl>
    <w:p>
      <w:pPr>
        <w:ind w:firstLine="472"/>
        <w:rPr>
          <w:color w:val="auto"/>
          <w:kern w:val="21"/>
        </w:rPr>
      </w:pPr>
      <w:r>
        <w:rPr>
          <w:color w:val="auto"/>
          <w:kern w:val="21"/>
          <w:lang w:bidi="ar"/>
        </w:rPr>
        <w:t>本项目为工业园区污水处理厂工程，根据《环境影响评价技术导则地下水环境》（</w:t>
      </w:r>
      <w:r>
        <w:rPr>
          <w:rFonts w:eastAsia="TimesNewRomanPSMT"/>
          <w:color w:val="auto"/>
          <w:kern w:val="21"/>
          <w:lang w:bidi="ar"/>
        </w:rPr>
        <w:t>HJ610-2016</w:t>
      </w:r>
      <w:r>
        <w:rPr>
          <w:color w:val="auto"/>
          <w:kern w:val="21"/>
          <w:lang w:bidi="ar"/>
        </w:rPr>
        <w:t>）附录</w:t>
      </w:r>
      <w:r>
        <w:rPr>
          <w:rFonts w:eastAsia="TimesNewRomanPSMT"/>
          <w:color w:val="auto"/>
          <w:kern w:val="21"/>
          <w:lang w:bidi="ar"/>
        </w:rPr>
        <w:t>A</w:t>
      </w:r>
      <w:r>
        <w:rPr>
          <w:color w:val="auto"/>
          <w:kern w:val="21"/>
          <w:lang w:bidi="ar"/>
        </w:rPr>
        <w:t>，项目为Ⅰ类项目，且不涉及表2</w:t>
      </w:r>
      <w:r>
        <w:rPr>
          <w:rFonts w:hint="eastAsia"/>
          <w:color w:val="auto"/>
          <w:kern w:val="21"/>
          <w:lang w:val="en-US" w:eastAsia="zh-CN" w:bidi="ar"/>
        </w:rPr>
        <w:t>-9</w:t>
      </w:r>
      <w:r>
        <w:rPr>
          <w:color w:val="auto"/>
          <w:kern w:val="21"/>
        </w:rPr>
        <w:t>中的地下水环境敏感区，项目位于地下水环境不敏感区。</w:t>
      </w:r>
    </w:p>
    <w:p>
      <w:pPr>
        <w:widowControl/>
        <w:ind w:firstLine="472"/>
        <w:jc w:val="left"/>
        <w:rPr>
          <w:color w:val="auto"/>
          <w:kern w:val="21"/>
        </w:rPr>
      </w:pPr>
      <w:r>
        <w:rPr>
          <w:color w:val="auto"/>
          <w:kern w:val="21"/>
          <w:lang w:bidi="ar"/>
        </w:rPr>
        <w:t>根据</w:t>
      </w:r>
      <w:r>
        <w:rPr>
          <w:color w:val="auto"/>
          <w:kern w:val="21"/>
        </w:rPr>
        <w:t>《环境影响评价技术导则地下水环境》（HJ610-2016）评价工作等级分级表</w:t>
      </w:r>
      <w:r>
        <w:rPr>
          <w:color w:val="auto"/>
          <w:kern w:val="21"/>
          <w:lang w:bidi="ar"/>
        </w:rPr>
        <w:t>，项目地下水环境评价等级确定为二级。</w:t>
      </w:r>
    </w:p>
    <w:p>
      <w:pPr>
        <w:ind w:firstLine="474"/>
        <w:rPr>
          <w:color w:val="auto"/>
          <w:kern w:val="21"/>
        </w:rPr>
      </w:pPr>
      <w:r>
        <w:rPr>
          <w:rFonts w:hint="eastAsia"/>
          <w:b/>
          <w:color w:val="auto"/>
          <w:kern w:val="21"/>
        </w:rPr>
        <w:t>4</w:t>
      </w:r>
      <w:r>
        <w:rPr>
          <w:b/>
          <w:color w:val="auto"/>
          <w:kern w:val="21"/>
        </w:rPr>
        <w:t>、声环境评价等级</w:t>
      </w:r>
    </w:p>
    <w:p>
      <w:pPr>
        <w:adjustRightInd w:val="0"/>
        <w:snapToGrid w:val="0"/>
        <w:ind w:firstLine="472"/>
        <w:rPr>
          <w:color w:val="auto"/>
        </w:rPr>
      </w:pPr>
      <w:r>
        <w:rPr>
          <w:color w:val="auto"/>
        </w:rPr>
        <w:t>根据《环境影响评价技术导则</w:t>
      </w:r>
      <w:r>
        <w:rPr>
          <w:rFonts w:hint="eastAsia"/>
          <w:color w:val="auto"/>
          <w:lang w:val="en-US" w:eastAsia="zh-CN"/>
        </w:rPr>
        <w:t xml:space="preserve"> </w:t>
      </w:r>
      <w:r>
        <w:rPr>
          <w:color w:val="auto"/>
        </w:rPr>
        <w:t>声环境》（HJ2.4-2021）的规定，声环境评价工作等级按声环境功能区级别、声环境特征和影响程度大小确定。</w:t>
      </w:r>
    </w:p>
    <w:p>
      <w:pPr>
        <w:adjustRightInd w:val="0"/>
        <w:snapToGrid w:val="0"/>
        <w:ind w:firstLine="472"/>
        <w:rPr>
          <w:color w:val="auto"/>
        </w:rPr>
      </w:pPr>
      <w:r>
        <w:rPr>
          <w:color w:val="auto"/>
        </w:rPr>
        <w:t>拟建项目适用《声环境质量标准》（GB 3096-2008）规定的3类</w:t>
      </w:r>
      <w:r>
        <w:rPr>
          <w:rFonts w:hint="eastAsia"/>
          <w:color w:val="auto"/>
        </w:rPr>
        <w:t>和4a类（紧邻东升路一侧2</w:t>
      </w:r>
      <w:r>
        <w:rPr>
          <w:rFonts w:hint="eastAsia"/>
          <w:color w:val="auto"/>
          <w:lang w:val="en-US" w:eastAsia="zh-CN"/>
        </w:rPr>
        <w:t>5</w:t>
      </w:r>
      <w:r>
        <w:rPr>
          <w:rFonts w:hint="eastAsia"/>
          <w:color w:val="auto"/>
        </w:rPr>
        <w:t>m范围内）</w:t>
      </w:r>
      <w:r>
        <w:rPr>
          <w:color w:val="auto"/>
        </w:rPr>
        <w:t>标准，根据《环境影响评价技术导则</w:t>
      </w:r>
      <w:r>
        <w:rPr>
          <w:rFonts w:hint="eastAsia"/>
          <w:color w:val="auto"/>
          <w:lang w:val="en-US" w:eastAsia="zh-CN"/>
        </w:rPr>
        <w:t xml:space="preserve"> </w:t>
      </w:r>
      <w:r>
        <w:rPr>
          <w:color w:val="auto"/>
        </w:rPr>
        <w:t>声环境》（</w:t>
      </w:r>
      <w:r>
        <w:rPr>
          <w:rFonts w:hint="eastAsia"/>
          <w:color w:val="auto"/>
          <w:lang w:eastAsia="zh-CN"/>
        </w:rPr>
        <w:t>HJ2.4-2021</w:t>
      </w:r>
      <w:r>
        <w:rPr>
          <w:color w:val="auto"/>
        </w:rPr>
        <w:t>）的规定，确定声环境影响评价工作等级为三级，详见</w:t>
      </w:r>
      <w:r>
        <w:rPr>
          <w:rFonts w:hint="eastAsia"/>
          <w:color w:val="auto"/>
          <w:lang w:eastAsia="zh-CN"/>
        </w:rPr>
        <w:t>下表</w:t>
      </w:r>
      <w:r>
        <w:rPr>
          <w:color w:val="auto"/>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ascii="Times New Roman" w:hAnsi="Times New Roman" w:cs="Times New Roman"/>
          <w:b/>
          <w:bCs/>
          <w:color w:val="auto"/>
        </w:rPr>
      </w:pPr>
      <w:r>
        <w:rPr>
          <w:rFonts w:ascii="Times New Roman" w:hAnsi="Times New Roman" w:cs="Times New Roman"/>
          <w:b/>
          <w:bCs/>
          <w:color w:val="auto"/>
        </w:rPr>
        <w:t>声环境评价工作</w:t>
      </w:r>
      <w:r>
        <w:rPr>
          <w:b/>
          <w:bCs/>
          <w:color w:val="auto"/>
          <w:kern w:val="21"/>
        </w:rPr>
        <w:t>等级</w:t>
      </w:r>
      <w:r>
        <w:rPr>
          <w:rFonts w:ascii="Times New Roman" w:hAnsi="Times New Roman" w:cs="Times New Roman"/>
          <w:b/>
          <w:bCs/>
          <w:color w:val="auto"/>
        </w:rPr>
        <w:t>判定表</w:t>
      </w:r>
    </w:p>
    <w:tbl>
      <w:tblPr>
        <w:tblStyle w:val="51"/>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7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74" w:type="dxa"/>
            <w:vAlign w:val="center"/>
          </w:tcPr>
          <w:p>
            <w:pPr>
              <w:pStyle w:val="199"/>
              <w:rPr>
                <w:color w:val="auto"/>
              </w:rPr>
            </w:pPr>
            <w:r>
              <w:rPr>
                <w:color w:val="auto"/>
              </w:rPr>
              <w:t>评价工作等级</w:t>
            </w:r>
          </w:p>
        </w:tc>
        <w:tc>
          <w:tcPr>
            <w:tcW w:w="7341" w:type="dxa"/>
            <w:vAlign w:val="center"/>
          </w:tcPr>
          <w:p>
            <w:pPr>
              <w:pStyle w:val="199"/>
              <w:rPr>
                <w:color w:val="auto"/>
              </w:rPr>
            </w:pPr>
            <w:r>
              <w:rPr>
                <w:color w:val="auto"/>
              </w:rPr>
              <w:t>划分判据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74" w:type="dxa"/>
            <w:vAlign w:val="center"/>
          </w:tcPr>
          <w:p>
            <w:pPr>
              <w:pStyle w:val="199"/>
              <w:rPr>
                <w:color w:val="auto"/>
              </w:rPr>
            </w:pPr>
            <w:r>
              <w:rPr>
                <w:color w:val="auto"/>
              </w:rPr>
              <w:t>一级评价</w:t>
            </w:r>
          </w:p>
        </w:tc>
        <w:tc>
          <w:tcPr>
            <w:tcW w:w="7341" w:type="dxa"/>
            <w:vAlign w:val="center"/>
          </w:tcPr>
          <w:p>
            <w:pPr>
              <w:pStyle w:val="199"/>
              <w:jc w:val="left"/>
              <w:rPr>
                <w:color w:val="auto"/>
              </w:rPr>
            </w:pPr>
            <w:r>
              <w:rPr>
                <w:color w:val="auto"/>
              </w:rPr>
              <w:t>评价范围内有适用于GB3096-2008规定的0类声环境功能区域，以及对噪声有特别限制要求的保护区等敏感目标，或建设项目建设前后评价范围内敏感目标噪声级增高量达5dB(A)以上（不含5dB(A)），或受影响人口数量显著增多的评价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74" w:type="dxa"/>
            <w:vAlign w:val="center"/>
          </w:tcPr>
          <w:p>
            <w:pPr>
              <w:pStyle w:val="199"/>
              <w:rPr>
                <w:color w:val="auto"/>
              </w:rPr>
            </w:pPr>
            <w:r>
              <w:rPr>
                <w:color w:val="auto"/>
              </w:rPr>
              <w:t>二级评价</w:t>
            </w:r>
          </w:p>
        </w:tc>
        <w:tc>
          <w:tcPr>
            <w:tcW w:w="7341" w:type="dxa"/>
            <w:vAlign w:val="center"/>
          </w:tcPr>
          <w:p>
            <w:pPr>
              <w:pStyle w:val="199"/>
              <w:jc w:val="left"/>
              <w:rPr>
                <w:color w:val="auto"/>
              </w:rPr>
            </w:pPr>
            <w:r>
              <w:rPr>
                <w:color w:val="auto"/>
              </w:rPr>
              <w:t>建设项目所处的声环境功能区为GB3096-2008规定的1类、2类地区，或建设项目建设前后评价范围内敏感目标噪声级增高量达3dB(A)～5dB(A)（含5dB(A)），或受噪声影响人口数量增加较多的评价区域。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74" w:type="dxa"/>
            <w:vAlign w:val="center"/>
          </w:tcPr>
          <w:p>
            <w:pPr>
              <w:pStyle w:val="199"/>
              <w:rPr>
                <w:color w:val="auto"/>
              </w:rPr>
            </w:pPr>
            <w:r>
              <w:rPr>
                <w:color w:val="auto"/>
              </w:rPr>
              <w:t>三级评价</w:t>
            </w:r>
          </w:p>
        </w:tc>
        <w:tc>
          <w:tcPr>
            <w:tcW w:w="7341" w:type="dxa"/>
            <w:vAlign w:val="center"/>
          </w:tcPr>
          <w:p>
            <w:pPr>
              <w:pStyle w:val="199"/>
              <w:jc w:val="left"/>
              <w:rPr>
                <w:color w:val="auto"/>
              </w:rPr>
            </w:pPr>
            <w:r>
              <w:rPr>
                <w:color w:val="auto"/>
              </w:rPr>
              <w:t>建设项目所处的声环境功能区为GB3096-2008规定的3类、4类地区，或建设项目建设前后评价范围内敏感目标噪声级增高量在3dB(A)以下（不含3dB(A)），且受影响人口数量变化不大的评价区域。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74" w:type="dxa"/>
            <w:vAlign w:val="center"/>
          </w:tcPr>
          <w:p>
            <w:pPr>
              <w:pStyle w:val="199"/>
              <w:rPr>
                <w:color w:val="auto"/>
              </w:rPr>
            </w:pPr>
            <w:r>
              <w:rPr>
                <w:color w:val="auto"/>
              </w:rPr>
              <w:t>本项目</w:t>
            </w:r>
          </w:p>
        </w:tc>
        <w:tc>
          <w:tcPr>
            <w:tcW w:w="7341" w:type="dxa"/>
            <w:vAlign w:val="center"/>
          </w:tcPr>
          <w:p>
            <w:pPr>
              <w:pStyle w:val="199"/>
              <w:rPr>
                <w:color w:val="auto"/>
              </w:rPr>
            </w:pPr>
            <w:r>
              <w:rPr>
                <w:color w:val="auto"/>
              </w:rPr>
              <w:t>三级</w:t>
            </w:r>
          </w:p>
        </w:tc>
      </w:tr>
    </w:tbl>
    <w:p>
      <w:pPr>
        <w:keepNext w:val="0"/>
        <w:keepLines w:val="0"/>
        <w:pageBreakBefore w:val="0"/>
        <w:widowControl w:val="0"/>
        <w:kinsoku/>
        <w:wordWrap/>
        <w:overflowPunct/>
        <w:topLinePunct w:val="0"/>
        <w:autoSpaceDE/>
        <w:autoSpaceDN/>
        <w:bidi w:val="0"/>
        <w:adjustRightInd/>
        <w:snapToGrid/>
        <w:spacing w:before="0" w:beforeLines="50"/>
        <w:ind w:firstLine="474"/>
        <w:textAlignment w:val="auto"/>
        <w:rPr>
          <w:color w:val="auto"/>
          <w:kern w:val="21"/>
        </w:rPr>
      </w:pPr>
      <w:r>
        <w:rPr>
          <w:rFonts w:hint="eastAsia"/>
          <w:b/>
          <w:color w:val="auto"/>
          <w:kern w:val="21"/>
        </w:rPr>
        <w:t>5</w:t>
      </w:r>
      <w:r>
        <w:rPr>
          <w:b/>
          <w:color w:val="auto"/>
          <w:kern w:val="21"/>
        </w:rPr>
        <w:t>、生态环境评价等级</w:t>
      </w:r>
    </w:p>
    <w:p>
      <w:pPr>
        <w:ind w:firstLine="472"/>
        <w:rPr>
          <w:rFonts w:hint="eastAsia" w:eastAsia="宋体"/>
          <w:color w:val="auto"/>
          <w:kern w:val="21"/>
          <w:lang w:eastAsia="zh-CN"/>
        </w:rPr>
      </w:pPr>
      <w:r>
        <w:rPr>
          <w:color w:val="auto"/>
          <w:kern w:val="21"/>
        </w:rPr>
        <w:t>根据《环境影响评价技术导则生态影响》（HJ19-2022）中</w:t>
      </w:r>
      <w:r>
        <w:rPr>
          <w:rFonts w:hint="eastAsia"/>
          <w:color w:val="auto"/>
          <w:kern w:val="21"/>
          <w:lang w:val="en-US" w:eastAsia="zh-CN"/>
        </w:rPr>
        <w:t>6.1.8的要求：“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pPr>
        <w:ind w:firstLine="472"/>
        <w:rPr>
          <w:rFonts w:hint="eastAsia" w:eastAsia="宋体"/>
          <w:color w:val="auto"/>
          <w:kern w:val="21"/>
          <w:lang w:eastAsia="zh-CN"/>
        </w:rPr>
      </w:pPr>
      <w:r>
        <w:rPr>
          <w:rFonts w:hint="eastAsia"/>
          <w:color w:val="auto"/>
          <w:kern w:val="21"/>
          <w:lang w:eastAsia="zh-CN"/>
        </w:rPr>
        <w:t>本项目为污染影响类建设项目，位于已批准规划环评的工业园区，不涉及生态敏感区，无需确定生态影响评价等级，仅进行生态影响简单分析。</w:t>
      </w:r>
    </w:p>
    <w:p>
      <w:pPr>
        <w:pStyle w:val="23"/>
        <w:numPr>
          <w:ilvl w:val="0"/>
          <w:numId w:val="3"/>
        </w:numPr>
        <w:spacing w:after="0" w:line="360" w:lineRule="auto"/>
        <w:ind w:left="0" w:leftChars="0" w:firstLine="474"/>
        <w:rPr>
          <w:b/>
          <w:bCs/>
          <w:color w:val="auto"/>
          <w:kern w:val="21"/>
        </w:rPr>
      </w:pPr>
      <w:r>
        <w:rPr>
          <w:b/>
          <w:bCs/>
          <w:color w:val="auto"/>
          <w:kern w:val="21"/>
          <w:lang w:bidi="ar"/>
        </w:rPr>
        <w:t>土壤环境</w:t>
      </w:r>
      <w:r>
        <w:rPr>
          <w:b/>
          <w:bCs/>
          <w:color w:val="auto"/>
          <w:kern w:val="21"/>
        </w:rPr>
        <w:t>评价等级</w:t>
      </w:r>
    </w:p>
    <w:p>
      <w:pPr>
        <w:widowControl/>
        <w:adjustRightInd w:val="0"/>
        <w:snapToGrid w:val="0"/>
        <w:ind w:firstLine="472"/>
        <w:jc w:val="left"/>
        <w:rPr>
          <w:color w:val="auto"/>
          <w:kern w:val="21"/>
          <w:lang w:bidi="ar"/>
        </w:rPr>
      </w:pPr>
      <w:r>
        <w:rPr>
          <w:color w:val="auto"/>
          <w:kern w:val="21"/>
          <w:lang w:bidi="ar"/>
        </w:rPr>
        <w:t>本项目为工业园区污水处理厂工程，运营期会产生噪声、废气、废水、固体废物，因此属于污染影响型。</w:t>
      </w:r>
    </w:p>
    <w:p>
      <w:pPr>
        <w:widowControl/>
        <w:adjustRightInd w:val="0"/>
        <w:snapToGrid w:val="0"/>
        <w:ind w:firstLine="472"/>
        <w:jc w:val="left"/>
        <w:rPr>
          <w:color w:val="auto"/>
          <w:kern w:val="21"/>
        </w:rPr>
      </w:pPr>
      <w:r>
        <w:rPr>
          <w:color w:val="auto"/>
          <w:kern w:val="21"/>
          <w:lang w:bidi="ar"/>
        </w:rPr>
        <w:t>根据《环境影响评价技术导则土壤环境（试行）》（HJ964-2018），将污染影响型建设项目占地规模分为大型（≥50hm</w:t>
      </w:r>
      <w:r>
        <w:rPr>
          <w:color w:val="auto"/>
          <w:kern w:val="21"/>
          <w:vertAlign w:val="superscript"/>
          <w:lang w:bidi="ar"/>
        </w:rPr>
        <w:t>2</w:t>
      </w:r>
      <w:r>
        <w:rPr>
          <w:color w:val="auto"/>
          <w:kern w:val="21"/>
          <w:lang w:bidi="ar"/>
        </w:rPr>
        <w:t>）、中型（5～50hm</w:t>
      </w:r>
      <w:r>
        <w:rPr>
          <w:color w:val="auto"/>
          <w:kern w:val="21"/>
          <w:vertAlign w:val="superscript"/>
          <w:lang w:bidi="ar"/>
        </w:rPr>
        <w:t>2</w:t>
      </w:r>
      <w:r>
        <w:rPr>
          <w:color w:val="auto"/>
          <w:kern w:val="21"/>
          <w:lang w:bidi="ar"/>
        </w:rPr>
        <w:t>）、小型（≤5hm</w:t>
      </w:r>
      <w:r>
        <w:rPr>
          <w:color w:val="auto"/>
          <w:kern w:val="21"/>
          <w:vertAlign w:val="superscript"/>
          <w:lang w:bidi="ar"/>
        </w:rPr>
        <w:t>2</w:t>
      </w:r>
      <w:r>
        <w:rPr>
          <w:color w:val="auto"/>
          <w:kern w:val="21"/>
          <w:lang w:bidi="ar"/>
        </w:rPr>
        <w:t>），建设项目占地均为永久占地。</w:t>
      </w:r>
    </w:p>
    <w:p>
      <w:pPr>
        <w:widowControl/>
        <w:ind w:firstLine="472"/>
        <w:jc w:val="left"/>
        <w:rPr>
          <w:color w:val="auto"/>
          <w:kern w:val="21"/>
        </w:rPr>
      </w:pPr>
      <w:r>
        <w:rPr>
          <w:color w:val="auto"/>
          <w:kern w:val="21"/>
          <w:lang w:bidi="ar"/>
        </w:rPr>
        <w:t>建设项目所在地周边的土壤环境敏感程度分为敏感、较敏感、不敏感，判别依据见</w:t>
      </w:r>
      <w:r>
        <w:rPr>
          <w:rFonts w:hint="eastAsia"/>
          <w:color w:val="auto"/>
          <w:kern w:val="21"/>
          <w:lang w:eastAsia="zh-CN" w:bidi="ar"/>
        </w:rPr>
        <w:t>下表</w:t>
      </w:r>
      <w:r>
        <w:rPr>
          <w:color w:val="auto"/>
          <w:kern w:val="21"/>
          <w:lang w:bidi="ar"/>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bCs/>
          <w:color w:val="auto"/>
          <w:kern w:val="21"/>
        </w:rPr>
      </w:pPr>
      <w:r>
        <w:rPr>
          <w:b/>
          <w:bCs/>
          <w:color w:val="auto"/>
          <w:kern w:val="21"/>
        </w:rPr>
        <w:t>污染影响型敏感程度分级表</w:t>
      </w:r>
    </w:p>
    <w:tbl>
      <w:tblPr>
        <w:tblStyle w:val="51"/>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36" w:type="dxa"/>
          </w:tcPr>
          <w:p>
            <w:pPr>
              <w:pStyle w:val="23"/>
              <w:spacing w:after="0" w:line="240" w:lineRule="auto"/>
              <w:ind w:left="0" w:leftChars="0" w:firstLine="0" w:firstLineChars="0"/>
              <w:jc w:val="center"/>
              <w:rPr>
                <w:color w:val="auto"/>
                <w:kern w:val="21"/>
                <w:sz w:val="21"/>
                <w:szCs w:val="21"/>
              </w:rPr>
            </w:pPr>
            <w:r>
              <w:rPr>
                <w:color w:val="auto"/>
                <w:kern w:val="21"/>
                <w:sz w:val="21"/>
                <w:szCs w:val="21"/>
              </w:rPr>
              <w:t>敏感程度</w:t>
            </w:r>
          </w:p>
        </w:tc>
        <w:tc>
          <w:tcPr>
            <w:tcW w:w="7258" w:type="dxa"/>
          </w:tcPr>
          <w:p>
            <w:pPr>
              <w:pStyle w:val="23"/>
              <w:spacing w:after="0" w:line="240" w:lineRule="auto"/>
              <w:ind w:left="0" w:leftChars="0" w:firstLine="0" w:firstLineChars="0"/>
              <w:jc w:val="center"/>
              <w:rPr>
                <w:color w:val="auto"/>
                <w:kern w:val="21"/>
                <w:sz w:val="21"/>
                <w:szCs w:val="21"/>
              </w:rPr>
            </w:pPr>
            <w:r>
              <w:rPr>
                <w:color w:val="auto"/>
                <w:kern w:val="21"/>
                <w:sz w:val="21"/>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敏感</w:t>
            </w:r>
          </w:p>
        </w:tc>
        <w:tc>
          <w:tcPr>
            <w:tcW w:w="7258" w:type="dxa"/>
          </w:tcPr>
          <w:p>
            <w:pPr>
              <w:pStyle w:val="23"/>
              <w:spacing w:after="0" w:line="240" w:lineRule="auto"/>
              <w:ind w:left="0" w:leftChars="0" w:firstLine="0" w:firstLineChars="0"/>
              <w:jc w:val="center"/>
              <w:rPr>
                <w:color w:val="auto"/>
                <w:kern w:val="21"/>
                <w:sz w:val="21"/>
                <w:szCs w:val="21"/>
              </w:rPr>
            </w:pPr>
            <w:r>
              <w:rPr>
                <w:color w:val="auto"/>
                <w:kern w:val="21"/>
                <w:sz w:val="21"/>
                <w:szCs w:val="21"/>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Pr>
          <w:p>
            <w:pPr>
              <w:pStyle w:val="23"/>
              <w:spacing w:after="0" w:line="240" w:lineRule="auto"/>
              <w:ind w:left="0" w:leftChars="0" w:firstLine="0" w:firstLineChars="0"/>
              <w:jc w:val="center"/>
              <w:rPr>
                <w:color w:val="auto"/>
                <w:kern w:val="21"/>
                <w:sz w:val="21"/>
                <w:szCs w:val="21"/>
              </w:rPr>
            </w:pPr>
            <w:r>
              <w:rPr>
                <w:color w:val="auto"/>
                <w:kern w:val="21"/>
                <w:sz w:val="21"/>
                <w:szCs w:val="21"/>
              </w:rPr>
              <w:t>较敏感</w:t>
            </w:r>
          </w:p>
        </w:tc>
        <w:tc>
          <w:tcPr>
            <w:tcW w:w="7258" w:type="dxa"/>
          </w:tcPr>
          <w:p>
            <w:pPr>
              <w:pStyle w:val="23"/>
              <w:spacing w:after="0" w:line="240" w:lineRule="auto"/>
              <w:ind w:left="0" w:leftChars="0" w:firstLine="0" w:firstLineChars="0"/>
              <w:jc w:val="center"/>
              <w:rPr>
                <w:color w:val="auto"/>
                <w:kern w:val="21"/>
                <w:sz w:val="21"/>
                <w:szCs w:val="21"/>
              </w:rPr>
            </w:pPr>
            <w:r>
              <w:rPr>
                <w:color w:val="auto"/>
                <w:kern w:val="21"/>
                <w:sz w:val="21"/>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Pr>
          <w:p>
            <w:pPr>
              <w:pStyle w:val="23"/>
              <w:spacing w:after="0" w:line="240" w:lineRule="auto"/>
              <w:ind w:left="0" w:leftChars="0" w:firstLine="0" w:firstLineChars="0"/>
              <w:jc w:val="center"/>
              <w:rPr>
                <w:color w:val="auto"/>
                <w:kern w:val="21"/>
                <w:sz w:val="21"/>
                <w:szCs w:val="21"/>
              </w:rPr>
            </w:pPr>
            <w:r>
              <w:rPr>
                <w:color w:val="auto"/>
                <w:kern w:val="21"/>
                <w:sz w:val="21"/>
                <w:szCs w:val="21"/>
              </w:rPr>
              <w:t>不敏感</w:t>
            </w:r>
          </w:p>
        </w:tc>
        <w:tc>
          <w:tcPr>
            <w:tcW w:w="7258" w:type="dxa"/>
          </w:tcPr>
          <w:p>
            <w:pPr>
              <w:pStyle w:val="23"/>
              <w:spacing w:after="0" w:line="240" w:lineRule="auto"/>
              <w:ind w:left="0" w:leftChars="0" w:firstLine="0" w:firstLineChars="0"/>
              <w:jc w:val="center"/>
              <w:rPr>
                <w:color w:val="auto"/>
                <w:kern w:val="21"/>
                <w:sz w:val="21"/>
                <w:szCs w:val="21"/>
              </w:rPr>
            </w:pPr>
            <w:r>
              <w:rPr>
                <w:color w:val="auto"/>
                <w:kern w:val="21"/>
                <w:sz w:val="21"/>
                <w:szCs w:val="21"/>
              </w:rPr>
              <w:t>其他情况</w:t>
            </w:r>
          </w:p>
        </w:tc>
      </w:tr>
    </w:tbl>
    <w:p>
      <w:pPr>
        <w:widowControl/>
        <w:ind w:firstLine="472"/>
        <w:rPr>
          <w:color w:val="auto"/>
        </w:rPr>
      </w:pPr>
      <w:r>
        <w:rPr>
          <w:color w:val="auto"/>
          <w:kern w:val="21"/>
          <w:lang w:bidi="ar"/>
        </w:rPr>
        <w:t>根据土壤环境影响评价类别、占地规模与敏感程度划分评价工作等级，详见</w:t>
      </w:r>
      <w:r>
        <w:rPr>
          <w:rFonts w:hint="eastAsia"/>
          <w:color w:val="auto"/>
          <w:kern w:val="21"/>
          <w:lang w:eastAsia="zh-CN" w:bidi="ar"/>
        </w:rPr>
        <w:t>下表</w:t>
      </w:r>
      <w:r>
        <w:rPr>
          <w:color w:val="auto"/>
          <w:kern w:val="21"/>
          <w:lang w:bidi="ar"/>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bCs/>
          <w:color w:val="auto"/>
          <w:kern w:val="21"/>
          <w:lang w:bidi="ar"/>
        </w:rPr>
      </w:pPr>
      <w:r>
        <w:rPr>
          <w:b/>
          <w:bCs/>
          <w:color w:val="auto"/>
          <w:kern w:val="21"/>
        </w:rPr>
        <w:t>污染</w:t>
      </w:r>
      <w:r>
        <w:rPr>
          <w:b/>
          <w:bCs/>
          <w:color w:val="auto"/>
          <w:kern w:val="21"/>
          <w:lang w:bidi="ar"/>
        </w:rPr>
        <w:t>影响型评价工作等级划分表</w:t>
      </w:r>
    </w:p>
    <w:p>
      <w:pPr>
        <w:keepNext w:val="0"/>
        <w:keepLines w:val="0"/>
        <w:pageBreakBefore w:val="0"/>
        <w:widowControl/>
        <w:kinsoku/>
        <w:wordWrap/>
        <w:overflowPunct/>
        <w:topLinePunct w:val="0"/>
        <w:autoSpaceDE/>
        <w:autoSpaceDN/>
        <w:bidi w:val="0"/>
        <w:adjustRightInd/>
        <w:snapToGrid/>
        <w:spacing w:before="0"/>
        <w:ind w:firstLine="0" w:firstLineChars="0"/>
        <w:jc w:val="left"/>
        <w:textAlignment w:val="auto"/>
        <w:rPr>
          <w:color w:val="auto"/>
          <w:kern w:val="0"/>
        </w:rPr>
      </w:pPr>
      <w:r>
        <w:rPr>
          <w:color w:val="auto"/>
          <w:kern w:val="0"/>
        </w:rPr>
        <w:drawing>
          <wp:inline distT="0" distB="0" distL="114300" distR="114300">
            <wp:extent cx="5248910" cy="1389380"/>
            <wp:effectExtent l="0" t="0" r="8890" b="1270"/>
            <wp:docPr id="43" name="图片 9" descr="MES){QT}IK)GTFRF2HF}A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MES){QT}IK)GTFRF2HF}AHK"/>
                    <pic:cNvPicPr>
                      <a:picLocks noChangeAspect="1"/>
                    </pic:cNvPicPr>
                  </pic:nvPicPr>
                  <pic:blipFill>
                    <a:blip r:embed="rId22"/>
                    <a:stretch>
                      <a:fillRect/>
                    </a:stretch>
                  </pic:blipFill>
                  <pic:spPr>
                    <a:xfrm>
                      <a:off x="0" y="0"/>
                      <a:ext cx="5248910" cy="13893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ind w:firstLine="480" w:firstLineChars="200"/>
        <w:jc w:val="left"/>
        <w:textAlignment w:val="auto"/>
        <w:rPr>
          <w:color w:val="auto"/>
          <w:kern w:val="21"/>
        </w:rPr>
      </w:pPr>
      <w:r>
        <w:rPr>
          <w:color w:val="auto"/>
          <w:kern w:val="21"/>
          <w:lang w:bidi="ar"/>
        </w:rPr>
        <w:t>项目近期占地规模为1.16429hm</w:t>
      </w:r>
      <w:r>
        <w:rPr>
          <w:color w:val="auto"/>
          <w:kern w:val="21"/>
          <w:sz w:val="21"/>
          <w:szCs w:val="21"/>
          <w:vertAlign w:val="superscript"/>
          <w:lang w:bidi="ar"/>
        </w:rPr>
        <w:t>2</w:t>
      </w:r>
      <w:r>
        <w:rPr>
          <w:color w:val="auto"/>
          <w:kern w:val="21"/>
          <w:lang w:bidi="ar"/>
        </w:rPr>
        <w:t>，属于小型。项目属于Ⅱ类，</w:t>
      </w:r>
      <w:r>
        <w:rPr>
          <w:rFonts w:hint="eastAsia"/>
          <w:color w:val="auto"/>
          <w:kern w:val="21"/>
          <w:lang w:bidi="ar"/>
        </w:rPr>
        <w:t>周边迤</w:t>
      </w:r>
      <w:r>
        <w:rPr>
          <w:color w:val="auto"/>
          <w:kern w:val="21"/>
          <w:lang w:bidi="ar"/>
        </w:rPr>
        <w:t>周</w:t>
      </w:r>
      <w:r>
        <w:rPr>
          <w:rFonts w:hint="eastAsia"/>
          <w:color w:val="auto"/>
          <w:kern w:val="21"/>
          <w:lang w:bidi="ar"/>
        </w:rPr>
        <w:t>、迤干、外干、王家小屯等村庄全部被征地拆迁，</w:t>
      </w:r>
      <w:r>
        <w:rPr>
          <w:color w:val="auto"/>
          <w:kern w:val="21"/>
          <w:lang w:bidi="ar"/>
        </w:rPr>
        <w:t>项目处于不敏感区，因此本项目土壤环境评价等级确定为三级。</w:t>
      </w:r>
    </w:p>
    <w:p>
      <w:pPr>
        <w:pStyle w:val="23"/>
        <w:spacing w:after="0" w:line="360" w:lineRule="auto"/>
        <w:ind w:left="0" w:leftChars="0" w:firstLine="474"/>
        <w:rPr>
          <w:b/>
          <w:bCs/>
          <w:color w:val="auto"/>
          <w:kern w:val="21"/>
        </w:rPr>
      </w:pPr>
      <w:r>
        <w:rPr>
          <w:b/>
          <w:bCs/>
          <w:color w:val="auto"/>
          <w:kern w:val="21"/>
        </w:rPr>
        <w:t>7、环境风险</w:t>
      </w:r>
    </w:p>
    <w:p>
      <w:pPr>
        <w:widowControl/>
        <w:kinsoku w:val="0"/>
        <w:autoSpaceDE w:val="0"/>
        <w:autoSpaceDN w:val="0"/>
        <w:ind w:firstLine="492"/>
        <w:textAlignment w:val="baseline"/>
        <w:rPr>
          <w:rFonts w:ascii="宋体" w:hAnsi="宋体" w:cs="宋体"/>
          <w:color w:val="auto"/>
          <w:kern w:val="21"/>
          <w:sz w:val="25"/>
          <w:szCs w:val="25"/>
        </w:rPr>
      </w:pPr>
      <w:r>
        <w:rPr>
          <w:rFonts w:ascii="宋体" w:hAnsi="宋体" w:cs="宋体"/>
          <w:color w:val="auto"/>
          <w:kern w:val="21"/>
          <w:sz w:val="25"/>
          <w:szCs w:val="25"/>
        </w:rPr>
        <w:t>根据《建设项目环境风险评价技术导则》</w:t>
      </w:r>
      <w:r>
        <w:rPr>
          <w:rFonts w:hint="eastAsia" w:ascii="宋体" w:hAnsi="宋体" w:cs="宋体"/>
          <w:color w:val="auto"/>
          <w:kern w:val="21"/>
          <w:sz w:val="25"/>
          <w:szCs w:val="25"/>
        </w:rPr>
        <w:t>（</w:t>
      </w:r>
      <w:r>
        <w:rPr>
          <w:rFonts w:eastAsia="Times New Roman"/>
          <w:color w:val="auto"/>
          <w:kern w:val="21"/>
          <w:sz w:val="25"/>
          <w:szCs w:val="25"/>
        </w:rPr>
        <w:t>HJ169-2018</w:t>
      </w:r>
      <w:r>
        <w:rPr>
          <w:rFonts w:hint="eastAsia" w:ascii="宋体" w:hAnsi="宋体" w:cs="宋体"/>
          <w:color w:val="auto"/>
          <w:kern w:val="21"/>
          <w:sz w:val="25"/>
          <w:szCs w:val="25"/>
        </w:rPr>
        <w:t>）</w:t>
      </w:r>
      <w:r>
        <w:rPr>
          <w:rFonts w:ascii="宋体" w:hAnsi="宋体" w:cs="宋体"/>
          <w:color w:val="auto"/>
          <w:kern w:val="21"/>
          <w:sz w:val="25"/>
          <w:szCs w:val="25"/>
        </w:rPr>
        <w:t>中环境风险评价工作等级判别方法，本项目环境风险评价工作等级判定具体见下表。</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ascii="宋体" w:hAnsi="宋体" w:cs="宋体"/>
          <w:b/>
          <w:bCs/>
          <w:color w:val="auto"/>
          <w:kern w:val="21"/>
          <w:sz w:val="25"/>
          <w:szCs w:val="25"/>
        </w:rPr>
      </w:pPr>
      <w:r>
        <w:rPr>
          <w:rFonts w:ascii="宋体" w:hAnsi="宋体" w:cs="宋体"/>
          <w:b/>
          <w:bCs/>
          <w:color w:val="auto"/>
          <w:kern w:val="21"/>
          <w:sz w:val="25"/>
          <w:szCs w:val="25"/>
        </w:rPr>
        <w:t>环境风险评价工作等级判别</w:t>
      </w:r>
    </w:p>
    <w:tbl>
      <w:tblPr>
        <w:tblStyle w:val="51"/>
        <w:tblW w:w="83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1"/>
        <w:gridCol w:w="1598"/>
        <w:gridCol w:w="1752"/>
        <w:gridCol w:w="1750"/>
        <w:gridCol w:w="15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3" w:hRule="atLeast"/>
          <w:jc w:val="center"/>
        </w:trPr>
        <w:tc>
          <w:tcPr>
            <w:tcW w:w="1741"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环境风险潜势</w:t>
            </w:r>
          </w:p>
        </w:tc>
        <w:tc>
          <w:tcPr>
            <w:tcW w:w="1598"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IV、IV+</w:t>
            </w:r>
          </w:p>
        </w:tc>
        <w:tc>
          <w:tcPr>
            <w:tcW w:w="175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75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w:t>
            </w:r>
          </w:p>
        </w:tc>
        <w:tc>
          <w:tcPr>
            <w:tcW w:w="153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1741"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评价工作等级</w:t>
            </w:r>
          </w:p>
        </w:tc>
        <w:tc>
          <w:tcPr>
            <w:tcW w:w="1598"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一</w:t>
            </w:r>
          </w:p>
        </w:tc>
        <w:tc>
          <w:tcPr>
            <w:tcW w:w="175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二</w:t>
            </w:r>
          </w:p>
        </w:tc>
        <w:tc>
          <w:tcPr>
            <w:tcW w:w="175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三</w:t>
            </w:r>
          </w:p>
        </w:tc>
        <w:tc>
          <w:tcPr>
            <w:tcW w:w="153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简单分析a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jc w:val="center"/>
        </w:trPr>
        <w:tc>
          <w:tcPr>
            <w:tcW w:w="8371" w:type="dxa"/>
            <w:gridSpan w:val="5"/>
            <w:vAlign w:val="center"/>
          </w:tcPr>
          <w:p>
            <w:pPr>
              <w:widowControl/>
              <w:kinsoku w:val="0"/>
              <w:autoSpaceDE w:val="0"/>
              <w:autoSpaceDN w:val="0"/>
              <w:adjustRightInd w:val="0"/>
              <w:snapToGrid w:val="0"/>
              <w:spacing w:line="240" w:lineRule="auto"/>
              <w:ind w:firstLine="0" w:firstLineChars="0"/>
              <w:textAlignment w:val="baseline"/>
              <w:rPr>
                <w:color w:val="auto"/>
                <w:kern w:val="21"/>
                <w:sz w:val="21"/>
                <w:szCs w:val="21"/>
              </w:rPr>
            </w:pPr>
            <w:r>
              <w:rPr>
                <w:color w:val="auto"/>
                <w:kern w:val="21"/>
                <w:sz w:val="21"/>
                <w:szCs w:val="21"/>
              </w:rPr>
              <w:t>a是相对于详细评价工作内容而言，在描述危险物质、环境影响途经、环境危害后果、风险防范措施等方面给出定性的说明。见导则附录A。</w:t>
            </w:r>
          </w:p>
        </w:tc>
      </w:tr>
    </w:tbl>
    <w:p>
      <w:pPr>
        <w:widowControl/>
        <w:kinsoku w:val="0"/>
        <w:autoSpaceDE w:val="0"/>
        <w:autoSpaceDN w:val="0"/>
        <w:adjustRightInd w:val="0"/>
        <w:snapToGrid w:val="0"/>
        <w:ind w:firstLine="492"/>
        <w:textAlignment w:val="baseline"/>
        <w:rPr>
          <w:rFonts w:ascii="宋体" w:hAnsi="宋体" w:cs="宋体"/>
          <w:color w:val="auto"/>
          <w:kern w:val="21"/>
          <w:sz w:val="25"/>
          <w:szCs w:val="25"/>
        </w:rPr>
      </w:pPr>
      <w:r>
        <w:rPr>
          <w:rFonts w:ascii="宋体" w:hAnsi="宋体" w:cs="宋体"/>
          <w:color w:val="auto"/>
          <w:kern w:val="21"/>
          <w:sz w:val="25"/>
          <w:szCs w:val="25"/>
        </w:rPr>
        <w:t>根据《建设项目环境风险评价技术导则》</w:t>
      </w:r>
      <w:r>
        <w:rPr>
          <w:rFonts w:hint="eastAsia" w:ascii="宋体" w:hAnsi="宋体" w:cs="宋体"/>
          <w:color w:val="auto"/>
          <w:kern w:val="21"/>
          <w:sz w:val="25"/>
          <w:szCs w:val="25"/>
        </w:rPr>
        <w:t>（</w:t>
      </w:r>
      <w:r>
        <w:rPr>
          <w:rFonts w:eastAsia="Times New Roman"/>
          <w:color w:val="auto"/>
          <w:kern w:val="21"/>
          <w:sz w:val="25"/>
          <w:szCs w:val="25"/>
        </w:rPr>
        <w:t>HJ169-2018</w:t>
      </w:r>
      <w:r>
        <w:rPr>
          <w:rFonts w:hint="eastAsia" w:ascii="宋体" w:hAnsi="宋体" w:cs="宋体"/>
          <w:color w:val="auto"/>
          <w:kern w:val="21"/>
          <w:sz w:val="25"/>
          <w:szCs w:val="25"/>
        </w:rPr>
        <w:t>）</w:t>
      </w:r>
      <w:r>
        <w:rPr>
          <w:rFonts w:ascii="宋体" w:hAnsi="宋体" w:cs="宋体"/>
          <w:color w:val="auto"/>
          <w:kern w:val="21"/>
          <w:sz w:val="25"/>
          <w:szCs w:val="25"/>
        </w:rPr>
        <w:t>中“环境风险潜势初判”规定，建设项目环境风险潜势划分为</w:t>
      </w:r>
      <w:r>
        <w:rPr>
          <w:rFonts w:eastAsia="Times New Roman"/>
          <w:color w:val="auto"/>
          <w:kern w:val="21"/>
          <w:sz w:val="25"/>
          <w:szCs w:val="25"/>
        </w:rPr>
        <w:t>I</w:t>
      </w:r>
      <w:r>
        <w:rPr>
          <w:rFonts w:ascii="宋体" w:hAnsi="宋体" w:cs="宋体"/>
          <w:color w:val="auto"/>
          <w:kern w:val="21"/>
          <w:sz w:val="25"/>
          <w:szCs w:val="25"/>
        </w:rPr>
        <w:t>、</w:t>
      </w:r>
      <w:r>
        <w:rPr>
          <w:rFonts w:eastAsia="Times New Roman"/>
          <w:color w:val="auto"/>
          <w:kern w:val="21"/>
          <w:sz w:val="25"/>
          <w:szCs w:val="25"/>
        </w:rPr>
        <w:t>II</w:t>
      </w:r>
      <w:r>
        <w:rPr>
          <w:rFonts w:ascii="宋体" w:hAnsi="宋体" w:cs="宋体"/>
          <w:color w:val="auto"/>
          <w:kern w:val="21"/>
          <w:sz w:val="25"/>
          <w:szCs w:val="25"/>
        </w:rPr>
        <w:t>、</w:t>
      </w:r>
      <w:r>
        <w:rPr>
          <w:rFonts w:eastAsia="Times New Roman"/>
          <w:color w:val="auto"/>
          <w:kern w:val="21"/>
          <w:sz w:val="25"/>
          <w:szCs w:val="25"/>
        </w:rPr>
        <w:t>III</w:t>
      </w:r>
      <w:r>
        <w:rPr>
          <w:rFonts w:ascii="宋体" w:hAnsi="宋体" w:cs="宋体"/>
          <w:color w:val="auto"/>
          <w:kern w:val="21"/>
          <w:sz w:val="25"/>
          <w:szCs w:val="25"/>
        </w:rPr>
        <w:t>、</w:t>
      </w:r>
      <w:r>
        <w:rPr>
          <w:rFonts w:eastAsia="Times New Roman"/>
          <w:color w:val="auto"/>
          <w:kern w:val="21"/>
          <w:sz w:val="25"/>
          <w:szCs w:val="25"/>
        </w:rPr>
        <w:t>IV/IV+</w:t>
      </w:r>
      <w:r>
        <w:rPr>
          <w:rFonts w:ascii="宋体" w:hAnsi="宋体" w:cs="宋体"/>
          <w:color w:val="auto"/>
          <w:kern w:val="21"/>
          <w:sz w:val="25"/>
          <w:szCs w:val="25"/>
        </w:rPr>
        <w:t>级，根据建设项目涉及的物质和工艺系统的危险性及其所在地的环境敏感程度，结合事故情形下环境影响途经，对建设项目潜在环境危害程度进行概化分析，按照下表确定环境风险潜势。</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ascii="宋体" w:hAnsi="宋体" w:cs="宋体"/>
          <w:b/>
          <w:bCs/>
          <w:color w:val="auto"/>
          <w:kern w:val="21"/>
          <w:sz w:val="25"/>
          <w:szCs w:val="25"/>
        </w:rPr>
      </w:pPr>
      <w:r>
        <w:rPr>
          <w:rFonts w:ascii="宋体" w:hAnsi="宋体" w:cs="宋体"/>
          <w:b/>
          <w:bCs/>
          <w:color w:val="auto"/>
          <w:kern w:val="21"/>
          <w:sz w:val="25"/>
          <w:szCs w:val="25"/>
        </w:rPr>
        <w:t>建设项目环境风险潜势划分</w:t>
      </w:r>
    </w:p>
    <w:tbl>
      <w:tblPr>
        <w:tblStyle w:val="51"/>
        <w:tblW w:w="818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4"/>
        <w:gridCol w:w="1680"/>
        <w:gridCol w:w="1510"/>
        <w:gridCol w:w="1725"/>
        <w:gridCol w:w="17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jc w:val="center"/>
        </w:trPr>
        <w:tc>
          <w:tcPr>
            <w:tcW w:w="1484" w:type="dxa"/>
            <w:vMerge w:val="restart"/>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环境敏感程度</w:t>
            </w:r>
            <w:r>
              <w:rPr>
                <w:rFonts w:hint="eastAsia"/>
                <w:color w:val="auto"/>
                <w:kern w:val="21"/>
                <w:sz w:val="21"/>
                <w:szCs w:val="21"/>
              </w:rPr>
              <w:t>（</w:t>
            </w:r>
            <w:r>
              <w:rPr>
                <w:color w:val="auto"/>
                <w:kern w:val="21"/>
                <w:sz w:val="21"/>
                <w:szCs w:val="21"/>
              </w:rPr>
              <w:t>E</w:t>
            </w:r>
            <w:r>
              <w:rPr>
                <w:rFonts w:hint="eastAsia"/>
                <w:color w:val="auto"/>
                <w:kern w:val="21"/>
                <w:sz w:val="21"/>
                <w:szCs w:val="21"/>
              </w:rPr>
              <w:t>）</w:t>
            </w:r>
          </w:p>
        </w:tc>
        <w:tc>
          <w:tcPr>
            <w:tcW w:w="6705" w:type="dxa"/>
            <w:gridSpan w:val="4"/>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危险物质及工艺系统危险性</w:t>
            </w:r>
            <w:r>
              <w:rPr>
                <w:rFonts w:hint="eastAsia"/>
                <w:color w:val="auto"/>
                <w:kern w:val="21"/>
                <w:sz w:val="21"/>
                <w:szCs w:val="21"/>
              </w:rPr>
              <w:t>（</w:t>
            </w:r>
            <w:r>
              <w:rPr>
                <w:color w:val="auto"/>
                <w:kern w:val="21"/>
                <w:sz w:val="21"/>
                <w:szCs w:val="21"/>
              </w:rPr>
              <w:t>P</w:t>
            </w:r>
            <w:r>
              <w:rPr>
                <w:rFonts w:hint="eastAsia"/>
                <w:color w:val="auto"/>
                <w:kern w:val="2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484" w:type="dxa"/>
            <w:vMerge w:val="continue"/>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p>
        </w:tc>
        <w:tc>
          <w:tcPr>
            <w:tcW w:w="168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极高危害</w:t>
            </w:r>
            <w:r>
              <w:rPr>
                <w:rFonts w:hint="eastAsia"/>
                <w:color w:val="auto"/>
                <w:kern w:val="21"/>
                <w:sz w:val="21"/>
                <w:szCs w:val="21"/>
              </w:rPr>
              <w:t>（</w:t>
            </w:r>
            <w:r>
              <w:rPr>
                <w:color w:val="auto"/>
                <w:kern w:val="21"/>
                <w:sz w:val="21"/>
                <w:szCs w:val="21"/>
              </w:rPr>
              <w:t>P1</w:t>
            </w:r>
            <w:r>
              <w:rPr>
                <w:rFonts w:hint="eastAsia"/>
                <w:color w:val="auto"/>
                <w:kern w:val="21"/>
                <w:sz w:val="21"/>
                <w:szCs w:val="21"/>
              </w:rPr>
              <w:t>）</w:t>
            </w:r>
          </w:p>
        </w:tc>
        <w:tc>
          <w:tcPr>
            <w:tcW w:w="151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高度危害</w:t>
            </w:r>
            <w:r>
              <w:rPr>
                <w:rFonts w:hint="eastAsia"/>
                <w:color w:val="auto"/>
                <w:kern w:val="21"/>
                <w:sz w:val="21"/>
                <w:szCs w:val="21"/>
              </w:rPr>
              <w:t>（</w:t>
            </w:r>
            <w:r>
              <w:rPr>
                <w:color w:val="auto"/>
                <w:kern w:val="21"/>
                <w:sz w:val="21"/>
                <w:szCs w:val="21"/>
              </w:rPr>
              <w:t>P2</w:t>
            </w:r>
            <w:r>
              <w:rPr>
                <w:rFonts w:hint="eastAsia"/>
                <w:color w:val="auto"/>
                <w:kern w:val="21"/>
                <w:sz w:val="21"/>
                <w:szCs w:val="21"/>
              </w:rPr>
              <w:t>）</w:t>
            </w:r>
          </w:p>
        </w:tc>
        <w:tc>
          <w:tcPr>
            <w:tcW w:w="17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中度危害</w:t>
            </w:r>
            <w:r>
              <w:rPr>
                <w:rFonts w:hint="eastAsia"/>
                <w:color w:val="auto"/>
                <w:kern w:val="21"/>
                <w:sz w:val="21"/>
                <w:szCs w:val="21"/>
              </w:rPr>
              <w:t>（</w:t>
            </w:r>
            <w:r>
              <w:rPr>
                <w:color w:val="auto"/>
                <w:kern w:val="21"/>
                <w:sz w:val="21"/>
                <w:szCs w:val="21"/>
              </w:rPr>
              <w:t>P3</w:t>
            </w:r>
            <w:r>
              <w:rPr>
                <w:rFonts w:hint="eastAsia"/>
                <w:color w:val="auto"/>
                <w:kern w:val="21"/>
                <w:sz w:val="21"/>
                <w:szCs w:val="21"/>
              </w:rPr>
              <w:t>）</w:t>
            </w:r>
          </w:p>
        </w:tc>
        <w:tc>
          <w:tcPr>
            <w:tcW w:w="17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轻度危害</w:t>
            </w:r>
            <w:r>
              <w:rPr>
                <w:rFonts w:hint="eastAsia"/>
                <w:color w:val="auto"/>
                <w:kern w:val="21"/>
                <w:sz w:val="21"/>
                <w:szCs w:val="21"/>
              </w:rPr>
              <w:t>（</w:t>
            </w:r>
            <w:r>
              <w:rPr>
                <w:color w:val="auto"/>
                <w:kern w:val="21"/>
                <w:sz w:val="21"/>
                <w:szCs w:val="21"/>
              </w:rPr>
              <w:t>P4</w:t>
            </w:r>
            <w:r>
              <w:rPr>
                <w:rFonts w:hint="eastAsia"/>
                <w:color w:val="auto"/>
                <w:kern w:val="2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8" w:hRule="atLeast"/>
          <w:jc w:val="center"/>
        </w:trPr>
        <w:tc>
          <w:tcPr>
            <w:tcW w:w="1484"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环境高度敏感程区</w:t>
            </w:r>
            <w:r>
              <w:rPr>
                <w:rFonts w:hint="eastAsia"/>
                <w:color w:val="auto"/>
                <w:kern w:val="21"/>
                <w:sz w:val="21"/>
                <w:szCs w:val="21"/>
              </w:rPr>
              <w:t>（</w:t>
            </w:r>
            <w:r>
              <w:rPr>
                <w:color w:val="auto"/>
                <w:kern w:val="21"/>
                <w:sz w:val="21"/>
                <w:szCs w:val="21"/>
              </w:rPr>
              <w:t>E1</w:t>
            </w:r>
            <w:r>
              <w:rPr>
                <w:rFonts w:hint="eastAsia"/>
                <w:color w:val="auto"/>
                <w:kern w:val="21"/>
                <w:sz w:val="21"/>
                <w:szCs w:val="21"/>
              </w:rPr>
              <w:t>）</w:t>
            </w:r>
          </w:p>
        </w:tc>
        <w:tc>
          <w:tcPr>
            <w:tcW w:w="168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IV+</w:t>
            </w:r>
          </w:p>
        </w:tc>
        <w:tc>
          <w:tcPr>
            <w:tcW w:w="151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IV</w:t>
            </w:r>
          </w:p>
        </w:tc>
        <w:tc>
          <w:tcPr>
            <w:tcW w:w="17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7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jc w:val="center"/>
        </w:trPr>
        <w:tc>
          <w:tcPr>
            <w:tcW w:w="1484"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环境中度敏感程区</w:t>
            </w:r>
            <w:r>
              <w:rPr>
                <w:rFonts w:hint="eastAsia"/>
                <w:color w:val="auto"/>
                <w:kern w:val="21"/>
                <w:sz w:val="21"/>
                <w:szCs w:val="21"/>
              </w:rPr>
              <w:t>（</w:t>
            </w:r>
            <w:r>
              <w:rPr>
                <w:color w:val="auto"/>
                <w:kern w:val="21"/>
                <w:sz w:val="21"/>
                <w:szCs w:val="21"/>
              </w:rPr>
              <w:t>E2</w:t>
            </w:r>
            <w:r>
              <w:rPr>
                <w:rFonts w:hint="eastAsia"/>
                <w:color w:val="auto"/>
                <w:kern w:val="21"/>
                <w:sz w:val="21"/>
                <w:szCs w:val="21"/>
              </w:rPr>
              <w:t>）</w:t>
            </w:r>
          </w:p>
        </w:tc>
        <w:tc>
          <w:tcPr>
            <w:tcW w:w="168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IV</w:t>
            </w:r>
          </w:p>
        </w:tc>
        <w:tc>
          <w:tcPr>
            <w:tcW w:w="151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7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7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jc w:val="center"/>
        </w:trPr>
        <w:tc>
          <w:tcPr>
            <w:tcW w:w="1484"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环境低度敏感程区</w:t>
            </w:r>
            <w:r>
              <w:rPr>
                <w:rFonts w:hint="eastAsia"/>
                <w:color w:val="auto"/>
                <w:kern w:val="21"/>
                <w:sz w:val="21"/>
                <w:szCs w:val="21"/>
              </w:rPr>
              <w:t>（</w:t>
            </w:r>
            <w:r>
              <w:rPr>
                <w:color w:val="auto"/>
                <w:kern w:val="21"/>
                <w:sz w:val="21"/>
                <w:szCs w:val="21"/>
              </w:rPr>
              <w:t>E3</w:t>
            </w:r>
            <w:r>
              <w:rPr>
                <w:rFonts w:hint="eastAsia"/>
                <w:color w:val="auto"/>
                <w:kern w:val="21"/>
                <w:sz w:val="21"/>
                <w:szCs w:val="21"/>
              </w:rPr>
              <w:t>）</w:t>
            </w:r>
          </w:p>
        </w:tc>
        <w:tc>
          <w:tcPr>
            <w:tcW w:w="168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51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7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w:t>
            </w:r>
          </w:p>
        </w:tc>
        <w:tc>
          <w:tcPr>
            <w:tcW w:w="17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jc w:val="center"/>
        </w:trPr>
        <w:tc>
          <w:tcPr>
            <w:tcW w:w="8189" w:type="dxa"/>
            <w:gridSpan w:val="5"/>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注：IV+为极高环境风险。</w:t>
            </w:r>
          </w:p>
        </w:tc>
      </w:tr>
    </w:tbl>
    <w:p>
      <w:pPr>
        <w:ind w:firstLine="472"/>
        <w:rPr>
          <w:rFonts w:ascii="宋体" w:hAnsi="宋体" w:cs="宋体"/>
          <w:color w:val="auto"/>
          <w:kern w:val="21"/>
        </w:rPr>
      </w:pPr>
      <w:r>
        <w:rPr>
          <w:rFonts w:ascii="宋体" w:hAnsi="宋体" w:cs="宋体"/>
          <w:color w:val="auto"/>
          <w:kern w:val="21"/>
        </w:rPr>
        <w:t>当风险潜势为Ⅰ时，评价工作等级为简单分析。</w:t>
      </w:r>
    </w:p>
    <w:p>
      <w:pPr>
        <w:ind w:firstLine="472"/>
        <w:rPr>
          <w:rFonts w:ascii="宋体" w:hAnsi="宋体" w:cs="宋体"/>
          <w:color w:val="auto"/>
          <w:kern w:val="21"/>
        </w:rPr>
      </w:pPr>
      <w:r>
        <w:rPr>
          <w:rFonts w:ascii="宋体" w:hAnsi="宋体" w:cs="宋体"/>
          <w:color w:val="auto"/>
          <w:kern w:val="21"/>
        </w:rPr>
        <w:t>对建设项目生产、使用、存储过程中涉及的有毒有害、易燃易爆物质进行识别，参见《建设项目环境风险评价技术导则》</w:t>
      </w:r>
      <w:r>
        <w:rPr>
          <w:rFonts w:hint="eastAsia" w:ascii="宋体" w:hAnsi="宋体" w:cs="宋体"/>
          <w:color w:val="auto"/>
          <w:kern w:val="21"/>
        </w:rPr>
        <w:t>（</w:t>
      </w:r>
      <w:r>
        <w:rPr>
          <w:rFonts w:eastAsia="Times New Roman"/>
          <w:color w:val="auto"/>
          <w:kern w:val="21"/>
        </w:rPr>
        <w:t>HJ169-2018</w:t>
      </w:r>
      <w:r>
        <w:rPr>
          <w:rFonts w:hint="eastAsia" w:ascii="宋体" w:hAnsi="宋体" w:cs="宋体"/>
          <w:color w:val="auto"/>
          <w:kern w:val="21"/>
        </w:rPr>
        <w:t>）</w:t>
      </w:r>
      <w:r>
        <w:rPr>
          <w:rFonts w:ascii="宋体" w:hAnsi="宋体" w:cs="宋体"/>
          <w:color w:val="auto"/>
          <w:kern w:val="21"/>
        </w:rPr>
        <w:t>中附录</w:t>
      </w:r>
      <w:r>
        <w:rPr>
          <w:rFonts w:eastAsia="Times New Roman"/>
          <w:color w:val="auto"/>
          <w:kern w:val="21"/>
        </w:rPr>
        <w:t>B</w:t>
      </w:r>
      <w:r>
        <w:rPr>
          <w:rFonts w:ascii="宋体" w:hAnsi="宋体" w:cs="宋体"/>
          <w:color w:val="auto"/>
          <w:kern w:val="21"/>
        </w:rPr>
        <w:t>确定危险物质的临界量。定量分析危险物质数量与临界量的比值</w:t>
      </w:r>
      <w:r>
        <w:rPr>
          <w:rFonts w:hint="eastAsia" w:ascii="宋体" w:hAnsi="宋体" w:cs="宋体"/>
          <w:color w:val="auto"/>
          <w:kern w:val="21"/>
        </w:rPr>
        <w:t>（</w:t>
      </w:r>
      <w:r>
        <w:rPr>
          <w:rFonts w:eastAsia="Times New Roman"/>
          <w:color w:val="auto"/>
          <w:kern w:val="21"/>
        </w:rPr>
        <w:t>Q</w:t>
      </w:r>
      <w:r>
        <w:rPr>
          <w:rFonts w:hint="eastAsia" w:ascii="宋体" w:hAnsi="宋体" w:cs="宋体"/>
          <w:color w:val="auto"/>
          <w:kern w:val="21"/>
        </w:rPr>
        <w:t>）</w:t>
      </w:r>
      <w:r>
        <w:rPr>
          <w:rFonts w:ascii="宋体" w:hAnsi="宋体" w:cs="宋体"/>
          <w:color w:val="auto"/>
          <w:kern w:val="21"/>
        </w:rPr>
        <w:t>和所属行业生产工艺特点</w:t>
      </w:r>
      <w:r>
        <w:rPr>
          <w:rFonts w:hint="eastAsia" w:ascii="宋体" w:hAnsi="宋体" w:cs="宋体"/>
          <w:color w:val="auto"/>
          <w:kern w:val="21"/>
        </w:rPr>
        <w:t>（</w:t>
      </w:r>
      <w:r>
        <w:rPr>
          <w:rFonts w:eastAsia="Times New Roman"/>
          <w:color w:val="auto"/>
          <w:kern w:val="21"/>
        </w:rPr>
        <w:t>M</w:t>
      </w:r>
      <w:r>
        <w:rPr>
          <w:rFonts w:hint="eastAsia" w:ascii="宋体" w:hAnsi="宋体" w:cs="宋体"/>
          <w:color w:val="auto"/>
          <w:kern w:val="21"/>
        </w:rPr>
        <w:t>）</w:t>
      </w:r>
      <w:r>
        <w:rPr>
          <w:rFonts w:ascii="宋体" w:hAnsi="宋体" w:cs="宋体"/>
          <w:color w:val="auto"/>
          <w:kern w:val="21"/>
        </w:rPr>
        <w:t>，按附录</w:t>
      </w:r>
      <w:r>
        <w:rPr>
          <w:rFonts w:eastAsia="Times New Roman"/>
          <w:color w:val="auto"/>
          <w:kern w:val="21"/>
        </w:rPr>
        <w:t>C</w:t>
      </w:r>
      <w:r>
        <w:rPr>
          <w:rFonts w:ascii="宋体" w:hAnsi="宋体" w:cs="宋体"/>
          <w:color w:val="auto"/>
          <w:kern w:val="21"/>
        </w:rPr>
        <w:t>对危险物质及工艺系统危险性</w:t>
      </w:r>
      <w:r>
        <w:rPr>
          <w:rFonts w:hint="eastAsia" w:ascii="宋体" w:hAnsi="宋体" w:cs="宋体"/>
          <w:color w:val="auto"/>
          <w:kern w:val="21"/>
        </w:rPr>
        <w:t>（</w:t>
      </w:r>
      <w:r>
        <w:rPr>
          <w:rFonts w:eastAsia="Times New Roman"/>
          <w:color w:val="auto"/>
          <w:kern w:val="21"/>
        </w:rPr>
        <w:t>P</w:t>
      </w:r>
      <w:r>
        <w:rPr>
          <w:rFonts w:hint="eastAsia" w:ascii="宋体" w:hAnsi="宋体" w:cs="宋体"/>
          <w:color w:val="auto"/>
          <w:kern w:val="21"/>
        </w:rPr>
        <w:t>）</w:t>
      </w:r>
      <w:r>
        <w:rPr>
          <w:rFonts w:ascii="宋体" w:hAnsi="宋体" w:cs="宋体"/>
          <w:color w:val="auto"/>
          <w:kern w:val="21"/>
        </w:rPr>
        <w:t>等级进行判断，然后按附录</w:t>
      </w:r>
      <w:r>
        <w:rPr>
          <w:rFonts w:eastAsia="Times New Roman"/>
          <w:color w:val="auto"/>
          <w:kern w:val="21"/>
        </w:rPr>
        <w:t>D</w:t>
      </w:r>
      <w:r>
        <w:rPr>
          <w:rFonts w:ascii="宋体" w:hAnsi="宋体" w:cs="宋体"/>
          <w:color w:val="auto"/>
          <w:kern w:val="21"/>
        </w:rPr>
        <w:t>确定环境敏感程度</w:t>
      </w:r>
      <w:r>
        <w:rPr>
          <w:rFonts w:hint="eastAsia" w:ascii="宋体" w:hAnsi="宋体" w:cs="宋体"/>
          <w:color w:val="auto"/>
          <w:kern w:val="21"/>
        </w:rPr>
        <w:t>（</w:t>
      </w:r>
      <w:r>
        <w:rPr>
          <w:rFonts w:eastAsia="Times New Roman"/>
          <w:color w:val="auto"/>
          <w:kern w:val="21"/>
        </w:rPr>
        <w:t>E</w:t>
      </w:r>
      <w:r>
        <w:rPr>
          <w:rFonts w:hint="eastAsia" w:ascii="宋体" w:hAnsi="宋体" w:cs="宋体"/>
          <w:color w:val="auto"/>
          <w:kern w:val="21"/>
        </w:rPr>
        <w:t>）</w:t>
      </w:r>
      <w:r>
        <w:rPr>
          <w:rFonts w:ascii="宋体" w:hAnsi="宋体" w:cs="宋体"/>
          <w:color w:val="auto"/>
          <w:kern w:val="21"/>
        </w:rPr>
        <w:t>。</w:t>
      </w:r>
    </w:p>
    <w:p>
      <w:pPr>
        <w:tabs>
          <w:tab w:val="left" w:pos="145"/>
        </w:tabs>
        <w:ind w:firstLine="472"/>
        <w:rPr>
          <w:color w:val="auto"/>
          <w:kern w:val="21"/>
          <w:lang w:bidi="ar"/>
        </w:rPr>
      </w:pPr>
      <w:r>
        <w:rPr>
          <w:rFonts w:hint="eastAsia" w:ascii="宋体" w:hAnsi="宋体" w:cs="宋体"/>
          <w:color w:val="auto"/>
          <w:kern w:val="21"/>
        </w:rPr>
        <w:t>（</w:t>
      </w:r>
      <w:r>
        <w:rPr>
          <w:rFonts w:eastAsia="Times New Roman"/>
          <w:color w:val="auto"/>
          <w:kern w:val="21"/>
        </w:rPr>
        <w:t>1</w:t>
      </w:r>
      <w:r>
        <w:rPr>
          <w:rFonts w:hint="eastAsia" w:ascii="宋体" w:hAnsi="宋体" w:cs="宋体"/>
          <w:color w:val="auto"/>
          <w:kern w:val="21"/>
        </w:rPr>
        <w:t>）</w:t>
      </w:r>
      <w:r>
        <w:rPr>
          <w:rFonts w:ascii="宋体" w:hAnsi="宋体" w:cs="宋体"/>
          <w:color w:val="auto"/>
          <w:kern w:val="21"/>
        </w:rPr>
        <w:t>大气环境：</w:t>
      </w:r>
      <w:r>
        <w:rPr>
          <w:rFonts w:hint="eastAsia" w:ascii="宋体" w:hAnsi="宋体" w:cs="宋体"/>
          <w:color w:val="auto"/>
          <w:kern w:val="21"/>
        </w:rPr>
        <w:t>本项目位于楚雄工业园富民庄甸工业园区富民片区，周边迤周、外周、外干、迤干等村庄已全部拆除，</w:t>
      </w:r>
      <w:r>
        <w:rPr>
          <w:rFonts w:ascii="宋体" w:hAnsi="宋体" w:cs="宋体"/>
          <w:color w:val="auto"/>
          <w:kern w:val="21"/>
        </w:rPr>
        <w:t>根据《建设项目环境风险评价技术导则》</w:t>
      </w:r>
      <w:r>
        <w:rPr>
          <w:rFonts w:hint="eastAsia" w:ascii="宋体" w:hAnsi="宋体" w:cs="宋体"/>
          <w:color w:val="auto"/>
          <w:kern w:val="21"/>
        </w:rPr>
        <w:t>（</w:t>
      </w:r>
      <w:r>
        <w:rPr>
          <w:rFonts w:eastAsia="Times New Roman"/>
          <w:color w:val="auto"/>
          <w:kern w:val="21"/>
        </w:rPr>
        <w:t>HJ169-2018</w:t>
      </w:r>
      <w:r>
        <w:rPr>
          <w:rFonts w:hint="eastAsia" w:ascii="宋体" w:hAnsi="宋体" w:cs="宋体"/>
          <w:color w:val="auto"/>
          <w:kern w:val="21"/>
        </w:rPr>
        <w:t>）</w:t>
      </w:r>
      <w:r>
        <w:rPr>
          <w:rFonts w:ascii="宋体" w:hAnsi="宋体" w:cs="宋体"/>
          <w:color w:val="auto"/>
          <w:kern w:val="21"/>
        </w:rPr>
        <w:t>附录</w:t>
      </w:r>
      <w:r>
        <w:rPr>
          <w:rFonts w:eastAsia="Times New Roman"/>
          <w:color w:val="auto"/>
          <w:kern w:val="21"/>
        </w:rPr>
        <w:t>D</w:t>
      </w:r>
      <w:r>
        <w:rPr>
          <w:rFonts w:ascii="宋体" w:hAnsi="宋体" w:cs="宋体"/>
          <w:color w:val="auto"/>
          <w:kern w:val="21"/>
        </w:rPr>
        <w:t>，项目大气环境敏感程度为环境低度敏感区</w:t>
      </w:r>
      <w:r>
        <w:rPr>
          <w:rFonts w:hint="eastAsia" w:ascii="宋体" w:hAnsi="宋体" w:cs="宋体"/>
          <w:color w:val="auto"/>
          <w:kern w:val="21"/>
        </w:rPr>
        <w:t>（</w:t>
      </w:r>
      <w:r>
        <w:rPr>
          <w:rFonts w:eastAsia="Times New Roman"/>
          <w:color w:val="auto"/>
          <w:kern w:val="21"/>
        </w:rPr>
        <w:t>E3</w:t>
      </w:r>
      <w:r>
        <w:rPr>
          <w:rFonts w:hint="eastAsia" w:ascii="宋体" w:hAnsi="宋体" w:cs="宋体"/>
          <w:color w:val="auto"/>
          <w:kern w:val="21"/>
        </w:rPr>
        <w:t>）；</w:t>
      </w:r>
      <w:r>
        <w:rPr>
          <w:color w:val="auto"/>
          <w:kern w:val="21"/>
          <w:lang w:bidi="ar"/>
        </w:rPr>
        <w:t>经查阅《建设项目环境风险评价技术导则》（HJ169-2018）附录B</w:t>
      </w:r>
      <w:r>
        <w:rPr>
          <w:rFonts w:hint="eastAsia"/>
          <w:color w:val="auto"/>
          <w:kern w:val="21"/>
          <w:lang w:bidi="ar"/>
        </w:rPr>
        <w:t>，本项目涉及的风险物质为</w:t>
      </w:r>
      <w:r>
        <w:rPr>
          <w:color w:val="auto"/>
          <w:kern w:val="21"/>
          <w:lang w:bidi="ar"/>
        </w:rPr>
        <w:t>次氯酸钠</w:t>
      </w:r>
      <w:r>
        <w:rPr>
          <w:rFonts w:hint="eastAsia"/>
          <w:color w:val="auto"/>
          <w:kern w:val="21"/>
          <w:lang w:bidi="ar"/>
        </w:rPr>
        <w:t>，</w:t>
      </w:r>
      <w:r>
        <w:rPr>
          <w:color w:val="auto"/>
          <w:kern w:val="21"/>
          <w:lang w:bidi="ar"/>
        </w:rPr>
        <w:t>临界量为5t，</w:t>
      </w:r>
      <w:r>
        <w:rPr>
          <w:rFonts w:hint="eastAsia"/>
          <w:color w:val="auto"/>
          <w:kern w:val="21"/>
          <w:lang w:bidi="ar"/>
        </w:rPr>
        <w:t>本项目</w:t>
      </w:r>
      <w:r>
        <w:rPr>
          <w:color w:val="auto"/>
          <w:kern w:val="21"/>
          <w:lang w:bidi="ar"/>
        </w:rPr>
        <w:t>厂内最大储量为3.5t</w:t>
      </w:r>
      <w:r>
        <w:rPr>
          <w:rFonts w:hint="eastAsia"/>
          <w:color w:val="auto"/>
          <w:kern w:val="21"/>
          <w:lang w:bidi="ar"/>
        </w:rPr>
        <w:t>，</w:t>
      </w:r>
      <w:r>
        <w:rPr>
          <w:color w:val="auto"/>
          <w:kern w:val="21"/>
          <w:lang w:bidi="ar"/>
        </w:rPr>
        <w:t>危险物质数量与临界量比值Q=0.7，危险物质数量与临界量比值Q＜1，项目环境风险潜势为I级，因此确定风险不设等级，进行简单分析。</w:t>
      </w:r>
    </w:p>
    <w:p>
      <w:pPr>
        <w:ind w:firstLine="472"/>
        <w:rPr>
          <w:rFonts w:ascii="宋体" w:hAnsi="宋体" w:cs="宋体"/>
          <w:color w:val="auto"/>
          <w:kern w:val="21"/>
        </w:rPr>
      </w:pPr>
      <w:r>
        <w:rPr>
          <w:rFonts w:hint="eastAsia" w:ascii="宋体" w:hAnsi="宋体" w:cs="宋体"/>
          <w:color w:val="auto"/>
          <w:kern w:val="21"/>
        </w:rPr>
        <w:t>（</w:t>
      </w:r>
      <w:r>
        <w:rPr>
          <w:rFonts w:eastAsia="Times New Roman"/>
          <w:color w:val="auto"/>
          <w:kern w:val="21"/>
        </w:rPr>
        <w:t>2</w:t>
      </w:r>
      <w:r>
        <w:rPr>
          <w:rFonts w:hint="eastAsia" w:ascii="宋体" w:hAnsi="宋体" w:cs="宋体"/>
          <w:color w:val="auto"/>
          <w:kern w:val="21"/>
        </w:rPr>
        <w:t>）</w:t>
      </w:r>
      <w:r>
        <w:rPr>
          <w:rFonts w:ascii="宋体" w:hAnsi="宋体" w:cs="宋体"/>
          <w:color w:val="auto"/>
          <w:kern w:val="21"/>
        </w:rPr>
        <w:t>地表水环境和地下水环境</w:t>
      </w:r>
      <w:r>
        <w:rPr>
          <w:rFonts w:hint="eastAsia" w:ascii="宋体" w:hAnsi="宋体" w:cs="宋体"/>
          <w:color w:val="auto"/>
          <w:kern w:val="21"/>
        </w:rPr>
        <w:t>：</w:t>
      </w:r>
      <w:r>
        <w:rPr>
          <w:rFonts w:ascii="宋体" w:hAnsi="宋体" w:cs="宋体"/>
          <w:color w:val="auto"/>
          <w:kern w:val="21"/>
        </w:rPr>
        <w:t>项目可能对地表水、地下水环境构成风险的物质为项目生产过程产生的污水，项目污水</w:t>
      </w:r>
      <w:r>
        <w:rPr>
          <w:rFonts w:eastAsia="Times New Roman"/>
          <w:color w:val="auto"/>
          <w:kern w:val="21"/>
        </w:rPr>
        <w:t>CODcr</w:t>
      </w:r>
      <w:r>
        <w:rPr>
          <w:rFonts w:ascii="宋体" w:hAnsi="宋体" w:cs="宋体"/>
          <w:color w:val="auto"/>
          <w:kern w:val="21"/>
        </w:rPr>
        <w:t>浓度为</w:t>
      </w:r>
      <w:r>
        <w:rPr>
          <w:rFonts w:hint="eastAsia"/>
          <w:color w:val="auto"/>
          <w:kern w:val="21"/>
        </w:rPr>
        <w:t>450</w:t>
      </w:r>
      <w:r>
        <w:rPr>
          <w:rFonts w:eastAsia="Times New Roman"/>
          <w:color w:val="auto"/>
          <w:kern w:val="21"/>
        </w:rPr>
        <w:t>mg/L</w:t>
      </w:r>
      <w:r>
        <w:rPr>
          <w:rFonts w:ascii="宋体" w:hAnsi="宋体" w:cs="宋体"/>
          <w:color w:val="auto"/>
          <w:kern w:val="21"/>
        </w:rPr>
        <w:t>，不属于《建设项目环境风险评价技术导则》</w:t>
      </w:r>
      <w:r>
        <w:rPr>
          <w:rFonts w:hint="eastAsia" w:ascii="宋体" w:hAnsi="宋体" w:cs="宋体"/>
          <w:color w:val="auto"/>
          <w:kern w:val="21"/>
        </w:rPr>
        <w:t>（</w:t>
      </w:r>
      <w:r>
        <w:rPr>
          <w:rFonts w:eastAsia="Times New Roman"/>
          <w:color w:val="auto"/>
          <w:kern w:val="21"/>
        </w:rPr>
        <w:t>HJ169-2018</w:t>
      </w:r>
      <w:r>
        <w:rPr>
          <w:rFonts w:hint="eastAsia" w:ascii="宋体" w:hAnsi="宋体" w:cs="宋体"/>
          <w:color w:val="auto"/>
          <w:kern w:val="21"/>
        </w:rPr>
        <w:t>）</w:t>
      </w:r>
      <w:r>
        <w:rPr>
          <w:rFonts w:ascii="宋体" w:hAnsi="宋体" w:cs="宋体"/>
          <w:color w:val="auto"/>
          <w:kern w:val="21"/>
        </w:rPr>
        <w:t>附录</w:t>
      </w:r>
      <w:r>
        <w:rPr>
          <w:rFonts w:eastAsia="Times New Roman"/>
          <w:color w:val="auto"/>
          <w:kern w:val="21"/>
        </w:rPr>
        <w:t>B</w:t>
      </w:r>
      <w:r>
        <w:rPr>
          <w:rFonts w:ascii="宋体" w:hAnsi="宋体" w:cs="宋体"/>
          <w:color w:val="auto"/>
          <w:kern w:val="21"/>
        </w:rPr>
        <w:t>中的</w:t>
      </w:r>
      <w:r>
        <w:rPr>
          <w:rFonts w:eastAsia="Times New Roman"/>
          <w:color w:val="auto"/>
          <w:kern w:val="21"/>
        </w:rPr>
        <w:t>“CODcr</w:t>
      </w:r>
      <w:r>
        <w:rPr>
          <w:rFonts w:ascii="宋体" w:hAnsi="宋体" w:cs="宋体"/>
          <w:color w:val="auto"/>
          <w:kern w:val="21"/>
        </w:rPr>
        <w:t>浓度</w:t>
      </w:r>
      <w:r>
        <w:rPr>
          <w:rFonts w:eastAsia="Times New Roman"/>
          <w:color w:val="auto"/>
          <w:kern w:val="21"/>
        </w:rPr>
        <w:t>≥10000mg/L</w:t>
      </w:r>
      <w:r>
        <w:rPr>
          <w:rFonts w:ascii="宋体" w:hAnsi="宋体" w:cs="宋体"/>
          <w:color w:val="auto"/>
          <w:kern w:val="21"/>
        </w:rPr>
        <w:t>的有机废液</w:t>
      </w:r>
      <w:r>
        <w:rPr>
          <w:rFonts w:eastAsia="Times New Roman"/>
          <w:color w:val="auto"/>
          <w:kern w:val="21"/>
        </w:rPr>
        <w:t>”</w:t>
      </w:r>
      <w:r>
        <w:rPr>
          <w:rFonts w:ascii="宋体" w:hAnsi="宋体" w:cs="宋体"/>
          <w:color w:val="auto"/>
          <w:kern w:val="21"/>
        </w:rPr>
        <w:t>，也不属于附录</w:t>
      </w:r>
      <w:r>
        <w:rPr>
          <w:rFonts w:eastAsia="Times New Roman"/>
          <w:color w:val="auto"/>
          <w:kern w:val="21"/>
        </w:rPr>
        <w:t>B</w:t>
      </w:r>
      <w:r>
        <w:rPr>
          <w:rFonts w:ascii="宋体" w:hAnsi="宋体" w:cs="宋体"/>
          <w:color w:val="auto"/>
          <w:kern w:val="21"/>
        </w:rPr>
        <w:t>中的</w:t>
      </w:r>
      <w:r>
        <w:rPr>
          <w:rFonts w:eastAsia="Times New Roman"/>
          <w:color w:val="auto"/>
          <w:kern w:val="21"/>
        </w:rPr>
        <w:t>“</w:t>
      </w:r>
      <w:r>
        <w:rPr>
          <w:rFonts w:ascii="宋体" w:hAnsi="宋体" w:cs="宋体"/>
          <w:color w:val="auto"/>
          <w:kern w:val="21"/>
        </w:rPr>
        <w:t>危害水环境物质</w:t>
      </w:r>
      <w:r>
        <w:rPr>
          <w:rFonts w:eastAsia="Times New Roman"/>
          <w:color w:val="auto"/>
          <w:kern w:val="21"/>
        </w:rPr>
        <w:t>”</w:t>
      </w:r>
      <w:r>
        <w:rPr>
          <w:rFonts w:ascii="宋体" w:hAnsi="宋体" w:cs="宋体"/>
          <w:color w:val="auto"/>
          <w:kern w:val="21"/>
        </w:rPr>
        <w:t>即项目污水不属于导则规定的</w:t>
      </w:r>
      <w:r>
        <w:rPr>
          <w:rFonts w:eastAsia="Times New Roman"/>
          <w:color w:val="auto"/>
          <w:kern w:val="21"/>
        </w:rPr>
        <w:t>“</w:t>
      </w:r>
      <w:r>
        <w:rPr>
          <w:rFonts w:ascii="宋体" w:hAnsi="宋体" w:cs="宋体"/>
          <w:color w:val="auto"/>
          <w:kern w:val="21"/>
        </w:rPr>
        <w:t>突发环境事件风险物质</w:t>
      </w:r>
      <w:r>
        <w:rPr>
          <w:rFonts w:eastAsia="Times New Roman"/>
          <w:color w:val="auto"/>
          <w:kern w:val="21"/>
        </w:rPr>
        <w:t>”</w:t>
      </w:r>
      <w:r>
        <w:rPr>
          <w:rFonts w:ascii="宋体" w:hAnsi="宋体" w:cs="宋体"/>
          <w:color w:val="auto"/>
          <w:kern w:val="21"/>
        </w:rPr>
        <w:t>。</w:t>
      </w:r>
    </w:p>
    <w:p>
      <w:pPr>
        <w:keepNext/>
        <w:keepLines/>
        <w:ind w:firstLine="472"/>
        <w:rPr>
          <w:rFonts w:ascii="宋体" w:hAnsi="宋体" w:cs="宋体"/>
          <w:color w:val="auto"/>
          <w:kern w:val="21"/>
        </w:rPr>
      </w:pPr>
      <w:r>
        <w:rPr>
          <w:rFonts w:ascii="宋体" w:hAnsi="宋体" w:cs="宋体"/>
          <w:color w:val="auto"/>
          <w:kern w:val="21"/>
        </w:rPr>
        <w:t>综上所述，项目风险潜势为Ⅰ。根据表</w:t>
      </w:r>
      <w:r>
        <w:rPr>
          <w:rFonts w:hint="eastAsia" w:ascii="宋体" w:hAnsi="宋体" w:cs="宋体"/>
          <w:color w:val="auto"/>
          <w:kern w:val="21"/>
          <w:lang w:val="en-US" w:eastAsia="zh-CN"/>
        </w:rPr>
        <w:t>2-14</w:t>
      </w:r>
      <w:r>
        <w:rPr>
          <w:rFonts w:ascii="宋体" w:hAnsi="宋体" w:cs="宋体"/>
          <w:color w:val="auto"/>
          <w:kern w:val="21"/>
        </w:rPr>
        <w:t>环境风险评价工作等级判别依据，本项目环境风险评价工作等级为简单分析。</w:t>
      </w:r>
    </w:p>
    <w:p>
      <w:pPr>
        <w:pStyle w:val="6"/>
        <w:spacing w:after="0"/>
        <w:rPr>
          <w:rFonts w:eastAsia="宋体"/>
          <w:color w:val="auto"/>
          <w:kern w:val="21"/>
          <w:sz w:val="24"/>
          <w:szCs w:val="24"/>
        </w:rPr>
      </w:pPr>
      <w:bookmarkStart w:id="25" w:name="_Toc16046"/>
      <w:r>
        <w:rPr>
          <w:rFonts w:eastAsia="宋体"/>
          <w:color w:val="auto"/>
          <w:kern w:val="21"/>
          <w:sz w:val="24"/>
          <w:szCs w:val="24"/>
        </w:rPr>
        <w:t>2.3.4评价范围</w:t>
      </w:r>
      <w:bookmarkEnd w:id="25"/>
    </w:p>
    <w:p>
      <w:pPr>
        <w:autoSpaceDE w:val="0"/>
        <w:autoSpaceDN w:val="0"/>
        <w:adjustRightInd w:val="0"/>
        <w:ind w:firstLine="474"/>
        <w:rPr>
          <w:b/>
          <w:color w:val="auto"/>
          <w:kern w:val="21"/>
        </w:rPr>
      </w:pPr>
      <w:r>
        <w:rPr>
          <w:rFonts w:hint="eastAsia"/>
          <w:b/>
          <w:color w:val="auto"/>
          <w:kern w:val="21"/>
        </w:rPr>
        <w:t>1</w:t>
      </w:r>
      <w:r>
        <w:rPr>
          <w:b/>
          <w:color w:val="auto"/>
          <w:kern w:val="21"/>
        </w:rPr>
        <w:t>、大气环境评价范围</w:t>
      </w:r>
    </w:p>
    <w:p>
      <w:pPr>
        <w:pStyle w:val="178"/>
        <w:ind w:firstLine="472"/>
        <w:rPr>
          <w:b/>
          <w:color w:val="auto"/>
          <w:kern w:val="21"/>
        </w:rPr>
      </w:pPr>
      <w:r>
        <w:rPr>
          <w:rFonts w:hint="eastAsia"/>
          <w:color w:val="auto"/>
        </w:rPr>
        <w:t>本项目D</w:t>
      </w:r>
      <w:r>
        <w:rPr>
          <w:rFonts w:hint="eastAsia"/>
          <w:color w:val="auto"/>
          <w:vertAlign w:val="subscript"/>
        </w:rPr>
        <w:t>10%</w:t>
      </w:r>
      <w:r>
        <w:rPr>
          <w:rFonts w:hint="eastAsia"/>
          <w:color w:val="auto"/>
        </w:rPr>
        <w:t>出现的最远距离为</w:t>
      </w:r>
      <w:r>
        <w:rPr>
          <w:rFonts w:hint="eastAsia"/>
          <w:color w:val="auto"/>
          <w:lang w:val="en-US" w:eastAsia="zh-CN"/>
        </w:rPr>
        <w:t>50</w:t>
      </w:r>
      <w:r>
        <w:rPr>
          <w:rFonts w:hint="eastAsia"/>
          <w:color w:val="auto"/>
        </w:rPr>
        <w:t>m，</w:t>
      </w:r>
      <w:r>
        <w:rPr>
          <w:rFonts w:hint="eastAsia"/>
          <w:color w:val="auto"/>
          <w:lang w:eastAsia="zh-CN"/>
        </w:rPr>
        <w:t>小于</w:t>
      </w:r>
      <w:r>
        <w:rPr>
          <w:rFonts w:hint="eastAsia"/>
          <w:color w:val="auto"/>
        </w:rPr>
        <w:t>2.5km，评价</w:t>
      </w:r>
      <w:r>
        <w:rPr>
          <w:color w:val="auto"/>
        </w:rPr>
        <w:t>范围</w:t>
      </w:r>
      <w:r>
        <w:rPr>
          <w:rFonts w:hint="eastAsia"/>
          <w:color w:val="auto"/>
          <w:lang w:eastAsia="zh-CN"/>
        </w:rPr>
        <w:t>为以厂址为中心，边长为</w:t>
      </w:r>
      <w:r>
        <w:rPr>
          <w:rFonts w:hint="eastAsia"/>
          <w:color w:val="auto"/>
          <w:lang w:val="en-US" w:eastAsia="zh-CN"/>
        </w:rPr>
        <w:t>5km的</w:t>
      </w:r>
      <w:r>
        <w:rPr>
          <w:color w:val="auto"/>
        </w:rPr>
        <w:t>矩形范围</w:t>
      </w:r>
      <w:r>
        <w:rPr>
          <w:color w:val="auto"/>
          <w:kern w:val="21"/>
        </w:rPr>
        <w:t>。</w:t>
      </w:r>
    </w:p>
    <w:p>
      <w:pPr>
        <w:ind w:firstLine="474"/>
        <w:rPr>
          <w:color w:val="auto"/>
          <w:kern w:val="21"/>
        </w:rPr>
      </w:pPr>
      <w:r>
        <w:rPr>
          <w:b/>
          <w:color w:val="auto"/>
          <w:kern w:val="21"/>
        </w:rPr>
        <w:t>2、地表水环境评价范围</w:t>
      </w:r>
    </w:p>
    <w:p>
      <w:pPr>
        <w:autoSpaceDE w:val="0"/>
        <w:autoSpaceDN w:val="0"/>
        <w:ind w:firstLine="472"/>
        <w:rPr>
          <w:color w:val="auto"/>
          <w:kern w:val="21"/>
        </w:rPr>
      </w:pPr>
      <w:r>
        <w:rPr>
          <w:color w:val="auto"/>
          <w:kern w:val="21"/>
        </w:rPr>
        <w:t>本项目为工业园区污水处理工程，</w:t>
      </w:r>
      <w:r>
        <w:rPr>
          <w:color w:val="auto"/>
          <w:kern w:val="21"/>
          <w:lang w:bidi="ar"/>
        </w:rPr>
        <w:t>处理的废水包括富民工业园区生产企业产生的工业废水、生活污水，设计处理规模为5000m</w:t>
      </w:r>
      <w:r>
        <w:rPr>
          <w:color w:val="auto"/>
          <w:kern w:val="21"/>
          <w:vertAlign w:val="superscript"/>
          <w:lang w:bidi="ar"/>
        </w:rPr>
        <w:t>3</w:t>
      </w:r>
      <w:r>
        <w:rPr>
          <w:color w:val="auto"/>
          <w:kern w:val="21"/>
          <w:lang w:bidi="ar"/>
        </w:rPr>
        <w:t>/d，废水处理达到</w:t>
      </w:r>
      <w:r>
        <w:rPr>
          <w:rFonts w:hint="eastAsia"/>
          <w:color w:val="auto"/>
          <w:kern w:val="21"/>
          <w:lang w:eastAsia="zh-CN" w:bidi="ar"/>
        </w:rPr>
        <w:t>表2-23</w:t>
      </w:r>
      <w:r>
        <w:rPr>
          <w:rFonts w:hint="eastAsia"/>
          <w:color w:val="auto"/>
          <w:kern w:val="21"/>
          <w:lang w:val="en-US" w:eastAsia="zh-CN" w:bidi="ar"/>
        </w:rPr>
        <w:t>的限值要求后</w:t>
      </w:r>
      <w:r>
        <w:rPr>
          <w:color w:val="auto"/>
          <w:kern w:val="21"/>
          <w:lang w:bidi="ar"/>
        </w:rPr>
        <w:t>，通过</w:t>
      </w:r>
      <w:r>
        <w:rPr>
          <w:rFonts w:hint="eastAsia"/>
          <w:color w:val="auto"/>
          <w:kern w:val="21"/>
          <w:lang w:bidi="ar"/>
        </w:rPr>
        <w:t>西侧排洪暗</w:t>
      </w:r>
      <w:r>
        <w:rPr>
          <w:color w:val="auto"/>
          <w:kern w:val="21"/>
          <w:lang w:bidi="ar"/>
        </w:rPr>
        <w:t>渠</w:t>
      </w:r>
      <w:r>
        <w:rPr>
          <w:rFonts w:hint="eastAsia"/>
          <w:color w:val="auto"/>
          <w:kern w:val="21"/>
          <w:lang w:bidi="ar"/>
        </w:rPr>
        <w:t>在阳光桥汇</w:t>
      </w:r>
      <w:r>
        <w:rPr>
          <w:color w:val="auto"/>
          <w:kern w:val="21"/>
          <w:lang w:bidi="ar"/>
        </w:rPr>
        <w:t>入青龙河，</w:t>
      </w:r>
      <w:r>
        <w:rPr>
          <w:color w:val="auto"/>
          <w:kern w:val="21"/>
        </w:rPr>
        <w:t>因此项目地表水评价范围确定为</w:t>
      </w:r>
      <w:r>
        <w:rPr>
          <w:rFonts w:hint="eastAsia"/>
          <w:color w:val="auto"/>
          <w:kern w:val="21"/>
          <w:lang w:bidi="ar"/>
        </w:rPr>
        <w:t>阳光桥汇</w:t>
      </w:r>
      <w:r>
        <w:rPr>
          <w:color w:val="auto"/>
          <w:kern w:val="21"/>
          <w:lang w:bidi="ar"/>
        </w:rPr>
        <w:t>入青龙河</w:t>
      </w:r>
      <w:r>
        <w:rPr>
          <w:color w:val="auto"/>
          <w:kern w:val="21"/>
        </w:rPr>
        <w:t>排水口</w:t>
      </w:r>
      <w:r>
        <w:rPr>
          <w:rFonts w:hint="eastAsia"/>
          <w:color w:val="auto"/>
          <w:kern w:val="21"/>
        </w:rPr>
        <w:t>上游500m</w:t>
      </w:r>
      <w:r>
        <w:rPr>
          <w:color w:val="auto"/>
          <w:kern w:val="21"/>
        </w:rPr>
        <w:t>至青龙河汇入龙川江交汇处</w:t>
      </w:r>
      <w:r>
        <w:rPr>
          <w:rFonts w:hint="eastAsia"/>
          <w:color w:val="auto"/>
          <w:kern w:val="21"/>
        </w:rPr>
        <w:t>，共计</w:t>
      </w:r>
      <w:r>
        <w:rPr>
          <w:color w:val="auto"/>
          <w:kern w:val="21"/>
        </w:rPr>
        <w:t>3.42km长的河段。</w:t>
      </w:r>
    </w:p>
    <w:p>
      <w:pPr>
        <w:autoSpaceDE w:val="0"/>
        <w:autoSpaceDN w:val="0"/>
        <w:ind w:firstLine="474"/>
        <w:rPr>
          <w:b/>
          <w:color w:val="auto"/>
          <w:kern w:val="21"/>
        </w:rPr>
      </w:pPr>
      <w:r>
        <w:rPr>
          <w:b/>
          <w:color w:val="auto"/>
          <w:kern w:val="21"/>
        </w:rPr>
        <w:t>3、地下水环境评价范围</w:t>
      </w:r>
    </w:p>
    <w:p>
      <w:pPr>
        <w:pStyle w:val="23"/>
        <w:spacing w:after="0" w:line="360" w:lineRule="auto"/>
        <w:ind w:left="0" w:leftChars="0" w:firstLine="472"/>
        <w:rPr>
          <w:color w:val="auto"/>
          <w:kern w:val="21"/>
        </w:rPr>
      </w:pPr>
      <w:r>
        <w:rPr>
          <w:color w:val="auto"/>
          <w:kern w:val="21"/>
        </w:rPr>
        <w:t>根据《楚雄市富民工业园区污水处理厂（一期）项目场地岩土工程勘察报告》，项目区地表主要为上层为第四系填土层，下层为第四系冲洪层</w:t>
      </w:r>
      <w:r>
        <w:rPr>
          <w:rFonts w:hint="eastAsia"/>
          <w:color w:val="auto"/>
          <w:kern w:val="21"/>
        </w:rPr>
        <w:t>（</w:t>
      </w:r>
      <w:r>
        <w:rPr>
          <w:color w:val="auto"/>
          <w:kern w:val="21"/>
        </w:rPr>
        <w:t>Q4al+pl</w:t>
      </w:r>
      <w:r>
        <w:rPr>
          <w:rFonts w:hint="eastAsia"/>
          <w:color w:val="auto"/>
          <w:kern w:val="21"/>
        </w:rPr>
        <w:t>）</w:t>
      </w:r>
      <w:r>
        <w:rPr>
          <w:color w:val="auto"/>
          <w:kern w:val="21"/>
        </w:rPr>
        <w:t>粘性土、粉土、粉砂及圆砾层，下伏基岩为白垩系下统普昌河组（K1p）泥岩。本次评价采用公式计算法确定地下水评价范围。</w:t>
      </w:r>
    </w:p>
    <w:p>
      <w:pPr>
        <w:ind w:firstLine="472"/>
        <w:rPr>
          <w:color w:val="auto"/>
          <w:kern w:val="21"/>
        </w:rPr>
      </w:pPr>
      <w:r>
        <w:rPr>
          <w:color w:val="auto"/>
          <w:kern w:val="21"/>
        </w:rPr>
        <w:t>根据地下水导则，地下水评价范围确定的计算公式如下：</w:t>
      </w:r>
    </w:p>
    <w:p>
      <w:pPr>
        <w:ind w:firstLine="2160" w:firstLineChars="900"/>
        <w:rPr>
          <w:color w:val="auto"/>
          <w:kern w:val="21"/>
        </w:rPr>
      </w:pPr>
      <w:r>
        <w:rPr>
          <w:color w:val="auto"/>
          <w:kern w:val="21"/>
        </w:rPr>
        <w:t>L=α×K×I×T/n</w:t>
      </w:r>
      <w:r>
        <w:rPr>
          <w:color w:val="auto"/>
          <w:kern w:val="21"/>
          <w:vertAlign w:val="subscript"/>
        </w:rPr>
        <w:t>e</w:t>
      </w:r>
    </w:p>
    <w:p>
      <w:pPr>
        <w:pStyle w:val="23"/>
        <w:spacing w:after="0" w:line="360" w:lineRule="auto"/>
        <w:ind w:left="0" w:leftChars="0" w:firstLine="472"/>
        <w:rPr>
          <w:color w:val="auto"/>
          <w:kern w:val="21"/>
        </w:rPr>
      </w:pPr>
      <w:r>
        <w:rPr>
          <w:color w:val="auto"/>
          <w:kern w:val="21"/>
        </w:rPr>
        <w:t>式中：L—下游迁移距离，m；α—变化系数，一般取2；</w:t>
      </w:r>
    </w:p>
    <w:p>
      <w:pPr>
        <w:pStyle w:val="23"/>
        <w:spacing w:after="0" w:line="360" w:lineRule="auto"/>
        <w:ind w:left="0" w:leftChars="0" w:firstLine="1200" w:firstLineChars="500"/>
        <w:rPr>
          <w:color w:val="auto"/>
          <w:kern w:val="21"/>
        </w:rPr>
      </w:pPr>
      <w:r>
        <w:rPr>
          <w:color w:val="auto"/>
          <w:kern w:val="21"/>
        </w:rPr>
        <w:t>K—渗透系数，m/d；I—水力坡度，无量纲；</w:t>
      </w:r>
    </w:p>
    <w:p>
      <w:pPr>
        <w:pStyle w:val="23"/>
        <w:spacing w:after="0" w:line="360" w:lineRule="auto"/>
        <w:ind w:left="0" w:leftChars="0" w:firstLine="1200" w:firstLineChars="500"/>
        <w:rPr>
          <w:color w:val="auto"/>
          <w:kern w:val="21"/>
        </w:rPr>
      </w:pPr>
      <w:r>
        <w:rPr>
          <w:color w:val="auto"/>
          <w:kern w:val="21"/>
        </w:rPr>
        <w:t>T—质点迁移天数，取5000d；n</w:t>
      </w:r>
      <w:r>
        <w:rPr>
          <w:color w:val="auto"/>
          <w:kern w:val="21"/>
          <w:vertAlign w:val="subscript"/>
        </w:rPr>
        <w:t>e</w:t>
      </w:r>
      <w:r>
        <w:rPr>
          <w:color w:val="auto"/>
          <w:kern w:val="21"/>
        </w:rPr>
        <w:t>—有效孔隙度。</w:t>
      </w:r>
    </w:p>
    <w:p>
      <w:pPr>
        <w:widowControl/>
        <w:ind w:firstLine="472"/>
        <w:jc w:val="left"/>
        <w:rPr>
          <w:color w:val="auto"/>
          <w:kern w:val="21"/>
        </w:rPr>
      </w:pPr>
      <w:r>
        <w:rPr>
          <w:color w:val="auto"/>
          <w:kern w:val="21"/>
          <w:lang w:bidi="ar"/>
        </w:rPr>
        <w:t>①渗透系数</w:t>
      </w:r>
    </w:p>
    <w:p>
      <w:pPr>
        <w:widowControl/>
        <w:ind w:firstLine="472"/>
        <w:jc w:val="left"/>
        <w:rPr>
          <w:color w:val="auto"/>
          <w:kern w:val="21"/>
        </w:rPr>
      </w:pPr>
      <w:r>
        <w:rPr>
          <w:color w:val="auto"/>
          <w:kern w:val="21"/>
          <w:lang w:bidi="ar"/>
        </w:rPr>
        <w:t>拟建项目区地下水类型主要为松散岩类孔隙潜水和碎屑岩裂隙潜水两种类型，含水层岩性主要为粉砂、粉土及白垩系下统普昌河组（</w:t>
      </w:r>
      <w:r>
        <w:rPr>
          <w:rFonts w:eastAsia="TimesNewRomanPSMT"/>
          <w:color w:val="auto"/>
          <w:kern w:val="21"/>
          <w:lang w:bidi="ar"/>
        </w:rPr>
        <w:t>K</w:t>
      </w:r>
      <w:r>
        <w:rPr>
          <w:rFonts w:eastAsia="TimesNewRomanPSMT"/>
          <w:color w:val="auto"/>
          <w:kern w:val="21"/>
          <w:sz w:val="16"/>
          <w:szCs w:val="16"/>
          <w:lang w:bidi="ar"/>
        </w:rPr>
        <w:t>1</w:t>
      </w:r>
      <w:r>
        <w:rPr>
          <w:rFonts w:eastAsia="TimesNewRomanPSMT"/>
          <w:color w:val="auto"/>
          <w:kern w:val="21"/>
          <w:lang w:bidi="ar"/>
        </w:rPr>
        <w:t>p</w:t>
      </w:r>
      <w:r>
        <w:rPr>
          <w:color w:val="auto"/>
          <w:kern w:val="21"/>
          <w:lang w:bidi="ar"/>
        </w:rPr>
        <w:t>）泥岩，富水性弱～中等，参考地下水导则附录B（渗透系数经验值表）</w:t>
      </w:r>
      <w:r>
        <w:rPr>
          <w:rFonts w:hint="eastAsia"/>
          <w:color w:val="auto"/>
          <w:kern w:val="21"/>
          <w:lang w:bidi="ar"/>
        </w:rPr>
        <w:t>，</w:t>
      </w:r>
      <w:r>
        <w:rPr>
          <w:color w:val="auto"/>
          <w:kern w:val="21"/>
          <w:lang w:bidi="ar"/>
        </w:rPr>
        <w:t>岩层渗透系数经验值为1.0～1.5m/d，计算时渗透系数取为1.5m/d。</w:t>
      </w:r>
    </w:p>
    <w:p>
      <w:pPr>
        <w:widowControl/>
        <w:ind w:firstLine="472"/>
        <w:jc w:val="left"/>
        <w:rPr>
          <w:color w:val="auto"/>
          <w:kern w:val="21"/>
          <w:lang w:bidi="ar"/>
        </w:rPr>
      </w:pPr>
      <w:r>
        <w:rPr>
          <w:color w:val="auto"/>
          <w:kern w:val="21"/>
          <w:lang w:bidi="ar"/>
        </w:rPr>
        <w:t>②水力坡度及水流速度</w:t>
      </w:r>
    </w:p>
    <w:p>
      <w:pPr>
        <w:widowControl/>
        <w:ind w:firstLine="472"/>
        <w:jc w:val="left"/>
        <w:rPr>
          <w:color w:val="auto"/>
          <w:kern w:val="21"/>
          <w:lang w:bidi="ar"/>
        </w:rPr>
      </w:pPr>
      <w:r>
        <w:rPr>
          <w:color w:val="auto"/>
          <w:kern w:val="21"/>
          <w:lang w:bidi="ar"/>
        </w:rPr>
        <w:t>根据《</w:t>
      </w:r>
      <w:r>
        <w:rPr>
          <w:color w:val="auto"/>
          <w:kern w:val="21"/>
        </w:rPr>
        <w:t>楚雄市富民工业园区污水处理厂（一期）项目场地岩土工程勘察报告</w:t>
      </w:r>
      <w:r>
        <w:rPr>
          <w:color w:val="auto"/>
          <w:kern w:val="21"/>
          <w:lang w:bidi="ar"/>
        </w:rPr>
        <w:t>》，勘察单位（云南地质工程勘察院）在场地边界四周共设置钻孔</w:t>
      </w:r>
      <w:r>
        <w:rPr>
          <w:rFonts w:eastAsia="TimesNewRomanPSMT"/>
          <w:color w:val="auto"/>
          <w:kern w:val="21"/>
          <w:lang w:bidi="ar"/>
        </w:rPr>
        <w:t>100</w:t>
      </w:r>
      <w:r>
        <w:rPr>
          <w:color w:val="auto"/>
          <w:kern w:val="21"/>
          <w:lang w:bidi="ar"/>
        </w:rPr>
        <w:t>个，钻孔间距</w:t>
      </w:r>
      <w:r>
        <w:rPr>
          <w:rFonts w:eastAsia="TimesNewRomanPSMT"/>
          <w:color w:val="auto"/>
          <w:kern w:val="21"/>
          <w:lang w:bidi="ar"/>
        </w:rPr>
        <w:t>5</w:t>
      </w:r>
      <w:r>
        <w:rPr>
          <w:color w:val="auto"/>
          <w:kern w:val="21"/>
          <w:lang w:bidi="ar"/>
        </w:rPr>
        <w:t>～</w:t>
      </w:r>
      <w:r>
        <w:rPr>
          <w:rFonts w:eastAsia="TimesNewRomanPSMT"/>
          <w:color w:val="auto"/>
          <w:kern w:val="21"/>
          <w:lang w:bidi="ar"/>
        </w:rPr>
        <w:t>24m</w:t>
      </w:r>
      <w:r>
        <w:rPr>
          <w:color w:val="auto"/>
          <w:kern w:val="21"/>
          <w:lang w:bidi="ar"/>
        </w:rPr>
        <w:t>，根据两钻孔的高程差与钻孔间距计算得到的地下水水力坡度为0.010-0.0578，本次地下水评价地下水水力坡度取0.0578。</w:t>
      </w:r>
    </w:p>
    <w:p>
      <w:pPr>
        <w:ind w:firstLine="472"/>
        <w:rPr>
          <w:color w:val="auto"/>
          <w:kern w:val="21"/>
        </w:rPr>
      </w:pPr>
      <w:r>
        <w:rPr>
          <w:color w:val="auto"/>
          <w:kern w:val="21"/>
        </w:rPr>
        <w:t>③有效孔隙度</w:t>
      </w:r>
    </w:p>
    <w:p>
      <w:pPr>
        <w:ind w:firstLine="472"/>
        <w:rPr>
          <w:color w:val="auto"/>
          <w:kern w:val="21"/>
        </w:rPr>
      </w:pPr>
      <w:r>
        <w:rPr>
          <w:color w:val="auto"/>
          <w:kern w:val="21"/>
        </w:rPr>
        <w:t>综合场地水文地质条件，有效孔隙度取0.4。</w:t>
      </w:r>
    </w:p>
    <w:p>
      <w:pPr>
        <w:ind w:firstLine="472"/>
        <w:rPr>
          <w:color w:val="auto"/>
          <w:kern w:val="21"/>
        </w:rPr>
      </w:pPr>
      <w:r>
        <w:rPr>
          <w:color w:val="auto"/>
          <w:kern w:val="21"/>
        </w:rPr>
        <w:t>综上，L=α×K×I×T/ne=2×1.5×0.0</w:t>
      </w:r>
      <w:r>
        <w:rPr>
          <w:rFonts w:hint="eastAsia"/>
          <w:color w:val="auto"/>
          <w:kern w:val="21"/>
        </w:rPr>
        <w:t>578</w:t>
      </w:r>
      <w:r>
        <w:rPr>
          <w:color w:val="auto"/>
          <w:kern w:val="21"/>
        </w:rPr>
        <w:t>×5000/0.4=</w:t>
      </w:r>
      <w:r>
        <w:rPr>
          <w:rFonts w:hint="eastAsia"/>
          <w:color w:val="auto"/>
          <w:kern w:val="21"/>
        </w:rPr>
        <w:t>2167.5</w:t>
      </w:r>
      <w:r>
        <w:rPr>
          <w:color w:val="auto"/>
          <w:kern w:val="21"/>
        </w:rPr>
        <w:t>m，项目地下水评价范围确定为场地上游1km，下游</w:t>
      </w:r>
      <w:r>
        <w:rPr>
          <w:rFonts w:hint="eastAsia"/>
          <w:color w:val="auto"/>
          <w:kern w:val="21"/>
        </w:rPr>
        <w:t>2.2</w:t>
      </w:r>
      <w:r>
        <w:rPr>
          <w:color w:val="auto"/>
          <w:kern w:val="21"/>
        </w:rPr>
        <w:t>km，两侧各1.7km，评价范围面积约</w:t>
      </w:r>
      <w:r>
        <w:rPr>
          <w:rFonts w:hint="eastAsia"/>
          <w:color w:val="auto"/>
          <w:kern w:val="21"/>
        </w:rPr>
        <w:t>10.88</w:t>
      </w:r>
      <w:r>
        <w:rPr>
          <w:color w:val="auto"/>
          <w:kern w:val="21"/>
        </w:rPr>
        <w:t>km</w:t>
      </w:r>
      <w:r>
        <w:rPr>
          <w:color w:val="auto"/>
          <w:kern w:val="21"/>
          <w:vertAlign w:val="superscript"/>
        </w:rPr>
        <w:t>2</w:t>
      </w:r>
      <w:r>
        <w:rPr>
          <w:color w:val="auto"/>
          <w:kern w:val="21"/>
        </w:rPr>
        <w:t>。</w:t>
      </w:r>
    </w:p>
    <w:p>
      <w:pPr>
        <w:ind w:firstLine="472"/>
        <w:rPr>
          <w:color w:val="auto"/>
          <w:kern w:val="21"/>
        </w:rPr>
      </w:pPr>
      <w:r>
        <w:rPr>
          <w:color w:val="auto"/>
          <w:kern w:val="21"/>
        </w:rPr>
        <w:t>地下水评价范围见</w:t>
      </w:r>
      <w:r>
        <w:rPr>
          <w:rFonts w:hint="eastAsia"/>
          <w:color w:val="auto"/>
          <w:kern w:val="21"/>
          <w:lang w:eastAsia="zh-CN"/>
        </w:rPr>
        <w:t>下图</w:t>
      </w:r>
      <w:r>
        <w:rPr>
          <w:color w:val="auto"/>
          <w:kern w:val="21"/>
        </w:rPr>
        <w:t>。</w:t>
      </w:r>
    </w:p>
    <w:p>
      <w:pPr>
        <w:pStyle w:val="16"/>
        <w:adjustRightInd/>
        <w:spacing w:before="0"/>
        <w:ind w:right="0" w:firstLine="0" w:firstLineChars="0"/>
        <w:jc w:val="center"/>
        <w:rPr>
          <w:color w:val="auto"/>
          <w:kern w:val="21"/>
        </w:rPr>
      </w:pPr>
      <w:r>
        <w:rPr>
          <w:color w:val="auto"/>
          <w:kern w:val="21"/>
        </w:rPr>
        <w:drawing>
          <wp:inline distT="0" distB="0" distL="0" distR="0">
            <wp:extent cx="4796155" cy="4355465"/>
            <wp:effectExtent l="0" t="0" r="4445" b="6985"/>
            <wp:docPr id="6"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96155" cy="4355465"/>
                    </a:xfrm>
                    <a:prstGeom prst="rect">
                      <a:avLst/>
                    </a:prstGeom>
                    <a:noFill/>
                    <a:ln>
                      <a:noFill/>
                    </a:ln>
                    <a:effectLst/>
                  </pic:spPr>
                </pic:pic>
              </a:graphicData>
            </a:graphic>
          </wp:inline>
        </w:drawing>
      </w:r>
    </w:p>
    <w:p>
      <w:pPr>
        <w:numPr>
          <w:ilvl w:val="0"/>
          <w:numId w:val="4"/>
        </w:numPr>
        <w:spacing w:line="240" w:lineRule="auto"/>
        <w:ind w:left="0" w:leftChars="0" w:firstLine="420" w:firstLineChars="0"/>
        <w:jc w:val="center"/>
        <w:rPr>
          <w:b/>
          <w:bCs/>
          <w:color w:val="auto"/>
          <w:kern w:val="21"/>
        </w:rPr>
      </w:pPr>
      <w:r>
        <w:rPr>
          <w:b/>
          <w:bCs/>
          <w:color w:val="auto"/>
          <w:kern w:val="21"/>
        </w:rPr>
        <w:t>项目</w:t>
      </w:r>
      <w:r>
        <w:rPr>
          <w:b/>
          <w:color w:val="auto"/>
          <w:kern w:val="21"/>
        </w:rPr>
        <w:t>地下水</w:t>
      </w:r>
      <w:r>
        <w:rPr>
          <w:b/>
          <w:bCs/>
          <w:color w:val="auto"/>
          <w:kern w:val="21"/>
        </w:rPr>
        <w:t>评价范围</w:t>
      </w:r>
    </w:p>
    <w:p>
      <w:pPr>
        <w:autoSpaceDE w:val="0"/>
        <w:autoSpaceDN w:val="0"/>
        <w:adjustRightInd w:val="0"/>
        <w:ind w:firstLine="474"/>
        <w:rPr>
          <w:b/>
          <w:color w:val="auto"/>
          <w:kern w:val="21"/>
        </w:rPr>
      </w:pPr>
      <w:r>
        <w:rPr>
          <w:rFonts w:hint="eastAsia"/>
          <w:b/>
          <w:color w:val="auto"/>
          <w:kern w:val="21"/>
        </w:rPr>
        <w:t>4</w:t>
      </w:r>
      <w:r>
        <w:rPr>
          <w:b/>
          <w:color w:val="auto"/>
          <w:kern w:val="21"/>
        </w:rPr>
        <w:t>、声环境评价范围</w:t>
      </w:r>
    </w:p>
    <w:p>
      <w:pPr>
        <w:ind w:firstLine="472"/>
        <w:rPr>
          <w:color w:val="auto"/>
          <w:kern w:val="21"/>
        </w:rPr>
      </w:pPr>
      <w:r>
        <w:rPr>
          <w:color w:val="auto"/>
          <w:kern w:val="21"/>
        </w:rPr>
        <w:t>厂址边界四周向外延伸200m的范围。</w:t>
      </w:r>
    </w:p>
    <w:p>
      <w:pPr>
        <w:ind w:firstLine="474"/>
        <w:rPr>
          <w:color w:val="auto"/>
          <w:kern w:val="21"/>
        </w:rPr>
      </w:pPr>
      <w:r>
        <w:rPr>
          <w:rFonts w:hint="eastAsia"/>
          <w:b/>
          <w:color w:val="auto"/>
          <w:kern w:val="21"/>
        </w:rPr>
        <w:t>5</w:t>
      </w:r>
      <w:r>
        <w:rPr>
          <w:b/>
          <w:color w:val="auto"/>
          <w:kern w:val="21"/>
        </w:rPr>
        <w:t>、生态环境评价范围</w:t>
      </w:r>
    </w:p>
    <w:p>
      <w:pPr>
        <w:ind w:firstLine="472"/>
        <w:rPr>
          <w:rFonts w:hint="eastAsia" w:eastAsia="宋体"/>
          <w:color w:val="auto"/>
          <w:kern w:val="21"/>
          <w:lang w:eastAsia="zh-CN"/>
        </w:rPr>
      </w:pPr>
      <w:r>
        <w:rPr>
          <w:rFonts w:hint="eastAsia"/>
          <w:color w:val="auto"/>
          <w:kern w:val="21"/>
          <w:lang w:val="en-US" w:eastAsia="zh-CN"/>
        </w:rPr>
        <w:t>污染影响类建设项目评价范围应涵盖直接占用区域以及污染物排放产生的间接生态影响区域</w:t>
      </w:r>
      <w:r>
        <w:rPr>
          <w:color w:val="auto"/>
          <w:kern w:val="21"/>
        </w:rPr>
        <w:t>。</w:t>
      </w:r>
      <w:r>
        <w:rPr>
          <w:rFonts w:hint="eastAsia"/>
          <w:color w:val="auto"/>
          <w:kern w:val="21"/>
          <w:lang w:eastAsia="zh-CN"/>
        </w:rPr>
        <w:t>因此，本项目生态环境评价范围为项目厂区（</w:t>
      </w:r>
      <w:r>
        <w:rPr>
          <w:rFonts w:hint="eastAsia"/>
          <w:color w:val="auto"/>
          <w:kern w:val="21"/>
          <w:lang w:val="en-US" w:eastAsia="zh-CN"/>
        </w:rPr>
        <w:t>1.16hm</w:t>
      </w:r>
      <w:r>
        <w:rPr>
          <w:rFonts w:hint="eastAsia"/>
          <w:color w:val="auto"/>
          <w:kern w:val="21"/>
          <w:vertAlign w:val="superscript"/>
          <w:lang w:val="en-US" w:eastAsia="zh-CN"/>
        </w:rPr>
        <w:t>2</w:t>
      </w:r>
      <w:r>
        <w:rPr>
          <w:rFonts w:hint="eastAsia"/>
          <w:color w:val="auto"/>
          <w:kern w:val="21"/>
          <w:lang w:eastAsia="zh-CN"/>
        </w:rPr>
        <w:t>）、项目排污口下游的龙川江河段（</w:t>
      </w:r>
      <w:r>
        <w:rPr>
          <w:rFonts w:hint="eastAsia"/>
          <w:color w:val="auto"/>
          <w:kern w:val="21"/>
          <w:lang w:val="en-US" w:eastAsia="zh-CN"/>
        </w:rPr>
        <w:t>3.42km，4.44hm</w:t>
      </w:r>
      <w:r>
        <w:rPr>
          <w:rFonts w:hint="eastAsia"/>
          <w:color w:val="auto"/>
          <w:kern w:val="21"/>
          <w:vertAlign w:val="superscript"/>
          <w:lang w:val="en-US" w:eastAsia="zh-CN"/>
        </w:rPr>
        <w:t>2</w:t>
      </w:r>
      <w:r>
        <w:rPr>
          <w:rFonts w:hint="eastAsia"/>
          <w:color w:val="auto"/>
          <w:kern w:val="21"/>
          <w:lang w:eastAsia="zh-CN"/>
        </w:rPr>
        <w:t>）和青龙河入龙川江段至西观桥断面（</w:t>
      </w:r>
      <w:r>
        <w:rPr>
          <w:rFonts w:hint="eastAsia"/>
          <w:color w:val="auto"/>
          <w:kern w:val="21"/>
          <w:lang w:val="en-US" w:eastAsia="zh-CN"/>
        </w:rPr>
        <w:t>9.1km，45.5hm</w:t>
      </w:r>
      <w:r>
        <w:rPr>
          <w:rFonts w:hint="eastAsia"/>
          <w:color w:val="auto"/>
          <w:kern w:val="21"/>
          <w:vertAlign w:val="superscript"/>
          <w:lang w:val="en-US" w:eastAsia="zh-CN"/>
        </w:rPr>
        <w:t>2</w:t>
      </w:r>
      <w:r>
        <w:rPr>
          <w:rFonts w:hint="eastAsia"/>
          <w:color w:val="auto"/>
          <w:kern w:val="21"/>
          <w:lang w:eastAsia="zh-CN"/>
        </w:rPr>
        <w:t>）范围内的水文单元。</w:t>
      </w:r>
    </w:p>
    <w:p>
      <w:pPr>
        <w:pStyle w:val="23"/>
        <w:spacing w:after="0" w:line="360" w:lineRule="auto"/>
        <w:ind w:left="0" w:leftChars="0" w:firstLine="474"/>
        <w:rPr>
          <w:b/>
          <w:bCs/>
          <w:color w:val="auto"/>
          <w:kern w:val="21"/>
        </w:rPr>
      </w:pPr>
      <w:r>
        <w:rPr>
          <w:b/>
          <w:bCs/>
          <w:color w:val="auto"/>
          <w:kern w:val="21"/>
        </w:rPr>
        <w:t>6、土壤环境</w:t>
      </w:r>
    </w:p>
    <w:p>
      <w:pPr>
        <w:widowControl/>
        <w:ind w:firstLine="472"/>
        <w:jc w:val="left"/>
        <w:rPr>
          <w:color w:val="auto"/>
          <w:kern w:val="21"/>
          <w:lang w:bidi="ar"/>
        </w:rPr>
      </w:pPr>
      <w:r>
        <w:rPr>
          <w:color w:val="auto"/>
          <w:kern w:val="21"/>
          <w:lang w:bidi="ar"/>
        </w:rPr>
        <w:t>本项目土壤环境评价等级为三级，根据《环境影响评价技术导则土壤环境（试行）》（HJ964-2018），土壤环境评价范围为项目占地范围及四周厂界外扩50m的区域。</w:t>
      </w:r>
    </w:p>
    <w:p>
      <w:pPr>
        <w:pStyle w:val="16"/>
        <w:adjustRightInd/>
        <w:spacing w:before="0"/>
        <w:ind w:right="0" w:firstLine="474"/>
        <w:rPr>
          <w:rFonts w:ascii="Times New Roman" w:hAnsi="Times New Roman"/>
          <w:b/>
          <w:bCs/>
          <w:color w:val="auto"/>
          <w:kern w:val="21"/>
          <w:sz w:val="24"/>
          <w:szCs w:val="24"/>
        </w:rPr>
      </w:pPr>
      <w:r>
        <w:rPr>
          <w:rFonts w:ascii="Times New Roman" w:hAnsi="Times New Roman"/>
          <w:b/>
          <w:bCs/>
          <w:color w:val="auto"/>
          <w:kern w:val="21"/>
          <w:sz w:val="24"/>
          <w:szCs w:val="24"/>
        </w:rPr>
        <w:t>7、风险评价范围</w:t>
      </w:r>
    </w:p>
    <w:p>
      <w:pPr>
        <w:pStyle w:val="16"/>
        <w:adjustRightInd/>
        <w:spacing w:before="0"/>
        <w:ind w:right="0" w:firstLine="472"/>
        <w:rPr>
          <w:rFonts w:ascii="Times New Roman" w:hAnsi="Times New Roman"/>
          <w:color w:val="auto"/>
          <w:kern w:val="21"/>
          <w:sz w:val="24"/>
          <w:szCs w:val="24"/>
        </w:rPr>
      </w:pPr>
      <w:r>
        <w:rPr>
          <w:rFonts w:ascii="Times New Roman" w:hAnsi="Times New Roman"/>
          <w:color w:val="auto"/>
          <w:kern w:val="21"/>
          <w:sz w:val="24"/>
          <w:szCs w:val="24"/>
        </w:rPr>
        <w:t>按照《建设项目环境风险评价技术导则》（HJ169-2018），本项目为评价等级为“简单分析”，故大气环境风险评价不设评价范围；地表水环境风险评价范围</w:t>
      </w:r>
      <w:r>
        <w:rPr>
          <w:rFonts w:hint="eastAsia" w:ascii="Times New Roman" w:hAnsi="Times New Roman"/>
          <w:color w:val="auto"/>
          <w:kern w:val="21"/>
          <w:sz w:val="24"/>
          <w:szCs w:val="24"/>
        </w:rPr>
        <w:t>参照地表水环境评价范围；地下水环境风险评价范围参照地下水环境评价范围。</w:t>
      </w:r>
    </w:p>
    <w:p>
      <w:pPr>
        <w:pStyle w:val="5"/>
        <w:spacing w:after="0"/>
        <w:rPr>
          <w:color w:val="auto"/>
          <w:kern w:val="21"/>
          <w:sz w:val="28"/>
        </w:rPr>
      </w:pPr>
      <w:bookmarkStart w:id="26" w:name="_Toc24118"/>
      <w:r>
        <w:rPr>
          <w:color w:val="auto"/>
          <w:kern w:val="21"/>
          <w:sz w:val="28"/>
        </w:rPr>
        <w:t>2.4评价标准</w:t>
      </w:r>
      <w:bookmarkEnd w:id="26"/>
    </w:p>
    <w:p>
      <w:pPr>
        <w:pStyle w:val="6"/>
        <w:spacing w:after="0"/>
        <w:rPr>
          <w:rFonts w:eastAsia="宋体"/>
          <w:color w:val="auto"/>
          <w:kern w:val="21"/>
          <w:sz w:val="24"/>
          <w:szCs w:val="24"/>
        </w:rPr>
      </w:pPr>
      <w:bookmarkStart w:id="27" w:name="_Toc10978"/>
      <w:r>
        <w:rPr>
          <w:rFonts w:eastAsia="宋体"/>
          <w:color w:val="auto"/>
          <w:kern w:val="21"/>
          <w:sz w:val="24"/>
          <w:szCs w:val="24"/>
        </w:rPr>
        <w:t>2.4.1环境质量标准</w:t>
      </w:r>
      <w:bookmarkEnd w:id="27"/>
    </w:p>
    <w:p>
      <w:pPr>
        <w:ind w:firstLine="474"/>
        <w:rPr>
          <w:b/>
          <w:bCs/>
          <w:color w:val="auto"/>
          <w:kern w:val="21"/>
        </w:rPr>
      </w:pPr>
      <w:r>
        <w:rPr>
          <w:b/>
          <w:bCs/>
          <w:color w:val="auto"/>
          <w:kern w:val="21"/>
        </w:rPr>
        <w:t>1、环境空气</w:t>
      </w:r>
    </w:p>
    <w:p>
      <w:pPr>
        <w:pStyle w:val="178"/>
        <w:ind w:firstLine="472"/>
        <w:rPr>
          <w:rFonts w:cs="Times New Roman"/>
          <w:color w:val="auto"/>
          <w:kern w:val="21"/>
        </w:rPr>
      </w:pPr>
      <w:r>
        <w:rPr>
          <w:rFonts w:cs="Times New Roman"/>
          <w:color w:val="auto"/>
          <w:kern w:val="21"/>
        </w:rPr>
        <w:t>本项目拟选</w:t>
      </w:r>
      <w:r>
        <w:rPr>
          <w:rFonts w:cs="Times New Roman"/>
          <w:color w:val="auto"/>
          <w:kern w:val="21"/>
          <w:szCs w:val="24"/>
          <w:lang w:bidi="ar"/>
        </w:rPr>
        <w:t>厂址位于楚雄市东升路西侧，</w:t>
      </w:r>
      <w:r>
        <w:rPr>
          <w:rFonts w:cs="Times New Roman"/>
          <w:color w:val="auto"/>
          <w:kern w:val="21"/>
        </w:rPr>
        <w:t>属于二类环境空气质量功能区，执行《环境空气质量标准》（GB3095-2012）中的二级标准及其修改单。由于环境空气质量标准》（GB3095-2012）中没有氨、硫化氢的质量浓度限值，因此本次评价参照《环境影响评价技术导则大气环境》（HJ2.2-2018）附录D中氨、硫化氢的1h平均浓度限值进行评价。具体限值见</w:t>
      </w:r>
      <w:r>
        <w:rPr>
          <w:rFonts w:hint="eastAsia" w:cs="Times New Roman"/>
          <w:color w:val="auto"/>
          <w:kern w:val="21"/>
          <w:lang w:eastAsia="zh-CN"/>
        </w:rPr>
        <w:t>下表</w:t>
      </w:r>
      <w:r>
        <w:rPr>
          <w:rFonts w:cs="Times New Roman"/>
          <w:color w:val="auto"/>
          <w:kern w:val="21"/>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color w:val="auto"/>
          <w:kern w:val="21"/>
          <w:lang w:val="zh-CN"/>
        </w:rPr>
      </w:pPr>
      <w:r>
        <w:rPr>
          <w:b/>
          <w:color w:val="auto"/>
          <w:kern w:val="21"/>
        </w:rPr>
        <w:t>《环境空气质量标准》（GB3095-2012）二级浓度限值</w:t>
      </w:r>
    </w:p>
    <w:tbl>
      <w:tblPr>
        <w:tblStyle w:val="51"/>
        <w:tblW w:w="87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3560"/>
        <w:gridCol w:w="2640"/>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34"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序号</w:t>
            </w:r>
          </w:p>
        </w:tc>
        <w:tc>
          <w:tcPr>
            <w:tcW w:w="356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污染物名称</w:t>
            </w: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平均时间</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34"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w:t>
            </w:r>
          </w:p>
        </w:tc>
        <w:tc>
          <w:tcPr>
            <w:tcW w:w="3560"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二氧化硫（SO</w:t>
            </w:r>
            <w:r>
              <w:rPr>
                <w:rFonts w:ascii="Times New Roman" w:hAnsi="Times New Roman" w:cs="Times New Roman"/>
                <w:color w:val="auto"/>
                <w:kern w:val="21"/>
                <w:sz w:val="21"/>
                <w:szCs w:val="21"/>
                <w:vertAlign w:val="subscript"/>
              </w:rPr>
              <w:t>2</w:t>
            </w:r>
            <w:r>
              <w:rPr>
                <w:rFonts w:ascii="Times New Roman" w:hAnsi="Times New Roman" w:cs="Times New Roman"/>
                <w:color w:val="auto"/>
                <w:kern w:val="21"/>
                <w:sz w:val="21"/>
                <w:szCs w:val="21"/>
              </w:rPr>
              <w:t>）</w:t>
            </w: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年平均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60μg/m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34" w:type="dxa"/>
            <w:vMerge w:val="continue"/>
            <w:vAlign w:val="center"/>
          </w:tcPr>
          <w:p>
            <w:pPr>
              <w:pStyle w:val="160"/>
              <w:ind w:left="2" w:hanging="120"/>
              <w:rPr>
                <w:rFonts w:ascii="Times New Roman" w:hAnsi="Times New Roman" w:cs="Times New Roman"/>
                <w:color w:val="auto"/>
                <w:kern w:val="21"/>
                <w:sz w:val="21"/>
                <w:szCs w:val="21"/>
              </w:rPr>
            </w:pPr>
          </w:p>
        </w:tc>
        <w:tc>
          <w:tcPr>
            <w:tcW w:w="3560" w:type="dxa"/>
            <w:vMerge w:val="continue"/>
            <w:vAlign w:val="center"/>
          </w:tcPr>
          <w:p>
            <w:pPr>
              <w:pStyle w:val="160"/>
              <w:ind w:left="2" w:hanging="120"/>
              <w:rPr>
                <w:rFonts w:ascii="Times New Roman" w:hAnsi="Times New Roman" w:cs="Times New Roman"/>
                <w:color w:val="auto"/>
                <w:kern w:val="21"/>
                <w:sz w:val="21"/>
                <w:szCs w:val="21"/>
              </w:rPr>
            </w:pP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24小时平均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150μg/m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34" w:type="dxa"/>
            <w:vMerge w:val="continue"/>
            <w:vAlign w:val="center"/>
          </w:tcPr>
          <w:p>
            <w:pPr>
              <w:pStyle w:val="160"/>
              <w:ind w:left="2" w:hanging="120"/>
              <w:rPr>
                <w:rFonts w:ascii="Times New Roman" w:hAnsi="Times New Roman" w:cs="Times New Roman"/>
                <w:color w:val="auto"/>
                <w:kern w:val="21"/>
                <w:sz w:val="21"/>
                <w:szCs w:val="21"/>
              </w:rPr>
            </w:pPr>
          </w:p>
        </w:tc>
        <w:tc>
          <w:tcPr>
            <w:tcW w:w="3560" w:type="dxa"/>
            <w:vMerge w:val="continue"/>
            <w:vAlign w:val="center"/>
          </w:tcPr>
          <w:p>
            <w:pPr>
              <w:pStyle w:val="160"/>
              <w:ind w:left="2" w:hanging="120"/>
              <w:rPr>
                <w:rFonts w:ascii="Times New Roman" w:hAnsi="Times New Roman" w:cs="Times New Roman"/>
                <w:color w:val="auto"/>
                <w:kern w:val="21"/>
                <w:sz w:val="21"/>
                <w:szCs w:val="21"/>
              </w:rPr>
            </w:pP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500μg/m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34"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2</w:t>
            </w:r>
          </w:p>
        </w:tc>
        <w:tc>
          <w:tcPr>
            <w:tcW w:w="3560"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二氧化氮</w:t>
            </w: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年平均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40μg/m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34" w:type="dxa"/>
            <w:vMerge w:val="continue"/>
            <w:vAlign w:val="center"/>
          </w:tcPr>
          <w:p>
            <w:pPr>
              <w:pStyle w:val="160"/>
              <w:ind w:left="2" w:hanging="120"/>
              <w:rPr>
                <w:rFonts w:ascii="Times New Roman" w:hAnsi="Times New Roman" w:cs="Times New Roman"/>
                <w:color w:val="auto"/>
                <w:kern w:val="21"/>
                <w:sz w:val="21"/>
                <w:szCs w:val="21"/>
              </w:rPr>
            </w:pPr>
          </w:p>
        </w:tc>
        <w:tc>
          <w:tcPr>
            <w:tcW w:w="3560" w:type="dxa"/>
            <w:vMerge w:val="continue"/>
            <w:vAlign w:val="center"/>
          </w:tcPr>
          <w:p>
            <w:pPr>
              <w:pStyle w:val="160"/>
              <w:ind w:left="2" w:hanging="120"/>
              <w:rPr>
                <w:rFonts w:ascii="Times New Roman" w:hAnsi="Times New Roman" w:cs="Times New Roman"/>
                <w:color w:val="auto"/>
                <w:kern w:val="21"/>
                <w:sz w:val="21"/>
                <w:szCs w:val="21"/>
              </w:rPr>
            </w:pP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24小时平均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80μg/m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34" w:type="dxa"/>
            <w:vMerge w:val="continue"/>
            <w:vAlign w:val="center"/>
          </w:tcPr>
          <w:p>
            <w:pPr>
              <w:pStyle w:val="160"/>
              <w:ind w:left="2" w:hanging="120"/>
              <w:rPr>
                <w:rFonts w:ascii="Times New Roman" w:hAnsi="Times New Roman" w:cs="Times New Roman"/>
                <w:color w:val="auto"/>
                <w:kern w:val="21"/>
                <w:sz w:val="21"/>
                <w:szCs w:val="21"/>
              </w:rPr>
            </w:pPr>
          </w:p>
        </w:tc>
        <w:tc>
          <w:tcPr>
            <w:tcW w:w="3560" w:type="dxa"/>
            <w:vMerge w:val="continue"/>
            <w:vAlign w:val="center"/>
          </w:tcPr>
          <w:p>
            <w:pPr>
              <w:pStyle w:val="160"/>
              <w:ind w:left="2" w:hanging="120"/>
              <w:rPr>
                <w:rFonts w:ascii="Times New Roman" w:hAnsi="Times New Roman" w:cs="Times New Roman"/>
                <w:color w:val="auto"/>
                <w:kern w:val="21"/>
                <w:sz w:val="21"/>
                <w:szCs w:val="21"/>
              </w:rPr>
            </w:pP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200μg/m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34"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3</w:t>
            </w:r>
          </w:p>
        </w:tc>
        <w:tc>
          <w:tcPr>
            <w:tcW w:w="3560"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一氧化碳（CO）</w:t>
            </w: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24小时平均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4mg/m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34" w:type="dxa"/>
            <w:vMerge w:val="continue"/>
            <w:vAlign w:val="center"/>
          </w:tcPr>
          <w:p>
            <w:pPr>
              <w:pStyle w:val="160"/>
              <w:ind w:left="2" w:hanging="120"/>
              <w:rPr>
                <w:rFonts w:ascii="Times New Roman" w:hAnsi="Times New Roman" w:cs="Times New Roman"/>
                <w:color w:val="auto"/>
                <w:kern w:val="21"/>
                <w:sz w:val="21"/>
                <w:szCs w:val="21"/>
              </w:rPr>
            </w:pPr>
          </w:p>
        </w:tc>
        <w:tc>
          <w:tcPr>
            <w:tcW w:w="3560" w:type="dxa"/>
            <w:vMerge w:val="continue"/>
            <w:vAlign w:val="center"/>
          </w:tcPr>
          <w:p>
            <w:pPr>
              <w:pStyle w:val="160"/>
              <w:ind w:left="2" w:hanging="120"/>
              <w:rPr>
                <w:rFonts w:ascii="Times New Roman" w:hAnsi="Times New Roman" w:cs="Times New Roman"/>
                <w:color w:val="auto"/>
                <w:kern w:val="21"/>
                <w:sz w:val="21"/>
                <w:szCs w:val="21"/>
              </w:rPr>
            </w:pP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10mg/m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34"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4</w:t>
            </w:r>
          </w:p>
        </w:tc>
        <w:tc>
          <w:tcPr>
            <w:tcW w:w="3560"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臭氧（O</w:t>
            </w:r>
            <w:r>
              <w:rPr>
                <w:rFonts w:ascii="Times New Roman" w:hAnsi="Times New Roman" w:cs="Times New Roman"/>
                <w:color w:val="auto"/>
                <w:kern w:val="21"/>
                <w:sz w:val="21"/>
                <w:szCs w:val="21"/>
                <w:vertAlign w:val="subscript"/>
              </w:rPr>
              <w:t>3</w:t>
            </w:r>
            <w:r>
              <w:rPr>
                <w:rFonts w:ascii="Times New Roman" w:hAnsi="Times New Roman" w:cs="Times New Roman"/>
                <w:color w:val="auto"/>
                <w:kern w:val="21"/>
                <w:sz w:val="21"/>
                <w:szCs w:val="21"/>
              </w:rPr>
              <w:t>）</w:t>
            </w: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日最大8小时平均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160μg/m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34" w:type="dxa"/>
            <w:vMerge w:val="continue"/>
            <w:vAlign w:val="center"/>
          </w:tcPr>
          <w:p>
            <w:pPr>
              <w:pStyle w:val="160"/>
              <w:ind w:left="2" w:hanging="120"/>
              <w:rPr>
                <w:rFonts w:ascii="Times New Roman" w:hAnsi="Times New Roman" w:cs="Times New Roman"/>
                <w:color w:val="auto"/>
                <w:kern w:val="21"/>
                <w:sz w:val="21"/>
                <w:szCs w:val="21"/>
              </w:rPr>
            </w:pPr>
          </w:p>
        </w:tc>
        <w:tc>
          <w:tcPr>
            <w:tcW w:w="3560" w:type="dxa"/>
            <w:vMerge w:val="continue"/>
            <w:vAlign w:val="center"/>
          </w:tcPr>
          <w:p>
            <w:pPr>
              <w:pStyle w:val="160"/>
              <w:ind w:left="2" w:hanging="120"/>
              <w:rPr>
                <w:rFonts w:ascii="Times New Roman" w:hAnsi="Times New Roman" w:cs="Times New Roman"/>
                <w:color w:val="auto"/>
                <w:kern w:val="21"/>
                <w:sz w:val="21"/>
                <w:szCs w:val="21"/>
              </w:rPr>
            </w:pP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200μg/m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34"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5</w:t>
            </w:r>
          </w:p>
        </w:tc>
        <w:tc>
          <w:tcPr>
            <w:tcW w:w="3560"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颗粒物</w:t>
            </w:r>
          </w:p>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（粒径小于等于2.5μm，PM</w:t>
            </w:r>
            <w:r>
              <w:rPr>
                <w:rFonts w:ascii="Times New Roman" w:hAnsi="Times New Roman" w:cs="Times New Roman"/>
                <w:color w:val="auto"/>
                <w:kern w:val="21"/>
                <w:sz w:val="21"/>
                <w:szCs w:val="21"/>
                <w:vertAlign w:val="subscript"/>
              </w:rPr>
              <w:t>2.5</w:t>
            </w:r>
            <w:r>
              <w:rPr>
                <w:rFonts w:ascii="Times New Roman" w:hAnsi="Times New Roman" w:cs="Times New Roman"/>
                <w:color w:val="auto"/>
                <w:kern w:val="21"/>
                <w:sz w:val="21"/>
                <w:szCs w:val="21"/>
              </w:rPr>
              <w:t>）</w:t>
            </w: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年平均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35μg/m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34" w:type="dxa"/>
            <w:vMerge w:val="continue"/>
            <w:vAlign w:val="center"/>
          </w:tcPr>
          <w:p>
            <w:pPr>
              <w:pStyle w:val="160"/>
              <w:ind w:left="2" w:hanging="120"/>
              <w:rPr>
                <w:rFonts w:ascii="Times New Roman" w:hAnsi="Times New Roman" w:cs="Times New Roman"/>
                <w:color w:val="auto"/>
                <w:kern w:val="21"/>
                <w:sz w:val="21"/>
                <w:szCs w:val="21"/>
              </w:rPr>
            </w:pPr>
          </w:p>
        </w:tc>
        <w:tc>
          <w:tcPr>
            <w:tcW w:w="3560" w:type="dxa"/>
            <w:vMerge w:val="continue"/>
            <w:vAlign w:val="center"/>
          </w:tcPr>
          <w:p>
            <w:pPr>
              <w:pStyle w:val="160"/>
              <w:ind w:left="2" w:hanging="120"/>
              <w:rPr>
                <w:rFonts w:ascii="Times New Roman" w:hAnsi="Times New Roman" w:cs="Times New Roman"/>
                <w:color w:val="auto"/>
                <w:kern w:val="21"/>
                <w:sz w:val="21"/>
                <w:szCs w:val="21"/>
              </w:rPr>
            </w:pP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24小时平均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75μg/m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34"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6</w:t>
            </w:r>
          </w:p>
        </w:tc>
        <w:tc>
          <w:tcPr>
            <w:tcW w:w="3560" w:type="dxa"/>
            <w:vMerge w:val="restart"/>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颗粒物</w:t>
            </w:r>
          </w:p>
          <w:p>
            <w:pPr>
              <w:pStyle w:val="160"/>
              <w:ind w:left="2" w:hanging="120"/>
              <w:rPr>
                <w:rFonts w:ascii="Times New Roman" w:hAnsi="Times New Roman" w:cs="Times New Roman"/>
                <w:color w:val="auto"/>
                <w:kern w:val="21"/>
                <w:sz w:val="21"/>
                <w:szCs w:val="21"/>
                <w:vertAlign w:val="subscript"/>
              </w:rPr>
            </w:pPr>
            <w:r>
              <w:rPr>
                <w:rFonts w:ascii="Times New Roman" w:hAnsi="Times New Roman" w:cs="Times New Roman"/>
                <w:color w:val="auto"/>
                <w:kern w:val="21"/>
                <w:sz w:val="21"/>
                <w:szCs w:val="21"/>
              </w:rPr>
              <w:t>（粒径小于等于10μm，PM</w:t>
            </w:r>
            <w:r>
              <w:rPr>
                <w:rFonts w:ascii="Times New Roman" w:hAnsi="Times New Roman" w:cs="Times New Roman"/>
                <w:color w:val="auto"/>
                <w:kern w:val="21"/>
                <w:sz w:val="21"/>
                <w:szCs w:val="21"/>
                <w:vertAlign w:val="subscript"/>
              </w:rPr>
              <w:t>10</w:t>
            </w:r>
            <w:r>
              <w:rPr>
                <w:rFonts w:ascii="Times New Roman" w:hAnsi="Times New Roman" w:cs="Times New Roman"/>
                <w:color w:val="auto"/>
                <w:kern w:val="21"/>
                <w:sz w:val="21"/>
                <w:szCs w:val="21"/>
              </w:rPr>
              <w:t>）</w:t>
            </w: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年平均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70μg/m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34" w:type="dxa"/>
            <w:vMerge w:val="continue"/>
            <w:vAlign w:val="center"/>
          </w:tcPr>
          <w:p>
            <w:pPr>
              <w:pStyle w:val="160"/>
              <w:ind w:left="2" w:hanging="120"/>
              <w:rPr>
                <w:rFonts w:ascii="Times New Roman" w:hAnsi="Times New Roman" w:cs="Times New Roman"/>
                <w:color w:val="auto"/>
                <w:kern w:val="21"/>
                <w:sz w:val="21"/>
                <w:szCs w:val="21"/>
              </w:rPr>
            </w:pPr>
          </w:p>
        </w:tc>
        <w:tc>
          <w:tcPr>
            <w:tcW w:w="3560" w:type="dxa"/>
            <w:vMerge w:val="continue"/>
            <w:vAlign w:val="center"/>
          </w:tcPr>
          <w:p>
            <w:pPr>
              <w:pStyle w:val="160"/>
              <w:ind w:left="2" w:hanging="120"/>
              <w:rPr>
                <w:rFonts w:ascii="Times New Roman" w:hAnsi="Times New Roman" w:cs="Times New Roman"/>
                <w:color w:val="auto"/>
                <w:kern w:val="21"/>
                <w:sz w:val="21"/>
                <w:szCs w:val="21"/>
              </w:rPr>
            </w:pP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24小时平均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150μg/m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34"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7</w:t>
            </w:r>
          </w:p>
        </w:tc>
        <w:tc>
          <w:tcPr>
            <w:tcW w:w="356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氨</w:t>
            </w: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200μg/m</w:t>
            </w:r>
            <w:r>
              <w:rPr>
                <w:rFonts w:ascii="Times New Roman" w:hAnsi="Times New Roman" w:cs="Times New Roman"/>
                <w:color w:val="auto"/>
                <w:kern w:val="2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34"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8</w:t>
            </w:r>
          </w:p>
        </w:tc>
        <w:tc>
          <w:tcPr>
            <w:tcW w:w="356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硫化氢</w:t>
            </w:r>
          </w:p>
        </w:tc>
        <w:tc>
          <w:tcPr>
            <w:tcW w:w="2640"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1小时平均</w:t>
            </w:r>
          </w:p>
        </w:tc>
        <w:tc>
          <w:tcPr>
            <w:tcW w:w="1812" w:type="dxa"/>
            <w:vAlign w:val="center"/>
          </w:tcPr>
          <w:p>
            <w:pPr>
              <w:pStyle w:val="160"/>
              <w:ind w:left="2" w:hanging="120"/>
              <w:rPr>
                <w:rFonts w:ascii="Times New Roman" w:hAnsi="Times New Roman" w:cs="Times New Roman"/>
                <w:color w:val="auto"/>
                <w:kern w:val="21"/>
                <w:sz w:val="21"/>
                <w:szCs w:val="21"/>
              </w:rPr>
            </w:pPr>
            <w:r>
              <w:rPr>
                <w:rFonts w:ascii="Times New Roman" w:hAnsi="Times New Roman" w:cs="Times New Roman"/>
                <w:color w:val="auto"/>
                <w:kern w:val="21"/>
                <w:sz w:val="21"/>
                <w:szCs w:val="21"/>
              </w:rPr>
              <w:t>10μg/m</w:t>
            </w:r>
            <w:r>
              <w:rPr>
                <w:rFonts w:ascii="Times New Roman" w:hAnsi="Times New Roman" w:cs="Times New Roman"/>
                <w:color w:val="auto"/>
                <w:kern w:val="21"/>
                <w:sz w:val="21"/>
                <w:szCs w:val="21"/>
                <w:vertAlign w:val="superscript"/>
              </w:rPr>
              <w:t>3</w:t>
            </w:r>
          </w:p>
        </w:tc>
      </w:tr>
    </w:tbl>
    <w:p>
      <w:pPr>
        <w:ind w:firstLine="474"/>
        <w:rPr>
          <w:b/>
          <w:bCs/>
          <w:color w:val="auto"/>
          <w:kern w:val="21"/>
          <w:lang w:bidi="ar"/>
        </w:rPr>
      </w:pPr>
      <w:r>
        <w:rPr>
          <w:b/>
          <w:bCs/>
          <w:color w:val="auto"/>
          <w:kern w:val="21"/>
        </w:rPr>
        <w:t>2、地表水</w:t>
      </w:r>
    </w:p>
    <w:p>
      <w:pPr>
        <w:ind w:firstLine="472"/>
        <w:rPr>
          <w:color w:val="auto"/>
          <w:kern w:val="21"/>
        </w:rPr>
      </w:pPr>
      <w:r>
        <w:rPr>
          <w:rFonts w:hint="eastAsia"/>
          <w:color w:val="auto"/>
          <w:kern w:val="21"/>
          <w:lang w:bidi="ar"/>
        </w:rPr>
        <w:t>根据《云南省水功能区划（2014）》、《楚雄州水功能区划》（楚政复[2017]15号），本次排污口所在河道划定的一级水功能区为“青龙河楚雄开发利用区”，二级水功能区为“青龙河楚雄景观、工业用水区”，水质现状为劣Ⅴ类，2030年目标水质为III类；根据《楚雄市人民政府办公室关于印发楚雄市青龙河水体达标方案的通知》（楚市政办通〔2022〕6号），青龙河入龙川江口断面水质目标为2025年达到GB3838-2002《地表水环境质量标准》IV类标准要求，</w:t>
      </w:r>
      <w:r>
        <w:rPr>
          <w:color w:val="auto"/>
          <w:kern w:val="21"/>
        </w:rPr>
        <w:t>因此</w:t>
      </w:r>
      <w:r>
        <w:rPr>
          <w:rFonts w:hint="eastAsia"/>
          <w:color w:val="auto"/>
          <w:kern w:val="21"/>
        </w:rPr>
        <w:t>本次环评</w:t>
      </w:r>
      <w:r>
        <w:rPr>
          <w:color w:val="auto"/>
          <w:kern w:val="21"/>
        </w:rPr>
        <w:t>青龙河参照执行</w:t>
      </w:r>
      <w:r>
        <w:rPr>
          <w:color w:val="auto"/>
          <w:kern w:val="21"/>
          <w:lang w:bidi="ar"/>
        </w:rPr>
        <w:t>Ⅳ</w:t>
      </w:r>
      <w:r>
        <w:rPr>
          <w:color w:val="auto"/>
          <w:kern w:val="21"/>
        </w:rPr>
        <w:t>类水质标准，标准值见</w:t>
      </w:r>
      <w:r>
        <w:rPr>
          <w:rFonts w:hint="eastAsia"/>
          <w:color w:val="auto"/>
          <w:kern w:val="21"/>
          <w:lang w:eastAsia="zh-CN"/>
        </w:rPr>
        <w:t>下表</w:t>
      </w:r>
      <w:r>
        <w:rPr>
          <w:color w:val="auto"/>
          <w:kern w:val="21"/>
        </w:rPr>
        <w:t>。</w:t>
      </w:r>
    </w:p>
    <w:p>
      <w:pPr>
        <w:pStyle w:val="2"/>
      </w:pP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snapToGrid/>
          <w:color w:val="auto"/>
          <w:kern w:val="21"/>
        </w:rPr>
      </w:pPr>
      <w:r>
        <w:rPr>
          <w:b/>
          <w:snapToGrid/>
          <w:color w:val="auto"/>
          <w:kern w:val="21"/>
        </w:rPr>
        <w:t>地表水环境质量标准</w:t>
      </w:r>
    </w:p>
    <w:tbl>
      <w:tblPr>
        <w:tblStyle w:val="51"/>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343"/>
        <w:gridCol w:w="2456"/>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73" w:type="dxa"/>
            <w:vMerge w:val="restart"/>
            <w:vAlign w:val="center"/>
          </w:tcPr>
          <w:p>
            <w:pPr>
              <w:pStyle w:val="168"/>
              <w:spacing w:line="240" w:lineRule="auto"/>
              <w:rPr>
                <w:b/>
                <w:color w:val="auto"/>
                <w:kern w:val="21"/>
                <w:sz w:val="21"/>
              </w:rPr>
            </w:pPr>
            <w:r>
              <w:rPr>
                <w:color w:val="auto"/>
                <w:kern w:val="21"/>
                <w:sz w:val="21"/>
              </w:rPr>
              <w:t>序号</w:t>
            </w:r>
          </w:p>
        </w:tc>
        <w:tc>
          <w:tcPr>
            <w:tcW w:w="2343" w:type="dxa"/>
            <w:vMerge w:val="restart"/>
            <w:vAlign w:val="center"/>
          </w:tcPr>
          <w:p>
            <w:pPr>
              <w:pStyle w:val="168"/>
              <w:spacing w:line="240" w:lineRule="auto"/>
              <w:rPr>
                <w:b/>
                <w:color w:val="auto"/>
                <w:kern w:val="21"/>
                <w:sz w:val="21"/>
              </w:rPr>
            </w:pPr>
            <w:r>
              <w:rPr>
                <w:color w:val="auto"/>
                <w:kern w:val="21"/>
                <w:sz w:val="21"/>
              </w:rPr>
              <w:t>污染物名称</w:t>
            </w:r>
          </w:p>
        </w:tc>
        <w:tc>
          <w:tcPr>
            <w:tcW w:w="5222" w:type="dxa"/>
            <w:gridSpan w:val="2"/>
            <w:vAlign w:val="center"/>
          </w:tcPr>
          <w:p>
            <w:pPr>
              <w:pStyle w:val="168"/>
              <w:spacing w:line="240" w:lineRule="auto"/>
              <w:rPr>
                <w:b/>
                <w:color w:val="auto"/>
                <w:kern w:val="21"/>
                <w:sz w:val="21"/>
              </w:rPr>
            </w:pPr>
            <w:r>
              <w:rPr>
                <w:color w:val="auto"/>
                <w:kern w:val="21"/>
                <w:sz w:val="21"/>
              </w:rPr>
              <w:t>浓度限值（mg/L</w:t>
            </w:r>
            <w:r>
              <w:rPr>
                <w:rFonts w:hint="eastAsia"/>
                <w:color w:val="auto"/>
                <w:kern w:val="21"/>
                <w:sz w:val="21"/>
              </w:rPr>
              <w:t>，</w:t>
            </w:r>
            <w:r>
              <w:rPr>
                <w:color w:val="auto"/>
                <w:kern w:val="21"/>
                <w:sz w:val="21"/>
              </w:rPr>
              <w:t>pH值除外）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73" w:type="dxa"/>
            <w:vMerge w:val="continue"/>
            <w:vAlign w:val="center"/>
          </w:tcPr>
          <w:p>
            <w:pPr>
              <w:pStyle w:val="168"/>
              <w:spacing w:line="240" w:lineRule="auto"/>
              <w:rPr>
                <w:color w:val="auto"/>
                <w:sz w:val="21"/>
              </w:rPr>
            </w:pPr>
          </w:p>
        </w:tc>
        <w:tc>
          <w:tcPr>
            <w:tcW w:w="2343" w:type="dxa"/>
            <w:vMerge w:val="continue"/>
            <w:vAlign w:val="center"/>
          </w:tcPr>
          <w:p>
            <w:pPr>
              <w:pStyle w:val="168"/>
              <w:spacing w:line="240" w:lineRule="auto"/>
              <w:rPr>
                <w:color w:val="auto"/>
                <w:sz w:val="21"/>
              </w:rPr>
            </w:pPr>
          </w:p>
        </w:tc>
        <w:tc>
          <w:tcPr>
            <w:tcW w:w="2456" w:type="dxa"/>
            <w:vAlign w:val="center"/>
          </w:tcPr>
          <w:p>
            <w:pPr>
              <w:pStyle w:val="168"/>
              <w:spacing w:line="240" w:lineRule="auto"/>
              <w:rPr>
                <w:color w:val="auto"/>
                <w:sz w:val="21"/>
              </w:rPr>
            </w:pPr>
            <w:r>
              <w:rPr>
                <w:rFonts w:hint="eastAsia"/>
                <w:color w:val="auto"/>
                <w:sz w:val="21"/>
              </w:rPr>
              <w:t>2025年达标方案目标值</w:t>
            </w:r>
            <w:r>
              <w:rPr>
                <w:rFonts w:hint="eastAsia"/>
                <w:color w:val="auto"/>
                <w:sz w:val="21"/>
              </w:rPr>
              <w:fldChar w:fldCharType="begin"/>
            </w:r>
            <w:r>
              <w:rPr>
                <w:rFonts w:hint="eastAsia"/>
                <w:color w:val="auto"/>
                <w:sz w:val="21"/>
              </w:rPr>
              <w:instrText xml:space="preserve"> = 4 \* ROMAN \* MERGEFORMAT </w:instrText>
            </w:r>
            <w:r>
              <w:rPr>
                <w:rFonts w:hint="eastAsia"/>
                <w:color w:val="auto"/>
                <w:sz w:val="21"/>
              </w:rPr>
              <w:fldChar w:fldCharType="separate"/>
            </w:r>
            <w:r>
              <w:rPr>
                <w:color w:val="auto"/>
                <w:sz w:val="21"/>
              </w:rPr>
              <w:t>IV</w:t>
            </w:r>
            <w:r>
              <w:rPr>
                <w:rFonts w:hint="eastAsia"/>
                <w:color w:val="auto"/>
                <w:sz w:val="21"/>
              </w:rPr>
              <w:fldChar w:fldCharType="end"/>
            </w:r>
            <w:r>
              <w:rPr>
                <w:rFonts w:hint="eastAsia"/>
                <w:color w:val="auto"/>
                <w:sz w:val="21"/>
              </w:rPr>
              <w:t>类</w:t>
            </w:r>
          </w:p>
        </w:tc>
        <w:tc>
          <w:tcPr>
            <w:tcW w:w="2766" w:type="dxa"/>
            <w:vAlign w:val="center"/>
          </w:tcPr>
          <w:p>
            <w:pPr>
              <w:pStyle w:val="168"/>
              <w:spacing w:line="240" w:lineRule="auto"/>
              <w:rPr>
                <w:color w:val="auto"/>
                <w:sz w:val="21"/>
              </w:rPr>
            </w:pPr>
            <w:r>
              <w:rPr>
                <w:rFonts w:hint="eastAsia"/>
                <w:color w:val="auto"/>
                <w:sz w:val="21"/>
              </w:rPr>
              <w:t>2030年功能区划目标值</w:t>
            </w:r>
            <w:r>
              <w:rPr>
                <w:rFonts w:hint="eastAsia"/>
                <w:color w:val="auto"/>
                <w:sz w:val="21"/>
              </w:rPr>
              <w:fldChar w:fldCharType="begin"/>
            </w:r>
            <w:r>
              <w:rPr>
                <w:rFonts w:hint="eastAsia"/>
                <w:color w:val="auto"/>
                <w:sz w:val="21"/>
              </w:rPr>
              <w:instrText xml:space="preserve"> = 3 \* ROMAN \* MERGEFORMAT </w:instrText>
            </w:r>
            <w:r>
              <w:rPr>
                <w:rFonts w:hint="eastAsia"/>
                <w:color w:val="auto"/>
                <w:sz w:val="21"/>
              </w:rPr>
              <w:fldChar w:fldCharType="separate"/>
            </w:r>
            <w:r>
              <w:rPr>
                <w:color w:val="auto"/>
                <w:sz w:val="21"/>
              </w:rPr>
              <w:t>III</w:t>
            </w:r>
            <w:r>
              <w:rPr>
                <w:rFonts w:hint="eastAsia"/>
                <w:color w:val="auto"/>
                <w:sz w:val="21"/>
              </w:rPr>
              <w:fldChar w:fldCharType="end"/>
            </w:r>
            <w:r>
              <w:rPr>
                <w:rFonts w:hint="eastAsia"/>
                <w:color w:val="auto"/>
                <w:sz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b/>
                <w:color w:val="auto"/>
                <w:kern w:val="21"/>
                <w:sz w:val="21"/>
              </w:rPr>
            </w:pPr>
            <w:r>
              <w:rPr>
                <w:color w:val="auto"/>
                <w:kern w:val="21"/>
                <w:sz w:val="21"/>
              </w:rPr>
              <w:t>1</w:t>
            </w:r>
          </w:p>
        </w:tc>
        <w:tc>
          <w:tcPr>
            <w:tcW w:w="2343" w:type="dxa"/>
            <w:vAlign w:val="center"/>
          </w:tcPr>
          <w:p>
            <w:pPr>
              <w:pStyle w:val="168"/>
              <w:spacing w:line="240" w:lineRule="auto"/>
              <w:rPr>
                <w:b/>
                <w:color w:val="auto"/>
                <w:kern w:val="21"/>
                <w:sz w:val="21"/>
              </w:rPr>
            </w:pPr>
            <w:r>
              <w:rPr>
                <w:color w:val="auto"/>
                <w:kern w:val="21"/>
                <w:sz w:val="21"/>
              </w:rPr>
              <w:t>pH</w:t>
            </w:r>
          </w:p>
        </w:tc>
        <w:tc>
          <w:tcPr>
            <w:tcW w:w="2456" w:type="dxa"/>
            <w:vAlign w:val="center"/>
          </w:tcPr>
          <w:p>
            <w:pPr>
              <w:pStyle w:val="168"/>
              <w:spacing w:line="240" w:lineRule="auto"/>
              <w:rPr>
                <w:b/>
                <w:color w:val="auto"/>
                <w:kern w:val="21"/>
                <w:sz w:val="21"/>
              </w:rPr>
            </w:pPr>
            <w:r>
              <w:rPr>
                <w:color w:val="auto"/>
                <w:kern w:val="21"/>
                <w:sz w:val="21"/>
              </w:rPr>
              <w:t>6～9</w:t>
            </w:r>
          </w:p>
        </w:tc>
        <w:tc>
          <w:tcPr>
            <w:tcW w:w="2766" w:type="dxa"/>
            <w:vAlign w:val="center"/>
          </w:tcPr>
          <w:p>
            <w:pPr>
              <w:pStyle w:val="168"/>
              <w:spacing w:line="240" w:lineRule="auto"/>
              <w:rPr>
                <w:b/>
                <w:color w:val="auto"/>
                <w:kern w:val="21"/>
                <w:sz w:val="21"/>
              </w:rPr>
            </w:pPr>
            <w:r>
              <w:rPr>
                <w:color w:val="auto"/>
                <w:kern w:val="21"/>
                <w:sz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b/>
                <w:color w:val="auto"/>
                <w:kern w:val="21"/>
                <w:sz w:val="21"/>
              </w:rPr>
            </w:pPr>
            <w:r>
              <w:rPr>
                <w:color w:val="auto"/>
                <w:kern w:val="21"/>
                <w:sz w:val="21"/>
              </w:rPr>
              <w:t>2</w:t>
            </w:r>
          </w:p>
        </w:tc>
        <w:tc>
          <w:tcPr>
            <w:tcW w:w="2343" w:type="dxa"/>
            <w:vAlign w:val="center"/>
          </w:tcPr>
          <w:p>
            <w:pPr>
              <w:pStyle w:val="168"/>
              <w:spacing w:line="240" w:lineRule="auto"/>
              <w:rPr>
                <w:b/>
                <w:color w:val="auto"/>
                <w:kern w:val="21"/>
                <w:sz w:val="21"/>
              </w:rPr>
            </w:pPr>
            <w:r>
              <w:rPr>
                <w:color w:val="auto"/>
                <w:kern w:val="21"/>
                <w:sz w:val="21"/>
              </w:rPr>
              <w:t>化学需氧量</w:t>
            </w:r>
          </w:p>
        </w:tc>
        <w:tc>
          <w:tcPr>
            <w:tcW w:w="2456" w:type="dxa"/>
            <w:vAlign w:val="center"/>
          </w:tcPr>
          <w:p>
            <w:pPr>
              <w:pStyle w:val="168"/>
              <w:spacing w:line="240" w:lineRule="auto"/>
              <w:rPr>
                <w:b/>
                <w:color w:val="auto"/>
                <w:kern w:val="21"/>
                <w:sz w:val="21"/>
              </w:rPr>
            </w:pPr>
            <w:r>
              <w:rPr>
                <w:color w:val="auto"/>
                <w:kern w:val="21"/>
                <w:sz w:val="21"/>
              </w:rPr>
              <w:t>≤30</w:t>
            </w:r>
          </w:p>
        </w:tc>
        <w:tc>
          <w:tcPr>
            <w:tcW w:w="2766" w:type="dxa"/>
            <w:vAlign w:val="center"/>
          </w:tcPr>
          <w:p>
            <w:pPr>
              <w:pStyle w:val="168"/>
              <w:spacing w:line="240" w:lineRule="auto"/>
              <w:rPr>
                <w:b/>
                <w:color w:val="auto"/>
                <w:kern w:val="21"/>
                <w:sz w:val="21"/>
              </w:rPr>
            </w:pPr>
            <w:r>
              <w:rPr>
                <w:color w:val="auto"/>
                <w:kern w:val="21"/>
                <w:sz w:val="21"/>
              </w:rPr>
              <w:t>≤</w:t>
            </w:r>
            <w:r>
              <w:rPr>
                <w:rFonts w:hint="eastAsia"/>
                <w:color w:val="auto"/>
                <w:kern w:val="21"/>
                <w:sz w:val="21"/>
              </w:rPr>
              <w:t>2</w:t>
            </w:r>
            <w:r>
              <w:rPr>
                <w:color w:val="auto"/>
                <w:kern w:val="21"/>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b/>
                <w:color w:val="auto"/>
                <w:kern w:val="21"/>
                <w:sz w:val="21"/>
              </w:rPr>
            </w:pPr>
            <w:r>
              <w:rPr>
                <w:color w:val="auto"/>
                <w:kern w:val="21"/>
                <w:sz w:val="21"/>
              </w:rPr>
              <w:t>3</w:t>
            </w:r>
          </w:p>
        </w:tc>
        <w:tc>
          <w:tcPr>
            <w:tcW w:w="2343" w:type="dxa"/>
            <w:vAlign w:val="center"/>
          </w:tcPr>
          <w:p>
            <w:pPr>
              <w:pStyle w:val="168"/>
              <w:spacing w:line="240" w:lineRule="auto"/>
              <w:rPr>
                <w:b/>
                <w:color w:val="auto"/>
                <w:kern w:val="21"/>
                <w:sz w:val="21"/>
              </w:rPr>
            </w:pPr>
            <w:r>
              <w:rPr>
                <w:color w:val="auto"/>
                <w:kern w:val="21"/>
                <w:sz w:val="21"/>
              </w:rPr>
              <w:t>BOD</w:t>
            </w:r>
            <w:r>
              <w:rPr>
                <w:color w:val="auto"/>
                <w:kern w:val="21"/>
                <w:sz w:val="21"/>
                <w:vertAlign w:val="subscript"/>
              </w:rPr>
              <w:t>5</w:t>
            </w:r>
          </w:p>
        </w:tc>
        <w:tc>
          <w:tcPr>
            <w:tcW w:w="2456" w:type="dxa"/>
            <w:vAlign w:val="center"/>
          </w:tcPr>
          <w:p>
            <w:pPr>
              <w:pStyle w:val="168"/>
              <w:spacing w:line="240" w:lineRule="auto"/>
              <w:rPr>
                <w:b/>
                <w:color w:val="auto"/>
                <w:kern w:val="21"/>
                <w:sz w:val="21"/>
              </w:rPr>
            </w:pPr>
            <w:r>
              <w:rPr>
                <w:color w:val="auto"/>
                <w:kern w:val="21"/>
                <w:sz w:val="21"/>
              </w:rPr>
              <w:t>≤6.0</w:t>
            </w:r>
          </w:p>
        </w:tc>
        <w:tc>
          <w:tcPr>
            <w:tcW w:w="2766" w:type="dxa"/>
            <w:vAlign w:val="center"/>
          </w:tcPr>
          <w:p>
            <w:pPr>
              <w:pStyle w:val="168"/>
              <w:spacing w:line="240" w:lineRule="auto"/>
              <w:rPr>
                <w:b/>
                <w:color w:val="auto"/>
                <w:kern w:val="21"/>
                <w:sz w:val="21"/>
              </w:rPr>
            </w:pPr>
            <w:r>
              <w:rPr>
                <w:color w:val="auto"/>
                <w:kern w:val="21"/>
                <w:sz w:val="21"/>
              </w:rPr>
              <w:t>≤</w:t>
            </w:r>
            <w:r>
              <w:rPr>
                <w:rFonts w:hint="eastAsia"/>
                <w:color w:val="auto"/>
                <w:kern w:val="21"/>
                <w:sz w:val="21"/>
              </w:rPr>
              <w:t>4</w:t>
            </w:r>
            <w:r>
              <w:rPr>
                <w:color w:val="auto"/>
                <w:kern w:val="21"/>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b/>
                <w:color w:val="auto"/>
                <w:kern w:val="21"/>
                <w:sz w:val="21"/>
              </w:rPr>
            </w:pPr>
            <w:r>
              <w:rPr>
                <w:color w:val="auto"/>
                <w:kern w:val="21"/>
                <w:sz w:val="21"/>
              </w:rPr>
              <w:t>4</w:t>
            </w:r>
          </w:p>
        </w:tc>
        <w:tc>
          <w:tcPr>
            <w:tcW w:w="2343" w:type="dxa"/>
            <w:vAlign w:val="center"/>
          </w:tcPr>
          <w:p>
            <w:pPr>
              <w:pStyle w:val="168"/>
              <w:spacing w:line="240" w:lineRule="auto"/>
              <w:rPr>
                <w:b/>
                <w:color w:val="auto"/>
                <w:kern w:val="21"/>
                <w:sz w:val="21"/>
              </w:rPr>
            </w:pPr>
            <w:r>
              <w:rPr>
                <w:color w:val="auto"/>
                <w:kern w:val="21"/>
                <w:sz w:val="21"/>
              </w:rPr>
              <w:t>石油类</w:t>
            </w:r>
          </w:p>
        </w:tc>
        <w:tc>
          <w:tcPr>
            <w:tcW w:w="2456" w:type="dxa"/>
            <w:vAlign w:val="center"/>
          </w:tcPr>
          <w:p>
            <w:pPr>
              <w:pStyle w:val="168"/>
              <w:spacing w:line="240" w:lineRule="auto"/>
              <w:rPr>
                <w:b/>
                <w:color w:val="auto"/>
                <w:kern w:val="21"/>
                <w:sz w:val="21"/>
              </w:rPr>
            </w:pPr>
            <w:r>
              <w:rPr>
                <w:color w:val="auto"/>
                <w:kern w:val="21"/>
                <w:sz w:val="21"/>
              </w:rPr>
              <w:t>≤0.5</w:t>
            </w:r>
          </w:p>
        </w:tc>
        <w:tc>
          <w:tcPr>
            <w:tcW w:w="2766" w:type="dxa"/>
            <w:vAlign w:val="center"/>
          </w:tcPr>
          <w:p>
            <w:pPr>
              <w:pStyle w:val="168"/>
              <w:spacing w:line="240" w:lineRule="auto"/>
              <w:rPr>
                <w:b/>
                <w:color w:val="auto"/>
                <w:kern w:val="21"/>
                <w:sz w:val="21"/>
              </w:rPr>
            </w:pPr>
            <w:r>
              <w:rPr>
                <w:color w:val="auto"/>
                <w:kern w:val="21"/>
                <w:sz w:val="21"/>
              </w:rPr>
              <w:t>≤0.</w:t>
            </w:r>
            <w:r>
              <w:rPr>
                <w:rFonts w:hint="eastAsia"/>
                <w:color w:val="auto"/>
                <w:kern w:val="21"/>
                <w:sz w:val="21"/>
              </w:rPr>
              <w:t>0</w:t>
            </w:r>
            <w:r>
              <w:rPr>
                <w:color w:val="auto"/>
                <w:kern w:val="21"/>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b/>
                <w:color w:val="auto"/>
                <w:kern w:val="21"/>
                <w:sz w:val="21"/>
              </w:rPr>
            </w:pPr>
            <w:r>
              <w:rPr>
                <w:color w:val="auto"/>
                <w:kern w:val="21"/>
                <w:sz w:val="21"/>
              </w:rPr>
              <w:t>5</w:t>
            </w:r>
          </w:p>
        </w:tc>
        <w:tc>
          <w:tcPr>
            <w:tcW w:w="2343" w:type="dxa"/>
            <w:vAlign w:val="center"/>
          </w:tcPr>
          <w:p>
            <w:pPr>
              <w:pStyle w:val="168"/>
              <w:spacing w:line="240" w:lineRule="auto"/>
              <w:rPr>
                <w:b/>
                <w:color w:val="auto"/>
                <w:kern w:val="21"/>
                <w:sz w:val="21"/>
              </w:rPr>
            </w:pPr>
            <w:r>
              <w:rPr>
                <w:color w:val="auto"/>
                <w:kern w:val="21"/>
                <w:sz w:val="21"/>
              </w:rPr>
              <w:t>阴离子表面活性剂</w:t>
            </w:r>
          </w:p>
        </w:tc>
        <w:tc>
          <w:tcPr>
            <w:tcW w:w="2456" w:type="dxa"/>
            <w:vAlign w:val="center"/>
          </w:tcPr>
          <w:p>
            <w:pPr>
              <w:pStyle w:val="168"/>
              <w:spacing w:line="240" w:lineRule="auto"/>
              <w:rPr>
                <w:b/>
                <w:color w:val="auto"/>
                <w:kern w:val="21"/>
                <w:sz w:val="21"/>
              </w:rPr>
            </w:pPr>
            <w:r>
              <w:rPr>
                <w:color w:val="auto"/>
                <w:kern w:val="21"/>
                <w:sz w:val="21"/>
              </w:rPr>
              <w:t>≤0.3</w:t>
            </w:r>
          </w:p>
        </w:tc>
        <w:tc>
          <w:tcPr>
            <w:tcW w:w="2766" w:type="dxa"/>
            <w:vAlign w:val="center"/>
          </w:tcPr>
          <w:p>
            <w:pPr>
              <w:pStyle w:val="168"/>
              <w:spacing w:line="240" w:lineRule="auto"/>
              <w:rPr>
                <w:b/>
                <w:color w:val="auto"/>
                <w:kern w:val="21"/>
                <w:sz w:val="21"/>
              </w:rPr>
            </w:pPr>
            <w:r>
              <w:rPr>
                <w:color w:val="auto"/>
                <w:kern w:val="21"/>
                <w:sz w:val="21"/>
              </w:rPr>
              <w:t>≤0.</w:t>
            </w:r>
            <w:r>
              <w:rPr>
                <w:rFonts w:hint="eastAsia"/>
                <w:color w:val="auto"/>
                <w:kern w:val="21"/>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b/>
                <w:color w:val="auto"/>
                <w:kern w:val="21"/>
                <w:sz w:val="21"/>
              </w:rPr>
            </w:pPr>
            <w:r>
              <w:rPr>
                <w:color w:val="auto"/>
                <w:kern w:val="21"/>
                <w:sz w:val="21"/>
              </w:rPr>
              <w:t>6</w:t>
            </w:r>
          </w:p>
        </w:tc>
        <w:tc>
          <w:tcPr>
            <w:tcW w:w="2343" w:type="dxa"/>
            <w:vAlign w:val="center"/>
          </w:tcPr>
          <w:p>
            <w:pPr>
              <w:pStyle w:val="168"/>
              <w:spacing w:line="240" w:lineRule="auto"/>
              <w:rPr>
                <w:b/>
                <w:color w:val="auto"/>
                <w:kern w:val="21"/>
                <w:sz w:val="21"/>
              </w:rPr>
            </w:pPr>
            <w:r>
              <w:rPr>
                <w:color w:val="auto"/>
                <w:kern w:val="21"/>
                <w:sz w:val="21"/>
              </w:rPr>
              <w:t>氨氮</w:t>
            </w:r>
          </w:p>
        </w:tc>
        <w:tc>
          <w:tcPr>
            <w:tcW w:w="2456" w:type="dxa"/>
            <w:vAlign w:val="center"/>
          </w:tcPr>
          <w:p>
            <w:pPr>
              <w:pStyle w:val="168"/>
              <w:spacing w:line="240" w:lineRule="auto"/>
              <w:rPr>
                <w:b/>
                <w:color w:val="auto"/>
                <w:kern w:val="21"/>
                <w:sz w:val="21"/>
              </w:rPr>
            </w:pPr>
            <w:r>
              <w:rPr>
                <w:color w:val="auto"/>
                <w:kern w:val="21"/>
                <w:sz w:val="21"/>
              </w:rPr>
              <w:t>≤1.5</w:t>
            </w:r>
          </w:p>
        </w:tc>
        <w:tc>
          <w:tcPr>
            <w:tcW w:w="2766" w:type="dxa"/>
            <w:vAlign w:val="center"/>
          </w:tcPr>
          <w:p>
            <w:pPr>
              <w:pStyle w:val="168"/>
              <w:spacing w:line="240" w:lineRule="auto"/>
              <w:rPr>
                <w:b/>
                <w:color w:val="auto"/>
                <w:kern w:val="21"/>
                <w:sz w:val="21"/>
              </w:rPr>
            </w:pPr>
            <w:r>
              <w:rPr>
                <w:color w:val="auto"/>
                <w:kern w:val="21"/>
                <w:sz w:val="21"/>
              </w:rPr>
              <w:t>≤1.</w:t>
            </w:r>
            <w:r>
              <w:rPr>
                <w:rFonts w:hint="eastAsia"/>
                <w:color w:val="auto"/>
                <w:kern w:val="21"/>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b/>
                <w:color w:val="auto"/>
                <w:kern w:val="21"/>
                <w:sz w:val="21"/>
              </w:rPr>
            </w:pPr>
            <w:r>
              <w:rPr>
                <w:color w:val="auto"/>
                <w:kern w:val="21"/>
                <w:sz w:val="21"/>
              </w:rPr>
              <w:t>7</w:t>
            </w:r>
          </w:p>
        </w:tc>
        <w:tc>
          <w:tcPr>
            <w:tcW w:w="2343" w:type="dxa"/>
            <w:vAlign w:val="center"/>
          </w:tcPr>
          <w:p>
            <w:pPr>
              <w:pStyle w:val="168"/>
              <w:spacing w:line="240" w:lineRule="auto"/>
              <w:rPr>
                <w:b/>
                <w:color w:val="auto"/>
                <w:kern w:val="21"/>
                <w:sz w:val="21"/>
              </w:rPr>
            </w:pPr>
            <w:r>
              <w:rPr>
                <w:color w:val="auto"/>
                <w:kern w:val="21"/>
                <w:sz w:val="21"/>
              </w:rPr>
              <w:t>总氮（湖、库</w:t>
            </w:r>
            <w:r>
              <w:rPr>
                <w:rFonts w:hint="eastAsia"/>
                <w:color w:val="auto"/>
                <w:kern w:val="21"/>
                <w:sz w:val="21"/>
                <w:lang w:eastAsia="zh-CN"/>
              </w:rPr>
              <w:t>，</w:t>
            </w:r>
            <w:r>
              <w:rPr>
                <w:color w:val="auto"/>
                <w:kern w:val="21"/>
                <w:sz w:val="21"/>
              </w:rPr>
              <w:t>以N计）</w:t>
            </w:r>
          </w:p>
        </w:tc>
        <w:tc>
          <w:tcPr>
            <w:tcW w:w="2456" w:type="dxa"/>
            <w:vAlign w:val="center"/>
          </w:tcPr>
          <w:p>
            <w:pPr>
              <w:pStyle w:val="168"/>
              <w:spacing w:line="240" w:lineRule="auto"/>
              <w:rPr>
                <w:b/>
                <w:color w:val="auto"/>
                <w:kern w:val="21"/>
                <w:sz w:val="21"/>
              </w:rPr>
            </w:pPr>
            <w:r>
              <w:rPr>
                <w:color w:val="auto"/>
                <w:kern w:val="21"/>
                <w:sz w:val="21"/>
              </w:rPr>
              <w:t>≤1.5</w:t>
            </w:r>
          </w:p>
        </w:tc>
        <w:tc>
          <w:tcPr>
            <w:tcW w:w="2766" w:type="dxa"/>
            <w:vAlign w:val="center"/>
          </w:tcPr>
          <w:p>
            <w:pPr>
              <w:pStyle w:val="168"/>
              <w:spacing w:line="240" w:lineRule="auto"/>
              <w:rPr>
                <w:b/>
                <w:color w:val="auto"/>
                <w:kern w:val="21"/>
                <w:sz w:val="21"/>
              </w:rPr>
            </w:pPr>
            <w:r>
              <w:rPr>
                <w:color w:val="auto"/>
                <w:kern w:val="21"/>
                <w:sz w:val="21"/>
              </w:rPr>
              <w:t>≤1.</w:t>
            </w:r>
            <w:r>
              <w:rPr>
                <w:rFonts w:hint="eastAsia"/>
                <w:color w:val="auto"/>
                <w:kern w:val="21"/>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b/>
                <w:color w:val="auto"/>
                <w:kern w:val="21"/>
                <w:sz w:val="21"/>
              </w:rPr>
            </w:pPr>
            <w:r>
              <w:rPr>
                <w:color w:val="auto"/>
                <w:kern w:val="21"/>
                <w:sz w:val="21"/>
              </w:rPr>
              <w:t>8</w:t>
            </w:r>
          </w:p>
        </w:tc>
        <w:tc>
          <w:tcPr>
            <w:tcW w:w="2343" w:type="dxa"/>
            <w:vAlign w:val="center"/>
          </w:tcPr>
          <w:p>
            <w:pPr>
              <w:pStyle w:val="168"/>
              <w:spacing w:line="240" w:lineRule="auto"/>
              <w:rPr>
                <w:b/>
                <w:color w:val="auto"/>
                <w:kern w:val="21"/>
                <w:sz w:val="21"/>
              </w:rPr>
            </w:pPr>
            <w:r>
              <w:rPr>
                <w:color w:val="auto"/>
                <w:kern w:val="21"/>
                <w:sz w:val="21"/>
              </w:rPr>
              <w:t>总磷（以P计）</w:t>
            </w:r>
          </w:p>
        </w:tc>
        <w:tc>
          <w:tcPr>
            <w:tcW w:w="2456" w:type="dxa"/>
            <w:vAlign w:val="center"/>
          </w:tcPr>
          <w:p>
            <w:pPr>
              <w:pStyle w:val="168"/>
              <w:spacing w:line="240" w:lineRule="auto"/>
              <w:rPr>
                <w:color w:val="auto"/>
                <w:kern w:val="21"/>
                <w:sz w:val="21"/>
              </w:rPr>
            </w:pPr>
            <w:r>
              <w:rPr>
                <w:color w:val="auto"/>
                <w:kern w:val="21"/>
                <w:sz w:val="21"/>
              </w:rPr>
              <w:t>≤0.3</w:t>
            </w:r>
          </w:p>
          <w:p>
            <w:pPr>
              <w:pStyle w:val="168"/>
              <w:spacing w:line="240" w:lineRule="auto"/>
              <w:rPr>
                <w:b/>
                <w:color w:val="auto"/>
                <w:kern w:val="21"/>
                <w:sz w:val="21"/>
              </w:rPr>
            </w:pPr>
            <w:r>
              <w:rPr>
                <w:color w:val="auto"/>
                <w:kern w:val="21"/>
                <w:sz w:val="21"/>
              </w:rPr>
              <w:t>（湖、库0.1）</w:t>
            </w:r>
          </w:p>
        </w:tc>
        <w:tc>
          <w:tcPr>
            <w:tcW w:w="2766" w:type="dxa"/>
            <w:vAlign w:val="center"/>
          </w:tcPr>
          <w:p>
            <w:pPr>
              <w:pStyle w:val="168"/>
              <w:spacing w:line="240" w:lineRule="auto"/>
              <w:rPr>
                <w:color w:val="auto"/>
                <w:kern w:val="21"/>
                <w:sz w:val="21"/>
              </w:rPr>
            </w:pPr>
            <w:r>
              <w:rPr>
                <w:color w:val="auto"/>
                <w:kern w:val="21"/>
                <w:sz w:val="21"/>
              </w:rPr>
              <w:t>≤0.</w:t>
            </w:r>
            <w:r>
              <w:rPr>
                <w:rFonts w:hint="eastAsia"/>
                <w:color w:val="auto"/>
                <w:kern w:val="21"/>
                <w:sz w:val="21"/>
              </w:rPr>
              <w:t>2</w:t>
            </w:r>
          </w:p>
          <w:p>
            <w:pPr>
              <w:pStyle w:val="168"/>
              <w:spacing w:line="240" w:lineRule="auto"/>
              <w:rPr>
                <w:b/>
                <w:color w:val="auto"/>
                <w:kern w:val="21"/>
                <w:sz w:val="21"/>
              </w:rPr>
            </w:pPr>
            <w:r>
              <w:rPr>
                <w:color w:val="auto"/>
                <w:kern w:val="21"/>
                <w:sz w:val="21"/>
              </w:rPr>
              <w:t>（湖、库0.</w:t>
            </w:r>
            <w:r>
              <w:rPr>
                <w:rFonts w:hint="eastAsia"/>
                <w:color w:val="auto"/>
                <w:kern w:val="21"/>
                <w:sz w:val="21"/>
              </w:rPr>
              <w:t>05</w:t>
            </w:r>
            <w:r>
              <w:rPr>
                <w:color w:val="auto"/>
                <w:kern w:val="21"/>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color w:val="auto"/>
                <w:kern w:val="21"/>
                <w:sz w:val="21"/>
              </w:rPr>
            </w:pPr>
            <w:r>
              <w:rPr>
                <w:color w:val="auto"/>
                <w:kern w:val="21"/>
                <w:sz w:val="21"/>
              </w:rPr>
              <w:t>9</w:t>
            </w:r>
          </w:p>
        </w:tc>
        <w:tc>
          <w:tcPr>
            <w:tcW w:w="2343" w:type="dxa"/>
            <w:vAlign w:val="center"/>
          </w:tcPr>
          <w:p>
            <w:pPr>
              <w:pStyle w:val="168"/>
              <w:spacing w:line="240" w:lineRule="auto"/>
              <w:rPr>
                <w:color w:val="auto"/>
                <w:kern w:val="21"/>
                <w:sz w:val="21"/>
              </w:rPr>
            </w:pPr>
            <w:r>
              <w:rPr>
                <w:color w:val="auto"/>
                <w:kern w:val="21"/>
                <w:sz w:val="21"/>
              </w:rPr>
              <w:t>汞</w:t>
            </w:r>
          </w:p>
        </w:tc>
        <w:tc>
          <w:tcPr>
            <w:tcW w:w="2456" w:type="dxa"/>
            <w:vAlign w:val="center"/>
          </w:tcPr>
          <w:p>
            <w:pPr>
              <w:pStyle w:val="168"/>
              <w:spacing w:line="240" w:lineRule="auto"/>
              <w:rPr>
                <w:color w:val="auto"/>
                <w:kern w:val="21"/>
                <w:sz w:val="21"/>
              </w:rPr>
            </w:pPr>
            <w:r>
              <w:rPr>
                <w:color w:val="auto"/>
                <w:kern w:val="21"/>
                <w:sz w:val="21"/>
              </w:rPr>
              <w:t>≤0.001</w:t>
            </w:r>
          </w:p>
        </w:tc>
        <w:tc>
          <w:tcPr>
            <w:tcW w:w="2766" w:type="dxa"/>
            <w:vAlign w:val="center"/>
          </w:tcPr>
          <w:p>
            <w:pPr>
              <w:pStyle w:val="168"/>
              <w:spacing w:line="240" w:lineRule="auto"/>
              <w:rPr>
                <w:color w:val="auto"/>
                <w:kern w:val="21"/>
                <w:sz w:val="21"/>
              </w:rPr>
            </w:pPr>
            <w:r>
              <w:rPr>
                <w:color w:val="auto"/>
                <w:kern w:val="21"/>
                <w:sz w:val="21"/>
              </w:rPr>
              <w:t>≤0.00</w:t>
            </w:r>
            <w:r>
              <w:rPr>
                <w:rFonts w:hint="eastAsia"/>
                <w:color w:val="auto"/>
                <w:kern w:val="21"/>
                <w:sz w:val="21"/>
              </w:rPr>
              <w:t>0</w:t>
            </w:r>
            <w:r>
              <w:rPr>
                <w:color w:val="auto"/>
                <w:kern w:val="21"/>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color w:val="auto"/>
                <w:kern w:val="21"/>
                <w:sz w:val="21"/>
              </w:rPr>
            </w:pPr>
            <w:r>
              <w:rPr>
                <w:color w:val="auto"/>
                <w:kern w:val="21"/>
                <w:sz w:val="21"/>
              </w:rPr>
              <w:t>10</w:t>
            </w:r>
          </w:p>
        </w:tc>
        <w:tc>
          <w:tcPr>
            <w:tcW w:w="2343" w:type="dxa"/>
            <w:vAlign w:val="center"/>
          </w:tcPr>
          <w:p>
            <w:pPr>
              <w:pStyle w:val="168"/>
              <w:spacing w:line="240" w:lineRule="auto"/>
              <w:rPr>
                <w:color w:val="auto"/>
                <w:kern w:val="21"/>
                <w:sz w:val="21"/>
              </w:rPr>
            </w:pPr>
            <w:r>
              <w:rPr>
                <w:color w:val="auto"/>
                <w:kern w:val="21"/>
                <w:sz w:val="21"/>
              </w:rPr>
              <w:t>镉</w:t>
            </w:r>
          </w:p>
        </w:tc>
        <w:tc>
          <w:tcPr>
            <w:tcW w:w="2456" w:type="dxa"/>
            <w:vAlign w:val="center"/>
          </w:tcPr>
          <w:p>
            <w:pPr>
              <w:pStyle w:val="168"/>
              <w:spacing w:line="240" w:lineRule="auto"/>
              <w:rPr>
                <w:color w:val="auto"/>
                <w:kern w:val="21"/>
                <w:sz w:val="21"/>
              </w:rPr>
            </w:pPr>
            <w:r>
              <w:rPr>
                <w:color w:val="auto"/>
                <w:kern w:val="21"/>
                <w:sz w:val="21"/>
              </w:rPr>
              <w:t>≤0.005</w:t>
            </w:r>
          </w:p>
        </w:tc>
        <w:tc>
          <w:tcPr>
            <w:tcW w:w="2766" w:type="dxa"/>
            <w:vAlign w:val="center"/>
          </w:tcPr>
          <w:p>
            <w:pPr>
              <w:pStyle w:val="168"/>
              <w:spacing w:line="240" w:lineRule="auto"/>
              <w:rPr>
                <w:color w:val="auto"/>
                <w:kern w:val="21"/>
                <w:sz w:val="21"/>
              </w:rPr>
            </w:pPr>
            <w:r>
              <w:rPr>
                <w:color w:val="auto"/>
                <w:kern w:val="21"/>
                <w:sz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color w:val="auto"/>
                <w:kern w:val="21"/>
                <w:sz w:val="21"/>
              </w:rPr>
            </w:pPr>
            <w:r>
              <w:rPr>
                <w:color w:val="auto"/>
                <w:kern w:val="21"/>
                <w:sz w:val="21"/>
              </w:rPr>
              <w:t>11</w:t>
            </w:r>
          </w:p>
        </w:tc>
        <w:tc>
          <w:tcPr>
            <w:tcW w:w="2343" w:type="dxa"/>
            <w:vAlign w:val="center"/>
          </w:tcPr>
          <w:p>
            <w:pPr>
              <w:pStyle w:val="168"/>
              <w:spacing w:line="240" w:lineRule="auto"/>
              <w:rPr>
                <w:color w:val="auto"/>
                <w:kern w:val="21"/>
                <w:sz w:val="21"/>
              </w:rPr>
            </w:pPr>
            <w:r>
              <w:rPr>
                <w:color w:val="auto"/>
                <w:kern w:val="21"/>
                <w:sz w:val="21"/>
              </w:rPr>
              <w:t>六价铬</w:t>
            </w:r>
          </w:p>
        </w:tc>
        <w:tc>
          <w:tcPr>
            <w:tcW w:w="2456" w:type="dxa"/>
            <w:vAlign w:val="center"/>
          </w:tcPr>
          <w:p>
            <w:pPr>
              <w:pStyle w:val="168"/>
              <w:spacing w:line="240" w:lineRule="auto"/>
              <w:rPr>
                <w:color w:val="auto"/>
                <w:kern w:val="21"/>
                <w:sz w:val="21"/>
              </w:rPr>
            </w:pPr>
            <w:r>
              <w:rPr>
                <w:color w:val="auto"/>
                <w:kern w:val="21"/>
                <w:sz w:val="21"/>
              </w:rPr>
              <w:t>≤0.05</w:t>
            </w:r>
          </w:p>
        </w:tc>
        <w:tc>
          <w:tcPr>
            <w:tcW w:w="2766" w:type="dxa"/>
            <w:vAlign w:val="center"/>
          </w:tcPr>
          <w:p>
            <w:pPr>
              <w:pStyle w:val="168"/>
              <w:spacing w:line="240" w:lineRule="auto"/>
              <w:rPr>
                <w:color w:val="auto"/>
                <w:kern w:val="21"/>
                <w:sz w:val="21"/>
              </w:rPr>
            </w:pPr>
            <w:r>
              <w:rPr>
                <w:color w:val="auto"/>
                <w:kern w:val="21"/>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color w:val="auto"/>
                <w:kern w:val="21"/>
                <w:sz w:val="21"/>
              </w:rPr>
            </w:pPr>
            <w:r>
              <w:rPr>
                <w:color w:val="auto"/>
                <w:kern w:val="21"/>
                <w:sz w:val="21"/>
              </w:rPr>
              <w:t>12</w:t>
            </w:r>
          </w:p>
        </w:tc>
        <w:tc>
          <w:tcPr>
            <w:tcW w:w="2343" w:type="dxa"/>
            <w:vAlign w:val="center"/>
          </w:tcPr>
          <w:p>
            <w:pPr>
              <w:pStyle w:val="168"/>
              <w:spacing w:line="240" w:lineRule="auto"/>
              <w:rPr>
                <w:color w:val="auto"/>
                <w:kern w:val="21"/>
                <w:sz w:val="21"/>
              </w:rPr>
            </w:pPr>
            <w:r>
              <w:rPr>
                <w:color w:val="auto"/>
                <w:kern w:val="21"/>
                <w:sz w:val="21"/>
              </w:rPr>
              <w:t>铅</w:t>
            </w:r>
          </w:p>
        </w:tc>
        <w:tc>
          <w:tcPr>
            <w:tcW w:w="2456" w:type="dxa"/>
            <w:vAlign w:val="center"/>
          </w:tcPr>
          <w:p>
            <w:pPr>
              <w:pStyle w:val="168"/>
              <w:spacing w:line="240" w:lineRule="auto"/>
              <w:rPr>
                <w:color w:val="auto"/>
                <w:kern w:val="21"/>
                <w:sz w:val="21"/>
              </w:rPr>
            </w:pPr>
            <w:r>
              <w:rPr>
                <w:color w:val="auto"/>
                <w:kern w:val="21"/>
                <w:sz w:val="21"/>
              </w:rPr>
              <w:t>≤0.05</w:t>
            </w:r>
          </w:p>
        </w:tc>
        <w:tc>
          <w:tcPr>
            <w:tcW w:w="2766" w:type="dxa"/>
            <w:vAlign w:val="center"/>
          </w:tcPr>
          <w:p>
            <w:pPr>
              <w:pStyle w:val="168"/>
              <w:spacing w:line="240" w:lineRule="auto"/>
              <w:rPr>
                <w:color w:val="auto"/>
                <w:kern w:val="21"/>
                <w:sz w:val="21"/>
              </w:rPr>
            </w:pPr>
            <w:r>
              <w:rPr>
                <w:color w:val="auto"/>
                <w:kern w:val="21"/>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color w:val="auto"/>
                <w:kern w:val="21"/>
                <w:sz w:val="21"/>
              </w:rPr>
            </w:pPr>
            <w:r>
              <w:rPr>
                <w:color w:val="auto"/>
                <w:kern w:val="21"/>
                <w:sz w:val="21"/>
              </w:rPr>
              <w:t>13</w:t>
            </w:r>
          </w:p>
        </w:tc>
        <w:tc>
          <w:tcPr>
            <w:tcW w:w="2343" w:type="dxa"/>
            <w:vAlign w:val="center"/>
          </w:tcPr>
          <w:p>
            <w:pPr>
              <w:pStyle w:val="168"/>
              <w:spacing w:line="240" w:lineRule="auto"/>
              <w:rPr>
                <w:color w:val="auto"/>
                <w:kern w:val="21"/>
                <w:sz w:val="21"/>
              </w:rPr>
            </w:pPr>
            <w:r>
              <w:rPr>
                <w:color w:val="auto"/>
                <w:kern w:val="21"/>
                <w:sz w:val="21"/>
              </w:rPr>
              <w:t>砷</w:t>
            </w:r>
          </w:p>
        </w:tc>
        <w:tc>
          <w:tcPr>
            <w:tcW w:w="2456" w:type="dxa"/>
            <w:vAlign w:val="center"/>
          </w:tcPr>
          <w:p>
            <w:pPr>
              <w:pStyle w:val="168"/>
              <w:spacing w:line="240" w:lineRule="auto"/>
              <w:rPr>
                <w:color w:val="auto"/>
                <w:kern w:val="21"/>
                <w:sz w:val="21"/>
              </w:rPr>
            </w:pPr>
            <w:r>
              <w:rPr>
                <w:color w:val="auto"/>
                <w:kern w:val="21"/>
                <w:sz w:val="21"/>
              </w:rPr>
              <w:t>≤0.1</w:t>
            </w:r>
          </w:p>
        </w:tc>
        <w:tc>
          <w:tcPr>
            <w:tcW w:w="2766" w:type="dxa"/>
            <w:vAlign w:val="center"/>
          </w:tcPr>
          <w:p>
            <w:pPr>
              <w:pStyle w:val="168"/>
              <w:spacing w:line="240" w:lineRule="auto"/>
              <w:rPr>
                <w:color w:val="auto"/>
                <w:kern w:val="21"/>
                <w:sz w:val="21"/>
              </w:rPr>
            </w:pPr>
            <w:r>
              <w:rPr>
                <w:color w:val="auto"/>
                <w:kern w:val="21"/>
                <w:sz w:val="21"/>
              </w:rPr>
              <w:t>≤0.</w:t>
            </w:r>
            <w:r>
              <w:rPr>
                <w:rFonts w:hint="eastAsia"/>
                <w:color w:val="auto"/>
                <w:kern w:val="21"/>
                <w:sz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color w:val="auto"/>
                <w:kern w:val="21"/>
                <w:sz w:val="21"/>
              </w:rPr>
            </w:pPr>
            <w:r>
              <w:rPr>
                <w:color w:val="auto"/>
                <w:kern w:val="21"/>
                <w:sz w:val="21"/>
              </w:rPr>
              <w:t>14</w:t>
            </w:r>
          </w:p>
        </w:tc>
        <w:tc>
          <w:tcPr>
            <w:tcW w:w="2343" w:type="dxa"/>
            <w:vAlign w:val="center"/>
          </w:tcPr>
          <w:p>
            <w:pPr>
              <w:pStyle w:val="168"/>
              <w:spacing w:line="240" w:lineRule="auto"/>
              <w:rPr>
                <w:color w:val="auto"/>
                <w:kern w:val="21"/>
                <w:sz w:val="21"/>
              </w:rPr>
            </w:pPr>
            <w:r>
              <w:rPr>
                <w:color w:val="auto"/>
                <w:kern w:val="21"/>
                <w:sz w:val="21"/>
              </w:rPr>
              <w:t>粪大肠细菌群数（个/L）</w:t>
            </w:r>
          </w:p>
        </w:tc>
        <w:tc>
          <w:tcPr>
            <w:tcW w:w="2456" w:type="dxa"/>
            <w:vAlign w:val="center"/>
          </w:tcPr>
          <w:p>
            <w:pPr>
              <w:pStyle w:val="168"/>
              <w:spacing w:line="240" w:lineRule="auto"/>
              <w:rPr>
                <w:color w:val="auto"/>
                <w:kern w:val="21"/>
                <w:sz w:val="21"/>
              </w:rPr>
            </w:pPr>
            <w:r>
              <w:rPr>
                <w:color w:val="auto"/>
                <w:kern w:val="21"/>
                <w:sz w:val="21"/>
              </w:rPr>
              <w:t>20000</w:t>
            </w:r>
          </w:p>
        </w:tc>
        <w:tc>
          <w:tcPr>
            <w:tcW w:w="2766" w:type="dxa"/>
            <w:vAlign w:val="center"/>
          </w:tcPr>
          <w:p>
            <w:pPr>
              <w:pStyle w:val="168"/>
              <w:spacing w:line="240" w:lineRule="auto"/>
              <w:rPr>
                <w:color w:val="auto"/>
                <w:kern w:val="21"/>
                <w:sz w:val="21"/>
              </w:rPr>
            </w:pPr>
            <w:r>
              <w:rPr>
                <w:rFonts w:hint="eastAsia"/>
                <w:color w:val="auto"/>
                <w:kern w:val="21"/>
                <w:sz w:val="21"/>
              </w:rPr>
              <w:t>1</w:t>
            </w:r>
            <w:r>
              <w:rPr>
                <w:color w:val="auto"/>
                <w:kern w:val="21"/>
                <w:sz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color w:val="auto"/>
                <w:kern w:val="21"/>
                <w:sz w:val="21"/>
              </w:rPr>
            </w:pPr>
            <w:r>
              <w:rPr>
                <w:color w:val="auto"/>
                <w:kern w:val="21"/>
                <w:sz w:val="21"/>
              </w:rPr>
              <w:t>15</w:t>
            </w:r>
          </w:p>
        </w:tc>
        <w:tc>
          <w:tcPr>
            <w:tcW w:w="2343" w:type="dxa"/>
            <w:vAlign w:val="center"/>
          </w:tcPr>
          <w:p>
            <w:pPr>
              <w:pStyle w:val="168"/>
              <w:spacing w:line="240" w:lineRule="auto"/>
              <w:rPr>
                <w:color w:val="auto"/>
                <w:kern w:val="21"/>
                <w:sz w:val="21"/>
              </w:rPr>
            </w:pPr>
            <w:r>
              <w:rPr>
                <w:color w:val="auto"/>
                <w:kern w:val="21"/>
                <w:sz w:val="21"/>
              </w:rPr>
              <w:t>氟化物</w:t>
            </w:r>
          </w:p>
        </w:tc>
        <w:tc>
          <w:tcPr>
            <w:tcW w:w="2456" w:type="dxa"/>
            <w:vAlign w:val="center"/>
          </w:tcPr>
          <w:p>
            <w:pPr>
              <w:pStyle w:val="168"/>
              <w:spacing w:line="240" w:lineRule="auto"/>
              <w:rPr>
                <w:color w:val="auto"/>
                <w:kern w:val="21"/>
                <w:sz w:val="21"/>
              </w:rPr>
            </w:pPr>
            <w:r>
              <w:rPr>
                <w:color w:val="auto"/>
                <w:kern w:val="21"/>
                <w:sz w:val="21"/>
              </w:rPr>
              <w:t>≤1.5</w:t>
            </w:r>
          </w:p>
        </w:tc>
        <w:tc>
          <w:tcPr>
            <w:tcW w:w="2766" w:type="dxa"/>
            <w:vAlign w:val="center"/>
          </w:tcPr>
          <w:p>
            <w:pPr>
              <w:pStyle w:val="168"/>
              <w:spacing w:line="240" w:lineRule="auto"/>
              <w:rPr>
                <w:color w:val="auto"/>
                <w:kern w:val="21"/>
                <w:sz w:val="21"/>
              </w:rPr>
            </w:pPr>
            <w:r>
              <w:rPr>
                <w:color w:val="auto"/>
                <w:kern w:val="21"/>
                <w:sz w:val="21"/>
              </w:rPr>
              <w:t>≤1.</w:t>
            </w:r>
            <w:r>
              <w:rPr>
                <w:rFonts w:hint="eastAsia"/>
                <w:color w:val="auto"/>
                <w:kern w:val="21"/>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168"/>
              <w:spacing w:line="240" w:lineRule="auto"/>
              <w:rPr>
                <w:color w:val="auto"/>
                <w:kern w:val="21"/>
                <w:sz w:val="21"/>
              </w:rPr>
            </w:pPr>
            <w:r>
              <w:rPr>
                <w:color w:val="auto"/>
                <w:kern w:val="21"/>
                <w:sz w:val="21"/>
              </w:rPr>
              <w:t>16</w:t>
            </w:r>
          </w:p>
        </w:tc>
        <w:tc>
          <w:tcPr>
            <w:tcW w:w="2343" w:type="dxa"/>
            <w:vAlign w:val="center"/>
          </w:tcPr>
          <w:p>
            <w:pPr>
              <w:pStyle w:val="168"/>
              <w:spacing w:line="240" w:lineRule="auto"/>
              <w:rPr>
                <w:color w:val="auto"/>
                <w:kern w:val="21"/>
                <w:sz w:val="21"/>
              </w:rPr>
            </w:pPr>
            <w:r>
              <w:rPr>
                <w:color w:val="auto"/>
                <w:kern w:val="21"/>
                <w:sz w:val="21"/>
              </w:rPr>
              <w:t>硫化物</w:t>
            </w:r>
          </w:p>
        </w:tc>
        <w:tc>
          <w:tcPr>
            <w:tcW w:w="2456" w:type="dxa"/>
            <w:vAlign w:val="center"/>
          </w:tcPr>
          <w:p>
            <w:pPr>
              <w:pStyle w:val="168"/>
              <w:spacing w:line="240" w:lineRule="auto"/>
              <w:rPr>
                <w:color w:val="auto"/>
                <w:kern w:val="21"/>
                <w:sz w:val="21"/>
              </w:rPr>
            </w:pPr>
            <w:r>
              <w:rPr>
                <w:color w:val="auto"/>
                <w:kern w:val="21"/>
                <w:sz w:val="21"/>
              </w:rPr>
              <w:t>≤0.5</w:t>
            </w:r>
          </w:p>
        </w:tc>
        <w:tc>
          <w:tcPr>
            <w:tcW w:w="2766" w:type="dxa"/>
            <w:vAlign w:val="center"/>
          </w:tcPr>
          <w:p>
            <w:pPr>
              <w:pStyle w:val="168"/>
              <w:spacing w:line="240" w:lineRule="auto"/>
              <w:rPr>
                <w:color w:val="auto"/>
                <w:kern w:val="21"/>
                <w:sz w:val="21"/>
              </w:rPr>
            </w:pPr>
            <w:r>
              <w:rPr>
                <w:color w:val="auto"/>
                <w:kern w:val="21"/>
                <w:sz w:val="21"/>
              </w:rPr>
              <w:t>≤0.</w:t>
            </w:r>
            <w:r>
              <w:rPr>
                <w:rFonts w:hint="eastAsia"/>
                <w:color w:val="auto"/>
                <w:kern w:val="21"/>
                <w:sz w:val="21"/>
              </w:rPr>
              <w:t>2</w:t>
            </w:r>
          </w:p>
        </w:tc>
      </w:tr>
    </w:tbl>
    <w:p>
      <w:pPr>
        <w:keepNext w:val="0"/>
        <w:keepLines w:val="0"/>
        <w:pageBreakBefore w:val="0"/>
        <w:widowControl w:val="0"/>
        <w:kinsoku/>
        <w:wordWrap/>
        <w:overflowPunct/>
        <w:topLinePunct w:val="0"/>
        <w:autoSpaceDE/>
        <w:autoSpaceDN/>
        <w:bidi w:val="0"/>
        <w:adjustRightInd/>
        <w:snapToGrid/>
        <w:spacing w:before="0" w:beforeLines="50"/>
        <w:ind w:firstLine="474"/>
        <w:textAlignment w:val="auto"/>
        <w:rPr>
          <w:b/>
          <w:bCs/>
          <w:color w:val="auto"/>
          <w:kern w:val="21"/>
        </w:rPr>
      </w:pPr>
      <w:r>
        <w:rPr>
          <w:b/>
          <w:bCs/>
          <w:color w:val="auto"/>
          <w:kern w:val="21"/>
        </w:rPr>
        <w:t>3、地下水</w:t>
      </w:r>
    </w:p>
    <w:p>
      <w:pPr>
        <w:ind w:firstLine="472"/>
        <w:rPr>
          <w:color w:val="auto"/>
        </w:rPr>
      </w:pPr>
      <w:r>
        <w:rPr>
          <w:color w:val="auto"/>
          <w:kern w:val="21"/>
        </w:rPr>
        <w:t>项目评价区地下水执行《地下水质量标准》（GB/T14848-2017）Ⅲ类标准，标准值见</w:t>
      </w:r>
      <w:r>
        <w:rPr>
          <w:rFonts w:hint="eastAsia"/>
          <w:color w:val="auto"/>
          <w:kern w:val="21"/>
          <w:lang w:eastAsia="zh-CN"/>
        </w:rPr>
        <w:t>下表</w:t>
      </w:r>
      <w:r>
        <w:rPr>
          <w:color w:val="auto"/>
          <w:kern w:val="21"/>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ascii="Times New Roman" w:hAnsi="Times New Roman"/>
          <w:b/>
          <w:bCs w:val="0"/>
          <w:color w:val="auto"/>
          <w:kern w:val="21"/>
          <w:sz w:val="24"/>
        </w:rPr>
      </w:pPr>
      <w:r>
        <w:rPr>
          <w:rFonts w:ascii="Times New Roman" w:hAnsi="Times New Roman"/>
          <w:b/>
          <w:bCs w:val="0"/>
          <w:color w:val="auto"/>
          <w:kern w:val="21"/>
          <w:sz w:val="24"/>
          <w:lang w:val="zh-CN"/>
        </w:rPr>
        <w:t>地下水质量标准</w:t>
      </w:r>
      <w:r>
        <w:rPr>
          <w:rFonts w:hint="eastAsia" w:ascii="Times New Roman" w:hAnsi="Times New Roman"/>
          <w:b/>
          <w:bCs w:val="0"/>
          <w:color w:val="auto"/>
          <w:kern w:val="21"/>
          <w:sz w:val="24"/>
        </w:rPr>
        <w:t xml:space="preserve"> 单位：mg/L</w:t>
      </w:r>
    </w:p>
    <w:tbl>
      <w:tblPr>
        <w:tblStyle w:val="51"/>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9"/>
        <w:gridCol w:w="638"/>
        <w:gridCol w:w="750"/>
        <w:gridCol w:w="912"/>
        <w:gridCol w:w="613"/>
        <w:gridCol w:w="737"/>
        <w:gridCol w:w="878"/>
        <w:gridCol w:w="731"/>
        <w:gridCol w:w="589"/>
        <w:gridCol w:w="902"/>
        <w:gridCol w:w="925"/>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9"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pH</w:t>
            </w:r>
            <w:r>
              <w:rPr>
                <w:rStyle w:val="73"/>
                <w:rFonts w:hint="default" w:ascii="Times New Roman" w:hAnsi="Times New Roman" w:cs="Times New Roman"/>
                <w:color w:val="auto"/>
                <w:lang w:bidi="ar"/>
              </w:rPr>
              <w:t>（无量纲）</w:t>
            </w:r>
          </w:p>
        </w:tc>
        <w:tc>
          <w:tcPr>
            <w:tcW w:w="638"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耗氧量</w:t>
            </w:r>
          </w:p>
        </w:tc>
        <w:tc>
          <w:tcPr>
            <w:tcW w:w="750"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总硬度</w:t>
            </w:r>
          </w:p>
        </w:tc>
        <w:tc>
          <w:tcPr>
            <w:tcW w:w="912"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溶解性固体总量</w:t>
            </w:r>
          </w:p>
        </w:tc>
        <w:tc>
          <w:tcPr>
            <w:tcW w:w="613"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氯化物</w:t>
            </w:r>
          </w:p>
        </w:tc>
        <w:tc>
          <w:tcPr>
            <w:tcW w:w="737"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硫酸盐</w:t>
            </w:r>
          </w:p>
        </w:tc>
        <w:tc>
          <w:tcPr>
            <w:tcW w:w="878"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硝酸盐</w:t>
            </w:r>
          </w:p>
        </w:tc>
        <w:tc>
          <w:tcPr>
            <w:tcW w:w="731"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亚硝酸盐</w:t>
            </w:r>
          </w:p>
        </w:tc>
        <w:tc>
          <w:tcPr>
            <w:tcW w:w="589"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硫化物</w:t>
            </w:r>
          </w:p>
        </w:tc>
        <w:tc>
          <w:tcPr>
            <w:tcW w:w="902"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氰化物</w:t>
            </w:r>
          </w:p>
        </w:tc>
        <w:tc>
          <w:tcPr>
            <w:tcW w:w="925"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氟化物</w:t>
            </w:r>
          </w:p>
        </w:tc>
        <w:tc>
          <w:tcPr>
            <w:tcW w:w="585"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9"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6.5~8.5</w:t>
            </w:r>
          </w:p>
        </w:tc>
        <w:tc>
          <w:tcPr>
            <w:tcW w:w="638"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≤3</w:t>
            </w:r>
          </w:p>
        </w:tc>
        <w:tc>
          <w:tcPr>
            <w:tcW w:w="750"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≤450</w:t>
            </w:r>
          </w:p>
        </w:tc>
        <w:tc>
          <w:tcPr>
            <w:tcW w:w="912"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≤1000</w:t>
            </w:r>
          </w:p>
        </w:tc>
        <w:tc>
          <w:tcPr>
            <w:tcW w:w="613"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≤250</w:t>
            </w:r>
          </w:p>
        </w:tc>
        <w:tc>
          <w:tcPr>
            <w:tcW w:w="737"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≤250</w:t>
            </w:r>
          </w:p>
        </w:tc>
        <w:tc>
          <w:tcPr>
            <w:tcW w:w="878"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≤20</w:t>
            </w:r>
          </w:p>
        </w:tc>
        <w:tc>
          <w:tcPr>
            <w:tcW w:w="731"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≤1.0</w:t>
            </w:r>
          </w:p>
        </w:tc>
        <w:tc>
          <w:tcPr>
            <w:tcW w:w="589"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≤0.02</w:t>
            </w:r>
          </w:p>
        </w:tc>
        <w:tc>
          <w:tcPr>
            <w:tcW w:w="902"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≤0.05</w:t>
            </w:r>
          </w:p>
        </w:tc>
        <w:tc>
          <w:tcPr>
            <w:tcW w:w="925"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≤1.0</w:t>
            </w:r>
          </w:p>
        </w:tc>
        <w:tc>
          <w:tcPr>
            <w:tcW w:w="585"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9"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砷</w:t>
            </w:r>
          </w:p>
        </w:tc>
        <w:tc>
          <w:tcPr>
            <w:tcW w:w="638"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镉</w:t>
            </w:r>
          </w:p>
        </w:tc>
        <w:tc>
          <w:tcPr>
            <w:tcW w:w="750"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铅</w:t>
            </w:r>
          </w:p>
        </w:tc>
        <w:tc>
          <w:tcPr>
            <w:tcW w:w="912"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铜</w:t>
            </w:r>
          </w:p>
        </w:tc>
        <w:tc>
          <w:tcPr>
            <w:tcW w:w="613"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锌</w:t>
            </w:r>
          </w:p>
        </w:tc>
        <w:tc>
          <w:tcPr>
            <w:tcW w:w="737"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铁</w:t>
            </w:r>
          </w:p>
        </w:tc>
        <w:tc>
          <w:tcPr>
            <w:tcW w:w="878"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锰</w:t>
            </w:r>
          </w:p>
        </w:tc>
        <w:tc>
          <w:tcPr>
            <w:tcW w:w="731"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汞</w:t>
            </w:r>
          </w:p>
        </w:tc>
        <w:tc>
          <w:tcPr>
            <w:tcW w:w="589" w:type="dxa"/>
            <w:vAlign w:val="center"/>
          </w:tcPr>
          <w:p>
            <w:pPr>
              <w:widowControl/>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六价铬</w:t>
            </w:r>
          </w:p>
        </w:tc>
        <w:tc>
          <w:tcPr>
            <w:tcW w:w="902" w:type="dxa"/>
            <w:vAlign w:val="center"/>
          </w:tcPr>
          <w:p>
            <w:pPr>
              <w:widowControl/>
              <w:wordWrap w:val="0"/>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总大肠菌群</w:t>
            </w:r>
            <w:r>
              <w:rPr>
                <w:color w:val="auto"/>
                <w:sz w:val="21"/>
                <w:szCs w:val="21"/>
              </w:rPr>
              <w:t>(MPN/100mL)</w:t>
            </w:r>
          </w:p>
        </w:tc>
        <w:tc>
          <w:tcPr>
            <w:tcW w:w="925" w:type="dxa"/>
            <w:vAlign w:val="center"/>
          </w:tcPr>
          <w:p>
            <w:pPr>
              <w:widowControl/>
              <w:wordWrap w:val="0"/>
              <w:adjustRightInd w:val="0"/>
              <w:snapToGrid w:val="0"/>
              <w:spacing w:line="240" w:lineRule="auto"/>
              <w:ind w:firstLine="0" w:firstLineChars="0"/>
              <w:jc w:val="center"/>
              <w:textAlignment w:val="top"/>
              <w:rPr>
                <w:color w:val="auto"/>
                <w:kern w:val="21"/>
                <w:sz w:val="21"/>
                <w:szCs w:val="21"/>
              </w:rPr>
            </w:pPr>
            <w:r>
              <w:rPr>
                <w:color w:val="auto"/>
                <w:kern w:val="0"/>
                <w:sz w:val="21"/>
                <w:szCs w:val="21"/>
                <w:lang w:bidi="ar"/>
              </w:rPr>
              <w:t>细菌总数（</w:t>
            </w:r>
            <w:r>
              <w:rPr>
                <w:rStyle w:val="106"/>
                <w:color w:val="auto"/>
                <w:lang w:bidi="ar"/>
              </w:rPr>
              <w:t>CFU/mL</w:t>
            </w:r>
            <w:r>
              <w:rPr>
                <w:rStyle w:val="73"/>
                <w:rFonts w:hint="default" w:ascii="Times New Roman" w:hAnsi="Times New Roman" w:cs="Times New Roman"/>
                <w:color w:val="auto"/>
                <w:lang w:bidi="ar"/>
              </w:rPr>
              <w:t>）</w:t>
            </w:r>
          </w:p>
        </w:tc>
        <w:tc>
          <w:tcPr>
            <w:tcW w:w="585"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9"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≤0.01</w:t>
            </w:r>
          </w:p>
        </w:tc>
        <w:tc>
          <w:tcPr>
            <w:tcW w:w="638"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≤0.005</w:t>
            </w:r>
          </w:p>
        </w:tc>
        <w:tc>
          <w:tcPr>
            <w:tcW w:w="750"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≤0.01</w:t>
            </w:r>
          </w:p>
        </w:tc>
        <w:tc>
          <w:tcPr>
            <w:tcW w:w="912"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≤1.0</w:t>
            </w:r>
          </w:p>
        </w:tc>
        <w:tc>
          <w:tcPr>
            <w:tcW w:w="613"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≤1.0</w:t>
            </w:r>
          </w:p>
        </w:tc>
        <w:tc>
          <w:tcPr>
            <w:tcW w:w="737"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≤0.3</w:t>
            </w:r>
          </w:p>
        </w:tc>
        <w:tc>
          <w:tcPr>
            <w:tcW w:w="878"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≤0.1</w:t>
            </w:r>
          </w:p>
        </w:tc>
        <w:tc>
          <w:tcPr>
            <w:tcW w:w="731"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≤0.001</w:t>
            </w:r>
          </w:p>
        </w:tc>
        <w:tc>
          <w:tcPr>
            <w:tcW w:w="589"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≤0.05</w:t>
            </w:r>
          </w:p>
        </w:tc>
        <w:tc>
          <w:tcPr>
            <w:tcW w:w="902"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≤3</w:t>
            </w:r>
          </w:p>
        </w:tc>
        <w:tc>
          <w:tcPr>
            <w:tcW w:w="925"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≤100</w:t>
            </w:r>
          </w:p>
        </w:tc>
        <w:tc>
          <w:tcPr>
            <w:tcW w:w="585" w:type="dxa"/>
            <w:vAlign w:val="center"/>
          </w:tcPr>
          <w:p>
            <w:pPr>
              <w:autoSpaceDN w:val="0"/>
              <w:adjustRightInd w:val="0"/>
              <w:snapToGrid w:val="0"/>
              <w:spacing w:line="260" w:lineRule="exact"/>
              <w:ind w:firstLine="0" w:firstLineChars="0"/>
              <w:jc w:val="center"/>
              <w:textAlignment w:val="center"/>
              <w:rPr>
                <w:color w:val="auto"/>
                <w:kern w:val="21"/>
                <w:sz w:val="21"/>
                <w:szCs w:val="21"/>
              </w:rPr>
            </w:pPr>
            <w:r>
              <w:rPr>
                <w:color w:val="auto"/>
                <w:kern w:val="21"/>
                <w:sz w:val="21"/>
                <w:szCs w:val="21"/>
              </w:rPr>
              <w:t>/</w:t>
            </w:r>
          </w:p>
        </w:tc>
      </w:tr>
    </w:tbl>
    <w:p>
      <w:pPr>
        <w:ind w:firstLine="474"/>
        <w:rPr>
          <w:b/>
          <w:bCs/>
          <w:color w:val="auto"/>
          <w:kern w:val="21"/>
        </w:rPr>
      </w:pPr>
      <w:r>
        <w:rPr>
          <w:b/>
          <w:bCs/>
          <w:color w:val="auto"/>
          <w:kern w:val="21"/>
        </w:rPr>
        <w:t>4、声环境</w:t>
      </w:r>
    </w:p>
    <w:p>
      <w:pPr>
        <w:ind w:firstLine="472"/>
        <w:rPr>
          <w:color w:val="auto"/>
          <w:kern w:val="21"/>
        </w:rPr>
      </w:pPr>
      <w:r>
        <w:rPr>
          <w:color w:val="auto"/>
        </w:rPr>
        <w:t>项目位于</w:t>
      </w:r>
      <w:r>
        <w:rPr>
          <w:rFonts w:hint="eastAsia"/>
          <w:color w:val="auto"/>
        </w:rPr>
        <w:t>楚雄工业园区富民庄甸工业区</w:t>
      </w:r>
      <w:r>
        <w:rPr>
          <w:color w:val="auto"/>
        </w:rPr>
        <w:t>，</w:t>
      </w:r>
      <w:r>
        <w:rPr>
          <w:rFonts w:hint="eastAsia"/>
          <w:color w:val="auto"/>
        </w:rPr>
        <w:t>项目区紧邻东升路一侧</w:t>
      </w:r>
      <w:r>
        <w:rPr>
          <w:color w:val="auto"/>
        </w:rPr>
        <w:t>25</w:t>
      </w:r>
      <w:r>
        <w:rPr>
          <w:rFonts w:hint="eastAsia"/>
          <w:color w:val="auto"/>
        </w:rPr>
        <w:t>m范围内区域执行</w:t>
      </w:r>
      <w:r>
        <w:rPr>
          <w:color w:val="auto"/>
        </w:rPr>
        <w:t>《声环境质量标准》（GB3096-2008）中</w:t>
      </w:r>
      <w:r>
        <w:rPr>
          <w:rFonts w:hint="eastAsia"/>
          <w:color w:val="auto"/>
        </w:rPr>
        <w:t>4a标准，其余园区范围执行</w:t>
      </w:r>
      <w:r>
        <w:rPr>
          <w:color w:val="auto"/>
        </w:rPr>
        <w:t>3类标准</w:t>
      </w:r>
      <w:r>
        <w:rPr>
          <w:rFonts w:hint="eastAsia"/>
          <w:color w:val="auto"/>
        </w:rPr>
        <w:t>，</w:t>
      </w:r>
      <w:r>
        <w:rPr>
          <w:color w:val="auto"/>
          <w:kern w:val="21"/>
        </w:rPr>
        <w:t>标准限值见</w:t>
      </w:r>
      <w:r>
        <w:rPr>
          <w:rFonts w:hint="eastAsia"/>
          <w:color w:val="auto"/>
          <w:kern w:val="21"/>
          <w:lang w:eastAsia="zh-CN"/>
        </w:rPr>
        <w:t>下</w:t>
      </w:r>
      <w:r>
        <w:rPr>
          <w:color w:val="auto"/>
          <w:kern w:val="21"/>
        </w:rPr>
        <w:t>表。</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color w:val="auto"/>
          <w:kern w:val="21"/>
          <w:lang w:val="zh-CN"/>
        </w:rPr>
      </w:pPr>
      <w:r>
        <w:rPr>
          <w:b/>
          <w:color w:val="auto"/>
          <w:kern w:val="21"/>
          <w:lang w:val="zh-CN"/>
        </w:rPr>
        <w:t>声环境</w:t>
      </w:r>
      <w:r>
        <w:rPr>
          <w:rFonts w:ascii="Times New Roman" w:hAnsi="Times New Roman"/>
          <w:b/>
          <w:bCs w:val="0"/>
          <w:color w:val="auto"/>
          <w:kern w:val="21"/>
          <w:sz w:val="24"/>
          <w:lang w:val="zh-CN"/>
        </w:rPr>
        <w:t>质量</w:t>
      </w:r>
      <w:r>
        <w:rPr>
          <w:b/>
          <w:color w:val="auto"/>
          <w:kern w:val="21"/>
          <w:lang w:val="zh-CN"/>
        </w:rPr>
        <w:t>标准</w:t>
      </w:r>
      <w:r>
        <w:rPr>
          <w:color w:val="auto"/>
          <w:sz w:val="21"/>
        </w:rPr>
        <w:t xml:space="preserve"> </w:t>
      </w:r>
    </w:p>
    <w:tbl>
      <w:tblPr>
        <w:tblStyle w:val="51"/>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5"/>
        <w:gridCol w:w="2353"/>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725" w:type="dxa"/>
            <w:vAlign w:val="center"/>
          </w:tcPr>
          <w:p>
            <w:pPr>
              <w:pStyle w:val="199"/>
              <w:rPr>
                <w:color w:val="auto"/>
              </w:rPr>
            </w:pPr>
            <w:r>
              <w:rPr>
                <w:color w:val="auto"/>
              </w:rPr>
              <w:t>类   别</w:t>
            </w:r>
          </w:p>
        </w:tc>
        <w:tc>
          <w:tcPr>
            <w:tcW w:w="2353" w:type="dxa"/>
            <w:vAlign w:val="center"/>
          </w:tcPr>
          <w:p>
            <w:pPr>
              <w:pStyle w:val="199"/>
              <w:rPr>
                <w:color w:val="auto"/>
              </w:rPr>
            </w:pPr>
            <w:r>
              <w:rPr>
                <w:color w:val="auto"/>
              </w:rPr>
              <w:t>昼   间</w:t>
            </w:r>
            <w:r>
              <w:rPr>
                <w:color w:val="auto"/>
                <w:sz w:val="21"/>
              </w:rPr>
              <w:t>dB(A)</w:t>
            </w:r>
          </w:p>
        </w:tc>
        <w:tc>
          <w:tcPr>
            <w:tcW w:w="2416" w:type="dxa"/>
            <w:vAlign w:val="center"/>
          </w:tcPr>
          <w:p>
            <w:pPr>
              <w:pStyle w:val="199"/>
              <w:rPr>
                <w:color w:val="auto"/>
              </w:rPr>
            </w:pPr>
            <w:r>
              <w:rPr>
                <w:color w:val="auto"/>
              </w:rPr>
              <w:t>夜  间</w:t>
            </w:r>
            <w:r>
              <w:rPr>
                <w:color w:val="auto"/>
                <w:sz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725" w:type="dxa"/>
            <w:vAlign w:val="center"/>
          </w:tcPr>
          <w:p>
            <w:pPr>
              <w:pStyle w:val="199"/>
              <w:rPr>
                <w:color w:val="auto"/>
              </w:rPr>
            </w:pPr>
            <w:r>
              <w:rPr>
                <w:color w:val="auto"/>
              </w:rPr>
              <w:t>3类标准</w:t>
            </w:r>
          </w:p>
        </w:tc>
        <w:tc>
          <w:tcPr>
            <w:tcW w:w="2353" w:type="dxa"/>
            <w:vAlign w:val="center"/>
          </w:tcPr>
          <w:p>
            <w:pPr>
              <w:pStyle w:val="199"/>
              <w:rPr>
                <w:color w:val="auto"/>
              </w:rPr>
            </w:pPr>
            <w:r>
              <w:rPr>
                <w:color w:val="auto"/>
              </w:rPr>
              <w:t>65</w:t>
            </w:r>
          </w:p>
        </w:tc>
        <w:tc>
          <w:tcPr>
            <w:tcW w:w="2416" w:type="dxa"/>
            <w:vAlign w:val="center"/>
          </w:tcPr>
          <w:p>
            <w:pPr>
              <w:pStyle w:val="199"/>
              <w:rPr>
                <w:color w:val="auto"/>
              </w:rPr>
            </w:pPr>
            <w:r>
              <w:rPr>
                <w:color w:val="auto"/>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725" w:type="dxa"/>
            <w:vAlign w:val="center"/>
          </w:tcPr>
          <w:p>
            <w:pPr>
              <w:pStyle w:val="199"/>
              <w:rPr>
                <w:color w:val="auto"/>
              </w:rPr>
            </w:pPr>
            <w:r>
              <w:rPr>
                <w:rFonts w:hint="eastAsia"/>
                <w:color w:val="auto"/>
              </w:rPr>
              <w:t>4a</w:t>
            </w:r>
            <w:r>
              <w:rPr>
                <w:color w:val="auto"/>
              </w:rPr>
              <w:t>类标准</w:t>
            </w:r>
          </w:p>
        </w:tc>
        <w:tc>
          <w:tcPr>
            <w:tcW w:w="2353" w:type="dxa"/>
            <w:vAlign w:val="center"/>
          </w:tcPr>
          <w:p>
            <w:pPr>
              <w:pStyle w:val="199"/>
              <w:rPr>
                <w:color w:val="auto"/>
              </w:rPr>
            </w:pPr>
            <w:r>
              <w:rPr>
                <w:rFonts w:hint="eastAsia"/>
                <w:color w:val="auto"/>
              </w:rPr>
              <w:t>70</w:t>
            </w:r>
          </w:p>
        </w:tc>
        <w:tc>
          <w:tcPr>
            <w:tcW w:w="2416" w:type="dxa"/>
            <w:vAlign w:val="center"/>
          </w:tcPr>
          <w:p>
            <w:pPr>
              <w:pStyle w:val="199"/>
              <w:rPr>
                <w:color w:val="auto"/>
              </w:rPr>
            </w:pPr>
            <w:r>
              <w:rPr>
                <w:color w:val="auto"/>
              </w:rPr>
              <w:t>55</w:t>
            </w:r>
          </w:p>
        </w:tc>
      </w:tr>
    </w:tbl>
    <w:p>
      <w:pPr>
        <w:ind w:firstLine="474"/>
        <w:rPr>
          <w:b/>
          <w:bCs/>
          <w:color w:val="auto"/>
          <w:kern w:val="21"/>
        </w:rPr>
      </w:pPr>
      <w:r>
        <w:rPr>
          <w:b/>
          <w:bCs/>
          <w:color w:val="auto"/>
          <w:kern w:val="21"/>
        </w:rPr>
        <w:t>5、土壤环境</w:t>
      </w:r>
    </w:p>
    <w:p>
      <w:pPr>
        <w:ind w:firstLine="472"/>
        <w:rPr>
          <w:b/>
          <w:color w:val="auto"/>
          <w:kern w:val="21"/>
        </w:rPr>
      </w:pPr>
      <w:r>
        <w:rPr>
          <w:color w:val="auto"/>
          <w:kern w:val="21"/>
          <w:szCs w:val="28"/>
        </w:rPr>
        <w:t>项目厂区</w:t>
      </w:r>
      <w:r>
        <w:rPr>
          <w:color w:val="auto"/>
          <w:kern w:val="21"/>
        </w:rPr>
        <w:t>土壤执行《土壤环境质量建设用地土壤污染风险管控标准（试行）》（GB36600-2018）第二类用地标准中的筛选值、管制值，具体标准限值见</w:t>
      </w:r>
      <w:r>
        <w:rPr>
          <w:rFonts w:hint="eastAsia"/>
          <w:color w:val="auto"/>
          <w:kern w:val="21"/>
          <w:lang w:eastAsia="zh-CN"/>
        </w:rPr>
        <w:t>下表</w:t>
      </w:r>
      <w:r>
        <w:rPr>
          <w:color w:val="auto"/>
          <w:kern w:val="21"/>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color w:val="auto"/>
          <w:kern w:val="21"/>
        </w:rPr>
      </w:pPr>
      <w:r>
        <w:rPr>
          <w:b/>
          <w:color w:val="auto"/>
          <w:kern w:val="21"/>
        </w:rPr>
        <w:t>建设用地土壤</w:t>
      </w:r>
      <w:r>
        <w:rPr>
          <w:b/>
          <w:color w:val="auto"/>
          <w:kern w:val="21"/>
          <w:lang w:val="zh-CN"/>
        </w:rPr>
        <w:t>环境</w:t>
      </w:r>
      <w:r>
        <w:rPr>
          <w:b/>
          <w:color w:val="auto"/>
          <w:kern w:val="21"/>
        </w:rPr>
        <w:t>质量标准值（基本项目）单位：mg/kg</w:t>
      </w:r>
    </w:p>
    <w:tbl>
      <w:tblPr>
        <w:tblStyle w:val="51"/>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8"/>
        <w:gridCol w:w="949"/>
        <w:gridCol w:w="1039"/>
        <w:gridCol w:w="1130"/>
        <w:gridCol w:w="1094"/>
        <w:gridCol w:w="1090"/>
        <w:gridCol w:w="1039"/>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8494"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一、金属和无机物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9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砷</w:t>
            </w:r>
          </w:p>
        </w:tc>
        <w:tc>
          <w:tcPr>
            <w:tcW w:w="103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镉</w:t>
            </w:r>
          </w:p>
        </w:tc>
        <w:tc>
          <w:tcPr>
            <w:tcW w:w="113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六价铬</w:t>
            </w:r>
          </w:p>
        </w:tc>
        <w:tc>
          <w:tcPr>
            <w:tcW w:w="109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铜</w:t>
            </w:r>
          </w:p>
        </w:tc>
        <w:tc>
          <w:tcPr>
            <w:tcW w:w="109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铅</w:t>
            </w:r>
          </w:p>
        </w:tc>
        <w:tc>
          <w:tcPr>
            <w:tcW w:w="103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汞</w:t>
            </w:r>
          </w:p>
        </w:tc>
        <w:tc>
          <w:tcPr>
            <w:tcW w:w="105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9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60</w:t>
            </w:r>
          </w:p>
        </w:tc>
        <w:tc>
          <w:tcPr>
            <w:tcW w:w="103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65</w:t>
            </w:r>
          </w:p>
        </w:tc>
        <w:tc>
          <w:tcPr>
            <w:tcW w:w="113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5.7</w:t>
            </w:r>
          </w:p>
        </w:tc>
        <w:tc>
          <w:tcPr>
            <w:tcW w:w="109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18000</w:t>
            </w:r>
          </w:p>
        </w:tc>
        <w:tc>
          <w:tcPr>
            <w:tcW w:w="109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800</w:t>
            </w:r>
          </w:p>
        </w:tc>
        <w:tc>
          <w:tcPr>
            <w:tcW w:w="103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38</w:t>
            </w:r>
          </w:p>
        </w:tc>
        <w:tc>
          <w:tcPr>
            <w:tcW w:w="105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9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140</w:t>
            </w:r>
          </w:p>
        </w:tc>
        <w:tc>
          <w:tcPr>
            <w:tcW w:w="103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172</w:t>
            </w:r>
          </w:p>
        </w:tc>
        <w:tc>
          <w:tcPr>
            <w:tcW w:w="113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78</w:t>
            </w:r>
          </w:p>
        </w:tc>
        <w:tc>
          <w:tcPr>
            <w:tcW w:w="109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36000</w:t>
            </w:r>
          </w:p>
        </w:tc>
        <w:tc>
          <w:tcPr>
            <w:tcW w:w="109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2500</w:t>
            </w:r>
          </w:p>
        </w:tc>
        <w:tc>
          <w:tcPr>
            <w:tcW w:w="103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82</w:t>
            </w:r>
          </w:p>
        </w:tc>
        <w:tc>
          <w:tcPr>
            <w:tcW w:w="105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494"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四氯化碳</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氯仿</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氯甲烷</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1-二氯乙烷</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2-二氯乙烷</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1-二氯乙烯</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顺-1</w:t>
            </w:r>
            <w:r>
              <w:rPr>
                <w:rFonts w:hint="eastAsia"/>
                <w:bCs/>
                <w:color w:val="auto"/>
                <w:kern w:val="21"/>
                <w:sz w:val="21"/>
                <w:szCs w:val="21"/>
              </w:rPr>
              <w:t>，</w:t>
            </w:r>
            <w:r>
              <w:rPr>
                <w:bCs/>
                <w:color w:val="auto"/>
                <w:kern w:val="21"/>
                <w:sz w:val="21"/>
                <w:szCs w:val="21"/>
              </w:rPr>
              <w:t>2-二氯乙烯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0.9</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37</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9</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66</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36</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21</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反-1</w:t>
            </w:r>
            <w:r>
              <w:rPr>
                <w:rFonts w:hint="eastAsia"/>
                <w:bCs/>
                <w:color w:val="auto"/>
                <w:kern w:val="21"/>
                <w:sz w:val="21"/>
                <w:szCs w:val="21"/>
              </w:rPr>
              <w:t>，</w:t>
            </w:r>
            <w:r>
              <w:rPr>
                <w:bCs/>
                <w:color w:val="auto"/>
                <w:kern w:val="21"/>
                <w:sz w:val="21"/>
                <w:szCs w:val="21"/>
              </w:rPr>
              <w:t>2-二氯乙烯</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二氯甲烷</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2-二氯丙烷</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2-四氯乙烷</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2-四氯乙烷</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四氯乙烯</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1-三氯乙烷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54</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616</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6.8</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53</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163</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2000</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47</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50</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183</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2-三氯乙烷</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三氯乙烯</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3-三氯丙烷</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氯乙烯</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氯苯</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0.5</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0.43</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270</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4.3</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40</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1000</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4-二氯苯</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乙苯</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苯乙烯</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甲苯</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间二甲苯+对二甲苯</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邻二甲苯</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1200</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570</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640</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280</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1200</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570</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640</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94"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三、半挥发性有机物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硝基苯</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苯胺</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2-氯酚</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苯并[a]蒽</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苯并[a]芘</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苯并[b]荧蒽</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苯并[k]荧蒽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76</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260</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2256</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760</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663</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4500</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䓛</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二苯并[a</w:t>
            </w:r>
            <w:r>
              <w:rPr>
                <w:rFonts w:hint="eastAsia"/>
                <w:bCs/>
                <w:color w:val="auto"/>
                <w:kern w:val="21"/>
                <w:sz w:val="21"/>
                <w:szCs w:val="21"/>
              </w:rPr>
              <w:t>，</w:t>
            </w:r>
            <w:r>
              <w:rPr>
                <w:bCs/>
                <w:color w:val="auto"/>
                <w:kern w:val="21"/>
                <w:sz w:val="21"/>
                <w:szCs w:val="21"/>
              </w:rPr>
              <w:t>h]蒽</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茚并[1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3-cd]芘</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萘</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1293</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70</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94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12900</w:t>
            </w: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3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09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700</w:t>
            </w:r>
          </w:p>
        </w:tc>
        <w:tc>
          <w:tcPr>
            <w:tcW w:w="109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03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05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bl>
    <w:p>
      <w:pPr>
        <w:pStyle w:val="6"/>
        <w:keepNext/>
        <w:keepLines/>
        <w:pageBreakBefore w:val="0"/>
        <w:widowControl w:val="0"/>
        <w:kinsoku/>
        <w:wordWrap/>
        <w:overflowPunct/>
        <w:topLinePunct w:val="0"/>
        <w:autoSpaceDE/>
        <w:autoSpaceDN/>
        <w:bidi w:val="0"/>
        <w:adjustRightInd/>
        <w:snapToGrid/>
        <w:spacing w:before="0" w:beforeLines="50" w:after="0"/>
        <w:textAlignment w:val="auto"/>
        <w:rPr>
          <w:rFonts w:eastAsia="宋体"/>
          <w:color w:val="auto"/>
          <w:kern w:val="21"/>
          <w:sz w:val="24"/>
          <w:szCs w:val="24"/>
        </w:rPr>
      </w:pPr>
      <w:bookmarkStart w:id="28" w:name="_Toc22597"/>
      <w:r>
        <w:rPr>
          <w:rFonts w:eastAsia="宋体"/>
          <w:color w:val="auto"/>
          <w:kern w:val="21"/>
          <w:sz w:val="24"/>
          <w:szCs w:val="24"/>
        </w:rPr>
        <w:t>2.4.2污染物排放标准</w:t>
      </w:r>
      <w:bookmarkEnd w:id="28"/>
    </w:p>
    <w:p>
      <w:pPr>
        <w:ind w:firstLine="472"/>
        <w:rPr>
          <w:color w:val="auto"/>
          <w:kern w:val="21"/>
        </w:rPr>
      </w:pPr>
      <w:r>
        <w:rPr>
          <w:color w:val="auto"/>
          <w:kern w:val="21"/>
        </w:rPr>
        <w:t>1、废气</w:t>
      </w:r>
    </w:p>
    <w:p>
      <w:pPr>
        <w:ind w:firstLine="472"/>
        <w:rPr>
          <w:color w:val="auto"/>
          <w:kern w:val="21"/>
        </w:rPr>
      </w:pPr>
      <w:r>
        <w:rPr>
          <w:color w:val="auto"/>
          <w:kern w:val="21"/>
          <w:lang w:bidi="ar"/>
        </w:rPr>
        <w:t>（1）</w:t>
      </w:r>
      <w:r>
        <w:rPr>
          <w:color w:val="auto"/>
          <w:kern w:val="21"/>
        </w:rPr>
        <w:t>施工期</w:t>
      </w:r>
    </w:p>
    <w:p>
      <w:pPr>
        <w:widowControl/>
        <w:ind w:firstLine="472"/>
        <w:jc w:val="left"/>
        <w:rPr>
          <w:color w:val="auto"/>
          <w:kern w:val="21"/>
        </w:rPr>
      </w:pPr>
      <w:r>
        <w:rPr>
          <w:color w:val="auto"/>
          <w:kern w:val="21"/>
          <w:lang w:bidi="ar"/>
        </w:rPr>
        <w:t>项目施工期产生的扬尘执行《大气污染物综合排放标准》（GB16297-1996）中无组织排放监控浓度限值要求，</w:t>
      </w:r>
      <w:r>
        <w:rPr>
          <w:rFonts w:hint="eastAsia"/>
          <w:color w:val="auto"/>
          <w:kern w:val="21"/>
          <w:lang w:eastAsia="zh-CN" w:bidi="ar"/>
        </w:rPr>
        <w:t>颗粒物</w:t>
      </w:r>
      <w:r>
        <w:rPr>
          <w:rFonts w:hint="eastAsia"/>
          <w:color w:val="auto"/>
          <w:kern w:val="21"/>
          <w:lang w:eastAsia="zh-CN"/>
        </w:rPr>
        <w:t>浓度限值为</w:t>
      </w:r>
      <w:r>
        <w:rPr>
          <w:rFonts w:hint="eastAsia"/>
          <w:color w:val="auto"/>
          <w:kern w:val="21"/>
          <w:lang w:val="en-US" w:eastAsia="zh-CN"/>
        </w:rPr>
        <w:t>1.0mg/m</w:t>
      </w:r>
      <w:r>
        <w:rPr>
          <w:rFonts w:hint="eastAsia"/>
          <w:color w:val="auto"/>
          <w:kern w:val="21"/>
          <w:vertAlign w:val="superscript"/>
          <w:lang w:val="en-US" w:eastAsia="zh-CN"/>
        </w:rPr>
        <w:t>3</w:t>
      </w:r>
      <w:r>
        <w:rPr>
          <w:color w:val="auto"/>
          <w:kern w:val="21"/>
        </w:rPr>
        <w:t>。</w:t>
      </w:r>
    </w:p>
    <w:p>
      <w:pPr>
        <w:ind w:firstLine="472"/>
        <w:rPr>
          <w:color w:val="auto"/>
          <w:kern w:val="21"/>
        </w:rPr>
      </w:pPr>
      <w:r>
        <w:rPr>
          <w:color w:val="auto"/>
          <w:kern w:val="21"/>
        </w:rPr>
        <w:t>（2）运营期</w:t>
      </w:r>
    </w:p>
    <w:p>
      <w:pPr>
        <w:widowControl/>
        <w:ind w:firstLine="472"/>
        <w:jc w:val="left"/>
        <w:rPr>
          <w:color w:val="auto"/>
          <w:kern w:val="21"/>
          <w:lang w:bidi="ar"/>
        </w:rPr>
      </w:pPr>
      <w:r>
        <w:rPr>
          <w:color w:val="auto"/>
          <w:kern w:val="21"/>
          <w:lang w:bidi="ar"/>
        </w:rPr>
        <w:t>①项目运营期大气污染物主要来自</w:t>
      </w:r>
      <w:r>
        <w:rPr>
          <w:rFonts w:hint="eastAsia"/>
          <w:color w:val="auto"/>
          <w:kern w:val="21"/>
          <w:lang w:eastAsia="zh-CN" w:bidi="ar"/>
        </w:rPr>
        <w:t>污水处理产生的恶臭气体，有组织排放的氨气和硫化氢执行《恶臭污染物排放标准》（</w:t>
      </w:r>
      <w:r>
        <w:rPr>
          <w:rFonts w:hint="eastAsia"/>
          <w:color w:val="auto"/>
          <w:kern w:val="21"/>
          <w:lang w:val="en-US" w:eastAsia="zh-CN" w:bidi="ar"/>
        </w:rPr>
        <w:t>GB14554-1993</w:t>
      </w:r>
      <w:r>
        <w:rPr>
          <w:rFonts w:hint="eastAsia"/>
          <w:color w:val="auto"/>
          <w:kern w:val="21"/>
          <w:lang w:eastAsia="zh-CN" w:bidi="ar"/>
        </w:rPr>
        <w:t>）表</w:t>
      </w:r>
      <w:r>
        <w:rPr>
          <w:rFonts w:hint="eastAsia"/>
          <w:color w:val="auto"/>
          <w:kern w:val="21"/>
          <w:lang w:val="en-US" w:eastAsia="zh-CN" w:bidi="ar"/>
        </w:rPr>
        <w:t>2中15m排放高度的标准限值</w:t>
      </w:r>
      <w:r>
        <w:rPr>
          <w:color w:val="auto"/>
          <w:kern w:val="21"/>
          <w:lang w:bidi="ar"/>
        </w:rPr>
        <w:t>，无组织排放</w:t>
      </w:r>
      <w:r>
        <w:rPr>
          <w:rFonts w:hint="eastAsia"/>
          <w:color w:val="auto"/>
          <w:kern w:val="21"/>
          <w:lang w:eastAsia="zh-CN" w:bidi="ar"/>
        </w:rPr>
        <w:t>的氨气和硫化氢</w:t>
      </w:r>
      <w:r>
        <w:rPr>
          <w:color w:val="auto"/>
          <w:kern w:val="21"/>
          <w:lang w:bidi="ar"/>
        </w:rPr>
        <w:t>执行《城镇污水处理厂污染物排放标准》（GB18918-2002）及其修改单表4中二级标准。</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snapToGrid/>
          <w:color w:val="auto"/>
          <w:kern w:val="21"/>
        </w:rPr>
      </w:pPr>
      <w:r>
        <w:rPr>
          <w:rFonts w:hint="eastAsia"/>
          <w:b/>
          <w:snapToGrid/>
          <w:color w:val="auto"/>
          <w:kern w:val="21"/>
          <w:lang w:eastAsia="zh-CN"/>
        </w:rPr>
        <w:t>本项目</w:t>
      </w:r>
      <w:r>
        <w:rPr>
          <w:b/>
          <w:bCs/>
          <w:color w:val="auto"/>
          <w:kern w:val="21"/>
        </w:rPr>
        <w:t>废气</w:t>
      </w:r>
      <w:r>
        <w:rPr>
          <w:b/>
          <w:snapToGrid/>
          <w:color w:val="auto"/>
          <w:kern w:val="21"/>
        </w:rPr>
        <w:t>排放浓度限值</w:t>
      </w:r>
      <w:r>
        <w:rPr>
          <w:rFonts w:hint="eastAsia"/>
          <w:b/>
          <w:snapToGrid/>
          <w:color w:val="auto"/>
          <w:kern w:val="21"/>
        </w:rPr>
        <w:t xml:space="preserve">  </w:t>
      </w:r>
    </w:p>
    <w:tbl>
      <w:tblPr>
        <w:tblStyle w:val="51"/>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762"/>
        <w:gridCol w:w="1457"/>
        <w:gridCol w:w="1696"/>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84"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r>
              <w:rPr>
                <w:snapToGrid/>
                <w:color w:val="auto"/>
                <w:kern w:val="21"/>
                <w:sz w:val="21"/>
                <w:szCs w:val="21"/>
              </w:rPr>
              <w:t>排放方式</w:t>
            </w:r>
          </w:p>
        </w:tc>
        <w:tc>
          <w:tcPr>
            <w:tcW w:w="2762"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r>
              <w:rPr>
                <w:snapToGrid/>
                <w:color w:val="auto"/>
                <w:kern w:val="21"/>
                <w:sz w:val="21"/>
                <w:szCs w:val="21"/>
              </w:rPr>
              <w:t>标准</w:t>
            </w:r>
          </w:p>
        </w:tc>
        <w:tc>
          <w:tcPr>
            <w:tcW w:w="1457"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napToGrid/>
                <w:color w:val="auto"/>
                <w:kern w:val="21"/>
                <w:sz w:val="21"/>
                <w:szCs w:val="21"/>
                <w:lang w:eastAsia="zh-CN"/>
              </w:rPr>
            </w:pPr>
            <w:r>
              <w:rPr>
                <w:rFonts w:hint="eastAsia"/>
                <w:snapToGrid/>
                <w:color w:val="auto"/>
                <w:kern w:val="21"/>
                <w:sz w:val="21"/>
                <w:szCs w:val="21"/>
                <w:lang w:eastAsia="zh-CN"/>
              </w:rPr>
              <w:t>污染物</w:t>
            </w:r>
          </w:p>
        </w:tc>
        <w:tc>
          <w:tcPr>
            <w:tcW w:w="1696"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napToGrid/>
                <w:color w:val="auto"/>
                <w:kern w:val="21"/>
                <w:sz w:val="21"/>
                <w:szCs w:val="21"/>
                <w:lang w:eastAsia="zh-CN"/>
              </w:rPr>
            </w:pPr>
            <w:r>
              <w:rPr>
                <w:rFonts w:hint="eastAsia"/>
                <w:snapToGrid/>
                <w:color w:val="auto"/>
                <w:kern w:val="21"/>
                <w:sz w:val="21"/>
                <w:szCs w:val="21"/>
                <w:lang w:eastAsia="zh-CN"/>
              </w:rPr>
              <w:t>标准限值</w:t>
            </w:r>
          </w:p>
        </w:tc>
        <w:tc>
          <w:tcPr>
            <w:tcW w:w="1450"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napToGrid/>
                <w:color w:val="auto"/>
                <w:kern w:val="21"/>
                <w:sz w:val="21"/>
                <w:szCs w:val="21"/>
                <w:lang w:eastAsia="zh-CN"/>
              </w:rPr>
            </w:pPr>
            <w:r>
              <w:rPr>
                <w:rFonts w:hint="eastAsia"/>
                <w:snapToGrid/>
                <w:color w:val="auto"/>
                <w:kern w:val="21"/>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084" w:type="dxa"/>
            <w:vMerge w:val="restart"/>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napToGrid/>
                <w:color w:val="auto"/>
                <w:kern w:val="21"/>
                <w:sz w:val="21"/>
                <w:szCs w:val="21"/>
                <w:lang w:eastAsia="zh-CN"/>
              </w:rPr>
            </w:pPr>
            <w:r>
              <w:rPr>
                <w:rFonts w:hint="eastAsia"/>
                <w:snapToGrid/>
                <w:color w:val="auto"/>
                <w:kern w:val="21"/>
                <w:sz w:val="21"/>
                <w:szCs w:val="21"/>
                <w:lang w:eastAsia="zh-CN"/>
              </w:rPr>
              <w:t>有组织排放</w:t>
            </w:r>
          </w:p>
        </w:tc>
        <w:tc>
          <w:tcPr>
            <w:tcW w:w="2762" w:type="dxa"/>
            <w:vMerge w:val="restart"/>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color w:val="auto"/>
                <w:kern w:val="21"/>
                <w:sz w:val="21"/>
                <w:szCs w:val="21"/>
                <w:lang w:val="en-US" w:eastAsia="zh-CN"/>
              </w:rPr>
            </w:pPr>
            <w:r>
              <w:rPr>
                <w:snapToGrid/>
                <w:color w:val="auto"/>
                <w:kern w:val="21"/>
                <w:sz w:val="21"/>
                <w:szCs w:val="21"/>
                <w:lang w:bidi="ar"/>
              </w:rPr>
              <w:t>《</w:t>
            </w:r>
            <w:r>
              <w:rPr>
                <w:rFonts w:hint="eastAsia"/>
                <w:snapToGrid/>
                <w:color w:val="auto"/>
                <w:kern w:val="21"/>
                <w:sz w:val="21"/>
                <w:szCs w:val="21"/>
                <w:lang w:eastAsia="zh-CN" w:bidi="ar"/>
              </w:rPr>
              <w:t>恶臭污染物排放标准</w:t>
            </w:r>
            <w:r>
              <w:rPr>
                <w:snapToGrid/>
                <w:color w:val="auto"/>
                <w:kern w:val="21"/>
                <w:sz w:val="21"/>
                <w:szCs w:val="21"/>
                <w:lang w:bidi="ar"/>
              </w:rPr>
              <w:t>》（GB</w:t>
            </w:r>
            <w:r>
              <w:rPr>
                <w:rFonts w:hint="eastAsia"/>
                <w:snapToGrid/>
                <w:color w:val="auto"/>
                <w:kern w:val="21"/>
                <w:sz w:val="21"/>
                <w:szCs w:val="21"/>
                <w:lang w:val="en-US" w:eastAsia="zh-CN" w:bidi="ar"/>
              </w:rPr>
              <w:t>14554</w:t>
            </w:r>
            <w:r>
              <w:rPr>
                <w:snapToGrid/>
                <w:color w:val="auto"/>
                <w:kern w:val="21"/>
                <w:sz w:val="21"/>
                <w:szCs w:val="21"/>
                <w:lang w:bidi="ar"/>
              </w:rPr>
              <w:t>-</w:t>
            </w:r>
            <w:r>
              <w:rPr>
                <w:rFonts w:hint="eastAsia"/>
                <w:snapToGrid/>
                <w:color w:val="auto"/>
                <w:kern w:val="21"/>
                <w:sz w:val="21"/>
                <w:szCs w:val="21"/>
                <w:lang w:val="en-US" w:eastAsia="zh-CN" w:bidi="ar"/>
              </w:rPr>
              <w:t>1993</w:t>
            </w:r>
            <w:r>
              <w:rPr>
                <w:snapToGrid/>
                <w:color w:val="auto"/>
                <w:kern w:val="21"/>
                <w:sz w:val="21"/>
                <w:szCs w:val="21"/>
                <w:lang w:bidi="ar"/>
              </w:rPr>
              <w:t>）</w:t>
            </w:r>
            <w:r>
              <w:rPr>
                <w:rFonts w:hint="eastAsia"/>
                <w:snapToGrid/>
                <w:color w:val="auto"/>
                <w:kern w:val="21"/>
                <w:sz w:val="21"/>
                <w:szCs w:val="21"/>
                <w:lang w:eastAsia="zh-CN" w:bidi="ar"/>
              </w:rPr>
              <w:t>表</w:t>
            </w:r>
            <w:r>
              <w:rPr>
                <w:rFonts w:hint="eastAsia"/>
                <w:snapToGrid/>
                <w:color w:val="auto"/>
                <w:kern w:val="21"/>
                <w:sz w:val="21"/>
                <w:szCs w:val="21"/>
                <w:lang w:val="en-US" w:eastAsia="zh-CN" w:bidi="ar"/>
              </w:rPr>
              <w:t>2标准</w:t>
            </w:r>
          </w:p>
        </w:tc>
        <w:tc>
          <w:tcPr>
            <w:tcW w:w="1457"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napToGrid/>
                <w:color w:val="auto"/>
                <w:kern w:val="21"/>
                <w:sz w:val="21"/>
                <w:szCs w:val="21"/>
                <w:lang w:eastAsia="zh-CN"/>
              </w:rPr>
            </w:pPr>
            <w:r>
              <w:rPr>
                <w:rFonts w:hint="eastAsia"/>
                <w:snapToGrid/>
                <w:color w:val="auto"/>
                <w:kern w:val="21"/>
                <w:sz w:val="21"/>
                <w:szCs w:val="21"/>
                <w:lang w:eastAsia="zh-CN"/>
              </w:rPr>
              <w:t>氨</w:t>
            </w:r>
          </w:p>
        </w:tc>
        <w:tc>
          <w:tcPr>
            <w:tcW w:w="1696"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color w:val="auto"/>
                <w:kern w:val="21"/>
                <w:sz w:val="21"/>
                <w:szCs w:val="21"/>
                <w:lang w:val="en-US" w:eastAsia="zh-CN"/>
              </w:rPr>
            </w:pPr>
            <w:r>
              <w:rPr>
                <w:rFonts w:hint="eastAsia"/>
                <w:snapToGrid/>
                <w:color w:val="auto"/>
                <w:kern w:val="21"/>
                <w:sz w:val="21"/>
                <w:szCs w:val="21"/>
                <w:lang w:val="en-US" w:eastAsia="zh-CN"/>
              </w:rPr>
              <w:t>4.9kg/h</w:t>
            </w:r>
          </w:p>
        </w:tc>
        <w:tc>
          <w:tcPr>
            <w:tcW w:w="1450" w:type="dxa"/>
            <w:vMerge w:val="restart"/>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color w:val="auto"/>
                <w:kern w:val="21"/>
                <w:sz w:val="21"/>
                <w:szCs w:val="21"/>
                <w:lang w:val="en-US" w:eastAsia="zh-CN"/>
              </w:rPr>
            </w:pPr>
            <w:r>
              <w:rPr>
                <w:rFonts w:hint="eastAsia"/>
                <w:snapToGrid/>
                <w:color w:val="auto"/>
                <w:kern w:val="21"/>
                <w:sz w:val="21"/>
                <w:szCs w:val="21"/>
                <w:lang w:val="en-US" w:eastAsia="zh-CN"/>
              </w:rPr>
              <w:t>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084"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2762"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457"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napToGrid/>
                <w:color w:val="auto"/>
                <w:kern w:val="21"/>
                <w:sz w:val="21"/>
                <w:szCs w:val="21"/>
                <w:lang w:eastAsia="zh-CN"/>
              </w:rPr>
            </w:pPr>
            <w:r>
              <w:rPr>
                <w:rFonts w:hint="eastAsia"/>
                <w:snapToGrid/>
                <w:color w:val="auto"/>
                <w:kern w:val="21"/>
                <w:sz w:val="21"/>
                <w:szCs w:val="21"/>
                <w:lang w:eastAsia="zh-CN"/>
              </w:rPr>
              <w:t>硫化氢</w:t>
            </w:r>
          </w:p>
        </w:tc>
        <w:tc>
          <w:tcPr>
            <w:tcW w:w="1696"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color w:val="auto"/>
                <w:kern w:val="21"/>
                <w:sz w:val="21"/>
                <w:szCs w:val="21"/>
                <w:lang w:val="en-US" w:eastAsia="zh-CN"/>
              </w:rPr>
            </w:pPr>
            <w:r>
              <w:rPr>
                <w:rFonts w:hint="eastAsia"/>
                <w:snapToGrid/>
                <w:color w:val="auto"/>
                <w:kern w:val="21"/>
                <w:sz w:val="21"/>
                <w:szCs w:val="21"/>
                <w:lang w:val="en-US" w:eastAsia="zh-CN"/>
              </w:rPr>
              <w:t>0.33kg/h</w:t>
            </w:r>
          </w:p>
        </w:tc>
        <w:tc>
          <w:tcPr>
            <w:tcW w:w="1450"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084"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p>
        </w:tc>
        <w:tc>
          <w:tcPr>
            <w:tcW w:w="2762"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p>
        </w:tc>
        <w:tc>
          <w:tcPr>
            <w:tcW w:w="1457"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napToGrid/>
                <w:color w:val="auto"/>
                <w:kern w:val="21"/>
                <w:sz w:val="21"/>
                <w:szCs w:val="21"/>
                <w:lang w:eastAsia="zh-CN"/>
              </w:rPr>
            </w:pPr>
            <w:r>
              <w:rPr>
                <w:rFonts w:hint="eastAsia"/>
                <w:snapToGrid/>
                <w:color w:val="auto"/>
                <w:kern w:val="21"/>
                <w:sz w:val="21"/>
                <w:szCs w:val="21"/>
                <w:lang w:eastAsia="zh-CN"/>
              </w:rPr>
              <w:t>臭气浓度</w:t>
            </w:r>
          </w:p>
        </w:tc>
        <w:tc>
          <w:tcPr>
            <w:tcW w:w="1696"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color w:val="auto"/>
                <w:kern w:val="21"/>
                <w:sz w:val="21"/>
                <w:szCs w:val="21"/>
                <w:lang w:val="en-US" w:eastAsia="zh-CN"/>
              </w:rPr>
            </w:pPr>
            <w:r>
              <w:rPr>
                <w:rFonts w:hint="eastAsia"/>
                <w:snapToGrid/>
                <w:color w:val="auto"/>
                <w:kern w:val="21"/>
                <w:sz w:val="21"/>
                <w:szCs w:val="21"/>
                <w:lang w:val="en-US" w:eastAsia="zh-CN"/>
              </w:rPr>
              <w:t>2000</w:t>
            </w:r>
            <w:r>
              <w:rPr>
                <w:snapToGrid/>
                <w:color w:val="auto"/>
                <w:kern w:val="21"/>
                <w:sz w:val="21"/>
                <w:szCs w:val="21"/>
              </w:rPr>
              <w:t>（无量纲）</w:t>
            </w:r>
          </w:p>
        </w:tc>
        <w:tc>
          <w:tcPr>
            <w:tcW w:w="1450"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084" w:type="dxa"/>
            <w:vMerge w:val="restart"/>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r>
              <w:rPr>
                <w:snapToGrid/>
                <w:color w:val="auto"/>
                <w:kern w:val="21"/>
                <w:sz w:val="21"/>
                <w:szCs w:val="21"/>
              </w:rPr>
              <w:t>无组织排放</w:t>
            </w:r>
          </w:p>
        </w:tc>
        <w:tc>
          <w:tcPr>
            <w:tcW w:w="2762" w:type="dxa"/>
            <w:vMerge w:val="restart"/>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r>
              <w:rPr>
                <w:snapToGrid/>
                <w:color w:val="auto"/>
                <w:kern w:val="21"/>
                <w:sz w:val="21"/>
                <w:szCs w:val="21"/>
                <w:lang w:bidi="ar"/>
              </w:rPr>
              <w:t>《城镇污水处理厂污染物排放标准》（GB18918-2002）及其修改单表4中二级标准</w:t>
            </w:r>
          </w:p>
        </w:tc>
        <w:tc>
          <w:tcPr>
            <w:tcW w:w="1457"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r>
              <w:rPr>
                <w:rFonts w:hint="eastAsia"/>
                <w:snapToGrid/>
                <w:color w:val="auto"/>
                <w:kern w:val="21"/>
                <w:sz w:val="21"/>
                <w:szCs w:val="21"/>
                <w:lang w:eastAsia="zh-CN"/>
              </w:rPr>
              <w:t>氨</w:t>
            </w:r>
          </w:p>
        </w:tc>
        <w:tc>
          <w:tcPr>
            <w:tcW w:w="1696"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color w:val="auto"/>
                <w:kern w:val="21"/>
                <w:sz w:val="21"/>
                <w:szCs w:val="21"/>
                <w:vertAlign w:val="baseline"/>
                <w:lang w:val="en-US" w:eastAsia="zh-CN"/>
              </w:rPr>
            </w:pPr>
            <w:r>
              <w:rPr>
                <w:snapToGrid/>
                <w:color w:val="auto"/>
                <w:kern w:val="21"/>
                <w:sz w:val="21"/>
                <w:szCs w:val="21"/>
              </w:rPr>
              <w:t>1</w:t>
            </w:r>
            <w:r>
              <w:rPr>
                <w:rFonts w:hint="eastAsia"/>
                <w:snapToGrid/>
                <w:color w:val="auto"/>
                <w:kern w:val="21"/>
                <w:sz w:val="21"/>
                <w:szCs w:val="21"/>
              </w:rPr>
              <w:t>.</w:t>
            </w:r>
            <w:r>
              <w:rPr>
                <w:snapToGrid/>
                <w:color w:val="auto"/>
                <w:kern w:val="21"/>
                <w:sz w:val="21"/>
                <w:szCs w:val="21"/>
              </w:rPr>
              <w:t>5</w:t>
            </w:r>
            <w:r>
              <w:rPr>
                <w:rFonts w:hint="eastAsia"/>
                <w:snapToGrid/>
                <w:color w:val="auto"/>
                <w:kern w:val="21"/>
                <w:sz w:val="21"/>
                <w:szCs w:val="21"/>
                <w:lang w:val="en-US" w:eastAsia="zh-CN"/>
              </w:rPr>
              <w:t>mg/m</w:t>
            </w:r>
            <w:r>
              <w:rPr>
                <w:rFonts w:hint="eastAsia"/>
                <w:snapToGrid/>
                <w:color w:val="auto"/>
                <w:kern w:val="21"/>
                <w:sz w:val="21"/>
                <w:szCs w:val="21"/>
                <w:vertAlign w:val="superscript"/>
                <w:lang w:val="en-US" w:eastAsia="zh-CN"/>
              </w:rPr>
              <w:t>3</w:t>
            </w:r>
          </w:p>
        </w:tc>
        <w:tc>
          <w:tcPr>
            <w:tcW w:w="1450" w:type="dxa"/>
            <w:vMerge w:val="restart"/>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napToGrid/>
                <w:color w:val="auto"/>
                <w:kern w:val="21"/>
                <w:sz w:val="21"/>
                <w:szCs w:val="21"/>
                <w:lang w:eastAsia="zh-CN"/>
              </w:rPr>
            </w:pPr>
            <w:r>
              <w:rPr>
                <w:rFonts w:hint="eastAsia"/>
                <w:snapToGrid/>
                <w:color w:val="auto"/>
                <w:kern w:val="21"/>
                <w:sz w:val="21"/>
                <w:szCs w:val="21"/>
                <w:lang w:eastAsia="zh-CN"/>
              </w:rPr>
              <w:t>厂界（防护带边缘）最高允许排放浓度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084"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2762"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457"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r>
              <w:rPr>
                <w:rFonts w:hint="eastAsia"/>
                <w:snapToGrid/>
                <w:color w:val="auto"/>
                <w:kern w:val="21"/>
                <w:sz w:val="21"/>
                <w:szCs w:val="21"/>
                <w:lang w:eastAsia="zh-CN"/>
              </w:rPr>
              <w:t>硫化氢</w:t>
            </w:r>
          </w:p>
        </w:tc>
        <w:tc>
          <w:tcPr>
            <w:tcW w:w="1696"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r>
              <w:rPr>
                <w:snapToGrid/>
                <w:color w:val="auto"/>
                <w:kern w:val="21"/>
                <w:sz w:val="21"/>
                <w:szCs w:val="21"/>
              </w:rPr>
              <w:t>0.06</w:t>
            </w:r>
            <w:r>
              <w:rPr>
                <w:rFonts w:hint="eastAsia"/>
                <w:snapToGrid/>
                <w:color w:val="auto"/>
                <w:kern w:val="21"/>
                <w:sz w:val="21"/>
                <w:szCs w:val="21"/>
                <w:lang w:val="en-US" w:eastAsia="zh-CN"/>
              </w:rPr>
              <w:t>mg/m</w:t>
            </w:r>
            <w:r>
              <w:rPr>
                <w:rFonts w:hint="eastAsia"/>
                <w:snapToGrid/>
                <w:color w:val="auto"/>
                <w:kern w:val="21"/>
                <w:sz w:val="21"/>
                <w:szCs w:val="21"/>
                <w:vertAlign w:val="superscript"/>
                <w:lang w:val="en-US" w:eastAsia="zh-CN"/>
              </w:rPr>
              <w:t>3</w:t>
            </w:r>
          </w:p>
        </w:tc>
        <w:tc>
          <w:tcPr>
            <w:tcW w:w="1450"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084"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p>
        </w:tc>
        <w:tc>
          <w:tcPr>
            <w:tcW w:w="2762"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p>
        </w:tc>
        <w:tc>
          <w:tcPr>
            <w:tcW w:w="1457"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r>
              <w:rPr>
                <w:rFonts w:hint="eastAsia"/>
                <w:snapToGrid/>
                <w:color w:val="auto"/>
                <w:kern w:val="21"/>
                <w:sz w:val="21"/>
                <w:szCs w:val="21"/>
                <w:lang w:eastAsia="zh-CN"/>
              </w:rPr>
              <w:t>臭气浓度</w:t>
            </w:r>
          </w:p>
        </w:tc>
        <w:tc>
          <w:tcPr>
            <w:tcW w:w="1696"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color w:val="auto"/>
                <w:kern w:val="21"/>
                <w:sz w:val="21"/>
                <w:szCs w:val="21"/>
                <w:lang w:val="en-US" w:eastAsia="zh-CN" w:bidi="ar-SA"/>
              </w:rPr>
            </w:pPr>
            <w:r>
              <w:rPr>
                <w:snapToGrid/>
                <w:color w:val="auto"/>
                <w:kern w:val="21"/>
                <w:sz w:val="21"/>
                <w:szCs w:val="21"/>
              </w:rPr>
              <w:t>20（无量纲）</w:t>
            </w:r>
          </w:p>
        </w:tc>
        <w:tc>
          <w:tcPr>
            <w:tcW w:w="1450" w:type="dxa"/>
            <w:vMerge w:val="continue"/>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color w:val="auto"/>
                <w:kern w:val="21"/>
                <w:sz w:val="21"/>
                <w:szCs w:val="21"/>
              </w:rPr>
            </w:pPr>
          </w:p>
        </w:tc>
      </w:tr>
    </w:tbl>
    <w:p>
      <w:pPr>
        <w:widowControl/>
        <w:ind w:firstLine="472"/>
        <w:jc w:val="left"/>
        <w:rPr>
          <w:color w:val="auto"/>
          <w:kern w:val="21"/>
        </w:rPr>
      </w:pPr>
      <w:r>
        <w:rPr>
          <w:color w:val="auto"/>
          <w:kern w:val="21"/>
          <w:lang w:bidi="ar"/>
        </w:rPr>
        <w:t>②</w:t>
      </w:r>
      <w:r>
        <w:rPr>
          <w:color w:val="auto"/>
          <w:kern w:val="21"/>
        </w:rPr>
        <w:t>食堂油烟排放标准</w:t>
      </w:r>
    </w:p>
    <w:p>
      <w:pPr>
        <w:ind w:firstLine="472"/>
        <w:rPr>
          <w:color w:val="auto"/>
          <w:kern w:val="21"/>
        </w:rPr>
      </w:pPr>
      <w:r>
        <w:rPr>
          <w:color w:val="auto"/>
          <w:kern w:val="21"/>
        </w:rPr>
        <w:t>本项目建成后职工人数18人，但在厂区食堂就餐人数一般为9人，食堂油烟排放标准执行《饮食业油烟排放标准</w:t>
      </w:r>
      <w:r>
        <w:rPr>
          <w:rFonts w:hint="eastAsia"/>
          <w:color w:val="auto"/>
          <w:kern w:val="21"/>
        </w:rPr>
        <w:t>（试行）</w:t>
      </w:r>
      <w:r>
        <w:rPr>
          <w:color w:val="auto"/>
          <w:kern w:val="21"/>
        </w:rPr>
        <w:t>》</w:t>
      </w:r>
      <w:r>
        <w:rPr>
          <w:rFonts w:hint="eastAsia"/>
          <w:color w:val="auto"/>
          <w:kern w:val="21"/>
        </w:rPr>
        <w:t>（</w:t>
      </w:r>
      <w:r>
        <w:rPr>
          <w:color w:val="auto"/>
          <w:kern w:val="21"/>
        </w:rPr>
        <w:t>GB18483—2001</w:t>
      </w:r>
      <w:r>
        <w:rPr>
          <w:rFonts w:hint="eastAsia"/>
          <w:color w:val="auto"/>
          <w:kern w:val="21"/>
        </w:rPr>
        <w:t>）</w:t>
      </w:r>
      <w:r>
        <w:rPr>
          <w:color w:val="auto"/>
          <w:kern w:val="21"/>
        </w:rPr>
        <w:t>中规模为小型（基准灶头数≥1，＜3）的饮食业单位的油烟最高允许排放浓度和油烟净化设施最低去除效率的标准。具体数值见</w:t>
      </w:r>
      <w:r>
        <w:rPr>
          <w:rFonts w:hint="eastAsia"/>
          <w:color w:val="auto"/>
          <w:kern w:val="21"/>
          <w:lang w:eastAsia="zh-CN"/>
        </w:rPr>
        <w:t>下表</w:t>
      </w:r>
      <w:r>
        <w:rPr>
          <w:color w:val="auto"/>
          <w:kern w:val="21"/>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color w:val="auto"/>
          <w:kern w:val="21"/>
        </w:rPr>
      </w:pPr>
      <w:r>
        <w:rPr>
          <w:b/>
          <w:color w:val="auto"/>
          <w:kern w:val="21"/>
        </w:rPr>
        <w:t>饮食业单位的油烟最高允许排放浓度和油烟净化设施最低去除效率</w:t>
      </w:r>
    </w:p>
    <w:tbl>
      <w:tblPr>
        <w:tblStyle w:val="51"/>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5"/>
        <w:gridCol w:w="4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规模</w:t>
            </w:r>
          </w:p>
        </w:tc>
        <w:tc>
          <w:tcPr>
            <w:tcW w:w="4809"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最高允许排放浓度（mg/m</w:t>
            </w:r>
            <w:r>
              <w:rPr>
                <w:color w:val="auto"/>
                <w:kern w:val="21"/>
                <w:sz w:val="21"/>
                <w:szCs w:val="21"/>
                <w:vertAlign w:val="superscript"/>
              </w:rPr>
              <w:t>3</w:t>
            </w:r>
            <w:r>
              <w:rPr>
                <w:color w:val="auto"/>
                <w:kern w:val="21"/>
                <w:sz w:val="21"/>
                <w:szCs w:val="21"/>
              </w:rPr>
              <w:t>）</w:t>
            </w:r>
          </w:p>
        </w:tc>
        <w:tc>
          <w:tcPr>
            <w:tcW w:w="4809"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净化设施最低去除效率（%）</w:t>
            </w:r>
          </w:p>
        </w:tc>
        <w:tc>
          <w:tcPr>
            <w:tcW w:w="4809"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60</w:t>
            </w:r>
          </w:p>
        </w:tc>
      </w:tr>
    </w:tbl>
    <w:p>
      <w:pPr>
        <w:keepNext w:val="0"/>
        <w:keepLines w:val="0"/>
        <w:pageBreakBefore w:val="0"/>
        <w:widowControl w:val="0"/>
        <w:kinsoku/>
        <w:wordWrap/>
        <w:overflowPunct/>
        <w:topLinePunct w:val="0"/>
        <w:autoSpaceDE/>
        <w:autoSpaceDN/>
        <w:bidi w:val="0"/>
        <w:adjustRightInd/>
        <w:snapToGrid/>
        <w:spacing w:before="0" w:beforeLines="50"/>
        <w:ind w:firstLine="472"/>
        <w:textAlignment w:val="auto"/>
        <w:rPr>
          <w:color w:val="auto"/>
          <w:kern w:val="21"/>
        </w:rPr>
      </w:pPr>
      <w:r>
        <w:rPr>
          <w:color w:val="auto"/>
          <w:kern w:val="21"/>
        </w:rPr>
        <w:t>2、废水</w:t>
      </w:r>
    </w:p>
    <w:p>
      <w:pPr>
        <w:widowControl/>
        <w:ind w:firstLine="472"/>
        <w:jc w:val="left"/>
        <w:rPr>
          <w:color w:val="auto"/>
          <w:kern w:val="21"/>
        </w:rPr>
      </w:pPr>
      <w:r>
        <w:rPr>
          <w:color w:val="auto"/>
          <w:kern w:val="21"/>
        </w:rPr>
        <w:t>（1）</w:t>
      </w:r>
      <w:r>
        <w:rPr>
          <w:color w:val="auto"/>
          <w:kern w:val="21"/>
          <w:lang w:bidi="ar"/>
        </w:rPr>
        <w:t>施工现场设置截排水沟、沉淀池，收集处理施工废水，施工废水经沉淀处理后回用于项目区施工用水和晴天洒水降尘，不外排。</w:t>
      </w:r>
    </w:p>
    <w:p>
      <w:pPr>
        <w:widowControl/>
        <w:ind w:firstLine="472"/>
        <w:rPr>
          <w:rFonts w:hint="eastAsia"/>
          <w:color w:val="auto"/>
          <w:kern w:val="21"/>
          <w:lang w:eastAsia="zh-CN"/>
        </w:rPr>
      </w:pPr>
      <w:r>
        <w:rPr>
          <w:color w:val="auto"/>
          <w:kern w:val="21"/>
        </w:rPr>
        <w:t>（2）</w:t>
      </w:r>
      <w:r>
        <w:rPr>
          <w:rFonts w:hint="eastAsia"/>
          <w:color w:val="auto"/>
          <w:kern w:val="21"/>
          <w:lang w:eastAsia="zh-CN"/>
        </w:rPr>
        <w:t>运营期废水排放标准及回用标准</w:t>
      </w:r>
    </w:p>
    <w:p>
      <w:pPr>
        <w:keepNext w:val="0"/>
        <w:keepLines w:val="0"/>
        <w:widowControl/>
        <w:suppressLineNumbers w:val="0"/>
        <w:jc w:val="left"/>
        <w:rPr>
          <w:rFonts w:hint="default"/>
          <w:color w:val="auto"/>
          <w:kern w:val="21"/>
          <w:lang w:val="en-US" w:eastAsia="zh-CN"/>
        </w:rPr>
      </w:pPr>
      <w:r>
        <w:rPr>
          <w:rFonts w:hint="eastAsia"/>
          <w:color w:val="auto"/>
          <w:kern w:val="21"/>
          <w:lang w:eastAsia="zh-CN"/>
        </w:rPr>
        <w:t>本项目废水外排至青龙河，青龙河水体现状不达标，</w:t>
      </w:r>
      <w:r>
        <w:rPr>
          <w:rFonts w:hint="eastAsia"/>
          <w:color w:val="auto"/>
          <w:kern w:val="21"/>
          <w:lang w:eastAsia="zh-CN" w:bidi="ar"/>
        </w:rPr>
        <w:t>执行</w:t>
      </w:r>
      <w:r>
        <w:rPr>
          <w:rFonts w:hint="eastAsia"/>
          <w:color w:val="auto"/>
          <w:kern w:val="21"/>
          <w:lang w:bidi="ar"/>
        </w:rPr>
        <w:t>《地表水环境质量标准》</w:t>
      </w:r>
      <w:r>
        <w:rPr>
          <w:rFonts w:hint="eastAsia"/>
          <w:color w:val="auto"/>
          <w:kern w:val="21"/>
          <w:lang w:eastAsia="zh-CN" w:bidi="ar"/>
        </w:rPr>
        <w:t>（</w:t>
      </w:r>
      <w:r>
        <w:rPr>
          <w:rFonts w:hint="eastAsia"/>
          <w:color w:val="auto"/>
          <w:kern w:val="21"/>
          <w:lang w:bidi="ar"/>
        </w:rPr>
        <w:t>GB3838-2002</w:t>
      </w:r>
      <w:r>
        <w:rPr>
          <w:rFonts w:hint="eastAsia"/>
          <w:color w:val="auto"/>
          <w:kern w:val="21"/>
          <w:lang w:eastAsia="zh-CN" w:bidi="ar"/>
        </w:rPr>
        <w:t>）</w:t>
      </w:r>
      <w:r>
        <w:rPr>
          <w:rFonts w:hint="eastAsia"/>
          <w:color w:val="auto"/>
          <w:kern w:val="21"/>
          <w:lang w:bidi="ar"/>
        </w:rPr>
        <w:t>IV</w:t>
      </w:r>
      <w:r>
        <w:rPr>
          <w:rFonts w:hint="eastAsia"/>
          <w:color w:val="auto"/>
          <w:kern w:val="21"/>
          <w:lang w:eastAsia="zh-CN" w:bidi="ar"/>
        </w:rPr>
        <w:t>类水质标准，安全余量按核算断面（点位）环境质量标准的</w:t>
      </w:r>
      <w:r>
        <w:rPr>
          <w:rFonts w:hint="eastAsia"/>
          <w:color w:val="auto"/>
          <w:kern w:val="21"/>
          <w:lang w:val="en-US" w:eastAsia="zh-CN" w:bidi="ar"/>
        </w:rPr>
        <w:t>8%确定</w:t>
      </w:r>
      <w:r>
        <w:rPr>
          <w:rFonts w:hint="eastAsia"/>
          <w:color w:val="auto"/>
          <w:kern w:val="21"/>
          <w:lang w:eastAsia="zh-CN" w:bidi="ar"/>
        </w:rPr>
        <w:t>。综上，根据计算得出项目</w:t>
      </w:r>
      <w:r>
        <w:rPr>
          <w:rFonts w:hint="eastAsia"/>
          <w:color w:val="auto"/>
          <w:kern w:val="21"/>
          <w:lang w:val="en-US" w:eastAsia="zh-CN" w:bidi="ar"/>
        </w:rPr>
        <w:t>COD排放浓度不得高于19.68mg/L、氨氮排放浓度不得高于2.07mg/L、总磷排放浓度不得高于0.43mg/L、氟化物排放浓度不得高于2.31mg/L。</w:t>
      </w:r>
      <w:r>
        <w:rPr>
          <w:rFonts w:hint="eastAsia" w:ascii="Times New Roman" w:cs="Times New Roman" w:hAnsiTheme="majorEastAsia" w:eastAsiaTheme="majorEastAsia"/>
          <w:bCs/>
          <w:color w:val="auto"/>
          <w:spacing w:val="1"/>
          <w:sz w:val="24"/>
          <w:szCs w:val="24"/>
          <w:lang w:eastAsia="zh-CN"/>
        </w:rPr>
        <w:t>同时</w:t>
      </w:r>
      <w:r>
        <w:rPr>
          <w:rFonts w:hint="eastAsia" w:ascii="Times New Roman" w:cs="Times New Roman" w:hAnsiTheme="majorEastAsia" w:eastAsiaTheme="majorEastAsia"/>
          <w:bCs/>
          <w:color w:val="auto"/>
          <w:spacing w:val="1"/>
          <w:sz w:val="24"/>
          <w:szCs w:val="24"/>
          <w:lang w:val="en-US" w:eastAsia="zh-CN"/>
        </w:rPr>
        <w:t>《楚雄市青龙河入龙川江口断面水体达标方案》（2021~2025年）要求项目总磷排放浓度</w:t>
      </w:r>
      <w:r>
        <w:rPr>
          <w:rFonts w:hint="eastAsia" w:cs="Times New Roman" w:hAnsiTheme="majorEastAsia" w:eastAsiaTheme="majorEastAsia"/>
          <w:bCs/>
          <w:color w:val="auto"/>
          <w:spacing w:val="1"/>
          <w:sz w:val="24"/>
          <w:szCs w:val="24"/>
          <w:lang w:val="en-US" w:eastAsia="zh-CN"/>
        </w:rPr>
        <w:t>不得高于</w:t>
      </w:r>
      <w:r>
        <w:rPr>
          <w:rFonts w:hint="eastAsia" w:ascii="Times New Roman" w:cs="Times New Roman" w:hAnsiTheme="majorEastAsia" w:eastAsiaTheme="majorEastAsia"/>
          <w:bCs/>
          <w:color w:val="auto"/>
          <w:spacing w:val="1"/>
          <w:sz w:val="24"/>
          <w:szCs w:val="24"/>
          <w:lang w:val="en-US" w:eastAsia="zh-CN"/>
        </w:rPr>
        <w:t>0.3mg/L</w:t>
      </w:r>
      <w:r>
        <w:rPr>
          <w:rFonts w:hint="eastAsia" w:cs="Times New Roman" w:hAnsiTheme="majorEastAsia" w:eastAsiaTheme="majorEastAsia"/>
          <w:bCs/>
          <w:color w:val="auto"/>
          <w:spacing w:val="1"/>
          <w:sz w:val="24"/>
          <w:szCs w:val="24"/>
          <w:lang w:val="en-US" w:eastAsia="zh-CN"/>
        </w:rPr>
        <w:t>。</w:t>
      </w:r>
      <w:r>
        <w:rPr>
          <w:rFonts w:hint="eastAsia"/>
          <w:color w:val="auto"/>
          <w:kern w:val="21"/>
          <w:lang w:val="en-US" w:eastAsia="zh-CN" w:bidi="ar"/>
        </w:rPr>
        <w:t>计算过程详见附件3。</w:t>
      </w:r>
    </w:p>
    <w:p>
      <w:pPr>
        <w:widowControl/>
        <w:ind w:firstLine="472"/>
        <w:rPr>
          <w:color w:val="auto"/>
          <w:kern w:val="21"/>
        </w:rPr>
      </w:pPr>
      <w:r>
        <w:rPr>
          <w:rFonts w:hint="eastAsia"/>
          <w:color w:val="auto"/>
          <w:kern w:val="21"/>
          <w:lang w:val="en-US" w:eastAsia="zh-CN"/>
        </w:rPr>
        <w:t>其他污染物排放浓度执行</w:t>
      </w:r>
      <w:r>
        <w:rPr>
          <w:color w:val="auto"/>
          <w:kern w:val="21"/>
          <w:lang w:bidi="ar"/>
        </w:rPr>
        <w:t>《城镇污水处理厂污染物排放标准》（GB18918-2002）一级标准中的A标准限值</w:t>
      </w:r>
      <w:r>
        <w:rPr>
          <w:rFonts w:hint="eastAsia"/>
          <w:color w:val="auto"/>
          <w:kern w:val="21"/>
          <w:lang w:eastAsia="zh-CN" w:bidi="ar"/>
        </w:rPr>
        <w:t>，项目废水排放</w:t>
      </w:r>
      <w:r>
        <w:rPr>
          <w:color w:val="auto"/>
          <w:kern w:val="21"/>
        </w:rPr>
        <w:t>标准值见</w:t>
      </w:r>
      <w:r>
        <w:rPr>
          <w:rFonts w:hint="eastAsia"/>
          <w:color w:val="auto"/>
          <w:kern w:val="21"/>
          <w:lang w:eastAsia="zh-CN"/>
        </w:rPr>
        <w:t>下表</w:t>
      </w:r>
      <w:r>
        <w:rPr>
          <w:color w:val="auto"/>
          <w:kern w:val="21"/>
        </w:rPr>
        <w:t>。</w:t>
      </w:r>
    </w:p>
    <w:p>
      <w:pPr>
        <w:pStyle w:val="2"/>
      </w:pP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color w:val="auto"/>
          <w:kern w:val="21"/>
        </w:rPr>
      </w:pPr>
      <w:r>
        <w:rPr>
          <w:b/>
          <w:color w:val="auto"/>
          <w:kern w:val="21"/>
        </w:rPr>
        <w:t>项目尾水排放标准限值</w:t>
      </w:r>
      <w:r>
        <w:rPr>
          <w:rFonts w:hint="eastAsia"/>
          <w:b/>
          <w:color w:val="auto"/>
          <w:kern w:val="21"/>
        </w:rPr>
        <w:t xml:space="preserve">  </w:t>
      </w:r>
      <w:r>
        <w:rPr>
          <w:b/>
          <w:color w:val="auto"/>
          <w:kern w:val="21"/>
        </w:rPr>
        <w:t>单位：mg/L，pH值除外</w:t>
      </w:r>
    </w:p>
    <w:tbl>
      <w:tblPr>
        <w:tblStyle w:val="51"/>
        <w:tblW w:w="7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12"/>
        <w:gridCol w:w="1203"/>
        <w:gridCol w:w="2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819"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序号</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项目</w:t>
            </w:r>
          </w:p>
        </w:tc>
        <w:tc>
          <w:tcPr>
            <w:tcW w:w="1203"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排放限值</w:t>
            </w:r>
          </w:p>
        </w:tc>
        <w:tc>
          <w:tcPr>
            <w:tcW w:w="2739" w:type="dxa"/>
            <w:vAlign w:val="center"/>
          </w:tcPr>
          <w:p>
            <w:pPr>
              <w:adjustRightInd w:val="0"/>
              <w:snapToGrid w:val="0"/>
              <w:spacing w:line="240" w:lineRule="auto"/>
              <w:ind w:firstLine="0" w:firstLineChars="0"/>
              <w:jc w:val="center"/>
              <w:rPr>
                <w:rFonts w:hint="eastAsia"/>
                <w:color w:val="auto"/>
                <w:kern w:val="21"/>
                <w:sz w:val="21"/>
                <w:szCs w:val="21"/>
                <w:lang w:eastAsia="zh-CN" w:bidi="ar"/>
              </w:rPr>
            </w:pPr>
            <w:r>
              <w:rPr>
                <w:rFonts w:hint="eastAsia"/>
                <w:color w:val="auto"/>
                <w:kern w:val="21"/>
                <w:sz w:val="21"/>
                <w:szCs w:val="21"/>
                <w:lang w:eastAsia="zh-CN"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9"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pH值</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6~9</w:t>
            </w:r>
          </w:p>
        </w:tc>
        <w:tc>
          <w:tcPr>
            <w:tcW w:w="2739"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《城镇污水处理厂污染物排放标准》（GB18918-2002）一级标准中的A标准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2</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生化需氧量（BOD</w:t>
            </w:r>
            <w:r>
              <w:rPr>
                <w:color w:val="auto"/>
                <w:kern w:val="21"/>
                <w:sz w:val="21"/>
                <w:szCs w:val="21"/>
                <w:vertAlign w:val="subscript"/>
              </w:rPr>
              <w:t>5</w:t>
            </w:r>
            <w:r>
              <w:rPr>
                <w:color w:val="auto"/>
                <w:kern w:val="21"/>
                <w:sz w:val="21"/>
                <w:szCs w:val="21"/>
              </w:rPr>
              <w:t>）</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3</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悬浮物（SS）</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4</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动植物油</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5</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石油类</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6</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阴离子表面活性剂</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0.5</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19" w:type="dxa"/>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21"/>
                <w:sz w:val="21"/>
                <w:szCs w:val="21"/>
                <w:lang w:val="en-US" w:eastAsia="zh-CN" w:bidi="ar-SA"/>
              </w:rPr>
            </w:pPr>
            <w:r>
              <w:rPr>
                <w:rFonts w:hint="eastAsia"/>
                <w:color w:val="auto"/>
                <w:kern w:val="21"/>
                <w:sz w:val="21"/>
                <w:szCs w:val="21"/>
                <w:lang w:val="en-US" w:eastAsia="zh-CN"/>
              </w:rPr>
              <w:t>7</w:t>
            </w:r>
          </w:p>
        </w:tc>
        <w:tc>
          <w:tcPr>
            <w:tcW w:w="3112"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rPr>
              <w:t>总氮</w:t>
            </w:r>
          </w:p>
        </w:tc>
        <w:tc>
          <w:tcPr>
            <w:tcW w:w="1203"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olor w:val="auto"/>
                <w:kern w:val="21"/>
                <w:sz w:val="21"/>
                <w:szCs w:val="21"/>
                <w:lang w:val="en-US" w:eastAsia="zh-CN"/>
              </w:rPr>
              <w:t>15</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8</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色度（稀释倍数）</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30</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19" w:type="dxa"/>
            <w:vAlign w:val="center"/>
          </w:tcPr>
          <w:p>
            <w:pPr>
              <w:adjustRightInd w:val="0"/>
              <w:snapToGrid w:val="0"/>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9</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粪大肠细菌群数（个/L）</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1000</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9" w:type="dxa"/>
            <w:vAlign w:val="center"/>
          </w:tcPr>
          <w:p>
            <w:pPr>
              <w:adjustRightInd w:val="0"/>
              <w:snapToGrid w:val="0"/>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10</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硫化物</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val="en-US" w:eastAsia="zh-CN"/>
              </w:rPr>
            </w:pPr>
            <w:r>
              <w:rPr>
                <w:color w:val="auto"/>
                <w:kern w:val="21"/>
                <w:sz w:val="21"/>
                <w:szCs w:val="21"/>
              </w:rPr>
              <w:t>1</w:t>
            </w:r>
            <w:r>
              <w:rPr>
                <w:rFonts w:hint="eastAsia"/>
                <w:color w:val="auto"/>
                <w:kern w:val="21"/>
                <w:sz w:val="21"/>
                <w:szCs w:val="21"/>
                <w:lang w:val="en-US" w:eastAsia="zh-CN"/>
              </w:rPr>
              <w:t>1</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总汞</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0.001</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val="en-US" w:eastAsia="zh-CN"/>
              </w:rPr>
            </w:pPr>
            <w:r>
              <w:rPr>
                <w:color w:val="auto"/>
                <w:kern w:val="21"/>
                <w:sz w:val="21"/>
                <w:szCs w:val="21"/>
              </w:rPr>
              <w:t>1</w:t>
            </w:r>
            <w:r>
              <w:rPr>
                <w:rFonts w:hint="eastAsia"/>
                <w:color w:val="auto"/>
                <w:kern w:val="21"/>
                <w:sz w:val="21"/>
                <w:szCs w:val="21"/>
                <w:lang w:val="en-US" w:eastAsia="zh-CN"/>
              </w:rPr>
              <w:t>2</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总镉</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0.01</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val="en-US" w:eastAsia="zh-CN"/>
              </w:rPr>
            </w:pPr>
            <w:r>
              <w:rPr>
                <w:color w:val="auto"/>
                <w:kern w:val="21"/>
                <w:sz w:val="21"/>
                <w:szCs w:val="21"/>
              </w:rPr>
              <w:t>1</w:t>
            </w:r>
            <w:r>
              <w:rPr>
                <w:rFonts w:hint="eastAsia"/>
                <w:color w:val="auto"/>
                <w:kern w:val="21"/>
                <w:sz w:val="21"/>
                <w:szCs w:val="21"/>
                <w:lang w:val="en-US" w:eastAsia="zh-CN"/>
              </w:rPr>
              <w:t>3</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总铬</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val="en-US" w:eastAsia="zh-CN"/>
              </w:rPr>
            </w:pPr>
            <w:r>
              <w:rPr>
                <w:color w:val="auto"/>
                <w:kern w:val="21"/>
                <w:sz w:val="21"/>
                <w:szCs w:val="21"/>
              </w:rPr>
              <w:t>1</w:t>
            </w:r>
            <w:r>
              <w:rPr>
                <w:rFonts w:hint="eastAsia"/>
                <w:color w:val="auto"/>
                <w:kern w:val="21"/>
                <w:sz w:val="21"/>
                <w:szCs w:val="21"/>
                <w:lang w:val="en-US" w:eastAsia="zh-CN"/>
              </w:rPr>
              <w:t>4</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六价铬</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0.05</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val="en-US" w:eastAsia="zh-CN"/>
              </w:rPr>
            </w:pPr>
            <w:r>
              <w:rPr>
                <w:color w:val="auto"/>
                <w:kern w:val="21"/>
                <w:sz w:val="21"/>
                <w:szCs w:val="21"/>
              </w:rPr>
              <w:t>1</w:t>
            </w:r>
            <w:r>
              <w:rPr>
                <w:rFonts w:hint="eastAsia"/>
                <w:color w:val="auto"/>
                <w:kern w:val="21"/>
                <w:sz w:val="21"/>
                <w:szCs w:val="21"/>
                <w:lang w:val="en-US" w:eastAsia="zh-CN"/>
              </w:rPr>
              <w:t>5</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总砷</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9" w:type="dxa"/>
            <w:vAlign w:val="center"/>
          </w:tcPr>
          <w:p>
            <w:pPr>
              <w:adjustRightInd w:val="0"/>
              <w:snapToGrid w:val="0"/>
              <w:spacing w:line="240" w:lineRule="auto"/>
              <w:ind w:firstLine="0" w:firstLineChars="0"/>
              <w:jc w:val="center"/>
              <w:rPr>
                <w:rFonts w:hint="eastAsia" w:eastAsia="宋体"/>
                <w:color w:val="auto"/>
                <w:kern w:val="21"/>
                <w:sz w:val="21"/>
                <w:szCs w:val="21"/>
                <w:lang w:val="en-US" w:eastAsia="zh-CN"/>
              </w:rPr>
            </w:pPr>
            <w:r>
              <w:rPr>
                <w:color w:val="auto"/>
                <w:kern w:val="21"/>
                <w:sz w:val="21"/>
                <w:szCs w:val="21"/>
              </w:rPr>
              <w:t>1</w:t>
            </w:r>
            <w:r>
              <w:rPr>
                <w:rFonts w:hint="eastAsia"/>
                <w:color w:val="auto"/>
                <w:kern w:val="21"/>
                <w:sz w:val="21"/>
                <w:szCs w:val="21"/>
                <w:lang w:val="en-US" w:eastAsia="zh-CN"/>
              </w:rPr>
              <w:t>6</w:t>
            </w:r>
          </w:p>
        </w:tc>
        <w:tc>
          <w:tcPr>
            <w:tcW w:w="311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总铅</w:t>
            </w:r>
          </w:p>
        </w:tc>
        <w:tc>
          <w:tcPr>
            <w:tcW w:w="1203"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19" w:type="dxa"/>
            <w:vAlign w:val="center"/>
          </w:tcPr>
          <w:p>
            <w:pPr>
              <w:adjustRightInd w:val="0"/>
              <w:snapToGrid w:val="0"/>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17</w:t>
            </w:r>
          </w:p>
        </w:tc>
        <w:tc>
          <w:tcPr>
            <w:tcW w:w="3112"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总磷</w:t>
            </w:r>
          </w:p>
        </w:tc>
        <w:tc>
          <w:tcPr>
            <w:tcW w:w="1203" w:type="dxa"/>
            <w:vAlign w:val="center"/>
          </w:tcPr>
          <w:p>
            <w:pPr>
              <w:adjustRightInd w:val="0"/>
              <w:snapToGrid w:val="0"/>
              <w:spacing w:line="240" w:lineRule="auto"/>
              <w:ind w:firstLine="0" w:firstLineChars="0"/>
              <w:jc w:val="center"/>
              <w:rPr>
                <w:rFonts w:hint="default"/>
                <w:color w:val="auto"/>
                <w:kern w:val="21"/>
                <w:sz w:val="21"/>
                <w:szCs w:val="21"/>
                <w:lang w:val="en-US"/>
              </w:rPr>
            </w:pPr>
            <w:r>
              <w:rPr>
                <w:rFonts w:hint="eastAsia"/>
                <w:color w:val="auto"/>
                <w:kern w:val="21"/>
                <w:sz w:val="21"/>
                <w:szCs w:val="21"/>
                <w:lang w:val="en-US" w:eastAsia="zh-CN"/>
              </w:rPr>
              <w:t>0.3</w:t>
            </w:r>
          </w:p>
        </w:tc>
        <w:tc>
          <w:tcPr>
            <w:tcW w:w="2739" w:type="dxa"/>
            <w:vAlign w:val="center"/>
          </w:tcPr>
          <w:p>
            <w:pPr>
              <w:adjustRightInd w:val="0"/>
              <w:snapToGrid w:val="0"/>
              <w:spacing w:line="240" w:lineRule="auto"/>
              <w:ind w:firstLine="0" w:firstLineChars="0"/>
              <w:jc w:val="center"/>
              <w:rPr>
                <w:color w:val="auto"/>
                <w:kern w:val="21"/>
                <w:sz w:val="21"/>
                <w:szCs w:val="21"/>
              </w:rPr>
            </w:pPr>
            <w:r>
              <w:rPr>
                <w:rFonts w:hint="eastAsia"/>
                <w:color w:val="auto"/>
                <w:kern w:val="21"/>
                <w:sz w:val="21"/>
                <w:szCs w:val="21"/>
                <w:lang w:val="en-US" w:eastAsia="zh-CN"/>
              </w:rPr>
              <w:t>《楚雄市青龙河入龙川江口断面水体达标方案》（2021~2025年）限值要求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1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olor w:val="auto"/>
                <w:kern w:val="21"/>
                <w:sz w:val="21"/>
                <w:szCs w:val="21"/>
                <w:lang w:val="en-US" w:eastAsia="zh-CN"/>
              </w:rPr>
              <w:t>18</w:t>
            </w:r>
          </w:p>
        </w:tc>
        <w:tc>
          <w:tcPr>
            <w:tcW w:w="3112"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COD</w:t>
            </w:r>
          </w:p>
        </w:tc>
        <w:tc>
          <w:tcPr>
            <w:tcW w:w="1203"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olor w:val="auto"/>
                <w:kern w:val="21"/>
                <w:sz w:val="21"/>
                <w:szCs w:val="21"/>
                <w:lang w:val="en-US" w:eastAsia="zh-CN"/>
              </w:rPr>
              <w:t>19.68</w:t>
            </w:r>
          </w:p>
        </w:tc>
        <w:tc>
          <w:tcPr>
            <w:tcW w:w="2739" w:type="dxa"/>
            <w:vMerge w:val="restart"/>
            <w:vAlign w:val="center"/>
          </w:tcPr>
          <w:p>
            <w:pPr>
              <w:adjustRightInd w:val="0"/>
              <w:snapToGrid w:val="0"/>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根据《环境影响评价技术导则 地表水环境》（HJ2.3-2018）推导的排放限值要求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olor w:val="auto"/>
                <w:kern w:val="21"/>
                <w:sz w:val="21"/>
                <w:szCs w:val="21"/>
                <w:lang w:val="en-US" w:eastAsia="zh-CN"/>
              </w:rPr>
              <w:t>19</w:t>
            </w:r>
          </w:p>
        </w:tc>
        <w:tc>
          <w:tcPr>
            <w:tcW w:w="3112"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rPr>
              <w:t>氨氮</w:t>
            </w:r>
          </w:p>
        </w:tc>
        <w:tc>
          <w:tcPr>
            <w:tcW w:w="1203"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olor w:val="auto"/>
                <w:kern w:val="21"/>
                <w:sz w:val="21"/>
                <w:szCs w:val="21"/>
                <w:lang w:val="en-US" w:eastAsia="zh-CN"/>
              </w:rPr>
              <w:t>2.07</w:t>
            </w:r>
          </w:p>
        </w:tc>
        <w:tc>
          <w:tcPr>
            <w:tcW w:w="2739"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1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olor w:val="auto"/>
                <w:kern w:val="21"/>
                <w:sz w:val="21"/>
                <w:szCs w:val="21"/>
                <w:lang w:val="en-US" w:eastAsia="zh-CN"/>
              </w:rPr>
              <w:t>20</w:t>
            </w:r>
          </w:p>
        </w:tc>
        <w:tc>
          <w:tcPr>
            <w:tcW w:w="3112"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氟化物</w:t>
            </w:r>
          </w:p>
        </w:tc>
        <w:tc>
          <w:tcPr>
            <w:tcW w:w="1203"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2.31</w:t>
            </w:r>
          </w:p>
        </w:tc>
        <w:tc>
          <w:tcPr>
            <w:tcW w:w="2739" w:type="dxa"/>
            <w:vMerge w:val="continue"/>
            <w:vAlign w:val="center"/>
          </w:tcPr>
          <w:p>
            <w:pPr>
              <w:adjustRightInd w:val="0"/>
              <w:snapToGrid w:val="0"/>
              <w:spacing w:line="240" w:lineRule="auto"/>
              <w:ind w:firstLine="0" w:firstLineChars="0"/>
              <w:jc w:val="center"/>
              <w:rPr>
                <w:rFonts w:ascii="Times New Roman" w:hAnsi="Times New Roman" w:eastAsia="宋体" w:cs="Times New Roman"/>
                <w:color w:val="auto"/>
                <w:kern w:val="21"/>
                <w:sz w:val="21"/>
                <w:szCs w:val="21"/>
                <w:lang w:val="en-US" w:eastAsia="zh-CN" w:bidi="ar-SA"/>
              </w:rPr>
            </w:pPr>
          </w:p>
        </w:tc>
      </w:tr>
    </w:tbl>
    <w:p>
      <w:pPr>
        <w:pStyle w:val="11"/>
        <w:adjustRightInd w:val="0"/>
        <w:snapToGrid w:val="0"/>
        <w:spacing w:line="360" w:lineRule="auto"/>
        <w:ind w:firstLine="448"/>
        <w:rPr>
          <w:color w:val="auto"/>
          <w:spacing w:val="0"/>
          <w:kern w:val="21"/>
          <w:sz w:val="24"/>
          <w:szCs w:val="24"/>
        </w:rPr>
      </w:pPr>
      <w:r>
        <w:rPr>
          <w:color w:val="auto"/>
          <w:spacing w:val="0"/>
          <w:kern w:val="21"/>
          <w:sz w:val="24"/>
          <w:szCs w:val="24"/>
        </w:rPr>
        <w:t>项目</w:t>
      </w:r>
      <w:r>
        <w:rPr>
          <w:rFonts w:hint="eastAsia"/>
          <w:color w:val="auto"/>
          <w:spacing w:val="0"/>
          <w:kern w:val="21"/>
          <w:sz w:val="24"/>
          <w:szCs w:val="24"/>
          <w:lang w:eastAsia="zh-CN"/>
        </w:rPr>
        <w:t>处理后的废水还</w:t>
      </w:r>
      <w:r>
        <w:rPr>
          <w:rFonts w:hint="eastAsia"/>
          <w:color w:val="auto"/>
          <w:spacing w:val="0"/>
          <w:kern w:val="21"/>
          <w:sz w:val="24"/>
          <w:szCs w:val="24"/>
        </w:rPr>
        <w:t>用于厂区绿化，</w:t>
      </w:r>
      <w:r>
        <w:rPr>
          <w:rFonts w:hint="eastAsia"/>
          <w:color w:val="auto"/>
          <w:spacing w:val="0"/>
          <w:kern w:val="21"/>
          <w:sz w:val="24"/>
          <w:szCs w:val="24"/>
          <w:lang w:eastAsia="zh-CN"/>
        </w:rPr>
        <w:t>废水还需满足</w:t>
      </w:r>
      <w:r>
        <w:rPr>
          <w:color w:val="auto"/>
          <w:spacing w:val="0"/>
          <w:kern w:val="21"/>
          <w:sz w:val="24"/>
          <w:szCs w:val="24"/>
        </w:rPr>
        <w:t>GB/T 18920-2020《城市污水再生利用 城市杂用水水质》表1标准</w:t>
      </w:r>
      <w:r>
        <w:rPr>
          <w:rFonts w:hint="eastAsia"/>
          <w:color w:val="auto"/>
          <w:spacing w:val="0"/>
          <w:kern w:val="21"/>
          <w:sz w:val="24"/>
          <w:szCs w:val="24"/>
        </w:rPr>
        <w:t>中城市绿化水质标准</w:t>
      </w:r>
      <w:r>
        <w:rPr>
          <w:color w:val="auto"/>
          <w:spacing w:val="0"/>
          <w:kern w:val="21"/>
          <w:sz w:val="24"/>
          <w:szCs w:val="24"/>
        </w:rPr>
        <w:t>后回用于厂区绿化，标准值见</w:t>
      </w:r>
      <w:r>
        <w:rPr>
          <w:rFonts w:hint="eastAsia"/>
          <w:color w:val="auto"/>
          <w:spacing w:val="0"/>
          <w:kern w:val="21"/>
          <w:sz w:val="24"/>
          <w:szCs w:val="24"/>
          <w:lang w:eastAsia="zh-CN"/>
        </w:rPr>
        <w:t>下表</w:t>
      </w:r>
      <w:r>
        <w:rPr>
          <w:color w:val="auto"/>
          <w:spacing w:val="0"/>
          <w:kern w:val="21"/>
          <w:sz w:val="24"/>
          <w:szCs w:val="24"/>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bCs/>
          <w:color w:val="auto"/>
          <w:spacing w:val="0"/>
          <w:kern w:val="21"/>
          <w:sz w:val="24"/>
        </w:rPr>
      </w:pPr>
      <w:r>
        <w:rPr>
          <w:b/>
          <w:bCs/>
          <w:color w:val="auto"/>
          <w:spacing w:val="0"/>
          <w:kern w:val="21"/>
          <w:sz w:val="24"/>
        </w:rPr>
        <w:t>城市杂用水水质基本控制项目及限值</w:t>
      </w:r>
    </w:p>
    <w:tbl>
      <w:tblPr>
        <w:tblStyle w:val="51"/>
        <w:tblpPr w:leftFromText="180" w:rightFromText="180" w:vertAnchor="text" w:tblpXSpec="center" w:tblpY="1"/>
        <w:tblOverlap w:val="never"/>
        <w:tblW w:w="7602" w:type="dxa"/>
        <w:tblInd w:w="0" w:type="dxa"/>
        <w:tblLayout w:type="fixed"/>
        <w:tblCellMar>
          <w:top w:w="0" w:type="dxa"/>
          <w:left w:w="10" w:type="dxa"/>
          <w:bottom w:w="0" w:type="dxa"/>
          <w:right w:w="10" w:type="dxa"/>
        </w:tblCellMar>
      </w:tblPr>
      <w:tblGrid>
        <w:gridCol w:w="555"/>
        <w:gridCol w:w="3975"/>
        <w:gridCol w:w="3072"/>
      </w:tblGrid>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序号</w:t>
            </w:r>
          </w:p>
        </w:tc>
        <w:tc>
          <w:tcPr>
            <w:tcW w:w="397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lang w:eastAsia="zh-CN"/>
              </w:rPr>
              <w:t>项</w:t>
            </w:r>
            <w:r>
              <w:rPr>
                <w:rFonts w:ascii="Times New Roman" w:hAnsi="Times New Roman" w:cs="Times New Roman"/>
                <w:color w:val="auto"/>
                <w:spacing w:val="-6"/>
                <w:kern w:val="21"/>
                <w:sz w:val="21"/>
                <w:szCs w:val="21"/>
              </w:rPr>
              <w:t>目</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lang w:eastAsia="zh-CN"/>
              </w:rPr>
              <w:t>城市</w:t>
            </w:r>
            <w:r>
              <w:rPr>
                <w:rFonts w:ascii="Times New Roman" w:hAnsi="Times New Roman" w:cs="Times New Roman"/>
                <w:color w:val="auto"/>
                <w:spacing w:val="-6"/>
                <w:kern w:val="21"/>
                <w:sz w:val="21"/>
                <w:szCs w:val="21"/>
              </w:rPr>
              <w:t>绿化</w:t>
            </w:r>
          </w:p>
        </w:tc>
      </w:tr>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1</w:t>
            </w:r>
          </w:p>
        </w:tc>
        <w:tc>
          <w:tcPr>
            <w:tcW w:w="397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lang w:val="en-US" w:eastAsia="en-US" w:bidi="en-US"/>
              </w:rPr>
              <w:t>pH</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lang w:val="en-US" w:eastAsia="en-US" w:bidi="en-US"/>
              </w:rPr>
              <w:t xml:space="preserve">6.0 </w:t>
            </w:r>
            <w:r>
              <w:rPr>
                <w:rFonts w:ascii="Times New Roman" w:hAnsi="Times New Roman" w:cs="Times New Roman"/>
                <w:color w:val="auto"/>
                <w:spacing w:val="-6"/>
                <w:kern w:val="21"/>
                <w:sz w:val="21"/>
                <w:szCs w:val="21"/>
              </w:rPr>
              <w:t>~</w:t>
            </w:r>
            <w:r>
              <w:rPr>
                <w:rFonts w:ascii="Times New Roman" w:hAnsi="Times New Roman" w:cs="Times New Roman"/>
                <w:color w:val="auto"/>
                <w:spacing w:val="-6"/>
                <w:kern w:val="21"/>
                <w:sz w:val="21"/>
                <w:szCs w:val="21"/>
                <w:lang w:val="en-US" w:eastAsia="en-US" w:bidi="en-US"/>
              </w:rPr>
              <w:t>9.0</w:t>
            </w:r>
          </w:p>
        </w:tc>
      </w:tr>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2</w:t>
            </w:r>
          </w:p>
        </w:tc>
        <w:tc>
          <w:tcPr>
            <w:tcW w:w="3975" w:type="dxa"/>
            <w:tcBorders>
              <w:top w:val="single" w:color="auto" w:sz="4" w:space="0"/>
              <w:left w:val="single" w:color="auto" w:sz="4" w:space="0"/>
            </w:tcBorders>
            <w:shd w:val="clear" w:color="auto" w:fill="FFFFFF"/>
            <w:vAlign w:val="center"/>
          </w:tcPr>
          <w:p>
            <w:pPr>
              <w:pStyle w:val="204"/>
              <w:tabs>
                <w:tab w:val="left" w:pos="3525"/>
              </w:tabs>
              <w:adjustRightInd w:val="0"/>
              <w:snapToGrid w:val="0"/>
              <w:spacing w:line="240" w:lineRule="auto"/>
              <w:ind w:firstLine="0" w:firstLineChars="0"/>
              <w:rPr>
                <w:rFonts w:ascii="Times New Roman" w:hAnsi="Times New Roman" w:cs="Times New Roman"/>
                <w:color w:val="auto"/>
                <w:spacing w:val="-6"/>
                <w:kern w:val="21"/>
                <w:sz w:val="21"/>
                <w:szCs w:val="21"/>
                <w:lang w:eastAsia="zh-CN"/>
              </w:rPr>
            </w:pPr>
            <w:r>
              <w:rPr>
                <w:rFonts w:ascii="Times New Roman" w:hAnsi="Times New Roman" w:cs="Times New Roman"/>
                <w:color w:val="auto"/>
                <w:spacing w:val="-6"/>
                <w:kern w:val="21"/>
                <w:sz w:val="21"/>
                <w:szCs w:val="21"/>
                <w:lang w:eastAsia="zh-CN"/>
              </w:rPr>
              <w:t>色度，铂钴色度单位</w:t>
            </w:r>
            <w:r>
              <w:rPr>
                <w:rFonts w:ascii="Times New Roman" w:hAnsi="Times New Roman" w:cs="Times New Roman"/>
                <w:color w:val="auto"/>
                <w:spacing w:val="-6"/>
                <w:kern w:val="21"/>
                <w:sz w:val="21"/>
                <w:szCs w:val="21"/>
                <w:lang w:eastAsia="zh-CN"/>
              </w:rPr>
              <w:tab/>
            </w:r>
            <w:r>
              <w:rPr>
                <w:rFonts w:ascii="Times New Roman" w:hAnsi="Times New Roman" w:cs="Times New Roman"/>
                <w:color w:val="auto"/>
                <w:spacing w:val="-6"/>
                <w:kern w:val="21"/>
                <w:sz w:val="21"/>
                <w:szCs w:val="21"/>
                <w:lang w:eastAsia="zh-CN"/>
              </w:rPr>
              <w:t>≤</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30</w:t>
            </w:r>
          </w:p>
        </w:tc>
      </w:tr>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3</w:t>
            </w:r>
          </w:p>
        </w:tc>
        <w:tc>
          <w:tcPr>
            <w:tcW w:w="397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嗅</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无不快感</w:t>
            </w:r>
          </w:p>
        </w:tc>
      </w:tr>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4</w:t>
            </w:r>
          </w:p>
        </w:tc>
        <w:tc>
          <w:tcPr>
            <w:tcW w:w="3975" w:type="dxa"/>
            <w:tcBorders>
              <w:top w:val="single" w:color="auto" w:sz="4" w:space="0"/>
              <w:left w:val="single" w:color="auto" w:sz="4" w:space="0"/>
            </w:tcBorders>
            <w:shd w:val="clear" w:color="auto" w:fill="FFFFFF"/>
            <w:vAlign w:val="center"/>
          </w:tcPr>
          <w:p>
            <w:pPr>
              <w:pStyle w:val="204"/>
              <w:tabs>
                <w:tab w:val="left" w:pos="3525"/>
              </w:tabs>
              <w:adjustRightInd w:val="0"/>
              <w:snapToGrid w:val="0"/>
              <w:spacing w:line="240" w:lineRule="auto"/>
              <w:ind w:firstLine="0" w:firstLineChars="0"/>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浊度</w:t>
            </w:r>
            <w:r>
              <w:rPr>
                <w:rFonts w:ascii="Times New Roman" w:hAnsi="Times New Roman" w:cs="Times New Roman"/>
                <w:color w:val="auto"/>
                <w:spacing w:val="-6"/>
                <w:kern w:val="21"/>
                <w:sz w:val="21"/>
                <w:szCs w:val="21"/>
                <w:lang w:val="en-US" w:eastAsia="en-US" w:bidi="en-US"/>
              </w:rPr>
              <w:t>/NTU</w:t>
            </w:r>
            <w:r>
              <w:rPr>
                <w:rFonts w:ascii="Times New Roman" w:hAnsi="Times New Roman" w:cs="Times New Roman"/>
                <w:color w:val="auto"/>
                <w:spacing w:val="-6"/>
                <w:kern w:val="21"/>
                <w:sz w:val="21"/>
                <w:szCs w:val="21"/>
                <w:lang w:val="en-US" w:eastAsia="en-US" w:bidi="en-US"/>
              </w:rPr>
              <w:tab/>
            </w:r>
            <w:r>
              <w:rPr>
                <w:rFonts w:ascii="Times New Roman" w:hAnsi="Times New Roman" w:cs="Times New Roman"/>
                <w:color w:val="auto"/>
                <w:spacing w:val="-6"/>
                <w:kern w:val="21"/>
                <w:sz w:val="21"/>
                <w:szCs w:val="21"/>
              </w:rPr>
              <w:t>≤</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10</w:t>
            </w:r>
          </w:p>
        </w:tc>
      </w:tr>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5</w:t>
            </w:r>
          </w:p>
        </w:tc>
        <w:tc>
          <w:tcPr>
            <w:tcW w:w="3975" w:type="dxa"/>
            <w:tcBorders>
              <w:top w:val="single" w:color="auto" w:sz="4" w:space="0"/>
              <w:left w:val="single" w:color="auto" w:sz="4" w:space="0"/>
            </w:tcBorders>
            <w:shd w:val="clear" w:color="auto" w:fill="FFFFFF"/>
            <w:vAlign w:val="center"/>
          </w:tcPr>
          <w:p>
            <w:pPr>
              <w:pStyle w:val="204"/>
              <w:tabs>
                <w:tab w:val="left" w:pos="3540"/>
              </w:tabs>
              <w:adjustRightInd w:val="0"/>
              <w:snapToGrid w:val="0"/>
              <w:spacing w:line="240" w:lineRule="auto"/>
              <w:ind w:firstLine="0" w:firstLineChars="0"/>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lang w:val="en-US" w:bidi="en-US"/>
              </w:rPr>
              <w:t>五日生化需氧量/(mg/L)</w:t>
            </w:r>
            <w:r>
              <w:rPr>
                <w:rFonts w:ascii="Times New Roman" w:hAnsi="Times New Roman" w:cs="Times New Roman"/>
                <w:color w:val="auto"/>
                <w:spacing w:val="-6"/>
                <w:kern w:val="21"/>
                <w:sz w:val="21"/>
                <w:szCs w:val="21"/>
                <w:lang w:val="en-US" w:bidi="en-US"/>
              </w:rPr>
              <w:tab/>
            </w:r>
            <w:r>
              <w:rPr>
                <w:rFonts w:ascii="Times New Roman" w:hAnsi="Times New Roman" w:cs="Times New Roman"/>
                <w:color w:val="auto"/>
                <w:spacing w:val="-6"/>
                <w:kern w:val="21"/>
                <w:sz w:val="21"/>
                <w:szCs w:val="21"/>
              </w:rPr>
              <w:t>≤</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10</w:t>
            </w:r>
          </w:p>
        </w:tc>
      </w:tr>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6</w:t>
            </w:r>
          </w:p>
        </w:tc>
        <w:tc>
          <w:tcPr>
            <w:tcW w:w="3975" w:type="dxa"/>
            <w:tcBorders>
              <w:top w:val="single" w:color="auto" w:sz="4" w:space="0"/>
              <w:left w:val="single" w:color="auto" w:sz="4" w:space="0"/>
            </w:tcBorders>
            <w:shd w:val="clear" w:color="auto" w:fill="FFFFFF"/>
            <w:vAlign w:val="center"/>
          </w:tcPr>
          <w:p>
            <w:pPr>
              <w:pStyle w:val="204"/>
              <w:tabs>
                <w:tab w:val="left" w:pos="3525"/>
              </w:tabs>
              <w:adjustRightInd w:val="0"/>
              <w:snapToGrid w:val="0"/>
              <w:spacing w:line="240" w:lineRule="auto"/>
              <w:ind w:firstLine="0" w:firstLineChars="0"/>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氮氮</w:t>
            </w:r>
            <w:r>
              <w:rPr>
                <w:rFonts w:ascii="Times New Roman" w:hAnsi="Times New Roman" w:cs="Times New Roman"/>
                <w:color w:val="auto"/>
                <w:spacing w:val="-6"/>
                <w:kern w:val="21"/>
                <w:sz w:val="21"/>
                <w:szCs w:val="21"/>
                <w:lang w:val="en-US" w:eastAsia="en-US" w:bidi="en-US"/>
              </w:rPr>
              <w:t>/(mg/L)</w:t>
            </w:r>
            <w:r>
              <w:rPr>
                <w:rFonts w:ascii="Times New Roman" w:hAnsi="Times New Roman" w:cs="Times New Roman"/>
                <w:color w:val="auto"/>
                <w:spacing w:val="-6"/>
                <w:kern w:val="21"/>
                <w:sz w:val="21"/>
                <w:szCs w:val="21"/>
                <w:lang w:val="en-US" w:eastAsia="en-US" w:bidi="en-US"/>
              </w:rPr>
              <w:tab/>
            </w:r>
            <w:r>
              <w:rPr>
                <w:rFonts w:ascii="Times New Roman" w:hAnsi="Times New Roman" w:cs="Times New Roman"/>
                <w:color w:val="auto"/>
                <w:spacing w:val="-6"/>
                <w:kern w:val="21"/>
                <w:sz w:val="21"/>
                <w:szCs w:val="21"/>
              </w:rPr>
              <w:t>≤</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8</w:t>
            </w:r>
          </w:p>
        </w:tc>
      </w:tr>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7</w:t>
            </w:r>
          </w:p>
        </w:tc>
        <w:tc>
          <w:tcPr>
            <w:tcW w:w="3975" w:type="dxa"/>
            <w:tcBorders>
              <w:top w:val="single" w:color="auto" w:sz="4" w:space="0"/>
              <w:left w:val="single" w:color="auto" w:sz="4" w:space="0"/>
            </w:tcBorders>
            <w:shd w:val="clear" w:color="auto" w:fill="FFFFFF"/>
            <w:vAlign w:val="center"/>
          </w:tcPr>
          <w:p>
            <w:pPr>
              <w:pStyle w:val="204"/>
              <w:tabs>
                <w:tab w:val="left" w:pos="3555"/>
              </w:tabs>
              <w:adjustRightInd w:val="0"/>
              <w:snapToGrid w:val="0"/>
              <w:spacing w:line="240" w:lineRule="auto"/>
              <w:ind w:firstLine="0" w:firstLineChars="0"/>
              <w:rPr>
                <w:rFonts w:ascii="Times New Roman" w:hAnsi="Times New Roman" w:cs="Times New Roman"/>
                <w:color w:val="auto"/>
                <w:spacing w:val="-6"/>
                <w:kern w:val="21"/>
                <w:sz w:val="21"/>
                <w:szCs w:val="21"/>
                <w:lang w:eastAsia="zh-CN"/>
              </w:rPr>
            </w:pPr>
            <w:r>
              <w:rPr>
                <w:rFonts w:ascii="Times New Roman" w:hAnsi="Times New Roman" w:cs="Times New Roman"/>
                <w:color w:val="auto"/>
                <w:spacing w:val="-6"/>
                <w:kern w:val="21"/>
                <w:sz w:val="21"/>
                <w:szCs w:val="21"/>
                <w:lang w:eastAsia="zh-CN"/>
              </w:rPr>
              <w:t>阴离子表面活性剂</w:t>
            </w:r>
            <w:r>
              <w:rPr>
                <w:rFonts w:ascii="Times New Roman" w:hAnsi="Times New Roman" w:cs="Times New Roman"/>
                <w:color w:val="auto"/>
                <w:spacing w:val="-6"/>
                <w:kern w:val="21"/>
                <w:sz w:val="21"/>
                <w:szCs w:val="21"/>
                <w:lang w:val="en-US" w:eastAsia="zh-CN"/>
              </w:rPr>
              <w:t>/</w:t>
            </w:r>
            <w:r>
              <w:rPr>
                <w:rFonts w:ascii="Times New Roman" w:hAnsi="Times New Roman" w:cs="Times New Roman"/>
                <w:color w:val="auto"/>
                <w:spacing w:val="-6"/>
                <w:kern w:val="21"/>
                <w:sz w:val="21"/>
                <w:szCs w:val="21"/>
                <w:lang w:val="en-US" w:eastAsia="zh-CN" w:bidi="en-US"/>
              </w:rPr>
              <w:t>(mg/L)</w:t>
            </w:r>
            <w:r>
              <w:rPr>
                <w:rFonts w:ascii="Times New Roman" w:hAnsi="Times New Roman" w:cs="Times New Roman"/>
                <w:color w:val="auto"/>
                <w:spacing w:val="-6"/>
                <w:kern w:val="21"/>
                <w:sz w:val="21"/>
                <w:szCs w:val="21"/>
                <w:lang w:val="en-US" w:eastAsia="zh-CN" w:bidi="en-US"/>
              </w:rPr>
              <w:tab/>
            </w:r>
            <w:r>
              <w:rPr>
                <w:rFonts w:ascii="Times New Roman" w:hAnsi="Times New Roman" w:cs="Times New Roman"/>
                <w:color w:val="auto"/>
                <w:spacing w:val="-6"/>
                <w:kern w:val="21"/>
                <w:sz w:val="21"/>
                <w:szCs w:val="21"/>
                <w:lang w:eastAsia="zh-CN"/>
              </w:rPr>
              <w:t>≤</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lang w:val="en-US" w:eastAsia="en-US" w:bidi="en-US"/>
              </w:rPr>
              <w:t>0.5</w:t>
            </w:r>
          </w:p>
        </w:tc>
      </w:tr>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lang w:eastAsia="zh-CN"/>
              </w:rPr>
            </w:pPr>
            <w:r>
              <w:rPr>
                <w:rFonts w:ascii="Times New Roman" w:hAnsi="Times New Roman" w:cs="Times New Roman"/>
                <w:color w:val="auto"/>
                <w:spacing w:val="-6"/>
                <w:kern w:val="21"/>
                <w:sz w:val="21"/>
                <w:szCs w:val="21"/>
                <w:lang w:val="en-US" w:eastAsia="zh-CN"/>
              </w:rPr>
              <w:t>8</w:t>
            </w:r>
          </w:p>
        </w:tc>
        <w:tc>
          <w:tcPr>
            <w:tcW w:w="3975" w:type="dxa"/>
            <w:tcBorders>
              <w:top w:val="single" w:color="auto" w:sz="4" w:space="0"/>
              <w:left w:val="single" w:color="auto" w:sz="4" w:space="0"/>
            </w:tcBorders>
            <w:shd w:val="clear" w:color="auto" w:fill="FFFFFF"/>
            <w:vAlign w:val="center"/>
          </w:tcPr>
          <w:p>
            <w:pPr>
              <w:pStyle w:val="204"/>
              <w:tabs>
                <w:tab w:val="left" w:pos="3510"/>
              </w:tabs>
              <w:adjustRightInd w:val="0"/>
              <w:snapToGrid w:val="0"/>
              <w:spacing w:line="240" w:lineRule="auto"/>
              <w:ind w:firstLine="0" w:firstLineChars="0"/>
              <w:rPr>
                <w:rFonts w:ascii="Times New Roman" w:hAnsi="Times New Roman" w:cs="Times New Roman"/>
                <w:color w:val="auto"/>
                <w:spacing w:val="-6"/>
                <w:kern w:val="21"/>
                <w:sz w:val="21"/>
                <w:szCs w:val="21"/>
                <w:lang w:eastAsia="zh-CN"/>
              </w:rPr>
            </w:pPr>
            <w:r>
              <w:rPr>
                <w:rFonts w:ascii="Times New Roman" w:hAnsi="Times New Roman" w:cs="Times New Roman"/>
                <w:color w:val="auto"/>
                <w:spacing w:val="-6"/>
                <w:kern w:val="21"/>
                <w:sz w:val="21"/>
                <w:szCs w:val="21"/>
                <w:lang w:eastAsia="zh-CN"/>
              </w:rPr>
              <w:t>溶解性总固体</w:t>
            </w:r>
            <w:r>
              <w:rPr>
                <w:rFonts w:ascii="Times New Roman" w:hAnsi="Times New Roman" w:cs="Times New Roman"/>
                <w:color w:val="auto"/>
                <w:spacing w:val="-6"/>
                <w:kern w:val="21"/>
                <w:sz w:val="21"/>
                <w:szCs w:val="21"/>
                <w:lang w:val="en-US" w:eastAsia="zh-CN" w:bidi="en-US"/>
              </w:rPr>
              <w:t>/(mg/L)</w:t>
            </w:r>
            <w:r>
              <w:rPr>
                <w:rFonts w:ascii="Times New Roman" w:hAnsi="Times New Roman" w:cs="Times New Roman"/>
                <w:color w:val="auto"/>
                <w:spacing w:val="-6"/>
                <w:kern w:val="21"/>
                <w:sz w:val="21"/>
                <w:szCs w:val="21"/>
                <w:lang w:val="en-US" w:eastAsia="zh-CN" w:bidi="en-US"/>
              </w:rPr>
              <w:tab/>
            </w:r>
            <w:r>
              <w:rPr>
                <w:rFonts w:ascii="Times New Roman" w:hAnsi="Times New Roman" w:cs="Times New Roman"/>
                <w:color w:val="auto"/>
                <w:spacing w:val="-6"/>
                <w:kern w:val="21"/>
                <w:sz w:val="21"/>
                <w:szCs w:val="21"/>
                <w:lang w:eastAsia="zh-CN"/>
              </w:rPr>
              <w:t>≤</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lang w:val="en-US"/>
              </w:rPr>
            </w:pPr>
            <w:r>
              <w:rPr>
                <w:rFonts w:ascii="Times New Roman" w:hAnsi="Times New Roman" w:cs="Times New Roman"/>
                <w:color w:val="auto"/>
                <w:spacing w:val="-6"/>
                <w:kern w:val="21"/>
                <w:sz w:val="21"/>
                <w:szCs w:val="21"/>
              </w:rPr>
              <w:t>1 000</w:t>
            </w:r>
            <w:r>
              <w:rPr>
                <w:rFonts w:ascii="Times New Roman" w:hAnsi="Times New Roman" w:cs="Times New Roman"/>
                <w:color w:val="auto"/>
                <w:spacing w:val="-6"/>
                <w:kern w:val="21"/>
                <w:sz w:val="21"/>
                <w:szCs w:val="21"/>
                <w:lang w:eastAsia="zh-CN"/>
              </w:rPr>
              <w:t>（</w:t>
            </w:r>
            <w:r>
              <w:rPr>
                <w:rFonts w:ascii="Times New Roman" w:hAnsi="Times New Roman" w:cs="Times New Roman"/>
                <w:color w:val="auto"/>
                <w:spacing w:val="-6"/>
                <w:kern w:val="21"/>
                <w:sz w:val="21"/>
                <w:szCs w:val="21"/>
                <w:lang w:val="en-US" w:eastAsia="zh-CN"/>
              </w:rPr>
              <w:t>2000</w:t>
            </w:r>
            <w:r>
              <w:rPr>
                <w:rFonts w:ascii="Times New Roman" w:hAnsi="Times New Roman" w:cs="Times New Roman"/>
                <w:color w:val="auto"/>
                <w:spacing w:val="-6"/>
                <w:kern w:val="21"/>
                <w:sz w:val="21"/>
                <w:szCs w:val="21"/>
                <w:lang w:eastAsia="zh-CN"/>
              </w:rPr>
              <w:t>）</w:t>
            </w:r>
            <w:r>
              <w:rPr>
                <w:rFonts w:ascii="Times New Roman" w:hAnsi="Times New Roman" w:cs="Times New Roman"/>
                <w:color w:val="auto"/>
                <w:spacing w:val="-6"/>
                <w:kern w:val="21"/>
                <w:sz w:val="21"/>
                <w:szCs w:val="21"/>
                <w:vertAlign w:val="superscript"/>
                <w:lang w:val="en-US" w:eastAsia="zh-CN"/>
              </w:rPr>
              <w:t>a</w:t>
            </w:r>
          </w:p>
        </w:tc>
      </w:tr>
      <w:tr>
        <w:tblPrEx>
          <w:tblCellMar>
            <w:top w:w="0" w:type="dxa"/>
            <w:left w:w="10" w:type="dxa"/>
            <w:bottom w:w="0" w:type="dxa"/>
            <w:right w:w="10" w:type="dxa"/>
          </w:tblCellMar>
        </w:tblPrEx>
        <w:tc>
          <w:tcPr>
            <w:tcW w:w="555" w:type="dxa"/>
            <w:tcBorders>
              <w:top w:val="single" w:color="auto" w:sz="4" w:space="0"/>
              <w:left w:val="single" w:color="auto" w:sz="4" w:space="0"/>
              <w:bottom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lang w:eastAsia="zh-CN"/>
              </w:rPr>
            </w:pPr>
            <w:r>
              <w:rPr>
                <w:rFonts w:ascii="Times New Roman" w:hAnsi="Times New Roman" w:cs="Times New Roman"/>
                <w:color w:val="auto"/>
                <w:spacing w:val="-6"/>
                <w:kern w:val="21"/>
                <w:sz w:val="21"/>
                <w:szCs w:val="21"/>
                <w:lang w:val="en-US" w:eastAsia="zh-CN"/>
              </w:rPr>
              <w:t>9</w:t>
            </w:r>
          </w:p>
        </w:tc>
        <w:tc>
          <w:tcPr>
            <w:tcW w:w="3975" w:type="dxa"/>
            <w:tcBorders>
              <w:top w:val="single" w:color="auto" w:sz="4" w:space="0"/>
              <w:left w:val="single" w:color="auto" w:sz="4" w:space="0"/>
              <w:bottom w:val="single" w:color="auto" w:sz="4" w:space="0"/>
            </w:tcBorders>
            <w:shd w:val="clear" w:color="auto" w:fill="FFFFFF"/>
            <w:vAlign w:val="center"/>
          </w:tcPr>
          <w:p>
            <w:pPr>
              <w:pStyle w:val="204"/>
              <w:tabs>
                <w:tab w:val="left" w:pos="3510"/>
              </w:tabs>
              <w:adjustRightInd w:val="0"/>
              <w:snapToGrid w:val="0"/>
              <w:spacing w:line="240" w:lineRule="auto"/>
              <w:ind w:firstLine="0" w:firstLineChars="0"/>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溶解</w:t>
            </w:r>
            <w:r>
              <w:rPr>
                <w:rFonts w:ascii="Times New Roman" w:hAnsi="Times New Roman" w:cs="Times New Roman"/>
                <w:color w:val="auto"/>
                <w:spacing w:val="-6"/>
                <w:kern w:val="21"/>
                <w:sz w:val="21"/>
                <w:szCs w:val="21"/>
                <w:lang w:eastAsia="zh-CN"/>
              </w:rPr>
              <w:t>氧</w:t>
            </w:r>
            <w:r>
              <w:rPr>
                <w:rFonts w:ascii="Times New Roman" w:hAnsi="Times New Roman" w:cs="Times New Roman"/>
                <w:color w:val="auto"/>
                <w:spacing w:val="-6"/>
                <w:kern w:val="21"/>
                <w:sz w:val="21"/>
                <w:szCs w:val="21"/>
                <w:lang w:val="en-US" w:eastAsia="en-US" w:bidi="en-US"/>
              </w:rPr>
              <w:t>/(mg/L)</w:t>
            </w:r>
            <w:r>
              <w:rPr>
                <w:rFonts w:ascii="Times New Roman" w:hAnsi="Times New Roman" w:cs="Times New Roman"/>
                <w:color w:val="auto"/>
                <w:spacing w:val="-6"/>
                <w:kern w:val="21"/>
                <w:sz w:val="21"/>
                <w:szCs w:val="21"/>
                <w:lang w:val="en-US" w:eastAsia="en-US" w:bidi="en-US"/>
              </w:rPr>
              <w:tab/>
            </w:r>
            <w:r>
              <w:rPr>
                <w:rFonts w:ascii="Times New Roman" w:hAnsi="Times New Roman" w:cs="Times New Roman"/>
                <w:color w:val="auto"/>
                <w:spacing w:val="-6"/>
                <w:kern w:val="21"/>
                <w:sz w:val="21"/>
                <w:szCs w:val="21"/>
              </w:rPr>
              <w:t>≥</w:t>
            </w:r>
          </w:p>
        </w:tc>
        <w:tc>
          <w:tcPr>
            <w:tcW w:w="307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lang w:val="en-US" w:eastAsia="en-US" w:bidi="en-US"/>
              </w:rPr>
              <w:t>2.0</w:t>
            </w:r>
          </w:p>
        </w:tc>
      </w:tr>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left"/>
              <w:rPr>
                <w:rFonts w:ascii="Times New Roman" w:hAnsi="Times New Roman" w:cs="Times New Roman"/>
                <w:color w:val="auto"/>
                <w:spacing w:val="-6"/>
                <w:kern w:val="21"/>
                <w:sz w:val="21"/>
                <w:szCs w:val="21"/>
                <w:lang w:eastAsia="zh-CN"/>
              </w:rPr>
            </w:pPr>
            <w:r>
              <w:rPr>
                <w:rFonts w:ascii="Times New Roman" w:hAnsi="Times New Roman" w:cs="Times New Roman"/>
                <w:color w:val="auto"/>
                <w:spacing w:val="-6"/>
                <w:kern w:val="21"/>
                <w:sz w:val="21"/>
                <w:szCs w:val="21"/>
              </w:rPr>
              <w:t>1</w:t>
            </w:r>
            <w:r>
              <w:rPr>
                <w:rFonts w:ascii="Times New Roman" w:hAnsi="Times New Roman" w:cs="Times New Roman"/>
                <w:color w:val="auto"/>
                <w:spacing w:val="-6"/>
                <w:kern w:val="21"/>
                <w:sz w:val="21"/>
                <w:szCs w:val="21"/>
                <w:lang w:val="en-US" w:eastAsia="zh-CN"/>
              </w:rPr>
              <w:t>0</w:t>
            </w:r>
          </w:p>
        </w:tc>
        <w:tc>
          <w:tcPr>
            <w:tcW w:w="3975" w:type="dxa"/>
            <w:tcBorders>
              <w:top w:val="single" w:color="auto" w:sz="4" w:space="0"/>
              <w:left w:val="single" w:color="auto" w:sz="4" w:space="0"/>
            </w:tcBorders>
            <w:shd w:val="clear" w:color="auto" w:fill="FFFFFF"/>
            <w:vAlign w:val="center"/>
          </w:tcPr>
          <w:p>
            <w:pPr>
              <w:pStyle w:val="204"/>
              <w:tabs>
                <w:tab w:val="left" w:pos="3525"/>
              </w:tabs>
              <w:adjustRightInd w:val="0"/>
              <w:snapToGrid w:val="0"/>
              <w:spacing w:line="240" w:lineRule="auto"/>
              <w:ind w:firstLine="0" w:firstLineChars="0"/>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总</w:t>
            </w:r>
            <w:r>
              <w:rPr>
                <w:rFonts w:ascii="Times New Roman" w:hAnsi="Times New Roman" w:cs="Times New Roman"/>
                <w:color w:val="auto"/>
                <w:spacing w:val="-6"/>
                <w:kern w:val="21"/>
                <w:sz w:val="21"/>
                <w:szCs w:val="21"/>
                <w:lang w:eastAsia="zh-CN"/>
              </w:rPr>
              <w:t>氯</w:t>
            </w:r>
            <w:r>
              <w:rPr>
                <w:rFonts w:ascii="Times New Roman" w:hAnsi="Times New Roman" w:cs="Times New Roman"/>
                <w:color w:val="auto"/>
                <w:spacing w:val="-6"/>
                <w:kern w:val="21"/>
                <w:sz w:val="21"/>
                <w:szCs w:val="21"/>
                <w:lang w:val="en-US" w:eastAsia="en-US" w:bidi="en-US"/>
              </w:rPr>
              <w:t>/</w:t>
            </w:r>
            <w:r>
              <w:rPr>
                <w:rFonts w:ascii="Times New Roman" w:hAnsi="Times New Roman" w:cs="Times New Roman"/>
                <w:color w:val="auto"/>
                <w:spacing w:val="-6"/>
                <w:kern w:val="21"/>
                <w:sz w:val="21"/>
                <w:szCs w:val="21"/>
                <w:lang w:val="en-US" w:eastAsia="zh-CN" w:bidi="en-US"/>
              </w:rPr>
              <w:t>(mg/L)</w:t>
            </w:r>
            <w:r>
              <w:rPr>
                <w:rFonts w:ascii="Times New Roman" w:hAnsi="Times New Roman" w:cs="Times New Roman"/>
                <w:color w:val="auto"/>
                <w:spacing w:val="-6"/>
                <w:kern w:val="21"/>
                <w:sz w:val="21"/>
                <w:szCs w:val="21"/>
                <w:lang w:val="en-US" w:eastAsia="en-US" w:bidi="en-US"/>
              </w:rPr>
              <w:tab/>
            </w:r>
            <w:r>
              <w:rPr>
                <w:rFonts w:ascii="Times New Roman" w:hAnsi="Times New Roman" w:cs="Times New Roman"/>
                <w:color w:val="auto"/>
                <w:spacing w:val="-6"/>
                <w:kern w:val="21"/>
                <w:sz w:val="21"/>
                <w:szCs w:val="21"/>
              </w:rPr>
              <w:t>≥</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left"/>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lang w:val="en-US" w:bidi="en-US"/>
              </w:rPr>
              <w:t>1.0（出厂），</w:t>
            </w:r>
            <w:r>
              <w:rPr>
                <w:rFonts w:ascii="Times New Roman" w:hAnsi="Times New Roman" w:cs="Times New Roman"/>
                <w:color w:val="auto"/>
                <w:spacing w:val="-6"/>
                <w:kern w:val="21"/>
                <w:sz w:val="21"/>
                <w:szCs w:val="21"/>
              </w:rPr>
              <w:t>0.2</w:t>
            </w:r>
            <w:r>
              <w:rPr>
                <w:rFonts w:ascii="Times New Roman" w:hAnsi="Times New Roman" w:cs="Times New Roman"/>
                <w:color w:val="auto"/>
                <w:spacing w:val="-6"/>
                <w:kern w:val="21"/>
                <w:sz w:val="21"/>
                <w:szCs w:val="21"/>
                <w:vertAlign w:val="superscript"/>
                <w:lang w:val="en-US"/>
              </w:rPr>
              <w:t>b</w:t>
            </w:r>
            <w:r>
              <w:rPr>
                <w:rFonts w:ascii="Times New Roman" w:hAnsi="Times New Roman" w:cs="Times New Roman"/>
                <w:color w:val="auto"/>
                <w:spacing w:val="-6"/>
                <w:kern w:val="21"/>
                <w:sz w:val="21"/>
                <w:szCs w:val="21"/>
                <w:lang w:val="en-US"/>
              </w:rPr>
              <w:t>（</w:t>
            </w:r>
            <w:r>
              <w:rPr>
                <w:rFonts w:ascii="Times New Roman" w:hAnsi="Times New Roman" w:cs="Times New Roman"/>
                <w:color w:val="auto"/>
                <w:spacing w:val="-6"/>
                <w:kern w:val="21"/>
                <w:sz w:val="21"/>
                <w:szCs w:val="21"/>
              </w:rPr>
              <w:t>管网末端</w:t>
            </w:r>
            <w:r>
              <w:rPr>
                <w:rFonts w:ascii="Times New Roman" w:hAnsi="Times New Roman" w:cs="Times New Roman"/>
                <w:color w:val="auto"/>
                <w:spacing w:val="-6"/>
                <w:kern w:val="21"/>
                <w:sz w:val="21"/>
                <w:szCs w:val="21"/>
                <w:lang w:val="en-US"/>
              </w:rPr>
              <w:t>）</w:t>
            </w:r>
          </w:p>
        </w:tc>
      </w:tr>
      <w:tr>
        <w:tblPrEx>
          <w:tblCellMar>
            <w:top w:w="0" w:type="dxa"/>
            <w:left w:w="10" w:type="dxa"/>
            <w:bottom w:w="0" w:type="dxa"/>
            <w:right w:w="10" w:type="dxa"/>
          </w:tblCellMar>
        </w:tblPrEx>
        <w:tc>
          <w:tcPr>
            <w:tcW w:w="55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left"/>
              <w:rPr>
                <w:rFonts w:ascii="Times New Roman" w:hAnsi="Times New Roman" w:cs="Times New Roman"/>
                <w:color w:val="auto"/>
                <w:spacing w:val="-6"/>
                <w:kern w:val="21"/>
                <w:sz w:val="21"/>
                <w:szCs w:val="21"/>
                <w:lang w:eastAsia="zh-CN"/>
              </w:rPr>
            </w:pPr>
            <w:r>
              <w:rPr>
                <w:rFonts w:ascii="Times New Roman" w:hAnsi="Times New Roman" w:cs="Times New Roman"/>
                <w:color w:val="auto"/>
                <w:spacing w:val="-6"/>
                <w:kern w:val="21"/>
                <w:sz w:val="21"/>
                <w:szCs w:val="21"/>
              </w:rPr>
              <w:t>1</w:t>
            </w:r>
            <w:r>
              <w:rPr>
                <w:rFonts w:ascii="Times New Roman" w:hAnsi="Times New Roman" w:cs="Times New Roman"/>
                <w:color w:val="auto"/>
                <w:spacing w:val="-6"/>
                <w:kern w:val="21"/>
                <w:sz w:val="21"/>
                <w:szCs w:val="21"/>
                <w:lang w:val="en-US" w:eastAsia="zh-CN"/>
              </w:rPr>
              <w:t>1</w:t>
            </w:r>
          </w:p>
        </w:tc>
        <w:tc>
          <w:tcPr>
            <w:tcW w:w="3975" w:type="dxa"/>
            <w:tcBorders>
              <w:top w:val="single" w:color="auto" w:sz="4" w:space="0"/>
              <w:lef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rPr>
            </w:pPr>
            <w:r>
              <w:rPr>
                <w:rFonts w:ascii="Times New Roman" w:hAnsi="Times New Roman" w:cs="Times New Roman"/>
                <w:color w:val="auto"/>
                <w:spacing w:val="-6"/>
                <w:kern w:val="21"/>
                <w:sz w:val="21"/>
                <w:szCs w:val="21"/>
              </w:rPr>
              <w:t>大肠埃希氏菌/</w:t>
            </w:r>
            <w:r>
              <w:rPr>
                <w:rFonts w:ascii="Times New Roman" w:hAnsi="Times New Roman" w:cs="Times New Roman"/>
                <w:color w:val="auto"/>
                <w:spacing w:val="-6"/>
                <w:kern w:val="21"/>
                <w:sz w:val="21"/>
                <w:szCs w:val="21"/>
                <w:lang w:eastAsia="zh-CN"/>
              </w:rPr>
              <w:t>（</w:t>
            </w:r>
            <w:r>
              <w:rPr>
                <w:rFonts w:ascii="Times New Roman" w:hAnsi="Times New Roman" w:cs="Times New Roman"/>
                <w:color w:val="auto"/>
                <w:spacing w:val="-6"/>
                <w:kern w:val="21"/>
                <w:sz w:val="21"/>
                <w:szCs w:val="21"/>
                <w:lang w:val="en-US" w:eastAsia="en-US" w:bidi="en-US"/>
              </w:rPr>
              <w:t>MPN/</w:t>
            </w:r>
            <w:r>
              <w:rPr>
                <w:rFonts w:ascii="Times New Roman" w:hAnsi="Times New Roman" w:cs="Times New Roman"/>
                <w:color w:val="auto"/>
                <w:spacing w:val="-6"/>
                <w:kern w:val="21"/>
                <w:sz w:val="21"/>
                <w:szCs w:val="21"/>
                <w:lang w:val="en-US" w:eastAsia="zh-CN" w:bidi="en-US"/>
              </w:rPr>
              <w:t>100</w:t>
            </w:r>
            <w:r>
              <w:rPr>
                <w:rFonts w:ascii="Times New Roman" w:hAnsi="Times New Roman" w:cs="Times New Roman"/>
                <w:color w:val="auto"/>
                <w:spacing w:val="-6"/>
                <w:kern w:val="21"/>
                <w:sz w:val="21"/>
                <w:szCs w:val="21"/>
                <w:lang w:val="en-US" w:eastAsia="en-US" w:bidi="en-US"/>
              </w:rPr>
              <w:t xml:space="preserve"> mL</w:t>
            </w:r>
            <w:r>
              <w:rPr>
                <w:rFonts w:ascii="Times New Roman" w:hAnsi="Times New Roman" w:cs="Times New Roman"/>
                <w:color w:val="auto"/>
                <w:spacing w:val="-6"/>
                <w:kern w:val="21"/>
                <w:sz w:val="21"/>
                <w:szCs w:val="21"/>
              </w:rPr>
              <w:t>或</w:t>
            </w:r>
            <w:r>
              <w:rPr>
                <w:rFonts w:ascii="Times New Roman" w:hAnsi="Times New Roman" w:cs="Times New Roman"/>
                <w:color w:val="auto"/>
                <w:spacing w:val="-6"/>
                <w:kern w:val="21"/>
                <w:sz w:val="21"/>
                <w:szCs w:val="21"/>
                <w:lang w:val="en-US" w:eastAsia="en-US" w:bidi="en-US"/>
              </w:rPr>
              <w:t>CFU/</w:t>
            </w:r>
            <w:r>
              <w:rPr>
                <w:rFonts w:ascii="Times New Roman" w:hAnsi="Times New Roman" w:cs="Times New Roman"/>
                <w:color w:val="auto"/>
                <w:spacing w:val="-6"/>
                <w:kern w:val="21"/>
                <w:sz w:val="21"/>
                <w:szCs w:val="21"/>
                <w:lang w:val="en-US" w:eastAsia="zh-CN" w:bidi="en-US"/>
              </w:rPr>
              <w:t>100</w:t>
            </w:r>
            <w:r>
              <w:rPr>
                <w:rFonts w:ascii="Times New Roman" w:hAnsi="Times New Roman" w:cs="Times New Roman"/>
                <w:color w:val="auto"/>
                <w:spacing w:val="-6"/>
                <w:kern w:val="21"/>
                <w:sz w:val="21"/>
                <w:szCs w:val="21"/>
                <w:lang w:val="en-US" w:eastAsia="en-US" w:bidi="en-US"/>
              </w:rPr>
              <w:t xml:space="preserve"> mL</w:t>
            </w:r>
            <w:r>
              <w:rPr>
                <w:rFonts w:ascii="Times New Roman" w:hAnsi="Times New Roman" w:cs="Times New Roman"/>
                <w:color w:val="auto"/>
                <w:spacing w:val="-6"/>
                <w:kern w:val="21"/>
                <w:sz w:val="21"/>
                <w:szCs w:val="21"/>
                <w:lang w:eastAsia="zh-CN"/>
              </w:rPr>
              <w:t>）</w:t>
            </w:r>
            <w:r>
              <w:rPr>
                <w:rFonts w:ascii="Times New Roman" w:hAnsi="Times New Roman" w:cs="Times New Roman"/>
                <w:color w:val="auto"/>
                <w:spacing w:val="-6"/>
                <w:kern w:val="21"/>
                <w:sz w:val="21"/>
                <w:szCs w:val="21"/>
                <w:lang w:val="en-US" w:eastAsia="en-US" w:bidi="en-US"/>
              </w:rPr>
              <w:t xml:space="preserve"> </w:t>
            </w:r>
          </w:p>
        </w:tc>
        <w:tc>
          <w:tcPr>
            <w:tcW w:w="3072" w:type="dxa"/>
            <w:tcBorders>
              <w:top w:val="single" w:color="auto" w:sz="4" w:space="0"/>
              <w:left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center"/>
              <w:rPr>
                <w:rFonts w:ascii="Times New Roman" w:hAnsi="Times New Roman" w:cs="Times New Roman"/>
                <w:color w:val="auto"/>
                <w:spacing w:val="-6"/>
                <w:kern w:val="21"/>
                <w:sz w:val="21"/>
                <w:szCs w:val="21"/>
                <w:lang w:val="en-US" w:eastAsia="zh-CN"/>
              </w:rPr>
            </w:pPr>
            <w:r>
              <w:rPr>
                <w:rFonts w:ascii="Times New Roman" w:hAnsi="Times New Roman" w:cs="Times New Roman"/>
                <w:color w:val="auto"/>
                <w:spacing w:val="-6"/>
                <w:kern w:val="21"/>
                <w:sz w:val="21"/>
                <w:szCs w:val="21"/>
              </w:rPr>
              <w:t>无</w:t>
            </w:r>
            <w:r>
              <w:rPr>
                <w:rFonts w:ascii="Times New Roman" w:hAnsi="Times New Roman" w:cs="Times New Roman"/>
                <w:color w:val="auto"/>
                <w:spacing w:val="-6"/>
                <w:kern w:val="21"/>
                <w:sz w:val="21"/>
                <w:szCs w:val="21"/>
                <w:vertAlign w:val="superscript"/>
                <w:lang w:val="en-US" w:eastAsia="zh-CN"/>
              </w:rPr>
              <w:t>c</w:t>
            </w:r>
          </w:p>
        </w:tc>
      </w:tr>
      <w:tr>
        <w:tblPrEx>
          <w:tblCellMar>
            <w:top w:w="0" w:type="dxa"/>
            <w:left w:w="10" w:type="dxa"/>
            <w:bottom w:w="0" w:type="dxa"/>
            <w:right w:w="10" w:type="dxa"/>
          </w:tblCellMar>
        </w:tblPrEx>
        <w:tc>
          <w:tcPr>
            <w:tcW w:w="7602"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204"/>
              <w:adjustRightInd w:val="0"/>
              <w:snapToGrid w:val="0"/>
              <w:spacing w:line="240" w:lineRule="auto"/>
              <w:ind w:firstLine="0" w:firstLineChars="0"/>
              <w:jc w:val="left"/>
              <w:rPr>
                <w:rFonts w:ascii="Times New Roman" w:hAnsi="Times New Roman" w:cs="Times New Roman"/>
                <w:color w:val="auto"/>
                <w:spacing w:val="-6"/>
                <w:kern w:val="21"/>
                <w:sz w:val="21"/>
                <w:szCs w:val="21"/>
                <w:lang w:eastAsia="zh-CN"/>
              </w:rPr>
            </w:pPr>
            <w:r>
              <w:rPr>
                <w:rFonts w:ascii="Times New Roman" w:hAnsi="Times New Roman" w:cs="Times New Roman"/>
                <w:color w:val="auto"/>
                <w:spacing w:val="-6"/>
                <w:kern w:val="21"/>
                <w:sz w:val="21"/>
                <w:szCs w:val="21"/>
                <w:lang w:val="en-US" w:eastAsia="zh-CN"/>
              </w:rPr>
              <w:t>a.</w:t>
            </w:r>
            <w:r>
              <w:rPr>
                <w:rFonts w:ascii="Times New Roman" w:hAnsi="Times New Roman" w:cs="Times New Roman"/>
                <w:color w:val="auto"/>
                <w:spacing w:val="-6"/>
                <w:kern w:val="21"/>
                <w:sz w:val="21"/>
                <w:szCs w:val="21"/>
                <w:lang w:eastAsia="zh-CN"/>
              </w:rPr>
              <w:t>括号内指标值为沿海及本地水源中溶解性固体</w:t>
            </w:r>
            <w:r>
              <w:rPr>
                <w:rFonts w:ascii="Times New Roman" w:hAnsi="Times New Roman" w:cs="Times New Roman"/>
                <w:color w:val="auto"/>
                <w:spacing w:val="-6"/>
                <w:kern w:val="21"/>
                <w:sz w:val="21"/>
                <w:szCs w:val="21"/>
                <w:lang w:val="zh-CN" w:eastAsia="zh-CN" w:bidi="zh-CN"/>
              </w:rPr>
              <w:t>含量较</w:t>
            </w:r>
            <w:r>
              <w:rPr>
                <w:rFonts w:ascii="Times New Roman" w:hAnsi="Times New Roman" w:cs="Times New Roman"/>
                <w:color w:val="auto"/>
                <w:spacing w:val="-6"/>
                <w:kern w:val="21"/>
                <w:sz w:val="21"/>
                <w:szCs w:val="21"/>
                <w:lang w:eastAsia="zh-CN"/>
              </w:rPr>
              <w:t>高的区域的指标。</w:t>
            </w:r>
          </w:p>
          <w:p>
            <w:pPr>
              <w:pStyle w:val="204"/>
              <w:adjustRightInd w:val="0"/>
              <w:snapToGrid w:val="0"/>
              <w:spacing w:line="240" w:lineRule="auto"/>
              <w:ind w:firstLine="0" w:firstLineChars="0"/>
              <w:jc w:val="left"/>
              <w:rPr>
                <w:rFonts w:ascii="Times New Roman" w:hAnsi="Times New Roman" w:cs="Times New Roman"/>
                <w:color w:val="auto"/>
                <w:spacing w:val="-6"/>
                <w:kern w:val="21"/>
                <w:sz w:val="21"/>
                <w:szCs w:val="21"/>
                <w:lang w:eastAsia="zh-CN"/>
              </w:rPr>
            </w:pPr>
            <w:r>
              <w:rPr>
                <w:rFonts w:ascii="Times New Roman" w:hAnsi="Times New Roman" w:cs="Times New Roman"/>
                <w:color w:val="auto"/>
                <w:spacing w:val="-6"/>
                <w:kern w:val="21"/>
                <w:sz w:val="21"/>
                <w:szCs w:val="21"/>
                <w:lang w:val="en-US" w:eastAsia="zh-CN"/>
              </w:rPr>
              <w:t>b.</w:t>
            </w:r>
            <w:r>
              <w:rPr>
                <w:rFonts w:ascii="Times New Roman" w:hAnsi="Times New Roman" w:cs="Times New Roman"/>
                <w:color w:val="auto"/>
                <w:spacing w:val="-6"/>
                <w:kern w:val="21"/>
                <w:sz w:val="21"/>
                <w:szCs w:val="21"/>
                <w:lang w:eastAsia="zh-CN"/>
              </w:rPr>
              <w:t>用于城市绿化时，不应超过</w:t>
            </w:r>
            <w:r>
              <w:rPr>
                <w:rFonts w:ascii="Times New Roman" w:hAnsi="Times New Roman" w:cs="Times New Roman"/>
                <w:color w:val="auto"/>
                <w:spacing w:val="-6"/>
                <w:kern w:val="21"/>
                <w:sz w:val="21"/>
                <w:szCs w:val="21"/>
                <w:lang w:val="en-US" w:eastAsia="zh-CN" w:bidi="en-US"/>
              </w:rPr>
              <w:t>2.5 mg/L。</w:t>
            </w:r>
          </w:p>
          <w:p>
            <w:pPr>
              <w:pStyle w:val="204"/>
              <w:adjustRightInd w:val="0"/>
              <w:snapToGrid w:val="0"/>
              <w:spacing w:line="240" w:lineRule="auto"/>
              <w:ind w:firstLine="0" w:firstLineChars="0"/>
              <w:jc w:val="left"/>
              <w:rPr>
                <w:rFonts w:ascii="Times New Roman" w:hAnsi="Times New Roman" w:cs="Times New Roman"/>
                <w:color w:val="auto"/>
                <w:spacing w:val="-6"/>
                <w:kern w:val="21"/>
                <w:sz w:val="21"/>
                <w:szCs w:val="21"/>
                <w:lang w:eastAsia="zh-CN"/>
              </w:rPr>
            </w:pPr>
            <w:r>
              <w:rPr>
                <w:rFonts w:ascii="Times New Roman" w:hAnsi="Times New Roman" w:cs="Times New Roman"/>
                <w:color w:val="auto"/>
                <w:spacing w:val="-6"/>
                <w:kern w:val="21"/>
                <w:sz w:val="21"/>
                <w:szCs w:val="21"/>
                <w:lang w:val="en-US" w:eastAsia="zh-CN"/>
              </w:rPr>
              <w:t>c.</w:t>
            </w:r>
            <w:r>
              <w:rPr>
                <w:rFonts w:ascii="Times New Roman" w:hAnsi="Times New Roman" w:cs="Times New Roman"/>
                <w:color w:val="auto"/>
                <w:spacing w:val="-6"/>
                <w:kern w:val="21"/>
                <w:sz w:val="21"/>
                <w:szCs w:val="21"/>
                <w:lang w:eastAsia="zh-CN"/>
              </w:rPr>
              <w:t>大肠</w:t>
            </w:r>
            <w:r>
              <w:rPr>
                <w:rFonts w:ascii="Times New Roman" w:hAnsi="Times New Roman" w:cs="Times New Roman"/>
                <w:color w:val="auto"/>
                <w:spacing w:val="-6"/>
                <w:kern w:val="21"/>
                <w:sz w:val="21"/>
                <w:szCs w:val="21"/>
                <w:lang w:val="zh-CN" w:eastAsia="zh-CN" w:bidi="zh-CN"/>
              </w:rPr>
              <w:t>埃希氏</w:t>
            </w:r>
            <w:r>
              <w:rPr>
                <w:rFonts w:ascii="Times New Roman" w:hAnsi="Times New Roman" w:cs="Times New Roman"/>
                <w:color w:val="auto"/>
                <w:spacing w:val="-6"/>
                <w:kern w:val="21"/>
                <w:sz w:val="21"/>
                <w:szCs w:val="21"/>
                <w:lang w:eastAsia="zh-CN"/>
              </w:rPr>
              <w:t>菌不应检出。</w:t>
            </w:r>
          </w:p>
        </w:tc>
      </w:tr>
    </w:tbl>
    <w:p>
      <w:pPr>
        <w:keepNext w:val="0"/>
        <w:keepLines w:val="0"/>
        <w:pageBreakBefore w:val="0"/>
        <w:widowControl/>
        <w:kinsoku/>
        <w:wordWrap/>
        <w:overflowPunct/>
        <w:topLinePunct w:val="0"/>
        <w:autoSpaceDE/>
        <w:autoSpaceDN/>
        <w:bidi w:val="0"/>
        <w:adjustRightInd/>
        <w:snapToGrid/>
        <w:spacing w:before="0" w:beforeLines="50"/>
        <w:ind w:firstLine="472"/>
        <w:jc w:val="left"/>
        <w:textAlignment w:val="auto"/>
        <w:rPr>
          <w:rFonts w:hint="eastAsia"/>
          <w:color w:val="auto"/>
          <w:kern w:val="21"/>
          <w:lang w:eastAsia="zh-CN" w:bidi="ar"/>
        </w:rPr>
      </w:pPr>
      <w:r>
        <w:rPr>
          <w:rFonts w:hint="eastAsia"/>
          <w:color w:val="auto"/>
          <w:kern w:val="21"/>
          <w:lang w:eastAsia="zh-CN" w:bidi="ar"/>
        </w:rPr>
        <w:t>（</w:t>
      </w:r>
      <w:r>
        <w:rPr>
          <w:rFonts w:hint="eastAsia"/>
          <w:color w:val="auto"/>
          <w:kern w:val="21"/>
          <w:lang w:val="en-US" w:eastAsia="zh-CN" w:bidi="ar"/>
        </w:rPr>
        <w:t>3</w:t>
      </w:r>
      <w:r>
        <w:rPr>
          <w:rFonts w:hint="eastAsia"/>
          <w:color w:val="auto"/>
          <w:kern w:val="21"/>
          <w:lang w:eastAsia="zh-CN" w:bidi="ar"/>
        </w:rPr>
        <w:t>）项目废水接纳标准</w:t>
      </w:r>
    </w:p>
    <w:p>
      <w:pPr>
        <w:keepNext w:val="0"/>
        <w:keepLines w:val="0"/>
        <w:pageBreakBefore w:val="0"/>
        <w:widowControl/>
        <w:kinsoku/>
        <w:wordWrap/>
        <w:overflowPunct/>
        <w:topLinePunct w:val="0"/>
        <w:autoSpaceDE/>
        <w:autoSpaceDN/>
        <w:bidi w:val="0"/>
        <w:adjustRightInd/>
        <w:snapToGrid/>
        <w:ind w:firstLine="472"/>
        <w:jc w:val="left"/>
        <w:textAlignment w:val="auto"/>
        <w:rPr>
          <w:rFonts w:hint="eastAsia"/>
          <w:color w:val="auto"/>
          <w:kern w:val="21"/>
          <w:lang w:bidi="ar"/>
        </w:rPr>
      </w:pPr>
      <w:r>
        <w:rPr>
          <w:rFonts w:hint="eastAsia"/>
          <w:color w:val="auto"/>
          <w:kern w:val="21"/>
          <w:lang w:eastAsia="zh-CN" w:bidi="ar"/>
        </w:rPr>
        <w:t>项目现状已建成运营，项目现状服务企业为</w:t>
      </w:r>
      <w:r>
        <w:rPr>
          <w:rFonts w:hint="eastAsia"/>
          <w:color w:val="auto"/>
          <w:kern w:val="21"/>
          <w:lang w:val="en-US" w:eastAsia="zh-CN"/>
        </w:rPr>
        <w:t>“晶科能源（楚雄）有限公司年产20吉瓦高效太阳能电池片生产线建设项目（一期）”（晶科能源（楚雄）有限公司）、“宇泽半导体（云南）有限公司年产5GW单晶硅拉棒及3GW切片项目、年产5GW单晶硅拉棒及2GW切片项目”（宇泽半导体（云南）有限公司）、“云南麻叶生物科技有限公司工业大麻加工建设项目”（云南麻叶生物科技有限公司）、“云南赛维汉普500吨花叶加工提取大麻二酚项目”（</w:t>
      </w:r>
      <w:r>
        <w:rPr>
          <w:rFonts w:hint="default"/>
          <w:color w:val="auto"/>
          <w:kern w:val="21"/>
          <w:lang w:val="en-US" w:eastAsia="zh-CN"/>
        </w:rPr>
        <w:fldChar w:fldCharType="begin"/>
      </w:r>
      <w:r>
        <w:rPr>
          <w:rFonts w:hint="default"/>
          <w:color w:val="auto"/>
          <w:kern w:val="21"/>
          <w:lang w:val="en-US" w:eastAsia="zh-CN"/>
        </w:rPr>
        <w:instrText xml:space="preserve"> HYPERLINK "https://www.so.com/link?m=bJ+82hqSEXCnhUK88ehDzCBf+qUH2pCFNFcsnc3fDTI1i2isszS7DH7oXx3Luoqb0DmjhS0j9jqW64xCjGy7j7Et7kHOjxq/crOesEq2g5Qtsu8wuAn0jvuHXSzgUSsAsE5/sjTQMnOAEruDed/EM5QQnmarPjKG9Z2PBaRgo/8C6DN29i5TClSYTj6+sXenk" \t "https://www.so.com/_blank" </w:instrText>
      </w:r>
      <w:r>
        <w:rPr>
          <w:rFonts w:hint="default"/>
          <w:color w:val="auto"/>
          <w:kern w:val="21"/>
          <w:lang w:val="en-US" w:eastAsia="zh-CN"/>
        </w:rPr>
        <w:fldChar w:fldCharType="separate"/>
      </w:r>
      <w:r>
        <w:rPr>
          <w:rFonts w:hint="default"/>
          <w:color w:val="auto"/>
          <w:kern w:val="21"/>
          <w:lang w:val="en-US" w:eastAsia="zh-CN"/>
        </w:rPr>
        <w:t>云南赛维汉普科技有限公司</w:t>
      </w:r>
      <w:r>
        <w:rPr>
          <w:rFonts w:hint="default"/>
          <w:color w:val="auto"/>
          <w:kern w:val="21"/>
          <w:lang w:val="en-US" w:eastAsia="zh-CN"/>
        </w:rPr>
        <w:fldChar w:fldCharType="end"/>
      </w:r>
      <w:r>
        <w:rPr>
          <w:rFonts w:hint="eastAsia"/>
          <w:color w:val="auto"/>
          <w:kern w:val="21"/>
          <w:lang w:val="en-US" w:eastAsia="zh-CN"/>
        </w:rPr>
        <w:t>）、“湖南方盛制药股份有限公司工业大麻加工基地建设项目”（云南芙雅生物科技有限公司）</w:t>
      </w:r>
      <w:r>
        <w:rPr>
          <w:rFonts w:hint="eastAsia"/>
          <w:color w:val="auto"/>
          <w:kern w:val="21"/>
          <w:lang w:bidi="ar"/>
        </w:rPr>
        <w:t>，</w:t>
      </w:r>
      <w:r>
        <w:rPr>
          <w:rFonts w:hint="eastAsia"/>
          <w:color w:val="auto"/>
          <w:kern w:val="21"/>
          <w:lang w:eastAsia="zh-CN" w:bidi="ar"/>
        </w:rPr>
        <w:t>各企业废水均按照各自环评及批复要求预处理达到相应排放标准后排入市政污水管网，最终进入本项目进行处理。接纳水质标准</w:t>
      </w:r>
      <w:r>
        <w:rPr>
          <w:rFonts w:hint="eastAsia"/>
          <w:color w:val="auto"/>
          <w:kern w:val="21"/>
          <w:lang w:bidi="ar"/>
        </w:rPr>
        <w:t>见表2</w:t>
      </w:r>
      <w:r>
        <w:rPr>
          <w:rFonts w:hint="eastAsia"/>
          <w:color w:val="auto"/>
          <w:kern w:val="21"/>
          <w:lang w:val="en-US" w:eastAsia="zh-CN" w:bidi="ar"/>
        </w:rPr>
        <w:t>-25~表2-27</w:t>
      </w:r>
      <w:r>
        <w:rPr>
          <w:rFonts w:hint="eastAsia"/>
          <w:color w:val="auto"/>
          <w:kern w:val="21"/>
          <w:lang w:bidi="ar"/>
        </w:rPr>
        <w:t>。</w:t>
      </w:r>
    </w:p>
    <w:p>
      <w:pPr>
        <w:keepNext w:val="0"/>
        <w:keepLines w:val="0"/>
        <w:pageBreakBefore w:val="0"/>
        <w:kinsoku/>
        <w:wordWrap/>
        <w:overflowPunct/>
        <w:topLinePunct w:val="0"/>
        <w:autoSpaceDE/>
        <w:autoSpaceDN/>
        <w:bidi w:val="0"/>
        <w:adjustRightInd/>
        <w:snapToGrid/>
        <w:ind w:firstLine="480"/>
        <w:jc w:val="left"/>
        <w:textAlignment w:val="auto"/>
        <w:rPr>
          <w:rFonts w:hint="eastAsia"/>
          <w:color w:val="auto"/>
          <w:kern w:val="0"/>
        </w:rPr>
      </w:pPr>
      <w:r>
        <w:rPr>
          <w:rFonts w:hint="eastAsia"/>
          <w:color w:val="auto"/>
          <w:kern w:val="0"/>
          <w:lang w:eastAsia="zh-CN"/>
        </w:rPr>
        <w:t>①</w:t>
      </w:r>
      <w:r>
        <w:rPr>
          <w:rFonts w:hint="eastAsia"/>
          <w:color w:val="auto"/>
          <w:kern w:val="21"/>
          <w:lang w:val="en-US" w:eastAsia="zh-CN"/>
        </w:rPr>
        <w:t>晶科能源（楚雄）有限公司年产20吉瓦高效太阳能电池片生产线建设项目（一期）</w:t>
      </w:r>
      <w:r>
        <w:rPr>
          <w:rFonts w:hint="eastAsia"/>
          <w:color w:val="auto"/>
          <w:kern w:val="0"/>
          <w:lang w:eastAsia="zh-CN"/>
        </w:rPr>
        <w:t>：该</w:t>
      </w:r>
      <w:r>
        <w:rPr>
          <w:rFonts w:hint="eastAsia"/>
          <w:color w:val="auto"/>
          <w:kern w:val="0"/>
        </w:rPr>
        <w:t>项目废水</w:t>
      </w:r>
      <w:r>
        <w:rPr>
          <w:rFonts w:hint="eastAsia"/>
          <w:color w:val="auto"/>
          <w:kern w:val="0"/>
          <w:lang w:eastAsia="zh-CN"/>
        </w:rPr>
        <w:t>预处理达到</w:t>
      </w:r>
      <w:r>
        <w:rPr>
          <w:rFonts w:hint="eastAsia"/>
          <w:color w:val="auto"/>
          <w:kern w:val="0"/>
        </w:rPr>
        <w:t>《电池工业污染物排放标准》（GB30484-2013）表2中间接排放限值和《污水排入城镇下水道水质标准》（GB/T31962-2015）中A级标准中较严标准</w:t>
      </w:r>
      <w:r>
        <w:rPr>
          <w:rFonts w:hint="eastAsia"/>
          <w:color w:val="auto"/>
          <w:kern w:val="0"/>
          <w:lang w:eastAsia="zh-CN"/>
        </w:rPr>
        <w:t>限值后排入市政污水管网，最终进入本项目进行处理。标准限值</w:t>
      </w:r>
      <w:r>
        <w:rPr>
          <w:rFonts w:hint="eastAsia"/>
          <w:color w:val="auto"/>
          <w:kern w:val="0"/>
        </w:rPr>
        <w:t>详见</w:t>
      </w:r>
      <w:r>
        <w:rPr>
          <w:rFonts w:hint="eastAsia"/>
          <w:color w:val="auto"/>
          <w:kern w:val="0"/>
          <w:lang w:eastAsia="zh-CN"/>
        </w:rPr>
        <w:t>下表</w:t>
      </w:r>
      <w:r>
        <w:rPr>
          <w:rFonts w:hint="eastAsia"/>
          <w:color w:val="auto"/>
          <w:kern w:val="0"/>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hint="eastAsia"/>
          <w:b/>
          <w:bCs/>
          <w:color w:val="auto"/>
          <w:spacing w:val="0"/>
          <w:kern w:val="21"/>
          <w:sz w:val="24"/>
          <w:lang w:val="en-US" w:eastAsia="zh-CN"/>
        </w:rPr>
      </w:pPr>
      <w:r>
        <w:rPr>
          <w:rFonts w:hint="eastAsia"/>
          <w:b/>
          <w:bCs/>
          <w:color w:val="auto"/>
          <w:spacing w:val="0"/>
          <w:kern w:val="21"/>
          <w:sz w:val="24"/>
          <w:lang w:val="en-US" w:eastAsia="zh-CN"/>
        </w:rPr>
        <w:t xml:space="preserve">废水预处理排放标准 </w:t>
      </w:r>
      <w:r>
        <w:rPr>
          <w:rFonts w:hint="eastAsia"/>
          <w:b/>
          <w:bCs/>
          <w:color w:val="auto"/>
          <w:spacing w:val="0"/>
          <w:kern w:val="21"/>
          <w:sz w:val="24"/>
          <w:lang w:val="en-US" w:eastAsia="zh-CN"/>
        </w:rPr>
        <w:tab/>
      </w:r>
      <w:r>
        <w:rPr>
          <w:rFonts w:hint="eastAsia"/>
          <w:b/>
          <w:bCs/>
          <w:color w:val="auto"/>
          <w:spacing w:val="0"/>
          <w:kern w:val="21"/>
          <w:sz w:val="24"/>
          <w:lang w:val="en-US" w:eastAsia="zh-CN"/>
        </w:rPr>
        <w:t>单位：mg/L</w:t>
      </w:r>
    </w:p>
    <w:tbl>
      <w:tblPr>
        <w:tblStyle w:val="51"/>
        <w:tblW w:w="50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6"/>
        <w:gridCol w:w="785"/>
        <w:gridCol w:w="696"/>
        <w:gridCol w:w="691"/>
        <w:gridCol w:w="884"/>
        <w:gridCol w:w="666"/>
        <w:gridCol w:w="675"/>
        <w:gridCol w:w="546"/>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cs="Times New Roman"/>
                <w:color w:val="auto"/>
                <w:szCs w:val="21"/>
              </w:rPr>
              <w:t>标准类别</w:t>
            </w:r>
          </w:p>
        </w:tc>
        <w:tc>
          <w:tcPr>
            <w:tcW w:w="45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color w:val="auto"/>
              </w:rPr>
              <w:t>pH值</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color w:val="auto"/>
              </w:rPr>
              <w:t>COD</w:t>
            </w:r>
          </w:p>
        </w:tc>
        <w:tc>
          <w:tcPr>
            <w:tcW w:w="39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lang w:val="en-US" w:eastAsia="zh-CN"/>
              </w:rPr>
              <w:t>B</w:t>
            </w:r>
            <w:r>
              <w:rPr>
                <w:color w:val="auto"/>
              </w:rPr>
              <w:t>OD</w:t>
            </w:r>
          </w:p>
        </w:tc>
        <w:tc>
          <w:tcPr>
            <w:tcW w:w="51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rPr>
              <w:t>悬浮物</w:t>
            </w:r>
          </w:p>
        </w:tc>
        <w:tc>
          <w:tcPr>
            <w:tcW w:w="38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color w:val="auto"/>
              </w:rPr>
              <w:t>总磷</w:t>
            </w:r>
          </w:p>
        </w:tc>
        <w:tc>
          <w:tcPr>
            <w:tcW w:w="390"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color w:val="auto"/>
              </w:rPr>
              <w:t>总</w:t>
            </w:r>
            <w:r>
              <w:rPr>
                <w:rFonts w:hint="eastAsia"/>
                <w:color w:val="auto"/>
              </w:rPr>
              <w:t>氮</w:t>
            </w:r>
          </w:p>
        </w:tc>
        <w:tc>
          <w:tcPr>
            <w:tcW w:w="31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rPr>
              <w:t>氨氮</w:t>
            </w:r>
          </w:p>
        </w:tc>
        <w:tc>
          <w:tcPr>
            <w:tcW w:w="39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rFonts w:hint="eastAsia" w:eastAsia="宋体"/>
                <w:color w:val="auto"/>
                <w:lang w:eastAsia="zh-CN"/>
              </w:rPr>
            </w:pPr>
            <w:r>
              <w:rPr>
                <w:rFonts w:hint="eastAsia"/>
                <w:color w:val="auto"/>
                <w:kern w:val="0"/>
              </w:rPr>
              <w:t>《电池工业污染物排放标准》（GB30484-2013）表2中间接排放限值和《污水排入城镇下水道水质标准》（GB/T31962-2015）中A级标准</w:t>
            </w:r>
            <w:r>
              <w:rPr>
                <w:rFonts w:hint="eastAsia"/>
                <w:color w:val="auto"/>
                <w:kern w:val="0"/>
                <w:lang w:eastAsia="zh-CN"/>
              </w:rPr>
              <w:t>二者取严执行</w:t>
            </w:r>
          </w:p>
        </w:tc>
        <w:tc>
          <w:tcPr>
            <w:tcW w:w="45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rPr>
              <w:t>6.5</w:t>
            </w:r>
            <w:r>
              <w:rPr>
                <w:color w:val="auto"/>
              </w:rPr>
              <w:t>～9</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rPr>
              <w:t>150</w:t>
            </w:r>
          </w:p>
        </w:tc>
        <w:tc>
          <w:tcPr>
            <w:tcW w:w="39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rFonts w:hint="default" w:eastAsia="宋体"/>
                <w:color w:val="auto"/>
                <w:lang w:val="en-US" w:eastAsia="zh-CN"/>
              </w:rPr>
            </w:pPr>
            <w:r>
              <w:rPr>
                <w:rFonts w:hint="eastAsia"/>
                <w:color w:val="auto"/>
                <w:lang w:val="en-US" w:eastAsia="zh-CN"/>
              </w:rPr>
              <w:t>350</w:t>
            </w:r>
          </w:p>
        </w:tc>
        <w:tc>
          <w:tcPr>
            <w:tcW w:w="51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rPr>
              <w:t>140</w:t>
            </w:r>
          </w:p>
        </w:tc>
        <w:tc>
          <w:tcPr>
            <w:tcW w:w="38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rPr>
              <w:t>2.0</w:t>
            </w:r>
          </w:p>
        </w:tc>
        <w:tc>
          <w:tcPr>
            <w:tcW w:w="390"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rPr>
              <w:t>40</w:t>
            </w:r>
          </w:p>
        </w:tc>
        <w:tc>
          <w:tcPr>
            <w:tcW w:w="31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rPr>
              <w:t>30</w:t>
            </w:r>
          </w:p>
        </w:tc>
        <w:tc>
          <w:tcPr>
            <w:tcW w:w="39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99"/>
              <w:rPr>
                <w:color w:val="auto"/>
              </w:rPr>
            </w:pPr>
            <w:r>
              <w:rPr>
                <w:rFonts w:hint="eastAsia"/>
                <w:color w:val="auto"/>
              </w:rPr>
              <w:t>8.0</w:t>
            </w:r>
          </w:p>
        </w:tc>
      </w:tr>
    </w:tbl>
    <w:p>
      <w:pPr>
        <w:keepNext w:val="0"/>
        <w:keepLines w:val="0"/>
        <w:pageBreakBefore w:val="0"/>
        <w:kinsoku/>
        <w:wordWrap/>
        <w:overflowPunct/>
        <w:topLinePunct w:val="0"/>
        <w:autoSpaceDE/>
        <w:autoSpaceDN/>
        <w:bidi w:val="0"/>
        <w:adjustRightInd/>
        <w:snapToGrid/>
        <w:ind w:firstLine="480"/>
        <w:jc w:val="left"/>
        <w:textAlignment w:val="auto"/>
        <w:rPr>
          <w:rFonts w:hint="eastAsia"/>
          <w:color w:val="auto"/>
          <w:kern w:val="0"/>
        </w:rPr>
      </w:pPr>
      <w:r>
        <w:rPr>
          <w:rFonts w:hint="eastAsia"/>
          <w:color w:val="auto"/>
          <w:kern w:val="0"/>
          <w:lang w:eastAsia="zh-CN"/>
        </w:rPr>
        <w:t>②</w:t>
      </w:r>
      <w:r>
        <w:rPr>
          <w:rFonts w:hint="eastAsia"/>
          <w:color w:val="auto"/>
          <w:kern w:val="21"/>
          <w:lang w:val="en-US" w:eastAsia="zh-CN"/>
        </w:rPr>
        <w:t>宇泽半导体（云南）有限公司年产5GW单晶硅拉棒及3GW切片项目、年产5GW单晶硅拉棒及2GW切片项目</w:t>
      </w:r>
      <w:r>
        <w:rPr>
          <w:rFonts w:hint="eastAsia"/>
          <w:color w:val="auto"/>
          <w:kern w:val="0"/>
          <w:lang w:eastAsia="zh-CN"/>
        </w:rPr>
        <w:t>：该</w:t>
      </w:r>
      <w:r>
        <w:rPr>
          <w:rFonts w:hint="eastAsia"/>
          <w:color w:val="auto"/>
          <w:kern w:val="0"/>
        </w:rPr>
        <w:t>项目废水</w:t>
      </w:r>
      <w:r>
        <w:rPr>
          <w:rFonts w:hint="eastAsia"/>
          <w:color w:val="auto"/>
          <w:kern w:val="0"/>
          <w:lang w:eastAsia="zh-CN"/>
        </w:rPr>
        <w:t>预处理达到</w:t>
      </w:r>
      <w:r>
        <w:rPr>
          <w:rFonts w:cs="Times New Roman"/>
          <w:color w:val="auto"/>
          <w:szCs w:val="21"/>
        </w:rPr>
        <w:t>《污水综合排放标准》</w:t>
      </w:r>
      <w:r>
        <w:rPr>
          <w:rFonts w:cs="Times New Roman"/>
          <w:color w:val="auto"/>
        </w:rPr>
        <w:t>（GB8978</w:t>
      </w:r>
      <w:r>
        <w:rPr>
          <w:rFonts w:cs="Times New Roman"/>
          <w:color w:val="auto"/>
          <w:szCs w:val="21"/>
        </w:rPr>
        <w:t>-</w:t>
      </w:r>
      <w:r>
        <w:rPr>
          <w:rFonts w:cs="Times New Roman"/>
          <w:color w:val="auto"/>
        </w:rPr>
        <w:t>1996）三级标准、</w:t>
      </w:r>
      <w:r>
        <w:rPr>
          <w:rFonts w:cs="Times New Roman"/>
          <w:color w:val="auto"/>
          <w:szCs w:val="21"/>
        </w:rPr>
        <w:t>《污水排入城镇下水道水质标准》(GB/T31962-2015)B级标准值、《电子工业水污染物排放标准》(GB39731-2020)间接排放标准值三者取严执行标准值</w:t>
      </w:r>
      <w:r>
        <w:rPr>
          <w:rFonts w:hint="eastAsia"/>
          <w:color w:val="auto"/>
          <w:kern w:val="0"/>
          <w:lang w:eastAsia="zh-CN"/>
        </w:rPr>
        <w:t>后排入市政污水管网，最终进入本项目进行处理。标准限值</w:t>
      </w:r>
      <w:r>
        <w:rPr>
          <w:rFonts w:hint="eastAsia"/>
          <w:color w:val="auto"/>
          <w:kern w:val="0"/>
        </w:rPr>
        <w:t>详见</w:t>
      </w:r>
      <w:r>
        <w:rPr>
          <w:rFonts w:hint="eastAsia"/>
          <w:color w:val="auto"/>
          <w:kern w:val="0"/>
          <w:lang w:eastAsia="zh-CN"/>
        </w:rPr>
        <w:t>下表</w:t>
      </w:r>
      <w:r>
        <w:rPr>
          <w:rFonts w:hint="eastAsia"/>
          <w:color w:val="auto"/>
          <w:kern w:val="0"/>
        </w:rPr>
        <w:t>。</w:t>
      </w:r>
    </w:p>
    <w:p>
      <w:pPr>
        <w:pStyle w:val="2"/>
        <w:rPr>
          <w:rFonts w:hint="eastAsia"/>
        </w:rPr>
      </w:pP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rFonts w:hint="eastAsia"/>
          <w:b/>
          <w:bCs/>
          <w:color w:val="auto"/>
          <w:spacing w:val="0"/>
          <w:kern w:val="21"/>
          <w:sz w:val="24"/>
        </w:rPr>
      </w:pPr>
      <w:r>
        <w:rPr>
          <w:rFonts w:hint="eastAsia"/>
          <w:b/>
          <w:bCs/>
          <w:color w:val="auto"/>
          <w:spacing w:val="0"/>
          <w:kern w:val="21"/>
          <w:sz w:val="24"/>
          <w:lang w:val="en-US" w:eastAsia="zh-CN"/>
        </w:rPr>
        <w:t xml:space="preserve">废水预处理排放标准 </w:t>
      </w:r>
      <w:r>
        <w:rPr>
          <w:rFonts w:hint="eastAsia"/>
          <w:b/>
          <w:bCs/>
          <w:color w:val="auto"/>
          <w:spacing w:val="0"/>
          <w:kern w:val="21"/>
          <w:sz w:val="24"/>
          <w:lang w:val="en-US" w:eastAsia="zh-CN"/>
        </w:rPr>
        <w:tab/>
      </w:r>
      <w:r>
        <w:rPr>
          <w:rFonts w:hint="eastAsia"/>
          <w:b/>
          <w:bCs/>
          <w:color w:val="auto"/>
          <w:spacing w:val="0"/>
          <w:kern w:val="21"/>
          <w:sz w:val="24"/>
          <w:lang w:val="en-US" w:eastAsia="zh-CN"/>
        </w:rPr>
        <w:t>单位：mg/L</w:t>
      </w:r>
    </w:p>
    <w:tbl>
      <w:tblPr>
        <w:tblStyle w:val="51"/>
        <w:tblW w:w="52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767"/>
        <w:gridCol w:w="743"/>
        <w:gridCol w:w="991"/>
        <w:gridCol w:w="851"/>
        <w:gridCol w:w="847"/>
        <w:gridCol w:w="629"/>
        <w:gridCol w:w="652"/>
        <w:gridCol w:w="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643"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标准类别</w:t>
            </w:r>
          </w:p>
        </w:tc>
        <w:tc>
          <w:tcPr>
            <w:tcW w:w="429"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pH值</w:t>
            </w:r>
          </w:p>
        </w:tc>
        <w:tc>
          <w:tcPr>
            <w:tcW w:w="41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COD</w:t>
            </w:r>
          </w:p>
        </w:tc>
        <w:tc>
          <w:tcPr>
            <w:tcW w:w="55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SS</w:t>
            </w:r>
          </w:p>
        </w:tc>
        <w:tc>
          <w:tcPr>
            <w:tcW w:w="476"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BOD</w:t>
            </w:r>
            <w:r>
              <w:rPr>
                <w:rFonts w:cs="Times New Roman"/>
                <w:color w:val="auto"/>
                <w:szCs w:val="21"/>
                <w:vertAlign w:val="subscript"/>
              </w:rPr>
              <w:t>5</w:t>
            </w:r>
          </w:p>
        </w:tc>
        <w:tc>
          <w:tcPr>
            <w:tcW w:w="474"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石油类</w:t>
            </w:r>
          </w:p>
        </w:tc>
        <w:tc>
          <w:tcPr>
            <w:tcW w:w="352"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氨氮</w:t>
            </w:r>
          </w:p>
        </w:tc>
        <w:tc>
          <w:tcPr>
            <w:tcW w:w="36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氟化物</w:t>
            </w:r>
          </w:p>
        </w:tc>
        <w:tc>
          <w:tcPr>
            <w:tcW w:w="287"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43" w:type="pct"/>
            <w:vMerge w:val="restart"/>
            <w:tcBorders>
              <w:top w:val="single" w:color="auto" w:sz="4" w:space="0"/>
              <w:left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《污水综合排放标准》</w:t>
            </w:r>
            <w:r>
              <w:rPr>
                <w:rFonts w:cs="Times New Roman"/>
                <w:color w:val="auto"/>
              </w:rPr>
              <w:t>（GB8978</w:t>
            </w:r>
            <w:r>
              <w:rPr>
                <w:rFonts w:cs="Times New Roman"/>
                <w:color w:val="auto"/>
                <w:szCs w:val="21"/>
              </w:rPr>
              <w:t>-</w:t>
            </w:r>
            <w:r>
              <w:rPr>
                <w:rFonts w:cs="Times New Roman"/>
                <w:color w:val="auto"/>
              </w:rPr>
              <w:t>1996）三级标准、</w:t>
            </w:r>
            <w:r>
              <w:rPr>
                <w:rFonts w:cs="Times New Roman"/>
                <w:color w:val="auto"/>
                <w:szCs w:val="21"/>
              </w:rPr>
              <w:t>《污水排入城镇下水道水质标准》(GB/T31962-2015)B级标准值、《电子工业水污染物排放标准》(GB39731-2020)间接排放标准值三者取严执行标准值</w:t>
            </w:r>
          </w:p>
        </w:tc>
        <w:tc>
          <w:tcPr>
            <w:tcW w:w="429"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6~9</w:t>
            </w:r>
          </w:p>
        </w:tc>
        <w:tc>
          <w:tcPr>
            <w:tcW w:w="41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500</w:t>
            </w:r>
          </w:p>
        </w:tc>
        <w:tc>
          <w:tcPr>
            <w:tcW w:w="55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400</w:t>
            </w:r>
          </w:p>
        </w:tc>
        <w:tc>
          <w:tcPr>
            <w:tcW w:w="476"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300</w:t>
            </w:r>
          </w:p>
        </w:tc>
        <w:tc>
          <w:tcPr>
            <w:tcW w:w="474"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15</w:t>
            </w:r>
          </w:p>
        </w:tc>
        <w:tc>
          <w:tcPr>
            <w:tcW w:w="352"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45</w:t>
            </w:r>
          </w:p>
        </w:tc>
        <w:tc>
          <w:tcPr>
            <w:tcW w:w="36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20</w:t>
            </w:r>
          </w:p>
        </w:tc>
        <w:tc>
          <w:tcPr>
            <w:tcW w:w="287"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643" w:type="pct"/>
            <w:vMerge w:val="continue"/>
            <w:tcBorders>
              <w:left w:val="single" w:color="auto" w:sz="4" w:space="0"/>
              <w:right w:val="single" w:color="auto" w:sz="4" w:space="0"/>
            </w:tcBorders>
            <w:vAlign w:val="center"/>
          </w:tcPr>
          <w:p>
            <w:pPr>
              <w:pStyle w:val="199"/>
              <w:rPr>
                <w:rFonts w:cs="Times New Roman"/>
                <w:color w:val="auto"/>
                <w:szCs w:val="21"/>
              </w:rPr>
            </w:pPr>
          </w:p>
        </w:tc>
        <w:tc>
          <w:tcPr>
            <w:tcW w:w="429"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总氮</w:t>
            </w:r>
          </w:p>
        </w:tc>
        <w:tc>
          <w:tcPr>
            <w:tcW w:w="41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动植物油</w:t>
            </w:r>
          </w:p>
        </w:tc>
        <w:tc>
          <w:tcPr>
            <w:tcW w:w="55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总有机碳（TOC）</w:t>
            </w:r>
          </w:p>
        </w:tc>
        <w:tc>
          <w:tcPr>
            <w:tcW w:w="476"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阴离子表面活性剂</w:t>
            </w:r>
          </w:p>
        </w:tc>
        <w:tc>
          <w:tcPr>
            <w:tcW w:w="474"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总氰化物</w:t>
            </w:r>
          </w:p>
        </w:tc>
        <w:tc>
          <w:tcPr>
            <w:tcW w:w="352"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总铜</w:t>
            </w:r>
          </w:p>
        </w:tc>
        <w:tc>
          <w:tcPr>
            <w:tcW w:w="36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总锌</w:t>
            </w:r>
          </w:p>
        </w:tc>
        <w:tc>
          <w:tcPr>
            <w:tcW w:w="287"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3" w:type="pct"/>
            <w:vMerge w:val="continue"/>
            <w:tcBorders>
              <w:left w:val="single" w:color="auto" w:sz="4" w:space="0"/>
              <w:right w:val="single" w:color="auto" w:sz="4" w:space="0"/>
            </w:tcBorders>
            <w:vAlign w:val="center"/>
          </w:tcPr>
          <w:p>
            <w:pPr>
              <w:pStyle w:val="199"/>
              <w:rPr>
                <w:rFonts w:cs="Times New Roman"/>
                <w:color w:val="auto"/>
                <w:szCs w:val="21"/>
              </w:rPr>
            </w:pPr>
          </w:p>
        </w:tc>
        <w:tc>
          <w:tcPr>
            <w:tcW w:w="429"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70</w:t>
            </w:r>
          </w:p>
        </w:tc>
        <w:tc>
          <w:tcPr>
            <w:tcW w:w="41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100</w:t>
            </w:r>
          </w:p>
        </w:tc>
        <w:tc>
          <w:tcPr>
            <w:tcW w:w="55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200</w:t>
            </w:r>
          </w:p>
        </w:tc>
        <w:tc>
          <w:tcPr>
            <w:tcW w:w="476"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20</w:t>
            </w:r>
          </w:p>
        </w:tc>
        <w:tc>
          <w:tcPr>
            <w:tcW w:w="474"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1.0</w:t>
            </w:r>
          </w:p>
        </w:tc>
        <w:tc>
          <w:tcPr>
            <w:tcW w:w="352"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2.0</w:t>
            </w:r>
          </w:p>
        </w:tc>
        <w:tc>
          <w:tcPr>
            <w:tcW w:w="36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1.5</w:t>
            </w:r>
          </w:p>
        </w:tc>
        <w:tc>
          <w:tcPr>
            <w:tcW w:w="287"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p>
        </w:tc>
      </w:tr>
    </w:tbl>
    <w:p>
      <w:pPr>
        <w:keepNext w:val="0"/>
        <w:keepLines w:val="0"/>
        <w:pageBreakBefore w:val="0"/>
        <w:kinsoku/>
        <w:wordWrap/>
        <w:overflowPunct/>
        <w:topLinePunct w:val="0"/>
        <w:autoSpaceDE/>
        <w:autoSpaceDN/>
        <w:bidi w:val="0"/>
        <w:adjustRightInd/>
        <w:snapToGrid/>
        <w:ind w:firstLine="480"/>
        <w:jc w:val="left"/>
        <w:textAlignment w:val="auto"/>
        <w:rPr>
          <w:rFonts w:hint="eastAsia"/>
          <w:color w:val="auto"/>
          <w:kern w:val="0"/>
        </w:rPr>
      </w:pPr>
      <w:r>
        <w:rPr>
          <w:rFonts w:hint="eastAsia"/>
          <w:color w:val="auto"/>
          <w:kern w:val="21"/>
          <w:lang w:val="en-US" w:eastAsia="zh-CN"/>
        </w:rPr>
        <w:t>③云南麻叶生物科技有限公司工业大麻加工建设项目、云南赛维汉普500吨花叶加工提取大麻二酚项目、湖南方盛制药股份有限公司工业大麻加工基地建设项目</w:t>
      </w:r>
      <w:r>
        <w:rPr>
          <w:rFonts w:hint="eastAsia"/>
          <w:color w:val="auto"/>
          <w:kern w:val="0"/>
          <w:lang w:eastAsia="zh-CN"/>
        </w:rPr>
        <w:t>：以上三个项目</w:t>
      </w:r>
      <w:r>
        <w:rPr>
          <w:rFonts w:hint="eastAsia"/>
          <w:color w:val="auto"/>
          <w:kern w:val="0"/>
        </w:rPr>
        <w:t>废水</w:t>
      </w:r>
      <w:r>
        <w:rPr>
          <w:rFonts w:hint="eastAsia"/>
          <w:color w:val="auto"/>
          <w:kern w:val="0"/>
          <w:lang w:eastAsia="zh-CN"/>
        </w:rPr>
        <w:t>均预处理达到</w:t>
      </w:r>
      <w:r>
        <w:rPr>
          <w:color w:val="auto"/>
          <w:sz w:val="24"/>
          <w:szCs w:val="22"/>
          <w:lang w:val="zh-CN" w:bidi="ar"/>
        </w:rPr>
        <w:t>《污水综合排放标准》（GB8978-1996）三级</w:t>
      </w:r>
      <w:r>
        <w:rPr>
          <w:rFonts w:hint="eastAsia"/>
          <w:color w:val="auto"/>
          <w:sz w:val="24"/>
          <w:szCs w:val="22"/>
          <w:lang w:val="zh-CN" w:bidi="ar"/>
        </w:rPr>
        <w:t>、</w:t>
      </w:r>
      <w:r>
        <w:rPr>
          <w:color w:val="auto"/>
          <w:sz w:val="24"/>
          <w:szCs w:val="22"/>
          <w:lang w:val="zh-CN" w:bidi="ar"/>
        </w:rPr>
        <w:t>《污水排入城镇下水道水质标准》（GB/T31962-2015）A级标准</w:t>
      </w:r>
      <w:r>
        <w:rPr>
          <w:rFonts w:hint="eastAsia"/>
          <w:color w:val="auto"/>
          <w:sz w:val="24"/>
          <w:szCs w:val="22"/>
          <w:lang w:val="zh-CN" w:bidi="ar"/>
        </w:rPr>
        <w:t>、</w:t>
      </w:r>
      <w:r>
        <w:rPr>
          <w:color w:val="auto"/>
          <w:sz w:val="24"/>
          <w:szCs w:val="22"/>
          <w:lang w:val="zh-CN" w:bidi="ar"/>
        </w:rPr>
        <w:t>《提取类制药工业水污染物排放标准》（GB21905-2008）中直接排放限值</w:t>
      </w:r>
      <w:r>
        <w:rPr>
          <w:rFonts w:cs="Times New Roman"/>
          <w:color w:val="auto"/>
          <w:szCs w:val="21"/>
        </w:rPr>
        <w:t>三者取严执行标准值</w:t>
      </w:r>
      <w:r>
        <w:rPr>
          <w:rFonts w:hint="eastAsia"/>
          <w:color w:val="auto"/>
          <w:kern w:val="0"/>
          <w:lang w:eastAsia="zh-CN"/>
        </w:rPr>
        <w:t>后排入市政污水管网，最终进入本项目进行处理。标准限值</w:t>
      </w:r>
      <w:r>
        <w:rPr>
          <w:rFonts w:hint="eastAsia"/>
          <w:color w:val="auto"/>
          <w:kern w:val="0"/>
        </w:rPr>
        <w:t>详见</w:t>
      </w:r>
      <w:r>
        <w:rPr>
          <w:rFonts w:hint="eastAsia"/>
          <w:color w:val="auto"/>
          <w:kern w:val="0"/>
          <w:lang w:eastAsia="zh-CN"/>
        </w:rPr>
        <w:t>下表</w:t>
      </w:r>
      <w:r>
        <w:rPr>
          <w:rFonts w:hint="eastAsia"/>
          <w:color w:val="auto"/>
          <w:kern w:val="0"/>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bCs/>
          <w:color w:val="auto"/>
        </w:rPr>
      </w:pPr>
      <w:r>
        <w:rPr>
          <w:rFonts w:hint="eastAsia"/>
          <w:b/>
          <w:bCs/>
          <w:color w:val="auto"/>
          <w:spacing w:val="0"/>
          <w:kern w:val="21"/>
          <w:sz w:val="24"/>
          <w:lang w:val="en-US" w:eastAsia="zh-CN"/>
        </w:rPr>
        <w:t xml:space="preserve">废水预处理排放标准  </w:t>
      </w:r>
      <w:r>
        <w:rPr>
          <w:rFonts w:hint="eastAsia"/>
          <w:b/>
          <w:bCs/>
          <w:color w:val="auto"/>
          <w:spacing w:val="0"/>
          <w:kern w:val="21"/>
          <w:sz w:val="24"/>
          <w:lang w:val="zh-CN" w:eastAsia="zh-CN"/>
        </w:rPr>
        <w:t xml:space="preserve"> 单位：mg/L</w:t>
      </w:r>
    </w:p>
    <w:tbl>
      <w:tblPr>
        <w:tblStyle w:val="51"/>
        <w:tblW w:w="54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4"/>
        <w:gridCol w:w="555"/>
        <w:gridCol w:w="676"/>
        <w:gridCol w:w="598"/>
        <w:gridCol w:w="778"/>
        <w:gridCol w:w="722"/>
        <w:gridCol w:w="540"/>
        <w:gridCol w:w="655"/>
        <w:gridCol w:w="609"/>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9" w:hRule="atLeast"/>
          <w:jc w:val="center"/>
        </w:trPr>
        <w:tc>
          <w:tcPr>
            <w:tcW w:w="1636"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标准类别</w:t>
            </w:r>
          </w:p>
        </w:tc>
        <w:tc>
          <w:tcPr>
            <w:tcW w:w="300"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pH值</w:t>
            </w:r>
          </w:p>
        </w:tc>
        <w:tc>
          <w:tcPr>
            <w:tcW w:w="36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COD</w:t>
            </w:r>
          </w:p>
        </w:tc>
        <w:tc>
          <w:tcPr>
            <w:tcW w:w="323"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SS</w:t>
            </w:r>
          </w:p>
        </w:tc>
        <w:tc>
          <w:tcPr>
            <w:tcW w:w="420"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BOD</w:t>
            </w:r>
            <w:r>
              <w:rPr>
                <w:rFonts w:cs="Times New Roman"/>
                <w:color w:val="auto"/>
                <w:szCs w:val="21"/>
                <w:vertAlign w:val="subscript"/>
              </w:rPr>
              <w:t>5</w:t>
            </w:r>
          </w:p>
        </w:tc>
        <w:tc>
          <w:tcPr>
            <w:tcW w:w="390"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动植物油</w:t>
            </w:r>
          </w:p>
        </w:tc>
        <w:tc>
          <w:tcPr>
            <w:tcW w:w="292"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氨氮</w:t>
            </w:r>
          </w:p>
        </w:tc>
        <w:tc>
          <w:tcPr>
            <w:tcW w:w="354" w:type="pct"/>
            <w:tcBorders>
              <w:top w:val="single" w:color="auto" w:sz="4" w:space="0"/>
              <w:left w:val="single" w:color="auto" w:sz="4" w:space="0"/>
              <w:bottom w:val="single" w:color="auto" w:sz="4" w:space="0"/>
              <w:right w:val="single" w:color="auto" w:sz="4" w:space="0"/>
            </w:tcBorders>
            <w:vAlign w:val="center"/>
          </w:tcPr>
          <w:p>
            <w:pPr>
              <w:pStyle w:val="199"/>
              <w:ind w:firstLine="0" w:firstLineChars="0"/>
              <w:rPr>
                <w:rFonts w:cs="Times New Roman"/>
                <w:color w:val="auto"/>
                <w:szCs w:val="21"/>
              </w:rPr>
            </w:pPr>
            <w:r>
              <w:rPr>
                <w:rFonts w:cs="Times New Roman"/>
                <w:color w:val="auto"/>
                <w:szCs w:val="21"/>
              </w:rPr>
              <w:t>总氮</w:t>
            </w:r>
          </w:p>
        </w:tc>
        <w:tc>
          <w:tcPr>
            <w:tcW w:w="329"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总磷</w:t>
            </w:r>
          </w:p>
        </w:tc>
        <w:tc>
          <w:tcPr>
            <w:tcW w:w="586"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总有机碳（TOC）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36" w:type="pct"/>
            <w:tcBorders>
              <w:top w:val="single" w:color="auto" w:sz="4" w:space="0"/>
              <w:left w:val="single" w:color="auto" w:sz="4" w:space="0"/>
              <w:right w:val="single" w:color="auto" w:sz="4" w:space="0"/>
            </w:tcBorders>
            <w:vAlign w:val="center"/>
          </w:tcPr>
          <w:p>
            <w:pPr>
              <w:pStyle w:val="199"/>
              <w:rPr>
                <w:rFonts w:cs="Times New Roman"/>
                <w:color w:val="auto"/>
                <w:szCs w:val="21"/>
              </w:rPr>
            </w:pPr>
            <w:r>
              <w:rPr>
                <w:rFonts w:cs="Times New Roman"/>
                <w:color w:val="auto"/>
                <w:szCs w:val="21"/>
                <w:lang w:val="zh-CN"/>
              </w:rPr>
              <w:t>《污水综合排放标准》（GB8978-1996）三级</w:t>
            </w:r>
            <w:r>
              <w:rPr>
                <w:rFonts w:hint="eastAsia" w:cs="Times New Roman"/>
                <w:color w:val="auto"/>
                <w:szCs w:val="21"/>
                <w:lang w:val="zh-CN"/>
              </w:rPr>
              <w:t>、</w:t>
            </w:r>
            <w:r>
              <w:rPr>
                <w:rFonts w:cs="Times New Roman"/>
                <w:color w:val="auto"/>
                <w:szCs w:val="21"/>
                <w:lang w:val="zh-CN"/>
              </w:rPr>
              <w:t>《污水排入城镇下水道水质标准》（GB/T31962-2015）A级标准</w:t>
            </w:r>
            <w:r>
              <w:rPr>
                <w:rFonts w:hint="eastAsia" w:cs="Times New Roman"/>
                <w:color w:val="auto"/>
                <w:szCs w:val="21"/>
                <w:lang w:val="zh-CN"/>
              </w:rPr>
              <w:t>、</w:t>
            </w:r>
            <w:r>
              <w:rPr>
                <w:rFonts w:cs="Times New Roman"/>
                <w:color w:val="auto"/>
                <w:szCs w:val="21"/>
                <w:lang w:val="zh-CN"/>
              </w:rPr>
              <w:t>《提取类制药工业水污染物排放标准》（GB21905-2008）中直接排放限值</w:t>
            </w:r>
            <w:r>
              <w:rPr>
                <w:rFonts w:cs="Times New Roman"/>
                <w:color w:val="auto"/>
                <w:szCs w:val="21"/>
              </w:rPr>
              <w:t>三者取严执行</w:t>
            </w:r>
          </w:p>
        </w:tc>
        <w:tc>
          <w:tcPr>
            <w:tcW w:w="300"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6</w:t>
            </w:r>
            <w:r>
              <w:rPr>
                <w:rFonts w:hint="eastAsia" w:cs="Times New Roman"/>
                <w:color w:val="auto"/>
                <w:szCs w:val="21"/>
                <w:lang w:val="en-US" w:eastAsia="zh-CN"/>
              </w:rPr>
              <w:t>.5</w:t>
            </w:r>
            <w:r>
              <w:rPr>
                <w:rFonts w:cs="Times New Roman"/>
                <w:color w:val="auto"/>
                <w:szCs w:val="21"/>
              </w:rPr>
              <w:t>~9</w:t>
            </w:r>
          </w:p>
        </w:tc>
        <w:tc>
          <w:tcPr>
            <w:tcW w:w="365"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500</w:t>
            </w:r>
          </w:p>
        </w:tc>
        <w:tc>
          <w:tcPr>
            <w:tcW w:w="323"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400</w:t>
            </w:r>
          </w:p>
        </w:tc>
        <w:tc>
          <w:tcPr>
            <w:tcW w:w="420"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300</w:t>
            </w:r>
          </w:p>
        </w:tc>
        <w:tc>
          <w:tcPr>
            <w:tcW w:w="390" w:type="pct"/>
            <w:tcBorders>
              <w:top w:val="single" w:color="auto" w:sz="4" w:space="0"/>
              <w:left w:val="single" w:color="auto" w:sz="4" w:space="0"/>
              <w:bottom w:val="single" w:color="auto" w:sz="4" w:space="0"/>
              <w:right w:val="single" w:color="auto" w:sz="4" w:space="0"/>
            </w:tcBorders>
            <w:vAlign w:val="center"/>
          </w:tcPr>
          <w:p>
            <w:pPr>
              <w:pStyle w:val="199"/>
              <w:rPr>
                <w:rFonts w:hint="default" w:eastAsia="宋体" w:cs="Times New Roman"/>
                <w:color w:val="auto"/>
                <w:szCs w:val="21"/>
                <w:lang w:val="en-US" w:eastAsia="zh-CN"/>
              </w:rPr>
            </w:pPr>
            <w:r>
              <w:rPr>
                <w:rFonts w:hint="eastAsia" w:cs="Times New Roman"/>
                <w:color w:val="auto"/>
                <w:szCs w:val="21"/>
                <w:lang w:val="en-US" w:eastAsia="zh-CN"/>
              </w:rPr>
              <w:t>100</w:t>
            </w:r>
          </w:p>
        </w:tc>
        <w:tc>
          <w:tcPr>
            <w:tcW w:w="292"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45</w:t>
            </w:r>
          </w:p>
        </w:tc>
        <w:tc>
          <w:tcPr>
            <w:tcW w:w="354" w:type="pct"/>
            <w:tcBorders>
              <w:top w:val="single" w:color="auto" w:sz="4" w:space="0"/>
              <w:left w:val="single" w:color="auto" w:sz="4" w:space="0"/>
              <w:bottom w:val="single" w:color="auto" w:sz="4" w:space="0"/>
              <w:right w:val="single" w:color="auto" w:sz="4" w:space="0"/>
            </w:tcBorders>
            <w:vAlign w:val="center"/>
          </w:tcPr>
          <w:p>
            <w:pPr>
              <w:pStyle w:val="199"/>
              <w:ind w:firstLine="0" w:firstLineChars="0"/>
              <w:rPr>
                <w:rFonts w:cs="Times New Roman"/>
                <w:color w:val="auto"/>
                <w:szCs w:val="21"/>
              </w:rPr>
            </w:pPr>
            <w:r>
              <w:rPr>
                <w:rFonts w:cs="Times New Roman"/>
                <w:color w:val="auto"/>
                <w:szCs w:val="21"/>
              </w:rPr>
              <w:t>70</w:t>
            </w:r>
          </w:p>
        </w:tc>
        <w:tc>
          <w:tcPr>
            <w:tcW w:w="329" w:type="pct"/>
            <w:tcBorders>
              <w:top w:val="single" w:color="auto" w:sz="4" w:space="0"/>
              <w:left w:val="single" w:color="auto" w:sz="4" w:space="0"/>
              <w:bottom w:val="single" w:color="auto" w:sz="4" w:space="0"/>
              <w:right w:val="single" w:color="auto" w:sz="4" w:space="0"/>
            </w:tcBorders>
            <w:vAlign w:val="center"/>
          </w:tcPr>
          <w:p>
            <w:pPr>
              <w:pStyle w:val="199"/>
              <w:rPr>
                <w:rFonts w:cs="Times New Roman"/>
                <w:color w:val="auto"/>
                <w:szCs w:val="21"/>
              </w:rPr>
            </w:pPr>
            <w:r>
              <w:rPr>
                <w:rFonts w:cs="Times New Roman"/>
                <w:color w:val="auto"/>
                <w:szCs w:val="21"/>
              </w:rPr>
              <w:t>8</w:t>
            </w:r>
          </w:p>
        </w:tc>
        <w:tc>
          <w:tcPr>
            <w:tcW w:w="586" w:type="pct"/>
            <w:tcBorders>
              <w:top w:val="single" w:color="auto" w:sz="4" w:space="0"/>
              <w:left w:val="single" w:color="auto" w:sz="4" w:space="0"/>
              <w:bottom w:val="single" w:color="auto" w:sz="4" w:space="0"/>
              <w:right w:val="single" w:color="auto" w:sz="4" w:space="0"/>
            </w:tcBorders>
            <w:vAlign w:val="center"/>
          </w:tcPr>
          <w:p>
            <w:pPr>
              <w:pStyle w:val="199"/>
              <w:rPr>
                <w:rFonts w:hint="default" w:eastAsia="宋体" w:cs="Times New Roman"/>
                <w:color w:val="auto"/>
                <w:szCs w:val="21"/>
                <w:lang w:val="en-US" w:eastAsia="zh-CN"/>
              </w:rPr>
            </w:pPr>
            <w:r>
              <w:rPr>
                <w:rFonts w:hint="eastAsia" w:cs="Times New Roman"/>
                <w:color w:val="auto"/>
                <w:szCs w:val="21"/>
                <w:lang w:val="en-US" w:eastAsia="zh-CN"/>
              </w:rPr>
              <w:t>30</w:t>
            </w:r>
          </w:p>
        </w:tc>
      </w:tr>
    </w:tbl>
    <w:p>
      <w:pPr>
        <w:keepNext w:val="0"/>
        <w:keepLines w:val="0"/>
        <w:pageBreakBefore w:val="0"/>
        <w:widowControl w:val="0"/>
        <w:kinsoku/>
        <w:wordWrap/>
        <w:overflowPunct/>
        <w:topLinePunct w:val="0"/>
        <w:autoSpaceDE/>
        <w:autoSpaceDN/>
        <w:bidi w:val="0"/>
        <w:adjustRightInd/>
        <w:snapToGrid/>
        <w:spacing w:before="0" w:beforeLines="50"/>
        <w:ind w:firstLine="472"/>
        <w:textAlignment w:val="auto"/>
        <w:rPr>
          <w:color w:val="auto"/>
          <w:kern w:val="21"/>
        </w:rPr>
      </w:pPr>
      <w:r>
        <w:rPr>
          <w:color w:val="auto"/>
          <w:kern w:val="21"/>
        </w:rPr>
        <w:t>3、噪声</w:t>
      </w:r>
    </w:p>
    <w:p>
      <w:pPr>
        <w:pStyle w:val="124"/>
        <w:ind w:firstLine="480" w:firstLineChars="200"/>
        <w:rPr>
          <w:snapToGrid/>
          <w:color w:val="auto"/>
          <w:kern w:val="21"/>
        </w:rPr>
      </w:pPr>
      <w:r>
        <w:rPr>
          <w:snapToGrid/>
          <w:color w:val="auto"/>
          <w:kern w:val="21"/>
        </w:rPr>
        <w:t>（1）施工期</w:t>
      </w:r>
    </w:p>
    <w:p>
      <w:pPr>
        <w:topLinePunct/>
        <w:adjustRightInd w:val="0"/>
        <w:ind w:firstLine="472"/>
        <w:jc w:val="left"/>
        <w:rPr>
          <w:color w:val="auto"/>
          <w:kern w:val="21"/>
        </w:rPr>
      </w:pPr>
      <w:r>
        <w:rPr>
          <w:color w:val="auto"/>
          <w:kern w:val="21"/>
        </w:rPr>
        <w:t>项目施工期噪声执行《建筑施工场界环境噪声排放标准》（GB12523-2011）中规定的噪声排放限值，</w:t>
      </w:r>
      <w:r>
        <w:rPr>
          <w:rFonts w:hint="eastAsia"/>
          <w:color w:val="auto"/>
          <w:kern w:val="21"/>
          <w:lang w:eastAsia="zh-CN"/>
        </w:rPr>
        <w:t>昼间≤</w:t>
      </w:r>
      <w:r>
        <w:rPr>
          <w:rFonts w:hint="eastAsia"/>
          <w:color w:val="auto"/>
          <w:kern w:val="21"/>
          <w:lang w:val="en-US" w:eastAsia="zh-CN"/>
        </w:rPr>
        <w:t>70</w:t>
      </w:r>
      <w:r>
        <w:rPr>
          <w:color w:val="auto"/>
          <w:kern w:val="21"/>
          <w:sz w:val="24"/>
          <w:szCs w:val="24"/>
        </w:rPr>
        <w:t>dB</w:t>
      </w:r>
      <w:r>
        <w:rPr>
          <w:rFonts w:hint="eastAsia"/>
          <w:color w:val="auto"/>
          <w:kern w:val="21"/>
          <w:sz w:val="24"/>
          <w:szCs w:val="24"/>
          <w:lang w:val="en-US" w:eastAsia="zh-CN"/>
        </w:rPr>
        <w:t>(</w:t>
      </w:r>
      <w:r>
        <w:rPr>
          <w:color w:val="auto"/>
          <w:kern w:val="21"/>
          <w:sz w:val="24"/>
          <w:szCs w:val="24"/>
        </w:rPr>
        <w:t>A</w:t>
      </w:r>
      <w:r>
        <w:rPr>
          <w:rFonts w:hint="eastAsia"/>
          <w:color w:val="auto"/>
          <w:kern w:val="21"/>
          <w:sz w:val="24"/>
          <w:szCs w:val="24"/>
          <w:lang w:val="en-US" w:eastAsia="zh-CN"/>
        </w:rPr>
        <w:t>)、夜间</w:t>
      </w:r>
      <w:r>
        <w:rPr>
          <w:rFonts w:hint="eastAsia"/>
          <w:color w:val="auto"/>
          <w:kern w:val="21"/>
          <w:lang w:eastAsia="zh-CN"/>
        </w:rPr>
        <w:t>≤</w:t>
      </w:r>
      <w:r>
        <w:rPr>
          <w:rFonts w:hint="eastAsia"/>
          <w:color w:val="auto"/>
          <w:kern w:val="21"/>
          <w:lang w:val="en-US" w:eastAsia="zh-CN"/>
        </w:rPr>
        <w:t>55</w:t>
      </w:r>
      <w:r>
        <w:rPr>
          <w:color w:val="auto"/>
          <w:kern w:val="21"/>
          <w:sz w:val="24"/>
          <w:szCs w:val="24"/>
        </w:rPr>
        <w:t>dB</w:t>
      </w:r>
      <w:r>
        <w:rPr>
          <w:rFonts w:hint="eastAsia"/>
          <w:color w:val="auto"/>
          <w:kern w:val="21"/>
          <w:sz w:val="24"/>
          <w:szCs w:val="24"/>
          <w:lang w:val="en-US" w:eastAsia="zh-CN"/>
        </w:rPr>
        <w:t>(</w:t>
      </w:r>
      <w:r>
        <w:rPr>
          <w:color w:val="auto"/>
          <w:kern w:val="21"/>
          <w:sz w:val="24"/>
          <w:szCs w:val="24"/>
        </w:rPr>
        <w:t>A</w:t>
      </w:r>
      <w:r>
        <w:rPr>
          <w:rFonts w:hint="eastAsia"/>
          <w:color w:val="auto"/>
          <w:kern w:val="21"/>
          <w:sz w:val="24"/>
          <w:szCs w:val="24"/>
          <w:lang w:val="en-US" w:eastAsia="zh-CN"/>
        </w:rPr>
        <w:t>)</w:t>
      </w:r>
      <w:r>
        <w:rPr>
          <w:color w:val="auto"/>
          <w:kern w:val="21"/>
        </w:rPr>
        <w:t>。</w:t>
      </w:r>
    </w:p>
    <w:p>
      <w:pPr>
        <w:topLinePunct/>
        <w:adjustRightInd w:val="0"/>
        <w:ind w:firstLine="472"/>
        <w:jc w:val="left"/>
        <w:rPr>
          <w:color w:val="auto"/>
          <w:kern w:val="21"/>
        </w:rPr>
      </w:pPr>
      <w:r>
        <w:rPr>
          <w:color w:val="auto"/>
          <w:kern w:val="21"/>
        </w:rPr>
        <w:t>（2）运营期</w:t>
      </w:r>
    </w:p>
    <w:p>
      <w:pPr>
        <w:topLinePunct/>
        <w:adjustRightInd w:val="0"/>
        <w:ind w:firstLine="472"/>
        <w:rPr>
          <w:color w:val="auto"/>
          <w:kern w:val="21"/>
        </w:rPr>
      </w:pPr>
      <w:r>
        <w:rPr>
          <w:color w:val="auto"/>
          <w:kern w:val="21"/>
        </w:rPr>
        <w:t>项目营运期噪声排放执行《工业企业厂界环境噪声排放标准》（GB12348-2008）</w:t>
      </w:r>
      <w:r>
        <w:rPr>
          <w:rFonts w:hint="eastAsia"/>
          <w:color w:val="auto"/>
          <w:kern w:val="21"/>
          <w:lang w:val="en-US" w:eastAsia="zh-CN"/>
        </w:rPr>
        <w:t>3</w:t>
      </w:r>
      <w:r>
        <w:rPr>
          <w:color w:val="auto"/>
          <w:kern w:val="21"/>
        </w:rPr>
        <w:t>类标准，</w:t>
      </w:r>
      <w:r>
        <w:rPr>
          <w:rFonts w:hint="eastAsia"/>
          <w:color w:val="auto"/>
          <w:kern w:val="21"/>
          <w:lang w:eastAsia="zh-CN"/>
        </w:rPr>
        <w:t>厂界位置噪声值昼间≤</w:t>
      </w:r>
      <w:r>
        <w:rPr>
          <w:rFonts w:hint="eastAsia"/>
          <w:color w:val="auto"/>
          <w:kern w:val="21"/>
          <w:lang w:val="en-US" w:eastAsia="zh-CN"/>
        </w:rPr>
        <w:t>65</w:t>
      </w:r>
      <w:r>
        <w:rPr>
          <w:color w:val="auto"/>
          <w:kern w:val="21"/>
          <w:sz w:val="24"/>
          <w:szCs w:val="24"/>
        </w:rPr>
        <w:t>dB</w:t>
      </w:r>
      <w:r>
        <w:rPr>
          <w:rFonts w:hint="eastAsia"/>
          <w:color w:val="auto"/>
          <w:kern w:val="21"/>
          <w:sz w:val="24"/>
          <w:szCs w:val="24"/>
          <w:lang w:val="en-US" w:eastAsia="zh-CN"/>
        </w:rPr>
        <w:t>(</w:t>
      </w:r>
      <w:r>
        <w:rPr>
          <w:color w:val="auto"/>
          <w:kern w:val="21"/>
          <w:sz w:val="24"/>
          <w:szCs w:val="24"/>
        </w:rPr>
        <w:t>A</w:t>
      </w:r>
      <w:r>
        <w:rPr>
          <w:rFonts w:hint="eastAsia"/>
          <w:color w:val="auto"/>
          <w:kern w:val="21"/>
          <w:sz w:val="24"/>
          <w:szCs w:val="24"/>
          <w:lang w:val="en-US" w:eastAsia="zh-CN"/>
        </w:rPr>
        <w:t>)、夜间</w:t>
      </w:r>
      <w:r>
        <w:rPr>
          <w:rFonts w:hint="eastAsia"/>
          <w:color w:val="auto"/>
          <w:kern w:val="21"/>
          <w:lang w:eastAsia="zh-CN"/>
        </w:rPr>
        <w:t>≤</w:t>
      </w:r>
      <w:r>
        <w:rPr>
          <w:rFonts w:hint="eastAsia"/>
          <w:color w:val="auto"/>
          <w:kern w:val="21"/>
          <w:lang w:val="en-US" w:eastAsia="zh-CN"/>
        </w:rPr>
        <w:t>55</w:t>
      </w:r>
      <w:r>
        <w:rPr>
          <w:color w:val="auto"/>
          <w:kern w:val="21"/>
          <w:sz w:val="24"/>
          <w:szCs w:val="24"/>
        </w:rPr>
        <w:t>dB</w:t>
      </w:r>
      <w:r>
        <w:rPr>
          <w:rFonts w:hint="eastAsia"/>
          <w:color w:val="auto"/>
          <w:kern w:val="21"/>
          <w:sz w:val="24"/>
          <w:szCs w:val="24"/>
          <w:lang w:val="en-US" w:eastAsia="zh-CN"/>
        </w:rPr>
        <w:t>(</w:t>
      </w:r>
      <w:r>
        <w:rPr>
          <w:color w:val="auto"/>
          <w:kern w:val="21"/>
          <w:sz w:val="24"/>
          <w:szCs w:val="24"/>
        </w:rPr>
        <w:t>A</w:t>
      </w:r>
      <w:r>
        <w:rPr>
          <w:rFonts w:hint="eastAsia"/>
          <w:color w:val="auto"/>
          <w:kern w:val="21"/>
          <w:sz w:val="24"/>
          <w:szCs w:val="24"/>
          <w:lang w:val="en-US" w:eastAsia="zh-CN"/>
        </w:rPr>
        <w:t>)</w:t>
      </w:r>
      <w:r>
        <w:rPr>
          <w:color w:val="auto"/>
          <w:kern w:val="21"/>
        </w:rPr>
        <w:t>。</w:t>
      </w:r>
    </w:p>
    <w:p>
      <w:pPr>
        <w:ind w:firstLine="472"/>
        <w:rPr>
          <w:color w:val="auto"/>
          <w:kern w:val="21"/>
        </w:rPr>
      </w:pPr>
      <w:r>
        <w:rPr>
          <w:color w:val="auto"/>
          <w:kern w:val="21"/>
        </w:rPr>
        <w:t>4、固体废物控制标准</w:t>
      </w:r>
    </w:p>
    <w:p>
      <w:pPr>
        <w:widowControl/>
        <w:ind w:firstLine="472"/>
        <w:jc w:val="left"/>
        <w:rPr>
          <w:color w:val="auto"/>
          <w:kern w:val="21"/>
          <w:lang w:bidi="ar"/>
        </w:rPr>
      </w:pPr>
      <w:r>
        <w:rPr>
          <w:color w:val="auto"/>
          <w:kern w:val="21"/>
          <w:lang w:bidi="ar"/>
        </w:rPr>
        <w:t>本项目危险废物执行GB18597-2001《危险废物贮存污染控制标准》（</w:t>
      </w:r>
      <w:r>
        <w:rPr>
          <w:rFonts w:hint="eastAsia"/>
          <w:color w:val="auto"/>
          <w:kern w:val="21"/>
          <w:lang w:val="en-US" w:eastAsia="zh-CN" w:bidi="ar"/>
        </w:rPr>
        <w:t>2013年修改单</w:t>
      </w:r>
      <w:r>
        <w:rPr>
          <w:rFonts w:hint="eastAsia"/>
          <w:color w:val="auto"/>
          <w:kern w:val="21"/>
          <w:lang w:eastAsia="zh-CN" w:bidi="ar"/>
        </w:rPr>
        <w:t>）</w:t>
      </w:r>
      <w:r>
        <w:rPr>
          <w:color w:val="auto"/>
          <w:kern w:val="21"/>
          <w:lang w:bidi="ar"/>
        </w:rPr>
        <w:t>的要求；一般固废执行</w:t>
      </w:r>
      <w:r>
        <w:rPr>
          <w:color w:val="auto"/>
          <w:spacing w:val="-6"/>
          <w:kern w:val="21"/>
        </w:rPr>
        <w:t>《一般工业固体废物贮存和填埋污染控制标准》</w:t>
      </w:r>
      <w:r>
        <w:rPr>
          <w:rFonts w:hint="eastAsia"/>
          <w:color w:val="auto"/>
          <w:spacing w:val="-6"/>
          <w:kern w:val="21"/>
        </w:rPr>
        <w:t>（</w:t>
      </w:r>
      <w:r>
        <w:rPr>
          <w:color w:val="auto"/>
          <w:spacing w:val="-6"/>
          <w:kern w:val="21"/>
        </w:rPr>
        <w:t>GB18599-2020</w:t>
      </w:r>
      <w:r>
        <w:rPr>
          <w:rFonts w:hint="eastAsia"/>
          <w:color w:val="auto"/>
          <w:spacing w:val="-6"/>
          <w:kern w:val="21"/>
        </w:rPr>
        <w:t>）</w:t>
      </w:r>
      <w:r>
        <w:rPr>
          <w:color w:val="auto"/>
          <w:kern w:val="21"/>
          <w:lang w:bidi="ar"/>
        </w:rPr>
        <w:t>相关要求。</w:t>
      </w:r>
    </w:p>
    <w:p>
      <w:pPr>
        <w:widowControl/>
        <w:ind w:firstLine="472"/>
        <w:jc w:val="left"/>
        <w:rPr>
          <w:color w:val="auto"/>
        </w:rPr>
      </w:pPr>
      <w:r>
        <w:rPr>
          <w:color w:val="auto"/>
          <w:kern w:val="21"/>
          <w:lang w:bidi="ar"/>
        </w:rPr>
        <w:t>本项目运营期产生的主要工业固体废物为污泥，污泥执行《城镇污水处理厂污染物排放标准》（GB18918-2002）中相关污泥控制标准的要求，具体标准值见</w:t>
      </w:r>
      <w:r>
        <w:rPr>
          <w:rFonts w:hint="eastAsia"/>
          <w:color w:val="auto"/>
          <w:kern w:val="21"/>
          <w:lang w:eastAsia="zh-CN" w:bidi="ar"/>
        </w:rPr>
        <w:t>下表</w:t>
      </w:r>
      <w:r>
        <w:rPr>
          <w:color w:val="auto"/>
          <w:kern w:val="21"/>
          <w:lang w:bidi="ar"/>
        </w:rPr>
        <w:t>。</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bCs/>
          <w:color w:val="auto"/>
          <w:kern w:val="21"/>
          <w:lang w:bidi="ar"/>
        </w:rPr>
      </w:pPr>
      <w:r>
        <w:rPr>
          <w:b/>
          <w:color w:val="auto"/>
          <w:kern w:val="21"/>
        </w:rPr>
        <w:t>污泥</w:t>
      </w:r>
      <w:r>
        <w:rPr>
          <w:b/>
          <w:bCs/>
          <w:color w:val="auto"/>
          <w:kern w:val="21"/>
          <w:lang w:bidi="ar"/>
        </w:rPr>
        <w:t>控制标准</w:t>
      </w:r>
    </w:p>
    <w:tbl>
      <w:tblPr>
        <w:tblStyle w:val="51"/>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2890"/>
        <w:gridCol w:w="4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2" w:type="dxa"/>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kern w:val="21"/>
                <w:sz w:val="21"/>
                <w:szCs w:val="21"/>
              </w:rPr>
            </w:pPr>
            <w:r>
              <w:rPr>
                <w:color w:val="auto"/>
                <w:kern w:val="21"/>
                <w:sz w:val="21"/>
                <w:szCs w:val="21"/>
              </w:rPr>
              <w:t>序号</w:t>
            </w:r>
          </w:p>
        </w:tc>
        <w:tc>
          <w:tcPr>
            <w:tcW w:w="2890" w:type="dxa"/>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kern w:val="21"/>
                <w:sz w:val="21"/>
                <w:szCs w:val="21"/>
              </w:rPr>
            </w:pPr>
            <w:r>
              <w:rPr>
                <w:color w:val="auto"/>
                <w:kern w:val="21"/>
                <w:sz w:val="21"/>
                <w:szCs w:val="21"/>
              </w:rPr>
              <w:t>控制项目</w:t>
            </w:r>
          </w:p>
        </w:tc>
        <w:tc>
          <w:tcPr>
            <w:tcW w:w="4152" w:type="dxa"/>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kern w:val="21"/>
                <w:sz w:val="21"/>
                <w:szCs w:val="21"/>
              </w:rPr>
            </w:pPr>
            <w:r>
              <w:rPr>
                <w:color w:val="auto"/>
                <w:kern w:val="21"/>
                <w:sz w:val="21"/>
                <w:szCs w:val="21"/>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kern w:val="21"/>
                <w:sz w:val="21"/>
                <w:szCs w:val="21"/>
              </w:rPr>
            </w:pPr>
            <w:r>
              <w:rPr>
                <w:color w:val="auto"/>
                <w:kern w:val="21"/>
                <w:sz w:val="21"/>
                <w:szCs w:val="21"/>
              </w:rPr>
              <w:t>1</w:t>
            </w:r>
          </w:p>
        </w:tc>
        <w:tc>
          <w:tcPr>
            <w:tcW w:w="2890" w:type="dxa"/>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kern w:val="21"/>
                <w:sz w:val="21"/>
                <w:szCs w:val="21"/>
              </w:rPr>
            </w:pPr>
            <w:r>
              <w:rPr>
                <w:color w:val="auto"/>
                <w:kern w:val="21"/>
                <w:sz w:val="21"/>
                <w:szCs w:val="21"/>
              </w:rPr>
              <w:t>含水率</w:t>
            </w:r>
          </w:p>
        </w:tc>
        <w:tc>
          <w:tcPr>
            <w:tcW w:w="4152" w:type="dxa"/>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kern w:val="21"/>
                <w:sz w:val="21"/>
                <w:szCs w:val="21"/>
              </w:rPr>
            </w:pPr>
            <w:r>
              <w:rPr>
                <w:color w:val="auto"/>
                <w:kern w:val="21"/>
                <w:sz w:val="21"/>
                <w:szCs w:val="21"/>
              </w:rPr>
              <w:t>&lt;</w:t>
            </w:r>
            <w:r>
              <w:rPr>
                <w:rFonts w:hint="eastAsia"/>
                <w:color w:val="auto"/>
                <w:kern w:val="21"/>
                <w:sz w:val="21"/>
                <w:szCs w:val="21"/>
              </w:rPr>
              <w:t>6</w:t>
            </w:r>
            <w:r>
              <w:rPr>
                <w:color w:val="auto"/>
                <w:kern w:val="21"/>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kern w:val="21"/>
                <w:sz w:val="21"/>
                <w:szCs w:val="21"/>
              </w:rPr>
            </w:pPr>
            <w:r>
              <w:rPr>
                <w:color w:val="auto"/>
                <w:kern w:val="21"/>
                <w:sz w:val="21"/>
                <w:szCs w:val="21"/>
              </w:rPr>
              <w:t>2</w:t>
            </w:r>
          </w:p>
        </w:tc>
        <w:tc>
          <w:tcPr>
            <w:tcW w:w="2890" w:type="dxa"/>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kern w:val="21"/>
                <w:sz w:val="21"/>
                <w:szCs w:val="21"/>
              </w:rPr>
            </w:pPr>
            <w:r>
              <w:rPr>
                <w:color w:val="auto"/>
                <w:kern w:val="21"/>
                <w:sz w:val="21"/>
                <w:szCs w:val="21"/>
              </w:rPr>
              <w:t>有机物降解率</w:t>
            </w:r>
          </w:p>
        </w:tc>
        <w:tc>
          <w:tcPr>
            <w:tcW w:w="4152" w:type="dxa"/>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kern w:val="21"/>
                <w:sz w:val="21"/>
                <w:szCs w:val="21"/>
              </w:rPr>
            </w:pPr>
            <w:r>
              <w:rPr>
                <w:color w:val="auto"/>
                <w:kern w:val="21"/>
                <w:sz w:val="21"/>
                <w:szCs w:val="21"/>
              </w:rPr>
              <w:t>˃40%</w:t>
            </w:r>
          </w:p>
        </w:tc>
      </w:tr>
    </w:tbl>
    <w:p>
      <w:pPr>
        <w:pStyle w:val="5"/>
        <w:keepNext/>
        <w:keepLines/>
        <w:pageBreakBefore w:val="0"/>
        <w:widowControl w:val="0"/>
        <w:kinsoku/>
        <w:wordWrap/>
        <w:overflowPunct/>
        <w:topLinePunct w:val="0"/>
        <w:autoSpaceDE/>
        <w:autoSpaceDN/>
        <w:bidi w:val="0"/>
        <w:adjustRightInd/>
        <w:snapToGrid/>
        <w:spacing w:before="0" w:beforeLines="50" w:after="0"/>
        <w:textAlignment w:val="auto"/>
        <w:rPr>
          <w:color w:val="auto"/>
          <w:kern w:val="21"/>
          <w:sz w:val="28"/>
        </w:rPr>
      </w:pPr>
      <w:bookmarkStart w:id="29" w:name="_Toc5724"/>
      <w:r>
        <w:rPr>
          <w:color w:val="auto"/>
          <w:kern w:val="21"/>
          <w:sz w:val="28"/>
        </w:rPr>
        <w:t>2.5环境保护目标</w:t>
      </w:r>
      <w:bookmarkEnd w:id="29"/>
    </w:p>
    <w:p>
      <w:pPr>
        <w:topLinePunct/>
        <w:ind w:firstLine="472"/>
        <w:rPr>
          <w:color w:val="auto"/>
          <w:kern w:val="21"/>
        </w:rPr>
      </w:pPr>
      <w:r>
        <w:rPr>
          <w:color w:val="auto"/>
          <w:kern w:val="21"/>
        </w:rPr>
        <w:t>根据工程所在地区环境质量状况，综合评价区环境功能、污染物防治和敏感对象的分析，确定本项目的环</w:t>
      </w:r>
      <w:bookmarkStart w:id="489" w:name="_GoBack"/>
      <w:bookmarkEnd w:id="489"/>
      <w:r>
        <w:rPr>
          <w:color w:val="auto"/>
          <w:kern w:val="21"/>
        </w:rPr>
        <w:t>境保护目标。</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bCs/>
          <w:color w:val="auto"/>
          <w:kern w:val="21"/>
        </w:rPr>
      </w:pPr>
      <w:r>
        <w:rPr>
          <w:b/>
          <w:bCs/>
          <w:color w:val="auto"/>
          <w:kern w:val="21"/>
        </w:rPr>
        <w:t>项目环境空气保护目标一览表</w:t>
      </w:r>
    </w:p>
    <w:tbl>
      <w:tblPr>
        <w:tblStyle w:val="51"/>
        <w:tblW w:w="51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531"/>
        <w:gridCol w:w="1316"/>
        <w:gridCol w:w="1193"/>
        <w:gridCol w:w="724"/>
        <w:gridCol w:w="902"/>
        <w:gridCol w:w="868"/>
        <w:gridCol w:w="80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1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87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敏感目标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437"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经纬度坐标</w:t>
            </w:r>
          </w:p>
        </w:tc>
        <w:tc>
          <w:tcPr>
            <w:tcW w:w="41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51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相对厂界距离/m</w:t>
            </w:r>
          </w:p>
        </w:tc>
        <w:tc>
          <w:tcPr>
            <w:tcW w:w="49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保护对象</w:t>
            </w:r>
          </w:p>
        </w:tc>
        <w:tc>
          <w:tcPr>
            <w:tcW w:w="4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人数（人）</w:t>
            </w:r>
          </w:p>
        </w:tc>
        <w:tc>
          <w:tcPr>
            <w:tcW w:w="48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环境功能保护级别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1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8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7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东经</w:t>
            </w:r>
          </w:p>
        </w:tc>
        <w:tc>
          <w:tcPr>
            <w:tcW w:w="68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北纬</w:t>
            </w:r>
          </w:p>
        </w:tc>
        <w:tc>
          <w:tcPr>
            <w:tcW w:w="41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51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49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45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董家村</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101.582993</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25.003225</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2980</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c>
          <w:tcPr>
            <w:tcW w:w="48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《环境空气质量标准》（GB3095-2012）二级标准及修改单的要求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阳光花园</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101.596374</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25.026729</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895</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香颂美地</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101.584865</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25.030178</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2101</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小东村</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101.604989</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25.005641</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1850</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彝海北岸</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101.58134</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25.01944</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2289</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鹿鸣清城</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101.580254</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24.999759</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3375</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蔡家湾</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101.594191</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25.043512</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2543</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思源实验学校</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101.597383</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25.024036</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675</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学校</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黄土坡</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101.597511</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25.025457</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724</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汪家屯小区</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101.59341</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25.032117</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1511</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耳东屯</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101.623164</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25.001392</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东南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3033</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蔡家冲小区</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101.590741</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25.042891</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2635</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潘家村</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101.595966</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25.000853</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2463</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175</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团山</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101.627488</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25.00341</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东南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3180</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玖龙国际</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101.583127</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25.02907</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2217</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孙家</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101.60633</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25.003002</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2154</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茶花树小区</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101.588046</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25.018986</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1631</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320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18</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尹旗屯</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101.596039</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25.010809</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1495</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19</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福德苑</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101.584167</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25.032773</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2296</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荷花村</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101.581415</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25.003779</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3052</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朱瓜冲</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101.605046</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25.040317</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2001</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22</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黑泥坝</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101.589162</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24.999832</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2790</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建华东城印象</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101.596428</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25.006205</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1932</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24</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李家庵村</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101.586984</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25.02259</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1697</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吴家村</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101.586007</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25.019022</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1998</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中梁国宾府</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101.579506</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25.025769</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2482</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彝海大成</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101.58501</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25.007795</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2486</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550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楚风苑</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101.5869</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25.032427</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2041</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谢家村</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101.579181</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25.004912</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3144</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沙溪冲</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101.598973</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25.041814</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2217</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盛世舒苑</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101.593037</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25.021729</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1087</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w:t>
            </w:r>
          </w:p>
        </w:tc>
        <w:tc>
          <w:tcPr>
            <w:tcW w:w="87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刘家</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101.611781</w:t>
            </w:r>
          </w:p>
        </w:tc>
        <w:tc>
          <w:tcPr>
            <w:tcW w:w="68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25.025402</w:t>
            </w:r>
          </w:p>
        </w:tc>
        <w:tc>
          <w:tcPr>
            <w:tcW w:w="4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东北</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877</w:t>
            </w:r>
          </w:p>
        </w:tc>
        <w:tc>
          <w:tcPr>
            <w:tcW w:w="49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before="0" w:beforeLines="50"/>
        <w:ind w:firstLine="480"/>
        <w:textAlignment w:val="auto"/>
        <w:rPr>
          <w:color w:val="auto"/>
          <w:kern w:val="21"/>
        </w:rPr>
      </w:pPr>
      <w:r>
        <w:rPr>
          <w:color w:val="auto"/>
          <w:kern w:val="21"/>
        </w:rPr>
        <w:t>项目</w:t>
      </w:r>
      <w:r>
        <w:rPr>
          <w:bCs/>
          <w:color w:val="auto"/>
          <w:kern w:val="21"/>
        </w:rPr>
        <w:t>噪声、地下水、生态、土壤</w:t>
      </w:r>
      <w:r>
        <w:rPr>
          <w:color w:val="auto"/>
          <w:kern w:val="21"/>
        </w:rPr>
        <w:t>环境保护目标见</w:t>
      </w:r>
      <w:r>
        <w:rPr>
          <w:rFonts w:hint="eastAsia"/>
          <w:color w:val="auto"/>
          <w:kern w:val="21"/>
          <w:lang w:eastAsia="zh-CN"/>
        </w:rPr>
        <w:t>下表</w:t>
      </w:r>
      <w:r>
        <w:rPr>
          <w:color w:val="auto"/>
          <w:kern w:val="21"/>
        </w:rPr>
        <w:t>，项目环境保护目标分布情况见附图4。</w:t>
      </w:r>
    </w:p>
    <w:p>
      <w:pPr>
        <w:keepNext w:val="0"/>
        <w:keepLines w:val="0"/>
        <w:pageBreakBefore w:val="0"/>
        <w:widowControl w:val="0"/>
        <w:numPr>
          <w:ilvl w:val="0"/>
          <w:numId w:val="2"/>
        </w:numPr>
        <w:kinsoku/>
        <w:wordWrap/>
        <w:overflowPunct/>
        <w:topLinePunct/>
        <w:autoSpaceDE/>
        <w:autoSpaceDN/>
        <w:bidi w:val="0"/>
        <w:adjustRightInd/>
        <w:snapToGrid/>
        <w:ind w:left="0" w:leftChars="0" w:firstLine="0" w:firstLineChars="0"/>
        <w:jc w:val="center"/>
        <w:textAlignment w:val="auto"/>
        <w:rPr>
          <w:b/>
          <w:color w:val="auto"/>
          <w:kern w:val="21"/>
        </w:rPr>
      </w:pPr>
      <w:r>
        <w:rPr>
          <w:b/>
          <w:bCs/>
          <w:color w:val="auto"/>
          <w:kern w:val="21"/>
        </w:rPr>
        <w:t>项目</w:t>
      </w:r>
      <w:r>
        <w:rPr>
          <w:b/>
          <w:color w:val="auto"/>
          <w:kern w:val="21"/>
        </w:rPr>
        <w:t>噪声、地下水、生态、土壤环境保护目标表</w:t>
      </w:r>
    </w:p>
    <w:tbl>
      <w:tblPr>
        <w:tblStyle w:val="51"/>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5"/>
        <w:gridCol w:w="761"/>
        <w:gridCol w:w="1876"/>
        <w:gridCol w:w="3420"/>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5" w:type="dxa"/>
            <w:vAlign w:val="center"/>
          </w:tcPr>
          <w:p>
            <w:pPr>
              <w:spacing w:line="240" w:lineRule="auto"/>
              <w:ind w:firstLine="0" w:firstLineChars="0"/>
              <w:jc w:val="center"/>
              <w:rPr>
                <w:color w:val="auto"/>
                <w:kern w:val="21"/>
                <w:sz w:val="21"/>
                <w:szCs w:val="21"/>
              </w:rPr>
            </w:pPr>
            <w:r>
              <w:rPr>
                <w:color w:val="auto"/>
                <w:kern w:val="21"/>
                <w:sz w:val="21"/>
                <w:szCs w:val="21"/>
              </w:rPr>
              <w:t>序号</w:t>
            </w:r>
          </w:p>
        </w:tc>
        <w:tc>
          <w:tcPr>
            <w:tcW w:w="761" w:type="dxa"/>
            <w:vAlign w:val="center"/>
          </w:tcPr>
          <w:p>
            <w:pPr>
              <w:spacing w:line="240" w:lineRule="auto"/>
              <w:ind w:firstLine="0" w:firstLineChars="0"/>
              <w:jc w:val="center"/>
              <w:rPr>
                <w:color w:val="auto"/>
                <w:kern w:val="21"/>
                <w:sz w:val="21"/>
                <w:szCs w:val="21"/>
              </w:rPr>
            </w:pPr>
            <w:r>
              <w:rPr>
                <w:color w:val="auto"/>
                <w:kern w:val="21"/>
                <w:sz w:val="21"/>
                <w:szCs w:val="21"/>
              </w:rPr>
              <w:t>类别</w:t>
            </w:r>
          </w:p>
        </w:tc>
        <w:tc>
          <w:tcPr>
            <w:tcW w:w="1876" w:type="dxa"/>
            <w:vAlign w:val="center"/>
          </w:tcPr>
          <w:p>
            <w:pPr>
              <w:spacing w:line="240" w:lineRule="auto"/>
              <w:ind w:firstLine="0" w:firstLineChars="0"/>
              <w:jc w:val="center"/>
              <w:rPr>
                <w:color w:val="auto"/>
                <w:kern w:val="21"/>
                <w:sz w:val="21"/>
                <w:szCs w:val="21"/>
              </w:rPr>
            </w:pPr>
            <w:r>
              <w:rPr>
                <w:color w:val="auto"/>
                <w:kern w:val="21"/>
                <w:sz w:val="21"/>
                <w:szCs w:val="21"/>
              </w:rPr>
              <w:t>保护目标</w:t>
            </w:r>
          </w:p>
        </w:tc>
        <w:tc>
          <w:tcPr>
            <w:tcW w:w="3420" w:type="dxa"/>
            <w:vAlign w:val="center"/>
          </w:tcPr>
          <w:p>
            <w:pPr>
              <w:spacing w:line="240" w:lineRule="auto"/>
              <w:ind w:firstLine="0" w:firstLineChars="0"/>
              <w:jc w:val="center"/>
              <w:rPr>
                <w:color w:val="auto"/>
                <w:kern w:val="21"/>
                <w:sz w:val="21"/>
                <w:szCs w:val="21"/>
              </w:rPr>
            </w:pPr>
            <w:r>
              <w:rPr>
                <w:color w:val="auto"/>
                <w:kern w:val="21"/>
                <w:sz w:val="21"/>
                <w:szCs w:val="21"/>
              </w:rPr>
              <w:t>与厂界的相对方位、最近距离</w:t>
            </w:r>
          </w:p>
        </w:tc>
        <w:tc>
          <w:tcPr>
            <w:tcW w:w="2064" w:type="dxa"/>
            <w:vAlign w:val="center"/>
          </w:tcPr>
          <w:p>
            <w:pPr>
              <w:spacing w:line="240" w:lineRule="auto"/>
              <w:ind w:firstLine="0" w:firstLineChars="0"/>
              <w:jc w:val="center"/>
              <w:rPr>
                <w:color w:val="auto"/>
                <w:kern w:val="21"/>
                <w:sz w:val="21"/>
                <w:szCs w:val="21"/>
              </w:rPr>
            </w:pPr>
            <w:r>
              <w:rPr>
                <w:color w:val="auto"/>
                <w:kern w:val="21"/>
                <w:sz w:val="21"/>
                <w:szCs w:val="21"/>
              </w:rPr>
              <w:t>保护级别或要求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5" w:type="dxa"/>
            <w:vAlign w:val="center"/>
          </w:tcPr>
          <w:p>
            <w:pPr>
              <w:spacing w:line="240" w:lineRule="auto"/>
              <w:ind w:firstLine="0" w:firstLineChars="0"/>
              <w:jc w:val="center"/>
              <w:rPr>
                <w:color w:val="auto"/>
                <w:kern w:val="21"/>
                <w:sz w:val="21"/>
                <w:szCs w:val="21"/>
              </w:rPr>
            </w:pPr>
            <w:r>
              <w:rPr>
                <w:color w:val="auto"/>
                <w:kern w:val="21"/>
                <w:sz w:val="21"/>
                <w:szCs w:val="21"/>
              </w:rPr>
              <w:t>1</w:t>
            </w:r>
          </w:p>
        </w:tc>
        <w:tc>
          <w:tcPr>
            <w:tcW w:w="761" w:type="dxa"/>
            <w:vAlign w:val="center"/>
          </w:tcPr>
          <w:p>
            <w:pPr>
              <w:spacing w:line="240" w:lineRule="auto"/>
              <w:ind w:firstLine="0" w:firstLineChars="0"/>
              <w:jc w:val="center"/>
              <w:rPr>
                <w:color w:val="auto"/>
                <w:kern w:val="21"/>
                <w:sz w:val="21"/>
                <w:szCs w:val="21"/>
              </w:rPr>
            </w:pPr>
            <w:r>
              <w:rPr>
                <w:color w:val="auto"/>
                <w:kern w:val="21"/>
                <w:sz w:val="21"/>
                <w:szCs w:val="21"/>
              </w:rPr>
              <w:t>噪声</w:t>
            </w:r>
          </w:p>
        </w:tc>
        <w:tc>
          <w:tcPr>
            <w:tcW w:w="7360" w:type="dxa"/>
            <w:gridSpan w:val="3"/>
            <w:vAlign w:val="center"/>
          </w:tcPr>
          <w:p>
            <w:pPr>
              <w:spacing w:line="240" w:lineRule="auto"/>
              <w:ind w:firstLine="0" w:firstLineChars="0"/>
              <w:rPr>
                <w:color w:val="auto"/>
                <w:kern w:val="21"/>
                <w:sz w:val="21"/>
                <w:szCs w:val="21"/>
              </w:rPr>
            </w:pPr>
            <w:r>
              <w:rPr>
                <w:rFonts w:hint="eastAsia"/>
                <w:color w:val="auto"/>
                <w:kern w:val="21"/>
                <w:sz w:val="21"/>
                <w:szCs w:val="21"/>
              </w:rPr>
              <w:t>本项目周边</w:t>
            </w:r>
            <w:r>
              <w:rPr>
                <w:rFonts w:hint="eastAsia"/>
                <w:bCs/>
                <w:color w:val="auto"/>
                <w:kern w:val="21"/>
                <w:sz w:val="21"/>
                <w:szCs w:val="21"/>
              </w:rPr>
              <w:t>迤</w:t>
            </w:r>
            <w:r>
              <w:rPr>
                <w:bCs/>
                <w:color w:val="auto"/>
                <w:kern w:val="21"/>
                <w:sz w:val="21"/>
                <w:szCs w:val="21"/>
              </w:rPr>
              <w:t>周</w:t>
            </w:r>
            <w:r>
              <w:rPr>
                <w:rFonts w:hint="eastAsia"/>
                <w:bCs/>
                <w:color w:val="auto"/>
                <w:kern w:val="21"/>
                <w:sz w:val="21"/>
                <w:szCs w:val="21"/>
              </w:rPr>
              <w:t>、外周、外干、迤干等村庄已全部拆除，200m范围内无声环境保护目标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525" w:type="dxa"/>
            <w:vAlign w:val="center"/>
          </w:tcPr>
          <w:p>
            <w:pPr>
              <w:spacing w:line="240" w:lineRule="auto"/>
              <w:ind w:firstLine="0" w:firstLineChars="0"/>
              <w:jc w:val="center"/>
              <w:rPr>
                <w:color w:val="auto"/>
                <w:kern w:val="21"/>
                <w:sz w:val="21"/>
                <w:szCs w:val="21"/>
              </w:rPr>
            </w:pPr>
            <w:r>
              <w:rPr>
                <w:color w:val="auto"/>
                <w:kern w:val="21"/>
                <w:sz w:val="21"/>
                <w:szCs w:val="21"/>
              </w:rPr>
              <w:t>2</w:t>
            </w:r>
          </w:p>
        </w:tc>
        <w:tc>
          <w:tcPr>
            <w:tcW w:w="761" w:type="dxa"/>
            <w:vAlign w:val="center"/>
          </w:tcPr>
          <w:p>
            <w:pPr>
              <w:spacing w:line="240" w:lineRule="auto"/>
              <w:ind w:firstLine="0" w:firstLineChars="0"/>
              <w:jc w:val="center"/>
              <w:rPr>
                <w:color w:val="auto"/>
                <w:kern w:val="21"/>
                <w:sz w:val="21"/>
                <w:szCs w:val="21"/>
              </w:rPr>
            </w:pPr>
            <w:r>
              <w:rPr>
                <w:color w:val="auto"/>
                <w:kern w:val="21"/>
                <w:sz w:val="21"/>
                <w:szCs w:val="21"/>
              </w:rPr>
              <w:t>地下水环境</w:t>
            </w:r>
          </w:p>
        </w:tc>
        <w:tc>
          <w:tcPr>
            <w:tcW w:w="5296" w:type="dxa"/>
            <w:gridSpan w:val="2"/>
            <w:vAlign w:val="center"/>
          </w:tcPr>
          <w:p>
            <w:pPr>
              <w:spacing w:line="240" w:lineRule="auto"/>
              <w:ind w:firstLine="0" w:firstLineChars="0"/>
              <w:rPr>
                <w:color w:val="auto"/>
                <w:kern w:val="21"/>
                <w:sz w:val="21"/>
                <w:szCs w:val="21"/>
              </w:rPr>
            </w:pPr>
            <w:r>
              <w:rPr>
                <w:color w:val="auto"/>
                <w:kern w:val="21"/>
                <w:sz w:val="21"/>
                <w:szCs w:val="21"/>
              </w:rPr>
              <w:t>项目</w:t>
            </w:r>
            <w:r>
              <w:rPr>
                <w:rFonts w:hint="eastAsia"/>
                <w:color w:val="auto"/>
                <w:kern w:val="21"/>
                <w:sz w:val="21"/>
                <w:szCs w:val="21"/>
                <w:lang w:eastAsia="zh-CN"/>
              </w:rPr>
              <w:t>所在区域的潜水含水层</w:t>
            </w:r>
            <w:r>
              <w:rPr>
                <w:rFonts w:hint="eastAsia"/>
                <w:color w:val="auto"/>
                <w:sz w:val="21"/>
                <w:szCs w:val="21"/>
                <w:lang w:eastAsia="zh-CN"/>
              </w:rPr>
              <w:t>以及周边泉点、水井</w:t>
            </w:r>
            <w:r>
              <w:rPr>
                <w:color w:val="auto"/>
                <w:sz w:val="21"/>
                <w:szCs w:val="21"/>
              </w:rPr>
              <w:t>，包括上平凹屯泉点（</w:t>
            </w:r>
            <w:r>
              <w:rPr>
                <w:rFonts w:hint="eastAsia"/>
                <w:color w:val="auto"/>
                <w:sz w:val="21"/>
                <w:szCs w:val="21"/>
                <w:lang w:eastAsia="zh-CN"/>
              </w:rPr>
              <w:t>东经</w:t>
            </w:r>
            <w:r>
              <w:rPr>
                <w:color w:val="auto"/>
                <w:sz w:val="21"/>
                <w:szCs w:val="21"/>
              </w:rPr>
              <w:t>101°34′45″</w:t>
            </w:r>
            <w:r>
              <w:rPr>
                <w:rFonts w:hint="eastAsia"/>
                <w:color w:val="auto"/>
                <w:sz w:val="21"/>
                <w:szCs w:val="21"/>
                <w:lang w:eastAsia="zh-CN"/>
              </w:rPr>
              <w:t>、北纬</w:t>
            </w:r>
            <w:r>
              <w:rPr>
                <w:color w:val="auto"/>
                <w:sz w:val="21"/>
                <w:szCs w:val="21"/>
              </w:rPr>
              <w:t>25°2′17″ ）</w:t>
            </w:r>
            <w:r>
              <w:rPr>
                <w:rFonts w:hint="eastAsia"/>
                <w:color w:val="auto"/>
                <w:sz w:val="21"/>
                <w:szCs w:val="21"/>
              </w:rPr>
              <w:t>、</w:t>
            </w:r>
            <w:r>
              <w:rPr>
                <w:color w:val="auto"/>
                <w:sz w:val="21"/>
                <w:szCs w:val="21"/>
              </w:rPr>
              <w:t>罗刀凹泉点（</w:t>
            </w:r>
            <w:r>
              <w:rPr>
                <w:rFonts w:hint="eastAsia"/>
                <w:color w:val="auto"/>
                <w:sz w:val="21"/>
                <w:szCs w:val="21"/>
                <w:lang w:eastAsia="zh-CN"/>
              </w:rPr>
              <w:t>北纬</w:t>
            </w:r>
            <w:r>
              <w:rPr>
                <w:color w:val="auto"/>
                <w:sz w:val="21"/>
                <w:szCs w:val="21"/>
              </w:rPr>
              <w:t xml:space="preserve">25°2′49″ </w:t>
            </w:r>
            <w:r>
              <w:rPr>
                <w:rFonts w:hint="eastAsia"/>
                <w:color w:val="auto"/>
                <w:sz w:val="21"/>
                <w:szCs w:val="21"/>
                <w:lang w:eastAsia="zh-CN"/>
              </w:rPr>
              <w:t>东经</w:t>
            </w:r>
            <w:r>
              <w:rPr>
                <w:color w:val="auto"/>
                <w:sz w:val="21"/>
                <w:szCs w:val="21"/>
              </w:rPr>
              <w:t>101°36′23″）</w:t>
            </w:r>
            <w:r>
              <w:rPr>
                <w:rFonts w:hint="eastAsia"/>
                <w:color w:val="auto"/>
                <w:sz w:val="21"/>
                <w:szCs w:val="21"/>
              </w:rPr>
              <w:t>、</w:t>
            </w:r>
            <w:r>
              <w:rPr>
                <w:color w:val="auto"/>
                <w:sz w:val="21"/>
                <w:szCs w:val="21"/>
              </w:rPr>
              <w:t>沙溪冲水井（</w:t>
            </w:r>
            <w:r>
              <w:rPr>
                <w:rFonts w:hint="eastAsia"/>
                <w:color w:val="auto"/>
                <w:sz w:val="21"/>
                <w:szCs w:val="21"/>
                <w:lang w:eastAsia="zh-CN"/>
              </w:rPr>
              <w:t>东经</w:t>
            </w:r>
            <w:r>
              <w:rPr>
                <w:color w:val="auto"/>
                <w:sz w:val="21"/>
                <w:szCs w:val="21"/>
              </w:rPr>
              <w:t>101°35′56″</w:t>
            </w:r>
            <w:r>
              <w:rPr>
                <w:rFonts w:hint="eastAsia"/>
                <w:color w:val="auto"/>
                <w:sz w:val="21"/>
                <w:szCs w:val="21"/>
                <w:lang w:eastAsia="zh-CN"/>
              </w:rPr>
              <w:t>、北纬</w:t>
            </w:r>
            <w:r>
              <w:rPr>
                <w:color w:val="auto"/>
                <w:sz w:val="21"/>
                <w:szCs w:val="21"/>
              </w:rPr>
              <w:t>25°2′32″）</w:t>
            </w:r>
            <w:r>
              <w:rPr>
                <w:rFonts w:hint="eastAsia"/>
                <w:color w:val="auto"/>
                <w:sz w:val="21"/>
                <w:szCs w:val="21"/>
              </w:rPr>
              <w:t>、</w:t>
            </w:r>
            <w:r>
              <w:rPr>
                <w:color w:val="auto"/>
                <w:sz w:val="21"/>
                <w:szCs w:val="21"/>
              </w:rPr>
              <w:t>王家小屯水井（</w:t>
            </w:r>
            <w:r>
              <w:rPr>
                <w:rFonts w:hint="eastAsia"/>
                <w:color w:val="auto"/>
                <w:sz w:val="21"/>
                <w:szCs w:val="21"/>
                <w:lang w:eastAsia="zh-CN"/>
              </w:rPr>
              <w:t>东经</w:t>
            </w:r>
            <w:r>
              <w:rPr>
                <w:color w:val="auto"/>
                <w:sz w:val="21"/>
                <w:szCs w:val="21"/>
              </w:rPr>
              <w:t>101°36′32″</w:t>
            </w:r>
            <w:r>
              <w:rPr>
                <w:rFonts w:hint="eastAsia"/>
                <w:color w:val="auto"/>
                <w:sz w:val="21"/>
                <w:szCs w:val="21"/>
                <w:lang w:eastAsia="zh-CN"/>
              </w:rPr>
              <w:t>、北纬</w:t>
            </w:r>
            <w:r>
              <w:rPr>
                <w:color w:val="auto"/>
                <w:sz w:val="21"/>
                <w:szCs w:val="21"/>
              </w:rPr>
              <w:t>25°1′5″）</w:t>
            </w:r>
            <w:r>
              <w:rPr>
                <w:rFonts w:hint="eastAsia"/>
                <w:color w:val="auto"/>
                <w:sz w:val="21"/>
                <w:szCs w:val="21"/>
              </w:rPr>
              <w:t>、</w:t>
            </w:r>
            <w:r>
              <w:rPr>
                <w:color w:val="auto"/>
                <w:sz w:val="21"/>
                <w:szCs w:val="21"/>
              </w:rPr>
              <w:t>大东村水井（</w:t>
            </w:r>
            <w:r>
              <w:rPr>
                <w:rFonts w:hint="eastAsia"/>
                <w:color w:val="auto"/>
                <w:sz w:val="21"/>
                <w:szCs w:val="21"/>
                <w:lang w:eastAsia="zh-CN"/>
              </w:rPr>
              <w:t>东经</w:t>
            </w:r>
            <w:r>
              <w:rPr>
                <w:color w:val="auto"/>
                <w:sz w:val="21"/>
                <w:szCs w:val="21"/>
              </w:rPr>
              <w:t>101°36′39″</w:t>
            </w:r>
            <w:r>
              <w:rPr>
                <w:rFonts w:hint="eastAsia"/>
                <w:color w:val="auto"/>
                <w:sz w:val="21"/>
                <w:szCs w:val="21"/>
                <w:lang w:eastAsia="zh-CN"/>
              </w:rPr>
              <w:t>、</w:t>
            </w:r>
            <w:r>
              <w:rPr>
                <w:color w:val="auto"/>
                <w:sz w:val="21"/>
                <w:szCs w:val="21"/>
              </w:rPr>
              <w:t>24°59′51″ ）</w:t>
            </w:r>
            <w:r>
              <w:rPr>
                <w:rFonts w:hint="eastAsia"/>
                <w:color w:val="auto"/>
                <w:sz w:val="21"/>
                <w:szCs w:val="21"/>
                <w:lang w:eastAsia="zh-CN"/>
              </w:rPr>
              <w:t>以上泉点、水井均无饮用功能，作为农业灌溉用水</w:t>
            </w:r>
            <w:r>
              <w:rPr>
                <w:rFonts w:hint="eastAsia"/>
                <w:color w:val="auto"/>
                <w:sz w:val="21"/>
                <w:szCs w:val="21"/>
              </w:rPr>
              <w:t>。</w:t>
            </w:r>
          </w:p>
        </w:tc>
        <w:tc>
          <w:tcPr>
            <w:tcW w:w="2064" w:type="dxa"/>
            <w:vAlign w:val="center"/>
          </w:tcPr>
          <w:p>
            <w:pPr>
              <w:spacing w:line="240" w:lineRule="auto"/>
              <w:ind w:firstLine="0" w:firstLineChars="0"/>
              <w:jc w:val="center"/>
              <w:rPr>
                <w:color w:val="auto"/>
                <w:kern w:val="21"/>
                <w:sz w:val="21"/>
                <w:szCs w:val="21"/>
              </w:rPr>
            </w:pPr>
            <w:r>
              <w:rPr>
                <w:color w:val="auto"/>
                <w:kern w:val="21"/>
                <w:sz w:val="21"/>
                <w:szCs w:val="21"/>
              </w:rPr>
              <w:t>《地下水质量标准》（GB/T14848-2017）Ⅲ类水质标准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5" w:type="dxa"/>
            <w:vAlign w:val="center"/>
          </w:tcPr>
          <w:p>
            <w:pPr>
              <w:spacing w:line="240" w:lineRule="auto"/>
              <w:ind w:firstLine="0" w:firstLineChars="0"/>
              <w:jc w:val="center"/>
              <w:rPr>
                <w:color w:val="auto"/>
                <w:kern w:val="21"/>
                <w:sz w:val="21"/>
                <w:szCs w:val="21"/>
              </w:rPr>
            </w:pPr>
            <w:r>
              <w:rPr>
                <w:color w:val="auto"/>
                <w:kern w:val="21"/>
                <w:sz w:val="21"/>
                <w:szCs w:val="21"/>
              </w:rPr>
              <w:t>3</w:t>
            </w:r>
          </w:p>
        </w:tc>
        <w:tc>
          <w:tcPr>
            <w:tcW w:w="761" w:type="dxa"/>
            <w:vAlign w:val="center"/>
          </w:tcPr>
          <w:p>
            <w:pPr>
              <w:spacing w:line="240" w:lineRule="auto"/>
              <w:ind w:firstLine="0" w:firstLineChars="0"/>
              <w:jc w:val="center"/>
              <w:rPr>
                <w:color w:val="auto"/>
                <w:kern w:val="21"/>
                <w:sz w:val="21"/>
                <w:szCs w:val="21"/>
              </w:rPr>
            </w:pPr>
            <w:r>
              <w:rPr>
                <w:color w:val="auto"/>
                <w:kern w:val="21"/>
                <w:sz w:val="21"/>
                <w:szCs w:val="21"/>
              </w:rPr>
              <w:t>地表水环境</w:t>
            </w:r>
          </w:p>
        </w:tc>
        <w:tc>
          <w:tcPr>
            <w:tcW w:w="1876" w:type="dxa"/>
            <w:vAlign w:val="center"/>
          </w:tcPr>
          <w:p>
            <w:pPr>
              <w:spacing w:line="240" w:lineRule="auto"/>
              <w:ind w:firstLine="0" w:firstLineChars="0"/>
              <w:jc w:val="center"/>
              <w:rPr>
                <w:color w:val="auto"/>
                <w:kern w:val="21"/>
                <w:sz w:val="21"/>
                <w:szCs w:val="21"/>
              </w:rPr>
            </w:pPr>
            <w:r>
              <w:rPr>
                <w:color w:val="auto"/>
                <w:kern w:val="21"/>
                <w:sz w:val="21"/>
                <w:szCs w:val="21"/>
              </w:rPr>
              <w:t>青龙河、龙川江</w:t>
            </w:r>
          </w:p>
        </w:tc>
        <w:tc>
          <w:tcPr>
            <w:tcW w:w="3420" w:type="dxa"/>
            <w:vAlign w:val="center"/>
          </w:tcPr>
          <w:p>
            <w:pPr>
              <w:spacing w:line="240" w:lineRule="auto"/>
              <w:ind w:firstLine="0" w:firstLineChars="0"/>
              <w:jc w:val="center"/>
              <w:rPr>
                <w:color w:val="auto"/>
                <w:kern w:val="21"/>
                <w:sz w:val="21"/>
                <w:szCs w:val="21"/>
              </w:rPr>
            </w:pPr>
            <w:r>
              <w:rPr>
                <w:color w:val="auto"/>
                <w:kern w:val="21"/>
                <w:sz w:val="21"/>
                <w:szCs w:val="21"/>
              </w:rPr>
              <w:t>青龙河位于项目西面，距离厂界直线距离3580m，高差为项目区高于青龙河约约47m~44m；龙川江位于项目区北面，距离厂界直线距离4367m</w:t>
            </w:r>
          </w:p>
        </w:tc>
        <w:tc>
          <w:tcPr>
            <w:tcW w:w="2064" w:type="dxa"/>
            <w:vAlign w:val="center"/>
          </w:tcPr>
          <w:p>
            <w:pPr>
              <w:spacing w:line="240" w:lineRule="auto"/>
              <w:ind w:firstLine="0" w:firstLineChars="0"/>
              <w:jc w:val="center"/>
              <w:rPr>
                <w:color w:val="auto"/>
                <w:kern w:val="21"/>
                <w:sz w:val="21"/>
                <w:szCs w:val="21"/>
              </w:rPr>
            </w:pPr>
            <w:r>
              <w:rPr>
                <w:color w:val="auto"/>
                <w:kern w:val="21"/>
                <w:sz w:val="21"/>
                <w:szCs w:val="21"/>
              </w:rPr>
              <w:t>《地表水环境质量标准》（GB3838-2002）中的Ⅳ类水质标准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jc w:val="center"/>
        </w:trPr>
        <w:tc>
          <w:tcPr>
            <w:tcW w:w="525" w:type="dxa"/>
            <w:vAlign w:val="center"/>
          </w:tcPr>
          <w:p>
            <w:pPr>
              <w:spacing w:line="240" w:lineRule="auto"/>
              <w:ind w:firstLine="0" w:firstLineChars="0"/>
              <w:jc w:val="center"/>
              <w:rPr>
                <w:color w:val="auto"/>
                <w:kern w:val="21"/>
                <w:sz w:val="21"/>
                <w:szCs w:val="21"/>
              </w:rPr>
            </w:pPr>
            <w:r>
              <w:rPr>
                <w:color w:val="auto"/>
                <w:kern w:val="21"/>
                <w:sz w:val="21"/>
                <w:szCs w:val="21"/>
              </w:rPr>
              <w:t>4</w:t>
            </w:r>
          </w:p>
        </w:tc>
        <w:tc>
          <w:tcPr>
            <w:tcW w:w="761" w:type="dxa"/>
            <w:vAlign w:val="center"/>
          </w:tcPr>
          <w:p>
            <w:pPr>
              <w:spacing w:line="240" w:lineRule="auto"/>
              <w:ind w:firstLine="0" w:firstLineChars="0"/>
              <w:jc w:val="center"/>
              <w:rPr>
                <w:color w:val="auto"/>
                <w:kern w:val="21"/>
                <w:sz w:val="21"/>
                <w:szCs w:val="21"/>
              </w:rPr>
            </w:pPr>
            <w:r>
              <w:rPr>
                <w:color w:val="auto"/>
                <w:kern w:val="21"/>
                <w:sz w:val="21"/>
                <w:szCs w:val="21"/>
              </w:rPr>
              <w:t>生态环境</w:t>
            </w:r>
          </w:p>
        </w:tc>
        <w:tc>
          <w:tcPr>
            <w:tcW w:w="1876" w:type="dxa"/>
            <w:vAlign w:val="center"/>
          </w:tcPr>
          <w:p>
            <w:pPr>
              <w:spacing w:line="240" w:lineRule="auto"/>
              <w:ind w:firstLine="0" w:firstLineChars="0"/>
              <w:jc w:val="center"/>
              <w:rPr>
                <w:color w:val="auto"/>
                <w:kern w:val="21"/>
                <w:sz w:val="21"/>
                <w:szCs w:val="21"/>
              </w:rPr>
            </w:pPr>
            <w:r>
              <w:rPr>
                <w:color w:val="auto"/>
                <w:kern w:val="21"/>
                <w:sz w:val="21"/>
                <w:szCs w:val="21"/>
              </w:rPr>
              <w:t>厂区及周围植被</w:t>
            </w:r>
          </w:p>
        </w:tc>
        <w:tc>
          <w:tcPr>
            <w:tcW w:w="3420" w:type="dxa"/>
            <w:vAlign w:val="center"/>
          </w:tcPr>
          <w:p>
            <w:pPr>
              <w:spacing w:line="240" w:lineRule="auto"/>
              <w:ind w:firstLine="0" w:firstLineChars="0"/>
              <w:jc w:val="center"/>
              <w:rPr>
                <w:color w:val="auto"/>
                <w:kern w:val="21"/>
                <w:sz w:val="21"/>
                <w:szCs w:val="21"/>
              </w:rPr>
            </w:pPr>
            <w:r>
              <w:rPr>
                <w:color w:val="auto"/>
                <w:kern w:val="21"/>
                <w:sz w:val="21"/>
                <w:szCs w:val="21"/>
              </w:rPr>
              <w:t>厂区及厂区周围</w:t>
            </w:r>
            <w:r>
              <w:rPr>
                <w:rFonts w:hint="eastAsia"/>
                <w:color w:val="auto"/>
                <w:kern w:val="21"/>
                <w:sz w:val="21"/>
              </w:rPr>
              <w:t>2</w:t>
            </w:r>
            <w:r>
              <w:rPr>
                <w:color w:val="auto"/>
                <w:kern w:val="21"/>
                <w:sz w:val="21"/>
              </w:rPr>
              <w:t>00m</w:t>
            </w:r>
          </w:p>
        </w:tc>
        <w:tc>
          <w:tcPr>
            <w:tcW w:w="2064" w:type="dxa"/>
            <w:vAlign w:val="center"/>
          </w:tcPr>
          <w:p>
            <w:pPr>
              <w:spacing w:line="240" w:lineRule="auto"/>
              <w:ind w:firstLine="0" w:firstLineChars="0"/>
              <w:jc w:val="center"/>
              <w:rPr>
                <w:color w:val="auto"/>
                <w:kern w:val="21"/>
                <w:sz w:val="21"/>
                <w:szCs w:val="21"/>
              </w:rPr>
            </w:pPr>
            <w:r>
              <w:rPr>
                <w:color w:val="auto"/>
                <w:kern w:val="21"/>
                <w:sz w:val="21"/>
                <w:szCs w:val="21"/>
              </w:rPr>
              <w:t>保护现有植被、动物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jc w:val="center"/>
        </w:trPr>
        <w:tc>
          <w:tcPr>
            <w:tcW w:w="525" w:type="dxa"/>
            <w:vAlign w:val="center"/>
          </w:tcPr>
          <w:p>
            <w:pPr>
              <w:spacing w:line="240" w:lineRule="auto"/>
              <w:ind w:firstLine="0" w:firstLineChars="0"/>
              <w:jc w:val="center"/>
              <w:rPr>
                <w:color w:val="auto"/>
                <w:kern w:val="21"/>
                <w:sz w:val="21"/>
                <w:szCs w:val="21"/>
              </w:rPr>
            </w:pPr>
            <w:r>
              <w:rPr>
                <w:color w:val="auto"/>
                <w:kern w:val="21"/>
                <w:sz w:val="21"/>
                <w:szCs w:val="21"/>
              </w:rPr>
              <w:t>5</w:t>
            </w:r>
          </w:p>
        </w:tc>
        <w:tc>
          <w:tcPr>
            <w:tcW w:w="761" w:type="dxa"/>
            <w:vAlign w:val="center"/>
          </w:tcPr>
          <w:p>
            <w:pPr>
              <w:spacing w:line="240" w:lineRule="auto"/>
              <w:ind w:firstLine="0" w:firstLineChars="0"/>
              <w:jc w:val="center"/>
              <w:rPr>
                <w:color w:val="auto"/>
                <w:kern w:val="21"/>
                <w:sz w:val="21"/>
                <w:szCs w:val="21"/>
              </w:rPr>
            </w:pPr>
            <w:r>
              <w:rPr>
                <w:color w:val="auto"/>
                <w:kern w:val="21"/>
                <w:sz w:val="21"/>
                <w:szCs w:val="21"/>
              </w:rPr>
              <w:t>土壤</w:t>
            </w:r>
          </w:p>
        </w:tc>
        <w:tc>
          <w:tcPr>
            <w:tcW w:w="1876" w:type="dxa"/>
            <w:vAlign w:val="center"/>
          </w:tcPr>
          <w:p>
            <w:pPr>
              <w:spacing w:line="240" w:lineRule="auto"/>
              <w:ind w:firstLine="0" w:firstLineChars="0"/>
              <w:jc w:val="center"/>
              <w:rPr>
                <w:color w:val="auto"/>
                <w:kern w:val="21"/>
                <w:sz w:val="21"/>
                <w:szCs w:val="21"/>
              </w:rPr>
            </w:pPr>
            <w:r>
              <w:rPr>
                <w:color w:val="auto"/>
                <w:kern w:val="21"/>
                <w:sz w:val="21"/>
                <w:szCs w:val="21"/>
              </w:rPr>
              <w:t>土壤</w:t>
            </w:r>
          </w:p>
        </w:tc>
        <w:tc>
          <w:tcPr>
            <w:tcW w:w="3420" w:type="dxa"/>
            <w:vAlign w:val="center"/>
          </w:tcPr>
          <w:p>
            <w:pPr>
              <w:spacing w:line="240" w:lineRule="auto"/>
              <w:ind w:firstLine="0" w:firstLineChars="0"/>
              <w:jc w:val="center"/>
              <w:rPr>
                <w:color w:val="auto"/>
                <w:kern w:val="21"/>
                <w:sz w:val="21"/>
                <w:szCs w:val="21"/>
              </w:rPr>
            </w:pPr>
            <w:r>
              <w:rPr>
                <w:color w:val="auto"/>
                <w:kern w:val="21"/>
                <w:sz w:val="21"/>
                <w:szCs w:val="21"/>
              </w:rPr>
              <w:t>厂区及厂区周围</w:t>
            </w:r>
            <w:r>
              <w:rPr>
                <w:color w:val="auto"/>
                <w:kern w:val="21"/>
                <w:sz w:val="21"/>
              </w:rPr>
              <w:t>50m</w:t>
            </w:r>
          </w:p>
        </w:tc>
        <w:tc>
          <w:tcPr>
            <w:tcW w:w="2064" w:type="dxa"/>
            <w:vAlign w:val="center"/>
          </w:tcPr>
          <w:p>
            <w:pPr>
              <w:spacing w:line="240" w:lineRule="auto"/>
              <w:ind w:firstLine="0" w:firstLineChars="0"/>
              <w:jc w:val="center"/>
              <w:rPr>
                <w:color w:val="auto"/>
                <w:kern w:val="21"/>
                <w:sz w:val="21"/>
                <w:szCs w:val="21"/>
              </w:rPr>
            </w:pPr>
            <w:r>
              <w:rPr>
                <w:color w:val="auto"/>
                <w:kern w:val="21"/>
                <w:sz w:val="21"/>
                <w:szCs w:val="21"/>
              </w:rPr>
              <w:t>《土壤环境质量建设用地土壤污染风险管控标准（试行）》（GB36600-2018）表1中第二类用地标准值</w:t>
            </w:r>
          </w:p>
        </w:tc>
      </w:tr>
    </w:tbl>
    <w:p>
      <w:pPr>
        <w:keepNext w:val="0"/>
        <w:keepLines w:val="0"/>
        <w:pageBreakBefore w:val="0"/>
        <w:widowControl w:val="0"/>
        <w:numPr>
          <w:ilvl w:val="0"/>
          <w:numId w:val="2"/>
        </w:numPr>
        <w:kinsoku/>
        <w:wordWrap/>
        <w:overflowPunct/>
        <w:topLinePunct/>
        <w:autoSpaceDE/>
        <w:autoSpaceDN/>
        <w:bidi w:val="0"/>
        <w:adjustRightInd/>
        <w:snapToGrid/>
        <w:spacing w:before="0" w:beforeLines="50"/>
        <w:ind w:left="0" w:leftChars="0" w:firstLine="0" w:firstLineChars="0"/>
        <w:jc w:val="center"/>
        <w:textAlignment w:val="auto"/>
        <w:rPr>
          <w:b/>
          <w:color w:val="auto"/>
          <w:kern w:val="21"/>
        </w:rPr>
      </w:pPr>
      <w:r>
        <w:rPr>
          <w:rFonts w:hint="eastAsia"/>
          <w:b/>
          <w:color w:val="auto"/>
          <w:kern w:val="21"/>
        </w:rPr>
        <w:t>项目环境风险保护目标</w:t>
      </w:r>
    </w:p>
    <w:tbl>
      <w:tblPr>
        <w:tblStyle w:val="51"/>
        <w:tblW w:w="863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4"/>
        <w:gridCol w:w="990"/>
        <w:gridCol w:w="845"/>
        <w:gridCol w:w="255"/>
        <w:gridCol w:w="1310"/>
        <w:gridCol w:w="1590"/>
        <w:gridCol w:w="546"/>
        <w:gridCol w:w="264"/>
        <w:gridCol w:w="11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3" w:hRule="atLeast"/>
          <w:jc w:val="center"/>
        </w:trPr>
        <w:tc>
          <w:tcPr>
            <w:tcW w:w="8633" w:type="dxa"/>
            <w:gridSpan w:val="9"/>
            <w:vAlign w:val="center"/>
          </w:tcPr>
          <w:p>
            <w:pPr>
              <w:widowControl/>
              <w:kinsoku w:val="0"/>
              <w:autoSpaceDE w:val="0"/>
              <w:autoSpaceDN w:val="0"/>
              <w:spacing w:line="240" w:lineRule="auto"/>
              <w:ind w:firstLine="0" w:firstLineChars="0"/>
              <w:jc w:val="center"/>
              <w:textAlignment w:val="baseline"/>
              <w:rPr>
                <w:color w:val="auto"/>
                <w:spacing w:val="7"/>
                <w:sz w:val="21"/>
                <w:szCs w:val="21"/>
              </w:rPr>
            </w:pPr>
            <w:r>
              <w:rPr>
                <w:rFonts w:hint="eastAsia"/>
                <w:color w:val="auto"/>
                <w:spacing w:val="7"/>
                <w:sz w:val="21"/>
                <w:szCs w:val="21"/>
              </w:rPr>
              <w:t>本项目环境风险评价等级为“简单分析”，故大气环境风险评价不设评价范围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8633" w:type="dxa"/>
            <w:gridSpan w:val="9"/>
            <w:vAlign w:val="center"/>
          </w:tcPr>
          <w:p>
            <w:pPr>
              <w:widowControl/>
              <w:kinsoku w:val="0"/>
              <w:autoSpaceDE w:val="0"/>
              <w:autoSpaceDN w:val="0"/>
              <w:spacing w:line="240" w:lineRule="auto"/>
              <w:ind w:firstLine="0" w:firstLineChars="0"/>
              <w:jc w:val="center"/>
              <w:textAlignment w:val="baseline"/>
              <w:rPr>
                <w:b/>
                <w:bCs/>
                <w:color w:val="auto"/>
                <w:spacing w:val="7"/>
                <w:sz w:val="21"/>
                <w:szCs w:val="21"/>
              </w:rPr>
            </w:pPr>
            <w:r>
              <w:rPr>
                <w:b/>
                <w:bCs/>
                <w:color w:val="auto"/>
                <w:spacing w:val="7"/>
                <w:sz w:val="21"/>
                <w:szCs w:val="21"/>
              </w:rPr>
              <w:t>地表水环境风险保护目标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3499" w:type="dxa"/>
            <w:gridSpan w:val="3"/>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8"/>
                <w:sz w:val="21"/>
                <w:szCs w:val="21"/>
              </w:rPr>
              <w:t>保护目标名称</w:t>
            </w:r>
          </w:p>
        </w:tc>
        <w:tc>
          <w:tcPr>
            <w:tcW w:w="1565"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8"/>
                <w:sz w:val="21"/>
                <w:szCs w:val="21"/>
              </w:rPr>
              <w:t>与</w:t>
            </w:r>
            <w:r>
              <w:rPr>
                <w:color w:val="auto"/>
                <w:spacing w:val="7"/>
                <w:sz w:val="21"/>
                <w:szCs w:val="21"/>
              </w:rPr>
              <w:t>厂界方位</w:t>
            </w:r>
          </w:p>
        </w:tc>
        <w:tc>
          <w:tcPr>
            <w:tcW w:w="2136"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17"/>
                <w:sz w:val="21"/>
                <w:szCs w:val="21"/>
              </w:rPr>
              <w:t>与厂界距离</w:t>
            </w:r>
            <w:r>
              <w:rPr>
                <w:rFonts w:hint="eastAsia"/>
                <w:color w:val="auto"/>
                <w:spacing w:val="17"/>
                <w:sz w:val="21"/>
                <w:szCs w:val="21"/>
              </w:rPr>
              <w:t>（</w:t>
            </w:r>
            <w:r>
              <w:rPr>
                <w:color w:val="auto"/>
                <w:spacing w:val="17"/>
                <w:sz w:val="21"/>
                <w:szCs w:val="21"/>
              </w:rPr>
              <w:t>k</w:t>
            </w:r>
            <w:r>
              <w:rPr>
                <w:color w:val="auto"/>
                <w:sz w:val="21"/>
                <w:szCs w:val="21"/>
              </w:rPr>
              <w:t>m</w:t>
            </w:r>
            <w:r>
              <w:rPr>
                <w:rFonts w:hint="eastAsia"/>
                <w:color w:val="auto"/>
                <w:spacing w:val="16"/>
                <w:sz w:val="21"/>
                <w:szCs w:val="21"/>
              </w:rPr>
              <w:t>）</w:t>
            </w:r>
          </w:p>
        </w:tc>
        <w:tc>
          <w:tcPr>
            <w:tcW w:w="1433"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7"/>
                <w:sz w:val="21"/>
                <w:szCs w:val="21"/>
              </w:rPr>
              <w:t>保护级别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3499" w:type="dxa"/>
            <w:gridSpan w:val="3"/>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kern w:val="21"/>
                <w:sz w:val="21"/>
                <w:szCs w:val="21"/>
              </w:rPr>
              <w:t>青龙河</w:t>
            </w:r>
          </w:p>
        </w:tc>
        <w:tc>
          <w:tcPr>
            <w:tcW w:w="1565"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kern w:val="21"/>
                <w:sz w:val="21"/>
                <w:szCs w:val="21"/>
              </w:rPr>
              <w:t>西</w:t>
            </w:r>
          </w:p>
        </w:tc>
        <w:tc>
          <w:tcPr>
            <w:tcW w:w="2136"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2"/>
                <w:sz w:val="21"/>
                <w:szCs w:val="21"/>
              </w:rPr>
              <w:t>3.58</w:t>
            </w:r>
          </w:p>
        </w:tc>
        <w:tc>
          <w:tcPr>
            <w:tcW w:w="1433"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1"/>
                <w:sz w:val="21"/>
                <w:szCs w:val="21"/>
              </w:rPr>
              <w:t>I</w:t>
            </w:r>
            <w:r>
              <w:rPr>
                <w:color w:val="auto"/>
                <w:sz w:val="21"/>
                <w:szCs w:val="21"/>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jc w:val="center"/>
        </w:trPr>
        <w:tc>
          <w:tcPr>
            <w:tcW w:w="3499" w:type="dxa"/>
            <w:gridSpan w:val="3"/>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kern w:val="21"/>
                <w:sz w:val="21"/>
                <w:szCs w:val="21"/>
              </w:rPr>
              <w:t>龙川江</w:t>
            </w:r>
          </w:p>
        </w:tc>
        <w:tc>
          <w:tcPr>
            <w:tcW w:w="1565"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kern w:val="21"/>
                <w:sz w:val="21"/>
                <w:szCs w:val="21"/>
              </w:rPr>
              <w:t>北</w:t>
            </w:r>
          </w:p>
        </w:tc>
        <w:tc>
          <w:tcPr>
            <w:tcW w:w="2136"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5"/>
                <w:sz w:val="21"/>
                <w:szCs w:val="21"/>
              </w:rPr>
              <w:t>4.36</w:t>
            </w:r>
          </w:p>
        </w:tc>
        <w:tc>
          <w:tcPr>
            <w:tcW w:w="1433"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1"/>
                <w:sz w:val="21"/>
                <w:szCs w:val="21"/>
              </w:rPr>
              <w:t>I</w:t>
            </w:r>
            <w:r>
              <w:rPr>
                <w:color w:val="auto"/>
                <w:sz w:val="21"/>
                <w:szCs w:val="21"/>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jc w:val="center"/>
        </w:trPr>
        <w:tc>
          <w:tcPr>
            <w:tcW w:w="8633" w:type="dxa"/>
            <w:gridSpan w:val="9"/>
            <w:vAlign w:val="center"/>
          </w:tcPr>
          <w:p>
            <w:pPr>
              <w:widowControl/>
              <w:kinsoku w:val="0"/>
              <w:autoSpaceDE w:val="0"/>
              <w:autoSpaceDN w:val="0"/>
              <w:spacing w:line="240" w:lineRule="auto"/>
              <w:ind w:firstLine="0" w:firstLineChars="0"/>
              <w:jc w:val="center"/>
              <w:textAlignment w:val="baseline"/>
              <w:rPr>
                <w:b/>
                <w:bCs/>
                <w:color w:val="auto"/>
                <w:spacing w:val="7"/>
                <w:sz w:val="21"/>
                <w:szCs w:val="21"/>
              </w:rPr>
            </w:pPr>
            <w:r>
              <w:rPr>
                <w:b/>
                <w:bCs/>
                <w:color w:val="auto"/>
                <w:spacing w:val="7"/>
                <w:sz w:val="21"/>
                <w:szCs w:val="21"/>
              </w:rPr>
              <w:t>地下水环境风险保护目标</w:t>
            </w:r>
          </w:p>
          <w:p>
            <w:pPr>
              <w:widowControl/>
              <w:kinsoku w:val="0"/>
              <w:autoSpaceDE w:val="0"/>
              <w:autoSpaceDN w:val="0"/>
              <w:spacing w:line="240" w:lineRule="auto"/>
              <w:ind w:firstLine="0" w:firstLineChars="0"/>
              <w:jc w:val="center"/>
              <w:textAlignment w:val="baseline"/>
              <w:rPr>
                <w:b/>
                <w:bCs/>
                <w:color w:val="auto"/>
                <w:spacing w:val="7"/>
                <w:sz w:val="21"/>
                <w:szCs w:val="21"/>
              </w:rPr>
            </w:pPr>
            <w:r>
              <w:rPr>
                <w:color w:val="auto"/>
                <w:kern w:val="21"/>
                <w:sz w:val="21"/>
                <w:szCs w:val="21"/>
              </w:rPr>
              <w:t>项目厂界及周边约12.74km</w:t>
            </w:r>
            <w:r>
              <w:rPr>
                <w:color w:val="auto"/>
                <w:kern w:val="21"/>
                <w:sz w:val="21"/>
                <w:szCs w:val="21"/>
                <w:vertAlign w:val="superscript"/>
              </w:rPr>
              <w:t>2</w:t>
            </w:r>
            <w:r>
              <w:rPr>
                <w:color w:val="auto"/>
                <w:kern w:val="21"/>
                <w:sz w:val="21"/>
                <w:szCs w:val="21"/>
              </w:rPr>
              <w:t>范围的地下水，包括调查到的泉点、水井等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6" w:hRule="atLeast"/>
          <w:jc w:val="center"/>
        </w:trPr>
        <w:tc>
          <w:tcPr>
            <w:tcW w:w="1664" w:type="dxa"/>
            <w:vMerge w:val="restart"/>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12"/>
                <w:sz w:val="21"/>
                <w:szCs w:val="21"/>
              </w:rPr>
              <w:t>保</w:t>
            </w:r>
            <w:r>
              <w:rPr>
                <w:color w:val="auto"/>
                <w:spacing w:val="8"/>
                <w:sz w:val="21"/>
                <w:szCs w:val="21"/>
              </w:rPr>
              <w:t>护目标名称</w:t>
            </w:r>
          </w:p>
        </w:tc>
        <w:tc>
          <w:tcPr>
            <w:tcW w:w="2090" w:type="dxa"/>
            <w:gridSpan w:val="3"/>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6"/>
                <w:sz w:val="21"/>
                <w:szCs w:val="21"/>
              </w:rPr>
              <w:t>坐标</w:t>
            </w:r>
          </w:p>
        </w:tc>
        <w:tc>
          <w:tcPr>
            <w:tcW w:w="1310" w:type="dxa"/>
            <w:vMerge w:val="restart"/>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5"/>
                <w:sz w:val="21"/>
                <w:szCs w:val="21"/>
              </w:rPr>
              <w:t>与</w:t>
            </w:r>
            <w:r>
              <w:rPr>
                <w:color w:val="auto"/>
                <w:spacing w:val="4"/>
                <w:sz w:val="21"/>
                <w:szCs w:val="21"/>
              </w:rPr>
              <w:t>厂</w:t>
            </w:r>
            <w:r>
              <w:rPr>
                <w:color w:val="auto"/>
                <w:spacing w:val="6"/>
                <w:sz w:val="21"/>
                <w:szCs w:val="21"/>
              </w:rPr>
              <w:t>址方</w:t>
            </w:r>
            <w:r>
              <w:rPr>
                <w:color w:val="auto"/>
                <w:spacing w:val="2"/>
                <w:sz w:val="21"/>
                <w:szCs w:val="21"/>
              </w:rPr>
              <w:t>位</w:t>
            </w:r>
          </w:p>
        </w:tc>
        <w:tc>
          <w:tcPr>
            <w:tcW w:w="1590" w:type="dxa"/>
            <w:vMerge w:val="restart"/>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5"/>
                <w:position w:val="3"/>
                <w:sz w:val="21"/>
                <w:szCs w:val="21"/>
              </w:rPr>
              <w:t>距离厂界（</w:t>
            </w:r>
            <w:r>
              <w:rPr>
                <w:color w:val="auto"/>
                <w:position w:val="3"/>
                <w:sz w:val="21"/>
                <w:szCs w:val="21"/>
              </w:rPr>
              <w:t>km</w:t>
            </w:r>
            <w:r>
              <w:rPr>
                <w:rFonts w:hint="eastAsia"/>
                <w:color w:val="auto"/>
                <w:spacing w:val="5"/>
                <w:position w:val="3"/>
                <w:sz w:val="21"/>
                <w:szCs w:val="21"/>
              </w:rPr>
              <w:t>）</w:t>
            </w:r>
          </w:p>
        </w:tc>
        <w:tc>
          <w:tcPr>
            <w:tcW w:w="810" w:type="dxa"/>
            <w:gridSpan w:val="2"/>
            <w:vMerge w:val="restart"/>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6"/>
                <w:sz w:val="21"/>
                <w:szCs w:val="21"/>
              </w:rPr>
              <w:t>井深</w:t>
            </w:r>
          </w:p>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3"/>
                <w:position w:val="3"/>
                <w:sz w:val="21"/>
                <w:szCs w:val="21"/>
              </w:rPr>
              <w:t>（</w:t>
            </w:r>
            <w:r>
              <w:rPr>
                <w:color w:val="auto"/>
                <w:position w:val="3"/>
                <w:sz w:val="21"/>
                <w:szCs w:val="21"/>
              </w:rPr>
              <w:t>m</w:t>
            </w:r>
            <w:r>
              <w:rPr>
                <w:rFonts w:hint="eastAsia"/>
                <w:color w:val="auto"/>
                <w:spacing w:val="3"/>
                <w:position w:val="3"/>
                <w:sz w:val="21"/>
                <w:szCs w:val="21"/>
              </w:rPr>
              <w:t>）</w:t>
            </w:r>
          </w:p>
        </w:tc>
        <w:tc>
          <w:tcPr>
            <w:tcW w:w="1169" w:type="dxa"/>
            <w:vMerge w:val="restart"/>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9"/>
                <w:sz w:val="21"/>
                <w:szCs w:val="21"/>
              </w:rPr>
              <w:t>水</w:t>
            </w:r>
            <w:r>
              <w:rPr>
                <w:color w:val="auto"/>
                <w:spacing w:val="7"/>
                <w:sz w:val="21"/>
                <w:szCs w:val="21"/>
              </w:rPr>
              <w:t>位高程</w:t>
            </w:r>
          </w:p>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3"/>
                <w:position w:val="3"/>
                <w:sz w:val="21"/>
                <w:szCs w:val="21"/>
              </w:rPr>
              <w:t>（</w:t>
            </w:r>
            <w:r>
              <w:rPr>
                <w:color w:val="auto"/>
                <w:position w:val="3"/>
                <w:sz w:val="21"/>
                <w:szCs w:val="21"/>
              </w:rPr>
              <w:t>m</w:t>
            </w:r>
            <w:r>
              <w:rPr>
                <w:rFonts w:hint="eastAsia"/>
                <w:color w:val="auto"/>
                <w:spacing w:val="3"/>
                <w:position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8" w:hRule="atLeast"/>
          <w:jc w:val="center"/>
        </w:trPr>
        <w:tc>
          <w:tcPr>
            <w:tcW w:w="1664" w:type="dxa"/>
            <w:vMerge w:val="continue"/>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5"/>
                <w:sz w:val="21"/>
                <w:szCs w:val="21"/>
              </w:rPr>
              <w:t>北纬</w:t>
            </w:r>
          </w:p>
        </w:tc>
        <w:tc>
          <w:tcPr>
            <w:tcW w:w="110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3"/>
                <w:sz w:val="21"/>
                <w:szCs w:val="21"/>
              </w:rPr>
              <w:t>东经</w:t>
            </w:r>
          </w:p>
        </w:tc>
        <w:tc>
          <w:tcPr>
            <w:tcW w:w="1310" w:type="dxa"/>
            <w:vMerge w:val="continue"/>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1590" w:type="dxa"/>
            <w:vMerge w:val="continue"/>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810" w:type="dxa"/>
            <w:gridSpan w:val="2"/>
            <w:vMerge w:val="continue"/>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1169" w:type="dxa"/>
            <w:vMerge w:val="continue"/>
            <w:vAlign w:val="center"/>
          </w:tcPr>
          <w:p>
            <w:pPr>
              <w:widowControl/>
              <w:kinsoku w:val="0"/>
              <w:autoSpaceDE w:val="0"/>
              <w:autoSpaceDN w:val="0"/>
              <w:spacing w:line="240" w:lineRule="auto"/>
              <w:ind w:firstLine="0" w:firstLineChars="0"/>
              <w:jc w:val="center"/>
              <w:textAlignment w:val="baseline"/>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8" w:hRule="atLeast"/>
          <w:jc w:val="center"/>
        </w:trPr>
        <w:tc>
          <w:tcPr>
            <w:tcW w:w="1664"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11"/>
                <w:sz w:val="21"/>
                <w:szCs w:val="21"/>
              </w:rPr>
              <w:t>上平凹屯泉点</w:t>
            </w: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25°2′17″</w:t>
            </w:r>
          </w:p>
        </w:tc>
        <w:tc>
          <w:tcPr>
            <w:tcW w:w="110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101°34′45″</w:t>
            </w:r>
          </w:p>
        </w:tc>
        <w:tc>
          <w:tcPr>
            <w:tcW w:w="131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北</w:t>
            </w:r>
          </w:p>
        </w:tc>
        <w:tc>
          <w:tcPr>
            <w:tcW w:w="15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4"/>
                <w:sz w:val="21"/>
                <w:szCs w:val="21"/>
              </w:rPr>
              <w:t>2.7</w:t>
            </w:r>
          </w:p>
        </w:tc>
        <w:tc>
          <w:tcPr>
            <w:tcW w:w="81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5"/>
                <w:sz w:val="21"/>
                <w:szCs w:val="21"/>
              </w:rPr>
              <w:t>/</w:t>
            </w:r>
          </w:p>
        </w:tc>
        <w:tc>
          <w:tcPr>
            <w:tcW w:w="1169"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2"/>
                <w:sz w:val="21"/>
                <w:szCs w:val="21"/>
              </w:rPr>
              <w:t>1804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7" w:hRule="atLeast"/>
          <w:jc w:val="center"/>
        </w:trPr>
        <w:tc>
          <w:tcPr>
            <w:tcW w:w="1664"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7"/>
                <w:sz w:val="21"/>
                <w:szCs w:val="21"/>
              </w:rPr>
              <w:t>罗刀凹泉点</w:t>
            </w: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25°2′49″</w:t>
            </w:r>
          </w:p>
        </w:tc>
        <w:tc>
          <w:tcPr>
            <w:tcW w:w="110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101°36′23″</w:t>
            </w:r>
          </w:p>
        </w:tc>
        <w:tc>
          <w:tcPr>
            <w:tcW w:w="131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z w:val="21"/>
                <w:szCs w:val="21"/>
              </w:rPr>
              <w:t>东北</w:t>
            </w:r>
          </w:p>
        </w:tc>
        <w:tc>
          <w:tcPr>
            <w:tcW w:w="15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4"/>
                <w:sz w:val="21"/>
                <w:szCs w:val="21"/>
              </w:rPr>
              <w:t>2.5</w:t>
            </w:r>
          </w:p>
        </w:tc>
        <w:tc>
          <w:tcPr>
            <w:tcW w:w="81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5"/>
                <w:sz w:val="21"/>
                <w:szCs w:val="21"/>
              </w:rPr>
              <w:t>/</w:t>
            </w:r>
          </w:p>
        </w:tc>
        <w:tc>
          <w:tcPr>
            <w:tcW w:w="1169"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2"/>
                <w:sz w:val="21"/>
                <w:szCs w:val="21"/>
              </w:rPr>
              <w:t>1804.6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jc w:val="center"/>
        </w:trPr>
        <w:tc>
          <w:tcPr>
            <w:tcW w:w="1664"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沙溪冲水井</w:t>
            </w: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25°2′32″</w:t>
            </w:r>
          </w:p>
        </w:tc>
        <w:tc>
          <w:tcPr>
            <w:tcW w:w="110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101°35′56″</w:t>
            </w:r>
          </w:p>
        </w:tc>
        <w:tc>
          <w:tcPr>
            <w:tcW w:w="131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z w:val="21"/>
                <w:szCs w:val="21"/>
              </w:rPr>
              <w:t>东北</w:t>
            </w:r>
          </w:p>
        </w:tc>
        <w:tc>
          <w:tcPr>
            <w:tcW w:w="15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4"/>
                <w:sz w:val="21"/>
                <w:szCs w:val="21"/>
              </w:rPr>
              <w:t>1</w:t>
            </w:r>
            <w:r>
              <w:rPr>
                <w:color w:val="auto"/>
                <w:spacing w:val="-3"/>
                <w:sz w:val="21"/>
                <w:szCs w:val="21"/>
              </w:rPr>
              <w:t>.</w:t>
            </w:r>
            <w:r>
              <w:rPr>
                <w:rFonts w:hint="eastAsia"/>
                <w:color w:val="auto"/>
                <w:spacing w:val="-3"/>
                <w:sz w:val="21"/>
                <w:szCs w:val="21"/>
              </w:rPr>
              <w:t>9</w:t>
            </w:r>
          </w:p>
        </w:tc>
        <w:tc>
          <w:tcPr>
            <w:tcW w:w="81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5"/>
                <w:sz w:val="21"/>
                <w:szCs w:val="21"/>
              </w:rPr>
              <w:t>/</w:t>
            </w:r>
          </w:p>
        </w:tc>
        <w:tc>
          <w:tcPr>
            <w:tcW w:w="1169"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664"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王家小屯水井</w:t>
            </w: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25°1′5″</w:t>
            </w:r>
          </w:p>
        </w:tc>
        <w:tc>
          <w:tcPr>
            <w:tcW w:w="110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101°36′32″</w:t>
            </w:r>
          </w:p>
        </w:tc>
        <w:tc>
          <w:tcPr>
            <w:tcW w:w="131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z w:val="21"/>
                <w:szCs w:val="21"/>
              </w:rPr>
              <w:t>东南</w:t>
            </w:r>
          </w:p>
        </w:tc>
        <w:tc>
          <w:tcPr>
            <w:tcW w:w="15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4"/>
                <w:sz w:val="21"/>
                <w:szCs w:val="21"/>
              </w:rPr>
              <w:t>0.4</w:t>
            </w:r>
          </w:p>
        </w:tc>
        <w:tc>
          <w:tcPr>
            <w:tcW w:w="81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4"/>
                <w:sz w:val="21"/>
                <w:szCs w:val="21"/>
              </w:rPr>
              <w:t>2</w:t>
            </w:r>
            <w:r>
              <w:rPr>
                <w:color w:val="auto"/>
                <w:spacing w:val="4"/>
                <w:sz w:val="21"/>
                <w:szCs w:val="21"/>
              </w:rPr>
              <w:t>0</w:t>
            </w:r>
          </w:p>
        </w:tc>
        <w:tc>
          <w:tcPr>
            <w:tcW w:w="1169"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1820.61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jc w:val="center"/>
        </w:trPr>
        <w:tc>
          <w:tcPr>
            <w:tcW w:w="1664"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大东村水井</w:t>
            </w: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24°59′51″</w:t>
            </w:r>
          </w:p>
        </w:tc>
        <w:tc>
          <w:tcPr>
            <w:tcW w:w="110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101°36′39″</w:t>
            </w:r>
          </w:p>
        </w:tc>
        <w:tc>
          <w:tcPr>
            <w:tcW w:w="131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z w:val="21"/>
                <w:szCs w:val="21"/>
              </w:rPr>
              <w:t>西南</w:t>
            </w:r>
          </w:p>
        </w:tc>
        <w:tc>
          <w:tcPr>
            <w:tcW w:w="1590"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4"/>
                <w:sz w:val="21"/>
                <w:szCs w:val="21"/>
              </w:rPr>
              <w:t>2.3</w:t>
            </w:r>
          </w:p>
        </w:tc>
        <w:tc>
          <w:tcPr>
            <w:tcW w:w="81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5"/>
                <w:sz w:val="21"/>
                <w:szCs w:val="21"/>
              </w:rPr>
              <w:t>60</w:t>
            </w:r>
          </w:p>
        </w:tc>
        <w:tc>
          <w:tcPr>
            <w:tcW w:w="1169" w:type="dxa"/>
            <w:vAlign w:val="center"/>
          </w:tcPr>
          <w:p>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pacing w:val="5"/>
                <w:sz w:val="21"/>
                <w:szCs w:val="21"/>
              </w:rPr>
              <w:t>/</w:t>
            </w:r>
          </w:p>
        </w:tc>
      </w:tr>
    </w:tbl>
    <w:p>
      <w:pPr>
        <w:pStyle w:val="5"/>
        <w:spacing w:after="0"/>
        <w:rPr>
          <w:color w:val="auto"/>
          <w:kern w:val="21"/>
        </w:rPr>
      </w:pPr>
      <w:bookmarkStart w:id="30" w:name="_Toc18438"/>
      <w:r>
        <w:rPr>
          <w:color w:val="auto"/>
          <w:kern w:val="21"/>
        </w:rPr>
        <w:t>2.6评价时段</w:t>
      </w:r>
      <w:bookmarkEnd w:id="30"/>
    </w:p>
    <w:p>
      <w:pPr>
        <w:ind w:firstLine="480"/>
        <w:rPr>
          <w:color w:val="auto"/>
          <w:kern w:val="21"/>
        </w:rPr>
      </w:pPr>
      <w:r>
        <w:rPr>
          <w:color w:val="auto"/>
          <w:kern w:val="21"/>
        </w:rPr>
        <w:t>拟建工程为楚雄富民工业污水处理厂，本次评价的评价时段确定为施工期、运营期，重点为运营期。</w:t>
      </w:r>
    </w:p>
    <w:p>
      <w:pPr>
        <w:pStyle w:val="5"/>
        <w:spacing w:after="0"/>
        <w:rPr>
          <w:color w:val="auto"/>
          <w:kern w:val="21"/>
          <w:sz w:val="28"/>
        </w:rPr>
      </w:pPr>
      <w:bookmarkStart w:id="31" w:name="_Toc29479"/>
      <w:r>
        <w:rPr>
          <w:color w:val="auto"/>
          <w:kern w:val="21"/>
          <w:sz w:val="28"/>
        </w:rPr>
        <w:t>2.7评价工作程序</w:t>
      </w:r>
      <w:bookmarkEnd w:id="31"/>
    </w:p>
    <w:p>
      <w:pPr>
        <w:ind w:firstLine="480"/>
        <w:rPr>
          <w:color w:val="auto"/>
          <w:kern w:val="21"/>
        </w:rPr>
      </w:pPr>
      <w:r>
        <w:rPr>
          <w:color w:val="auto"/>
          <w:kern w:val="21"/>
        </w:rPr>
        <w:t>本项目环评工作程序见</w:t>
      </w:r>
      <w:r>
        <w:rPr>
          <w:rFonts w:hint="eastAsia"/>
          <w:color w:val="auto"/>
          <w:kern w:val="21"/>
          <w:lang w:eastAsia="zh-CN"/>
        </w:rPr>
        <w:t>下图</w:t>
      </w:r>
      <w:r>
        <w:rPr>
          <w:color w:val="auto"/>
          <w:kern w:val="21"/>
        </w:rPr>
        <w:t>。</w:t>
      </w:r>
    </w:p>
    <w:p>
      <w:pPr>
        <w:spacing w:line="240" w:lineRule="auto"/>
        <w:ind w:firstLine="0" w:firstLineChars="0"/>
        <w:jc w:val="center"/>
        <w:rPr>
          <w:color w:val="auto"/>
          <w:kern w:val="21"/>
        </w:rPr>
      </w:pPr>
      <w:r>
        <w:rPr>
          <w:color w:val="auto"/>
          <w:kern w:val="21"/>
        </w:rPr>
        <w:object>
          <v:shape id="_x0000_i1025" o:spt="75" type="#_x0000_t75" style="height:555.25pt;width:383.5pt;" o:ole="t" filled="f" o:preferrelative="t" stroked="f" coordsize="21600,21600">
            <v:path/>
            <v:fill on="f" focussize="0,0"/>
            <v:stroke on="f"/>
            <v:imagedata r:id="rId25" cropleft="3430f" croptop="-289f" o:title=""/>
            <o:lock v:ext="edit" aspectratio="t"/>
            <w10:wrap type="none"/>
            <w10:anchorlock/>
          </v:shape>
          <o:OLEObject Type="Embed" ProgID="Visio.Drawing.11" ShapeID="_x0000_i1025" DrawAspect="Content" ObjectID="_1468075725" r:id="rId24">
            <o:LockedField>false</o:LockedField>
          </o:OLEObject>
        </w:object>
      </w:r>
    </w:p>
    <w:p>
      <w:pPr>
        <w:numPr>
          <w:ilvl w:val="0"/>
          <w:numId w:val="4"/>
        </w:numPr>
        <w:spacing w:line="240" w:lineRule="auto"/>
        <w:ind w:left="0" w:leftChars="0" w:firstLine="420" w:firstLineChars="0"/>
        <w:jc w:val="center"/>
        <w:rPr>
          <w:b/>
          <w:color w:val="auto"/>
          <w:kern w:val="21"/>
        </w:rPr>
      </w:pPr>
      <w:r>
        <w:rPr>
          <w:b/>
          <w:color w:val="auto"/>
          <w:kern w:val="21"/>
        </w:rPr>
        <w:t>环境影响评价工作程序图</w:t>
      </w:r>
    </w:p>
    <w:p>
      <w:pPr>
        <w:rPr>
          <w:b/>
          <w:color w:val="auto"/>
          <w:kern w:val="21"/>
        </w:rPr>
      </w:pPr>
      <w:r>
        <w:rPr>
          <w:b/>
          <w:color w:val="auto"/>
          <w:kern w:val="21"/>
        </w:rPr>
        <w:br w:type="page"/>
      </w:r>
    </w:p>
    <w:p>
      <w:pPr>
        <w:pStyle w:val="4"/>
        <w:rPr>
          <w:color w:val="auto"/>
          <w:kern w:val="21"/>
          <w:szCs w:val="32"/>
        </w:rPr>
      </w:pPr>
      <w:bookmarkStart w:id="32" w:name="_Toc188246150"/>
      <w:bookmarkStart w:id="33" w:name="_Toc26006"/>
      <w:r>
        <w:rPr>
          <w:color w:val="auto"/>
          <w:kern w:val="21"/>
          <w:szCs w:val="32"/>
        </w:rPr>
        <w:t>3</w:t>
      </w:r>
      <w:bookmarkEnd w:id="32"/>
      <w:r>
        <w:rPr>
          <w:color w:val="auto"/>
          <w:kern w:val="21"/>
          <w:szCs w:val="32"/>
        </w:rPr>
        <w:t>建设项目工程分析</w:t>
      </w:r>
      <w:bookmarkEnd w:id="33"/>
    </w:p>
    <w:p>
      <w:pPr>
        <w:pStyle w:val="23"/>
        <w:spacing w:after="0" w:line="360" w:lineRule="auto"/>
        <w:ind w:left="0" w:leftChars="0" w:firstLine="480"/>
        <w:rPr>
          <w:color w:val="auto"/>
          <w:kern w:val="21"/>
        </w:rPr>
      </w:pPr>
      <w:r>
        <w:rPr>
          <w:color w:val="auto"/>
          <w:kern w:val="21"/>
          <w:lang w:bidi="ar"/>
        </w:rPr>
        <w:t>本项目为工业园区污水处理厂工程，近期（2025年）设计规模为0.5万m³/d，远期（2030年）设计规模为2.2万m³/d，本次评价对象为污水处理厂的近期，对于污水处理厂远期建设内容，</w:t>
      </w:r>
      <w:r>
        <w:rPr>
          <w:rFonts w:hint="eastAsia"/>
          <w:color w:val="auto"/>
          <w:kern w:val="21"/>
          <w:lang w:bidi="ar"/>
        </w:rPr>
        <w:t>建设单位</w:t>
      </w:r>
      <w:r>
        <w:rPr>
          <w:color w:val="auto"/>
          <w:kern w:val="21"/>
          <w:lang w:bidi="ar"/>
        </w:rPr>
        <w:t>应按照有关规定另行委托进行评价。根据项目可研，富民工业园区为一个整体规划的工业园区，所有建筑物和市政配套道路均为新建，故本工程采用完全分流制，园区工业废水、生活污水、雨水均采用独立的管网系统进行收集。</w:t>
      </w:r>
    </w:p>
    <w:p>
      <w:pPr>
        <w:pStyle w:val="5"/>
        <w:spacing w:after="0"/>
        <w:rPr>
          <w:color w:val="auto"/>
          <w:kern w:val="21"/>
          <w:sz w:val="28"/>
        </w:rPr>
      </w:pPr>
      <w:bookmarkStart w:id="34" w:name="_Toc22084"/>
      <w:r>
        <w:rPr>
          <w:color w:val="auto"/>
          <w:kern w:val="21"/>
          <w:sz w:val="28"/>
        </w:rPr>
        <w:t>3.1建项目概况</w:t>
      </w:r>
      <w:bookmarkEnd w:id="34"/>
    </w:p>
    <w:p>
      <w:pPr>
        <w:pStyle w:val="6"/>
        <w:spacing w:after="0"/>
        <w:rPr>
          <w:rFonts w:eastAsia="宋体"/>
          <w:color w:val="auto"/>
          <w:kern w:val="21"/>
          <w:sz w:val="24"/>
          <w:szCs w:val="24"/>
        </w:rPr>
      </w:pPr>
      <w:bookmarkStart w:id="35" w:name="_Toc508"/>
      <w:r>
        <w:rPr>
          <w:rFonts w:eastAsia="宋体"/>
          <w:color w:val="auto"/>
          <w:kern w:val="21"/>
          <w:sz w:val="24"/>
          <w:szCs w:val="24"/>
        </w:rPr>
        <w:t>3.1.1项目基本情况</w:t>
      </w:r>
      <w:bookmarkEnd w:id="35"/>
    </w:p>
    <w:p>
      <w:pPr>
        <w:ind w:firstLine="480"/>
        <w:rPr>
          <w:color w:val="auto"/>
          <w:kern w:val="21"/>
        </w:rPr>
      </w:pPr>
      <w:r>
        <w:rPr>
          <w:rFonts w:hint="eastAsia"/>
          <w:color w:val="auto"/>
          <w:kern w:val="21"/>
        </w:rPr>
        <w:t>（1）</w:t>
      </w:r>
      <w:r>
        <w:rPr>
          <w:color w:val="auto"/>
          <w:kern w:val="21"/>
        </w:rPr>
        <w:t>项目名称：</w:t>
      </w:r>
      <w:bookmarkStart w:id="36" w:name="OLE_LINK1"/>
      <w:r>
        <w:rPr>
          <w:color w:val="auto"/>
          <w:kern w:val="21"/>
        </w:rPr>
        <w:t>楚雄市富民工业园区污水处理厂工程</w:t>
      </w:r>
    </w:p>
    <w:bookmarkEnd w:id="36"/>
    <w:p>
      <w:pPr>
        <w:ind w:firstLine="480"/>
        <w:rPr>
          <w:color w:val="auto"/>
          <w:kern w:val="21"/>
        </w:rPr>
      </w:pPr>
      <w:r>
        <w:rPr>
          <w:color w:val="auto"/>
          <w:kern w:val="21"/>
        </w:rPr>
        <w:t>（2）建设性质：新</w:t>
      </w:r>
      <w:r>
        <w:rPr>
          <w:color w:val="auto"/>
          <w:kern w:val="21"/>
          <w:szCs w:val="32"/>
        </w:rPr>
        <w:t>建</w:t>
      </w:r>
    </w:p>
    <w:p>
      <w:pPr>
        <w:ind w:firstLine="480"/>
        <w:rPr>
          <w:color w:val="auto"/>
          <w:kern w:val="21"/>
        </w:rPr>
      </w:pPr>
      <w:r>
        <w:rPr>
          <w:color w:val="auto"/>
          <w:kern w:val="21"/>
        </w:rPr>
        <w:t>（3）建设地点：楚雄市东升路西侧（富民庄甸工业园区富民片区外侧边缘）</w:t>
      </w:r>
    </w:p>
    <w:p>
      <w:pPr>
        <w:widowControl/>
        <w:ind w:firstLine="480"/>
        <w:jc w:val="left"/>
        <w:rPr>
          <w:color w:val="auto"/>
          <w:kern w:val="21"/>
        </w:rPr>
      </w:pPr>
      <w:r>
        <w:rPr>
          <w:color w:val="auto"/>
          <w:kern w:val="21"/>
          <w:szCs w:val="20"/>
        </w:rPr>
        <w:t>（4）</w:t>
      </w:r>
      <w:r>
        <w:rPr>
          <w:color w:val="auto"/>
          <w:kern w:val="21"/>
        </w:rPr>
        <w:t>建设单位：</w:t>
      </w:r>
      <w:r>
        <w:rPr>
          <w:color w:val="auto"/>
          <w:kern w:val="21"/>
          <w:lang w:bidi="ar"/>
        </w:rPr>
        <w:t>楚雄市供排水有限公司</w:t>
      </w:r>
    </w:p>
    <w:p>
      <w:pPr>
        <w:widowControl/>
        <w:ind w:firstLine="480"/>
        <w:jc w:val="left"/>
        <w:rPr>
          <w:color w:val="auto"/>
          <w:kern w:val="21"/>
        </w:rPr>
      </w:pPr>
      <w:r>
        <w:rPr>
          <w:color w:val="auto"/>
          <w:kern w:val="21"/>
        </w:rPr>
        <w:t>（5）建设规模：</w:t>
      </w:r>
      <w:r>
        <w:rPr>
          <w:color w:val="auto"/>
          <w:kern w:val="21"/>
          <w:lang w:bidi="ar"/>
        </w:rPr>
        <w:t>设计规模为0.5万m³/d</w:t>
      </w:r>
    </w:p>
    <w:p>
      <w:pPr>
        <w:ind w:firstLine="480"/>
        <w:rPr>
          <w:color w:val="auto"/>
          <w:kern w:val="21"/>
        </w:rPr>
      </w:pPr>
      <w:r>
        <w:rPr>
          <w:rFonts w:hint="eastAsia"/>
          <w:color w:val="auto"/>
          <w:kern w:val="21"/>
        </w:rPr>
        <w:t>（6）</w:t>
      </w:r>
      <w:r>
        <w:rPr>
          <w:color w:val="auto"/>
          <w:kern w:val="21"/>
        </w:rPr>
        <w:t>项目总投资：</w:t>
      </w:r>
      <w:r>
        <w:rPr>
          <w:color w:val="auto"/>
          <w:kern w:val="21"/>
          <w:lang w:bidi="ar"/>
        </w:rPr>
        <w:t>6946.33万元</w:t>
      </w:r>
    </w:p>
    <w:p>
      <w:pPr>
        <w:pStyle w:val="23"/>
        <w:spacing w:after="0" w:line="360" w:lineRule="auto"/>
        <w:ind w:left="480" w:firstLine="0" w:firstLineChars="0"/>
        <w:rPr>
          <w:color w:val="auto"/>
          <w:kern w:val="21"/>
        </w:rPr>
      </w:pPr>
      <w:r>
        <w:rPr>
          <w:rFonts w:hint="eastAsia"/>
          <w:color w:val="auto"/>
          <w:kern w:val="21"/>
        </w:rPr>
        <w:t>（7）</w:t>
      </w:r>
      <w:r>
        <w:rPr>
          <w:color w:val="auto"/>
          <w:kern w:val="21"/>
        </w:rPr>
        <w:t>工程任务：治污</w:t>
      </w:r>
    </w:p>
    <w:p>
      <w:pPr>
        <w:pStyle w:val="23"/>
        <w:spacing w:after="0" w:line="360" w:lineRule="auto"/>
        <w:ind w:left="0" w:leftChars="0" w:firstLine="480"/>
        <w:rPr>
          <w:color w:val="auto"/>
          <w:kern w:val="21"/>
        </w:rPr>
      </w:pPr>
      <w:r>
        <w:rPr>
          <w:rFonts w:hint="eastAsia"/>
          <w:color w:val="auto"/>
          <w:kern w:val="21"/>
        </w:rPr>
        <w:t>（8）其他情况：根据楚雄州生态环境局行政处罚决定书（楚环罚字[2021]152号），见附件1</w:t>
      </w:r>
      <w:r>
        <w:rPr>
          <w:rFonts w:hint="eastAsia"/>
          <w:color w:val="auto"/>
          <w:kern w:val="21"/>
          <w:lang w:val="en-US" w:eastAsia="zh-CN"/>
        </w:rPr>
        <w:t>2</w:t>
      </w:r>
      <w:r>
        <w:rPr>
          <w:rFonts w:hint="eastAsia"/>
          <w:color w:val="auto"/>
          <w:kern w:val="21"/>
        </w:rPr>
        <w:t>，楚雄市富民工业园区污水处理厂建设项目环境影响报告书未经批准，建设单位擅自开工建设，存在未批先建的情况。</w:t>
      </w:r>
    </w:p>
    <w:p>
      <w:pPr>
        <w:pStyle w:val="6"/>
        <w:spacing w:after="0"/>
        <w:rPr>
          <w:rFonts w:eastAsia="宋体"/>
          <w:color w:val="auto"/>
          <w:kern w:val="21"/>
          <w:sz w:val="24"/>
          <w:szCs w:val="24"/>
        </w:rPr>
      </w:pPr>
      <w:bookmarkStart w:id="37" w:name="_Toc17530"/>
      <w:r>
        <w:rPr>
          <w:rFonts w:eastAsia="宋体"/>
          <w:color w:val="auto"/>
          <w:kern w:val="21"/>
          <w:sz w:val="24"/>
          <w:szCs w:val="24"/>
        </w:rPr>
        <w:t>3.1.2服务对象</w:t>
      </w:r>
      <w:bookmarkEnd w:id="37"/>
    </w:p>
    <w:p>
      <w:pPr>
        <w:pStyle w:val="23"/>
        <w:spacing w:after="0" w:line="360" w:lineRule="auto"/>
        <w:ind w:left="0" w:leftChars="0" w:firstLine="480"/>
        <w:rPr>
          <w:rFonts w:hint="eastAsia" w:eastAsia="宋体"/>
          <w:color w:val="auto"/>
          <w:kern w:val="21"/>
          <w:lang w:eastAsia="zh-CN" w:bidi="ar"/>
        </w:rPr>
      </w:pPr>
      <w:r>
        <w:rPr>
          <w:rFonts w:hint="eastAsia"/>
          <w:color w:val="auto"/>
          <w:kern w:val="21"/>
          <w:lang w:eastAsia="zh-CN" w:bidi="ar"/>
        </w:rPr>
        <w:t>本项目现状已建成运营，服务对象为</w:t>
      </w:r>
      <w:r>
        <w:rPr>
          <w:rFonts w:hint="eastAsia"/>
          <w:color w:val="auto"/>
          <w:kern w:val="21"/>
          <w:lang w:eastAsia="zh-CN"/>
        </w:rPr>
        <w:t>现状</w:t>
      </w:r>
      <w:r>
        <w:rPr>
          <w:color w:val="auto"/>
          <w:kern w:val="21"/>
        </w:rPr>
        <w:t>富民片区</w:t>
      </w:r>
      <w:r>
        <w:rPr>
          <w:rFonts w:hint="eastAsia"/>
          <w:color w:val="auto"/>
          <w:kern w:val="21"/>
          <w:lang w:eastAsia="zh-CN"/>
        </w:rPr>
        <w:t>内已建成的废水排放企业，共计</w:t>
      </w:r>
      <w:r>
        <w:rPr>
          <w:rFonts w:hint="eastAsia"/>
          <w:color w:val="auto"/>
          <w:kern w:val="21"/>
          <w:lang w:val="en-US" w:eastAsia="zh-CN"/>
        </w:rPr>
        <w:t>5家，分别为“晶科能源（楚雄）有限公司年产20吉瓦高效太阳能电池片生产线建设项目（一期）”（晶科能源（楚雄）有限公司）、“宇泽半导体（云南）有限公司年产5GW单晶硅拉棒及3GW切片项目、年产5GW单晶硅拉棒及2GW切片项目”（宇泽半导体（云南）有限公司）、“云南麻叶生物科技有限公司工业大麻加工建设项目”（云南麻叶生物科技有限公司）、“云南赛维汉普500吨花叶加工提取大麻二酚项目”（</w:t>
      </w:r>
      <w:r>
        <w:rPr>
          <w:rFonts w:hint="default"/>
          <w:color w:val="auto"/>
          <w:kern w:val="21"/>
          <w:lang w:val="en-US" w:eastAsia="zh-CN"/>
        </w:rPr>
        <w:fldChar w:fldCharType="begin"/>
      </w:r>
      <w:r>
        <w:rPr>
          <w:rFonts w:hint="default"/>
          <w:color w:val="auto"/>
          <w:kern w:val="21"/>
          <w:lang w:val="en-US" w:eastAsia="zh-CN"/>
        </w:rPr>
        <w:instrText xml:space="preserve"> HYPERLINK "https://www.so.com/link?m=bJ+82hqSEXCnhUK88ehDzCBf+qUH2pCFNFcsnc3fDTI1i2isszS7DH7oXx3Luoqb0DmjhS0j9jqW64xCjGy7j7Et7kHOjxq/crOesEq2g5Qtsu8wuAn0jvuHXSzgUSsAsE5/sjTQMnOAEruDed/EM5QQnmarPjKG9Z2PBaRgo/8C6DN29i5TClSYTj6+sXenk" \t "https://www.so.com/_blank" </w:instrText>
      </w:r>
      <w:r>
        <w:rPr>
          <w:rFonts w:hint="default"/>
          <w:color w:val="auto"/>
          <w:kern w:val="21"/>
          <w:lang w:val="en-US" w:eastAsia="zh-CN"/>
        </w:rPr>
        <w:fldChar w:fldCharType="separate"/>
      </w:r>
      <w:r>
        <w:rPr>
          <w:rFonts w:hint="default"/>
          <w:color w:val="auto"/>
          <w:kern w:val="21"/>
          <w:lang w:val="en-US" w:eastAsia="zh-CN"/>
        </w:rPr>
        <w:t>云南赛维汉普科技有限公司</w:t>
      </w:r>
      <w:r>
        <w:rPr>
          <w:rFonts w:hint="default"/>
          <w:color w:val="auto"/>
          <w:kern w:val="21"/>
          <w:lang w:val="en-US" w:eastAsia="zh-CN"/>
        </w:rPr>
        <w:fldChar w:fldCharType="end"/>
      </w:r>
      <w:r>
        <w:rPr>
          <w:rFonts w:hint="eastAsia"/>
          <w:color w:val="auto"/>
          <w:kern w:val="21"/>
          <w:lang w:val="en-US" w:eastAsia="zh-CN"/>
        </w:rPr>
        <w:t>）、“湖南方盛制药股份有限公司工业大麻加工基地建设项目”（云南芙雅生物科技有限公司）。</w:t>
      </w:r>
    </w:p>
    <w:p>
      <w:pPr>
        <w:widowControl/>
        <w:ind w:firstLine="480"/>
        <w:jc w:val="left"/>
        <w:rPr>
          <w:color w:val="auto"/>
          <w:kern w:val="21"/>
          <w:lang w:bidi="ar"/>
        </w:rPr>
      </w:pPr>
      <w:r>
        <w:rPr>
          <w:rFonts w:hint="eastAsia"/>
          <w:color w:val="auto"/>
          <w:kern w:val="21"/>
          <w:lang w:bidi="ar"/>
        </w:rPr>
        <w:t>目前，项目</w:t>
      </w:r>
      <w:r>
        <w:rPr>
          <w:rFonts w:hint="eastAsia"/>
          <w:color w:val="auto"/>
          <w:kern w:val="21"/>
          <w:lang w:eastAsia="zh-CN" w:bidi="ar"/>
        </w:rPr>
        <w:t>服务企业周边的市政污水管网均已建成并</w:t>
      </w:r>
      <w:r>
        <w:rPr>
          <w:rFonts w:hint="eastAsia"/>
          <w:color w:val="auto"/>
          <w:lang w:eastAsia="zh-CN"/>
        </w:rPr>
        <w:t>接入本项目。</w:t>
      </w:r>
      <w:r>
        <w:rPr>
          <w:rFonts w:hint="eastAsia"/>
          <w:color w:val="auto"/>
          <w:kern w:val="21"/>
          <w:lang w:bidi="ar"/>
        </w:rPr>
        <w:t>现有工程所在区域污水管网已建成宇泽厂内排污管网东西两段，在倪王路与1号路交叉口合并晶科北段排污管网，沿1号路一直汇入东升路污水管道，在东升路西污水管道检查井，通过接入支管最终进入污水处理厂进水口，晶科西段排污管网沿东升路向北接入东升路西污水管道检查井，通过接入支管最终进入污水处理厂进水口。大麻园区设置一条污水总管网，一直沿建材大道向西北进入东升路污水管道，然后向北汇入1号路与东升路交叉口，在东升路西污水管道检查井，通过接入支管最终进入</w:t>
      </w:r>
      <w:r>
        <w:rPr>
          <w:rFonts w:hint="eastAsia"/>
          <w:color w:val="auto"/>
          <w:kern w:val="21"/>
          <w:lang w:eastAsia="zh-CN" w:bidi="ar"/>
        </w:rPr>
        <w:t>项目</w:t>
      </w:r>
      <w:r>
        <w:rPr>
          <w:rFonts w:hint="eastAsia"/>
          <w:color w:val="auto"/>
          <w:kern w:val="21"/>
          <w:lang w:bidi="ar"/>
        </w:rPr>
        <w:t>污水处理厂进水口。项目所在区域污水管网布置图见附图8。</w:t>
      </w:r>
    </w:p>
    <w:p>
      <w:pPr>
        <w:pStyle w:val="6"/>
        <w:spacing w:after="0"/>
        <w:rPr>
          <w:rFonts w:eastAsia="宋体"/>
          <w:color w:val="auto"/>
          <w:kern w:val="21"/>
          <w:sz w:val="24"/>
          <w:szCs w:val="24"/>
        </w:rPr>
      </w:pPr>
      <w:bookmarkStart w:id="38" w:name="_Toc188246155"/>
      <w:bookmarkStart w:id="39" w:name="_Toc12091"/>
      <w:r>
        <w:rPr>
          <w:rFonts w:eastAsia="宋体"/>
          <w:color w:val="auto"/>
          <w:kern w:val="21"/>
          <w:sz w:val="24"/>
          <w:szCs w:val="24"/>
        </w:rPr>
        <w:t>3.</w:t>
      </w:r>
      <w:bookmarkEnd w:id="38"/>
      <w:r>
        <w:rPr>
          <w:rFonts w:eastAsia="宋体"/>
          <w:color w:val="auto"/>
          <w:kern w:val="21"/>
          <w:sz w:val="24"/>
          <w:szCs w:val="24"/>
        </w:rPr>
        <w:t>1.3项目处理</w:t>
      </w:r>
      <w:r>
        <w:rPr>
          <w:rFonts w:hint="eastAsia" w:eastAsia="宋体"/>
          <w:color w:val="auto"/>
          <w:kern w:val="21"/>
          <w:sz w:val="24"/>
          <w:szCs w:val="24"/>
        </w:rPr>
        <w:t>规模合理性</w:t>
      </w:r>
      <w:bookmarkEnd w:id="39"/>
    </w:p>
    <w:p>
      <w:pPr>
        <w:pStyle w:val="23"/>
        <w:spacing w:after="0" w:line="360" w:lineRule="auto"/>
        <w:ind w:left="0" w:leftChars="0" w:firstLine="480"/>
        <w:rPr>
          <w:color w:val="auto"/>
          <w:kern w:val="21"/>
          <w:lang w:bidi="ar"/>
        </w:rPr>
      </w:pPr>
      <w:r>
        <w:rPr>
          <w:rFonts w:hint="eastAsia"/>
          <w:color w:val="auto"/>
          <w:kern w:val="21"/>
          <w:lang w:eastAsia="zh-CN" w:bidi="ar"/>
        </w:rPr>
        <w:t>目前项目已建成运营，近期（</w:t>
      </w:r>
      <w:r>
        <w:rPr>
          <w:rFonts w:hint="eastAsia"/>
          <w:color w:val="auto"/>
          <w:kern w:val="21"/>
          <w:lang w:val="en-US" w:eastAsia="zh-CN" w:bidi="ar"/>
        </w:rPr>
        <w:t>2025年</w:t>
      </w:r>
      <w:r>
        <w:rPr>
          <w:rFonts w:hint="eastAsia"/>
          <w:color w:val="auto"/>
          <w:kern w:val="21"/>
          <w:lang w:eastAsia="zh-CN" w:bidi="ar"/>
        </w:rPr>
        <w:t>）设计处理规模为</w:t>
      </w:r>
      <w:r>
        <w:rPr>
          <w:rFonts w:hint="eastAsia"/>
          <w:color w:val="auto"/>
          <w:kern w:val="21"/>
          <w:lang w:val="en-US" w:eastAsia="zh-CN" w:bidi="ar"/>
        </w:rPr>
        <w:t>5000m</w:t>
      </w:r>
      <w:r>
        <w:rPr>
          <w:rFonts w:hint="eastAsia"/>
          <w:color w:val="auto"/>
          <w:kern w:val="21"/>
          <w:vertAlign w:val="superscript"/>
          <w:lang w:val="en-US" w:eastAsia="zh-CN" w:bidi="ar"/>
        </w:rPr>
        <w:t>3</w:t>
      </w:r>
      <w:r>
        <w:rPr>
          <w:rFonts w:hint="eastAsia"/>
          <w:color w:val="auto"/>
          <w:kern w:val="21"/>
          <w:vertAlign w:val="baseline"/>
          <w:lang w:val="en-US" w:eastAsia="zh-CN" w:bidi="ar"/>
        </w:rPr>
        <w:t>/d，实际建成处理规模为5000m</w:t>
      </w:r>
      <w:r>
        <w:rPr>
          <w:rFonts w:hint="eastAsia"/>
          <w:color w:val="auto"/>
          <w:kern w:val="21"/>
          <w:vertAlign w:val="superscript"/>
          <w:lang w:val="en-US" w:eastAsia="zh-CN" w:bidi="ar"/>
        </w:rPr>
        <w:t>3</w:t>
      </w:r>
      <w:r>
        <w:rPr>
          <w:rFonts w:hint="eastAsia"/>
          <w:color w:val="auto"/>
          <w:kern w:val="21"/>
          <w:vertAlign w:val="baseline"/>
          <w:lang w:val="en-US" w:eastAsia="zh-CN" w:bidi="ar"/>
        </w:rPr>
        <w:t>/d。</w:t>
      </w:r>
      <w:r>
        <w:rPr>
          <w:rFonts w:hint="eastAsia"/>
          <w:color w:val="auto"/>
          <w:kern w:val="21"/>
          <w:lang w:eastAsia="zh-CN" w:bidi="ar"/>
        </w:rPr>
        <w:t>根据建设单位提供的实际运行数据，项目实际接纳水量在</w:t>
      </w:r>
      <w:r>
        <w:rPr>
          <w:rFonts w:hint="eastAsia"/>
          <w:color w:val="auto"/>
          <w:kern w:val="21"/>
          <w:lang w:val="en-US" w:eastAsia="zh-CN" w:bidi="ar"/>
        </w:rPr>
        <w:t>2781m</w:t>
      </w:r>
      <w:r>
        <w:rPr>
          <w:rFonts w:hint="eastAsia"/>
          <w:color w:val="auto"/>
          <w:kern w:val="21"/>
          <w:vertAlign w:val="superscript"/>
          <w:lang w:val="en-US" w:eastAsia="zh-CN" w:bidi="ar"/>
        </w:rPr>
        <w:t>3</w:t>
      </w:r>
      <w:r>
        <w:rPr>
          <w:rFonts w:hint="eastAsia"/>
          <w:color w:val="auto"/>
          <w:kern w:val="21"/>
          <w:vertAlign w:val="baseline"/>
          <w:lang w:val="en-US" w:eastAsia="zh-CN" w:bidi="ar"/>
        </w:rPr>
        <w:t>/d~5326m</w:t>
      </w:r>
      <w:r>
        <w:rPr>
          <w:rFonts w:hint="eastAsia"/>
          <w:color w:val="auto"/>
          <w:kern w:val="21"/>
          <w:vertAlign w:val="superscript"/>
          <w:lang w:val="en-US" w:eastAsia="zh-CN" w:bidi="ar"/>
        </w:rPr>
        <w:t>3</w:t>
      </w:r>
      <w:r>
        <w:rPr>
          <w:rFonts w:hint="eastAsia"/>
          <w:color w:val="auto"/>
          <w:kern w:val="21"/>
          <w:vertAlign w:val="baseline"/>
          <w:lang w:val="en-US" w:eastAsia="zh-CN" w:bidi="ar"/>
        </w:rPr>
        <w:t>/d之间浮动，平均水量为4852m</w:t>
      </w:r>
      <w:r>
        <w:rPr>
          <w:rFonts w:hint="eastAsia"/>
          <w:color w:val="auto"/>
          <w:kern w:val="21"/>
          <w:vertAlign w:val="superscript"/>
          <w:lang w:val="en-US" w:eastAsia="zh-CN" w:bidi="ar"/>
        </w:rPr>
        <w:t>3</w:t>
      </w:r>
      <w:r>
        <w:rPr>
          <w:rFonts w:hint="eastAsia"/>
          <w:color w:val="auto"/>
          <w:kern w:val="21"/>
          <w:vertAlign w:val="baseline"/>
          <w:lang w:val="en-US" w:eastAsia="zh-CN" w:bidi="ar"/>
        </w:rPr>
        <w:t>/d，多数时段已接近满负荷运行，已达到近期（2025年）的设计处理规模</w:t>
      </w:r>
      <w:r>
        <w:rPr>
          <w:color w:val="auto"/>
          <w:kern w:val="21"/>
          <w:lang w:bidi="ar"/>
        </w:rPr>
        <w:t>。</w:t>
      </w:r>
    </w:p>
    <w:p>
      <w:pPr>
        <w:pStyle w:val="6"/>
        <w:spacing w:after="0"/>
        <w:rPr>
          <w:rFonts w:hint="eastAsia" w:eastAsia="宋体"/>
          <w:color w:val="auto"/>
          <w:kern w:val="21"/>
          <w:sz w:val="24"/>
          <w:szCs w:val="24"/>
          <w:lang w:eastAsia="zh-CN"/>
        </w:rPr>
      </w:pPr>
      <w:bookmarkStart w:id="40" w:name="_Toc3769"/>
      <w:r>
        <w:rPr>
          <w:rFonts w:eastAsia="宋体"/>
          <w:color w:val="auto"/>
          <w:kern w:val="21"/>
          <w:sz w:val="24"/>
          <w:szCs w:val="24"/>
        </w:rPr>
        <w:t>3.1.4项目进水出水水质</w:t>
      </w:r>
      <w:r>
        <w:rPr>
          <w:rFonts w:hint="eastAsia" w:eastAsia="宋体"/>
          <w:color w:val="auto"/>
          <w:kern w:val="21"/>
          <w:sz w:val="24"/>
          <w:szCs w:val="24"/>
          <w:lang w:eastAsia="zh-CN"/>
        </w:rPr>
        <w:t>标准</w:t>
      </w:r>
      <w:bookmarkEnd w:id="40"/>
    </w:p>
    <w:p>
      <w:pPr>
        <w:tabs>
          <w:tab w:val="left" w:pos="780"/>
        </w:tabs>
        <w:ind w:firstLine="480"/>
        <w:rPr>
          <w:rFonts w:hint="eastAsia" w:eastAsia="宋体"/>
          <w:color w:val="auto"/>
          <w:kern w:val="21"/>
          <w:lang w:eastAsia="zh-CN"/>
        </w:rPr>
      </w:pPr>
      <w:r>
        <w:rPr>
          <w:color w:val="auto"/>
          <w:kern w:val="21"/>
        </w:rPr>
        <w:t>1、进水水质</w:t>
      </w:r>
      <w:r>
        <w:rPr>
          <w:rFonts w:hint="eastAsia"/>
          <w:color w:val="auto"/>
          <w:kern w:val="21"/>
          <w:lang w:eastAsia="zh-CN"/>
        </w:rPr>
        <w:t>标准</w:t>
      </w:r>
    </w:p>
    <w:p>
      <w:pPr>
        <w:widowControl/>
        <w:ind w:firstLine="480"/>
        <w:jc w:val="left"/>
        <w:rPr>
          <w:color w:val="auto"/>
          <w:kern w:val="21"/>
          <w:lang w:bidi="ar"/>
        </w:rPr>
      </w:pPr>
      <w:r>
        <w:rPr>
          <w:rFonts w:hint="eastAsia"/>
          <w:color w:val="auto"/>
          <w:lang w:val="en-US" w:eastAsia="zh-CN"/>
        </w:rPr>
        <w:t>本项目已建成运营，环评要求的进水（接纳废水）是各服务企业预处理达到相应标准（详见表2-25~表2-27）后的废水。</w:t>
      </w:r>
    </w:p>
    <w:p>
      <w:pPr>
        <w:pStyle w:val="23"/>
        <w:spacing w:after="0" w:line="360" w:lineRule="auto"/>
        <w:ind w:left="0" w:leftChars="0" w:firstLine="482"/>
        <w:jc w:val="left"/>
        <w:rPr>
          <w:rFonts w:hint="eastAsia" w:eastAsia="宋体"/>
          <w:color w:val="auto"/>
          <w:kern w:val="21"/>
          <w:lang w:eastAsia="zh-CN" w:bidi="ar"/>
        </w:rPr>
      </w:pPr>
      <w:r>
        <w:rPr>
          <w:rFonts w:hint="eastAsia"/>
          <w:color w:val="auto"/>
          <w:kern w:val="21"/>
          <w:lang w:val="en-US" w:eastAsia="zh-CN" w:bidi="ar"/>
        </w:rPr>
        <w:t>2</w:t>
      </w:r>
      <w:r>
        <w:rPr>
          <w:color w:val="auto"/>
          <w:kern w:val="21"/>
          <w:lang w:bidi="ar"/>
        </w:rPr>
        <w:t>、出水水质</w:t>
      </w:r>
      <w:r>
        <w:rPr>
          <w:rFonts w:hint="eastAsia"/>
          <w:color w:val="auto"/>
          <w:kern w:val="21"/>
          <w:lang w:eastAsia="zh-CN" w:bidi="ar"/>
        </w:rPr>
        <w:t>标准</w:t>
      </w:r>
    </w:p>
    <w:p>
      <w:pPr>
        <w:widowControl/>
        <w:ind w:firstLine="480"/>
        <w:jc w:val="left"/>
        <w:rPr>
          <w:color w:val="auto"/>
          <w:kern w:val="21"/>
          <w:lang w:bidi="ar"/>
        </w:rPr>
      </w:pPr>
      <w:r>
        <w:rPr>
          <w:rFonts w:hint="eastAsia"/>
          <w:color w:val="auto"/>
          <w:kern w:val="21"/>
          <w:lang w:eastAsia="zh-CN"/>
        </w:rPr>
        <w:t>本项目出水水质应同时满足表2-23</w:t>
      </w:r>
      <w:r>
        <w:rPr>
          <w:rFonts w:hint="eastAsia"/>
          <w:color w:val="auto"/>
          <w:kern w:val="21"/>
          <w:lang w:val="en-US" w:eastAsia="zh-CN"/>
        </w:rPr>
        <w:t>和表2-24的限值要求后方能外排及回用于绿化。</w:t>
      </w:r>
    </w:p>
    <w:p>
      <w:pPr>
        <w:pStyle w:val="6"/>
        <w:spacing w:after="0"/>
        <w:rPr>
          <w:rFonts w:eastAsia="宋体"/>
          <w:color w:val="auto"/>
          <w:kern w:val="21"/>
          <w:sz w:val="24"/>
          <w:szCs w:val="24"/>
        </w:rPr>
      </w:pPr>
      <w:bookmarkStart w:id="41" w:name="_Toc11695"/>
      <w:r>
        <w:rPr>
          <w:rFonts w:eastAsia="宋体"/>
          <w:color w:val="auto"/>
          <w:kern w:val="21"/>
          <w:sz w:val="24"/>
          <w:szCs w:val="24"/>
        </w:rPr>
        <w:t>3.1.5处理工艺比选</w:t>
      </w:r>
      <w:bookmarkEnd w:id="41"/>
    </w:p>
    <w:p>
      <w:pPr>
        <w:widowControl/>
        <w:ind w:firstLine="482"/>
        <w:jc w:val="left"/>
        <w:rPr>
          <w:b/>
          <w:bCs/>
          <w:color w:val="auto"/>
          <w:kern w:val="21"/>
          <w:lang w:bidi="ar"/>
        </w:rPr>
      </w:pPr>
      <w:r>
        <w:rPr>
          <w:b/>
          <w:bCs/>
          <w:color w:val="auto"/>
          <w:kern w:val="21"/>
          <w:lang w:bidi="ar"/>
        </w:rPr>
        <w:t>1、污水处理工艺</w:t>
      </w:r>
    </w:p>
    <w:p>
      <w:pPr>
        <w:widowControl/>
        <w:ind w:firstLine="480"/>
        <w:jc w:val="left"/>
        <w:rPr>
          <w:color w:val="auto"/>
          <w:kern w:val="21"/>
          <w:lang w:bidi="ar"/>
        </w:rPr>
      </w:pPr>
      <w:r>
        <w:rPr>
          <w:color w:val="auto"/>
          <w:kern w:val="21"/>
          <w:lang w:bidi="ar"/>
        </w:rPr>
        <w:t>根据工程设计进水水质、出水水质情况，选择了</w:t>
      </w:r>
      <w:r>
        <w:rPr>
          <w:bCs/>
          <w:color w:val="auto"/>
          <w:kern w:val="21"/>
          <w:lang w:bidi="ar"/>
        </w:rPr>
        <w:t>“CASS+超滤膜工艺”（方案一）和“</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bCs/>
          <w:color w:val="auto"/>
          <w:kern w:val="21"/>
          <w:lang w:bidi="ar"/>
        </w:rPr>
        <w:t>/O</w:t>
      </w:r>
      <w:r>
        <w:rPr>
          <w:bCs/>
          <w:color w:val="auto"/>
          <w:kern w:val="21"/>
          <w:lang w:bidi="ar"/>
        </w:rPr>
        <w:t>+MBR工艺”（方案二）两个方案进行技术经济比较，</w:t>
      </w:r>
      <w:r>
        <w:rPr>
          <w:color w:val="auto"/>
          <w:kern w:val="21"/>
          <w:lang w:bidi="ar"/>
        </w:rPr>
        <w:t>两者优缺点对比见</w:t>
      </w:r>
      <w:r>
        <w:rPr>
          <w:rFonts w:hint="eastAsia"/>
          <w:color w:val="auto"/>
          <w:kern w:val="21"/>
          <w:lang w:eastAsia="zh-CN" w:bidi="ar"/>
        </w:rPr>
        <w:t>下表</w:t>
      </w:r>
      <w:r>
        <w:rPr>
          <w:color w:val="auto"/>
          <w:kern w:val="21"/>
          <w:lang w:bidi="ar"/>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lang w:bidi="ar"/>
        </w:rPr>
      </w:pPr>
      <w:r>
        <w:rPr>
          <w:b/>
          <w:bCs/>
          <w:color w:val="auto"/>
          <w:kern w:val="21"/>
          <w:lang w:bidi="ar"/>
        </w:rPr>
        <w:t>生物处理工艺技术经济比较表</w:t>
      </w:r>
    </w:p>
    <w:tbl>
      <w:tblPr>
        <w:tblStyle w:val="51"/>
        <w:tblW w:w="8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218"/>
        <w:gridCol w:w="2796"/>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序号</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比较项目</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CASS+超滤膜工艺（方案一）</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sz w:val="21"/>
                <w:szCs w:val="21"/>
                <w:lang w:bidi="ar"/>
              </w:rPr>
              <w:t>/O</w:t>
            </w:r>
            <w:r>
              <w:rPr>
                <w:color w:val="auto"/>
                <w:kern w:val="21"/>
                <w:sz w:val="21"/>
                <w:szCs w:val="21"/>
                <w:lang w:bidi="ar"/>
              </w:rPr>
              <w:t>+MBR工艺（方案二）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1</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应用范围</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一般用于规模小于2万</w:t>
            </w:r>
            <w:r>
              <w:rPr>
                <w:color w:val="auto"/>
                <w:kern w:val="21"/>
                <w:sz w:val="21"/>
                <w:szCs w:val="21"/>
              </w:rPr>
              <w:t>m</w:t>
            </w:r>
            <w:r>
              <w:rPr>
                <w:color w:val="auto"/>
                <w:kern w:val="21"/>
                <w:sz w:val="21"/>
                <w:szCs w:val="21"/>
                <w:vertAlign w:val="superscript"/>
              </w:rPr>
              <w:t>3</w:t>
            </w:r>
            <w:r>
              <w:rPr>
                <w:color w:val="auto"/>
                <w:kern w:val="21"/>
                <w:sz w:val="21"/>
                <w:szCs w:val="21"/>
              </w:rPr>
              <w:t>/d的小型污水处理厂</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可用于规模1万</w:t>
            </w:r>
            <w:r>
              <w:rPr>
                <w:color w:val="auto"/>
                <w:kern w:val="21"/>
                <w:sz w:val="21"/>
                <w:szCs w:val="21"/>
              </w:rPr>
              <w:t>m</w:t>
            </w:r>
            <w:r>
              <w:rPr>
                <w:color w:val="auto"/>
                <w:kern w:val="21"/>
                <w:sz w:val="21"/>
                <w:szCs w:val="21"/>
                <w:vertAlign w:val="superscript"/>
              </w:rPr>
              <w:t>3</w:t>
            </w:r>
            <w:r>
              <w:rPr>
                <w:color w:val="auto"/>
                <w:kern w:val="21"/>
                <w:sz w:val="21"/>
                <w:szCs w:val="21"/>
              </w:rPr>
              <w:t>/d-10万m</w:t>
            </w:r>
            <w:r>
              <w:rPr>
                <w:color w:val="auto"/>
                <w:kern w:val="21"/>
                <w:sz w:val="21"/>
                <w:szCs w:val="21"/>
                <w:vertAlign w:val="superscript"/>
              </w:rPr>
              <w:t>3</w:t>
            </w:r>
            <w:r>
              <w:rPr>
                <w:color w:val="auto"/>
                <w:kern w:val="21"/>
                <w:sz w:val="21"/>
                <w:szCs w:val="21"/>
              </w:rPr>
              <w:t>/d之间的中小型污水处理厂以及对脱氮要求严格的污水处理厂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2</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处理方法</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生化法</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生化法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3</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出水效果</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反硝化受外界条件影响，出水水质不稳定</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rPr>
              <w:t>脱氮效果很好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4</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运行方式</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间歇进水、间歇排水</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连续进水、连续排水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5</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抗冲击负荷</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较好</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6</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曝气系统充氧效率</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微孔曝气，充氧效率高，一般3.5kgO</w:t>
            </w:r>
            <w:r>
              <w:rPr>
                <w:color w:val="auto"/>
                <w:kern w:val="21"/>
                <w:sz w:val="21"/>
                <w:szCs w:val="21"/>
                <w:vertAlign w:val="subscript"/>
                <w:lang w:bidi="ar"/>
              </w:rPr>
              <w:t>2</w:t>
            </w:r>
            <w:r>
              <w:rPr>
                <w:color w:val="auto"/>
                <w:kern w:val="21"/>
                <w:sz w:val="21"/>
                <w:szCs w:val="21"/>
                <w:lang w:bidi="ar"/>
              </w:rPr>
              <w:t>/KWh左右</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微孔曝气，充氧效率高，一般3.5kgO</w:t>
            </w:r>
            <w:r>
              <w:rPr>
                <w:color w:val="auto"/>
                <w:kern w:val="21"/>
                <w:sz w:val="21"/>
                <w:szCs w:val="21"/>
                <w:vertAlign w:val="subscript"/>
                <w:lang w:bidi="ar"/>
              </w:rPr>
              <w:t>2</w:t>
            </w:r>
            <w:r>
              <w:rPr>
                <w:color w:val="auto"/>
                <w:kern w:val="21"/>
                <w:sz w:val="21"/>
                <w:szCs w:val="21"/>
                <w:lang w:bidi="ar"/>
              </w:rPr>
              <w:t>/KWh左右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7</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污泥产量</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污泥产量大，排泥较困难</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污泥产量少，排泥方便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8</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管理水平</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对工作人员水平要求较高，运行复杂</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对工作人员水平要求较高，运行复杂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9</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自控要求</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高，一旦损坏，系统运行极其复杂</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10</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占地面积</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较小</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11</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电耗</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略低于方案二</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略高于方案一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12</w:t>
            </w:r>
          </w:p>
        </w:tc>
        <w:tc>
          <w:tcPr>
            <w:tcW w:w="121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投资</w:t>
            </w:r>
          </w:p>
        </w:tc>
        <w:tc>
          <w:tcPr>
            <w:tcW w:w="279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略高于方案二</w:t>
            </w:r>
          </w:p>
        </w:tc>
        <w:tc>
          <w:tcPr>
            <w:tcW w:w="348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略低于方案一</w:t>
            </w:r>
          </w:p>
        </w:tc>
      </w:tr>
    </w:tbl>
    <w:p>
      <w:pPr>
        <w:keepNext w:val="0"/>
        <w:keepLines w:val="0"/>
        <w:pageBreakBefore w:val="0"/>
        <w:widowControl/>
        <w:kinsoku/>
        <w:wordWrap/>
        <w:overflowPunct/>
        <w:topLinePunct w:val="0"/>
        <w:autoSpaceDE/>
        <w:autoSpaceDN/>
        <w:bidi w:val="0"/>
        <w:adjustRightInd/>
        <w:snapToGrid/>
        <w:spacing w:before="0" w:beforeLines="50"/>
        <w:ind w:firstLine="480"/>
        <w:jc w:val="left"/>
        <w:textAlignment w:val="auto"/>
        <w:rPr>
          <w:color w:val="auto"/>
          <w:kern w:val="21"/>
          <w:lang w:bidi="ar"/>
        </w:rPr>
      </w:pPr>
      <w:r>
        <w:rPr>
          <w:color w:val="auto"/>
          <w:kern w:val="21"/>
          <w:lang w:bidi="ar"/>
        </w:rPr>
        <w:t>通过上述比较可以看出</w:t>
      </w:r>
      <w:r>
        <w:rPr>
          <w:bCs/>
          <w:color w:val="auto"/>
          <w:kern w:val="21"/>
          <w:lang w:bidi="ar"/>
        </w:rPr>
        <w:t>“</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bCs/>
          <w:color w:val="auto"/>
          <w:kern w:val="21"/>
          <w:lang w:bidi="ar"/>
        </w:rPr>
        <w:t>/O</w:t>
      </w:r>
      <w:r>
        <w:rPr>
          <w:bCs/>
          <w:color w:val="auto"/>
          <w:kern w:val="21"/>
          <w:lang w:bidi="ar"/>
        </w:rPr>
        <w:t>+MBR工艺”（方案二）</w:t>
      </w:r>
      <w:r>
        <w:rPr>
          <w:color w:val="auto"/>
          <w:kern w:val="21"/>
          <w:lang w:bidi="ar"/>
        </w:rPr>
        <w:t>除了在电耗方面要略高于</w:t>
      </w:r>
      <w:r>
        <w:rPr>
          <w:bCs/>
          <w:color w:val="auto"/>
          <w:kern w:val="21"/>
          <w:lang w:bidi="ar"/>
        </w:rPr>
        <w:t>“CASS+超滤膜工艺”（方案一）</w:t>
      </w:r>
      <w:r>
        <w:rPr>
          <w:color w:val="auto"/>
          <w:kern w:val="21"/>
          <w:lang w:bidi="ar"/>
        </w:rPr>
        <w:t>工艺，其它方面较CASS</w:t>
      </w:r>
      <w:r>
        <w:rPr>
          <w:bCs/>
          <w:color w:val="auto"/>
          <w:kern w:val="21"/>
          <w:lang w:bidi="ar"/>
        </w:rPr>
        <w:t>+超滤膜工艺</w:t>
      </w:r>
      <w:r>
        <w:rPr>
          <w:color w:val="auto"/>
          <w:kern w:val="21"/>
          <w:lang w:bidi="ar"/>
        </w:rPr>
        <w:t>均具有一定的优势，且考虑到本工程进水可生化性差</w:t>
      </w:r>
      <w:r>
        <w:rPr>
          <w:rFonts w:hint="eastAsia"/>
          <w:color w:val="auto"/>
          <w:kern w:val="21"/>
          <w:lang w:bidi="ar"/>
        </w:rPr>
        <w:t>以及氨氮、TP去除效率要求高等因素</w:t>
      </w:r>
      <w:r>
        <w:rPr>
          <w:color w:val="auto"/>
          <w:kern w:val="21"/>
          <w:lang w:bidi="ar"/>
        </w:rPr>
        <w:t>，本方案</w:t>
      </w:r>
      <w:r>
        <w:rPr>
          <w:rFonts w:hint="eastAsia"/>
          <w:color w:val="auto"/>
          <w:kern w:val="21"/>
          <w:lang w:bidi="ar"/>
        </w:rPr>
        <w:t>优先</w:t>
      </w:r>
      <w:r>
        <w:rPr>
          <w:color w:val="auto"/>
          <w:kern w:val="21"/>
          <w:lang w:bidi="ar"/>
        </w:rPr>
        <w:t>采用</w:t>
      </w:r>
      <w:r>
        <w:rPr>
          <w:rFonts w:hint="eastAsia"/>
          <w:color w:val="auto"/>
          <w:kern w:val="21"/>
          <w:lang w:bidi="ar"/>
        </w:rPr>
        <w:t>处理效果更好的</w:t>
      </w:r>
      <w:r>
        <w:rPr>
          <w:color w:val="auto"/>
          <w:kern w:val="21"/>
          <w:lang w:bidi="ar"/>
        </w:rPr>
        <w:t>两级缺氧/好氧</w:t>
      </w:r>
      <w:r>
        <w:rPr>
          <w:rFonts w:hint="eastAsia"/>
          <w:color w:val="auto"/>
          <w:kern w:val="21"/>
          <w:lang w:bidi="ar"/>
        </w:rPr>
        <w:t>（</w:t>
      </w:r>
      <w:r>
        <w:rPr>
          <w:color w:val="auto"/>
          <w:kern w:val="21"/>
          <w:lang w:bidi="ar"/>
        </w:rPr>
        <w:t>两级A/O</w:t>
      </w:r>
      <w:r>
        <w:rPr>
          <w:rFonts w:hint="eastAsia"/>
          <w:color w:val="auto"/>
          <w:kern w:val="21"/>
          <w:lang w:bidi="ar"/>
        </w:rPr>
        <w:t>）</w:t>
      </w:r>
      <w:r>
        <w:rPr>
          <w:color w:val="auto"/>
          <w:kern w:val="21"/>
          <w:lang w:bidi="ar"/>
        </w:rPr>
        <w:t>生物脱氮工艺，使污水处理装置不但能达到脱氮的要求，而且其它指标也能有较好的去除。</w:t>
      </w:r>
      <w:r>
        <w:rPr>
          <w:rFonts w:hint="eastAsia"/>
          <w:color w:val="auto"/>
          <w:kern w:val="21"/>
          <w:lang w:bidi="ar"/>
        </w:rPr>
        <w:t>根据《排污许可证申请与核发技术规范 水处理</w:t>
      </w:r>
      <w:r>
        <w:rPr>
          <w:rFonts w:hint="eastAsia"/>
          <w:color w:val="auto"/>
          <w:kern w:val="21"/>
          <w:lang w:eastAsia="zh-CN" w:bidi="ar"/>
        </w:rPr>
        <w:t>（试行）</w:t>
      </w:r>
      <w:r>
        <w:rPr>
          <w:rFonts w:hint="eastAsia"/>
          <w:color w:val="auto"/>
          <w:kern w:val="21"/>
          <w:lang w:bidi="ar"/>
        </w:rPr>
        <w:t>》（HJ</w:t>
      </w:r>
      <w:r>
        <w:rPr>
          <w:rFonts w:hint="eastAsia"/>
          <w:color w:val="auto"/>
          <w:kern w:val="21"/>
          <w:lang w:val="en-US" w:eastAsia="zh-CN" w:bidi="ar"/>
        </w:rPr>
        <w:t>978</w:t>
      </w:r>
      <w:r>
        <w:rPr>
          <w:rFonts w:hint="eastAsia"/>
          <w:color w:val="auto"/>
          <w:kern w:val="21"/>
          <w:lang w:bidi="ar"/>
        </w:rPr>
        <w:t>—20</w:t>
      </w:r>
      <w:r>
        <w:rPr>
          <w:rFonts w:hint="eastAsia"/>
          <w:color w:val="auto"/>
          <w:kern w:val="21"/>
          <w:lang w:val="en-US" w:eastAsia="zh-CN" w:bidi="ar"/>
        </w:rPr>
        <w:t>18</w:t>
      </w:r>
      <w:r>
        <w:rPr>
          <w:rFonts w:hint="eastAsia"/>
          <w:color w:val="auto"/>
          <w:kern w:val="21"/>
          <w:lang w:bidi="ar"/>
        </w:rPr>
        <w:t>）</w:t>
      </w:r>
      <w:r>
        <w:rPr>
          <w:rFonts w:hint="eastAsia"/>
          <w:color w:val="auto"/>
          <w:kern w:val="21"/>
          <w:lang w:eastAsia="zh-CN" w:bidi="ar"/>
        </w:rPr>
        <w:t>中“表</w:t>
      </w:r>
      <w:r>
        <w:rPr>
          <w:rFonts w:hint="eastAsia"/>
          <w:color w:val="auto"/>
          <w:kern w:val="21"/>
          <w:lang w:val="en-US" w:eastAsia="zh-CN" w:bidi="ar"/>
        </w:rPr>
        <w:t>4 污水处理可行技术参照表</w:t>
      </w:r>
      <w:r>
        <w:rPr>
          <w:rFonts w:hint="eastAsia"/>
          <w:color w:val="auto"/>
          <w:kern w:val="21"/>
          <w:lang w:eastAsia="zh-CN" w:bidi="ar"/>
        </w:rPr>
        <w:t>”</w:t>
      </w:r>
      <w:r>
        <w:rPr>
          <w:rFonts w:hint="eastAsia"/>
          <w:color w:val="auto"/>
          <w:kern w:val="21"/>
          <w:lang w:bidi="ar"/>
        </w:rPr>
        <w:t>，本项目预处理有粗细格栅、调节</w:t>
      </w:r>
      <w:r>
        <w:rPr>
          <w:rFonts w:hint="eastAsia"/>
          <w:color w:val="auto"/>
          <w:kern w:val="21"/>
          <w:lang w:eastAsia="zh-CN" w:bidi="ar"/>
        </w:rPr>
        <w:t>、</w:t>
      </w:r>
      <w:r>
        <w:rPr>
          <w:rFonts w:hint="eastAsia"/>
          <w:color w:val="auto"/>
          <w:kern w:val="21"/>
          <w:lang w:bidi="ar"/>
        </w:rPr>
        <w:t>混凝沉淀</w:t>
      </w:r>
      <w:r>
        <w:rPr>
          <w:rFonts w:hint="eastAsia"/>
          <w:color w:val="auto"/>
          <w:kern w:val="21"/>
          <w:lang w:eastAsia="zh-CN" w:bidi="ar"/>
        </w:rPr>
        <w:t>、水解酸化</w:t>
      </w:r>
      <w:r>
        <w:rPr>
          <w:rFonts w:hint="eastAsia"/>
          <w:color w:val="auto"/>
          <w:kern w:val="21"/>
          <w:lang w:bidi="ar"/>
        </w:rPr>
        <w:t>属于</w:t>
      </w:r>
      <w:r>
        <w:rPr>
          <w:rFonts w:hint="eastAsia"/>
          <w:color w:val="auto"/>
          <w:kern w:val="21"/>
          <w:lang w:eastAsia="zh-CN" w:bidi="ar"/>
        </w:rPr>
        <w:t>可行技术</w:t>
      </w:r>
      <w:r>
        <w:rPr>
          <w:rFonts w:hint="eastAsia"/>
          <w:color w:val="auto"/>
          <w:kern w:val="21"/>
          <w:lang w:bidi="ar"/>
        </w:rPr>
        <w:t>，生化处理采用厌氧缺氧好氧（</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rFonts w:hint="eastAsia"/>
          <w:color w:val="auto"/>
          <w:kern w:val="21"/>
          <w:lang w:eastAsia="zh-CN" w:bidi="ar"/>
        </w:rPr>
        <w:t>、</w:t>
      </w:r>
      <w:r>
        <w:rPr>
          <w:rFonts w:hint="eastAsia"/>
          <w:color w:val="auto"/>
          <w:kern w:val="21"/>
          <w:lang w:bidi="ar"/>
        </w:rPr>
        <w:t>MBR</w:t>
      </w:r>
      <w:r>
        <w:rPr>
          <w:rFonts w:hint="eastAsia"/>
          <w:color w:val="auto"/>
          <w:kern w:val="21"/>
          <w:lang w:eastAsia="zh-CN" w:bidi="ar"/>
        </w:rPr>
        <w:t>膜生物反应器</w:t>
      </w:r>
      <w:r>
        <w:rPr>
          <w:rFonts w:hint="eastAsia"/>
          <w:color w:val="auto"/>
          <w:kern w:val="21"/>
          <w:lang w:bidi="ar"/>
        </w:rPr>
        <w:t>属于</w:t>
      </w:r>
      <w:r>
        <w:rPr>
          <w:rFonts w:hint="eastAsia"/>
          <w:color w:val="auto"/>
          <w:kern w:val="21"/>
          <w:lang w:eastAsia="zh-CN" w:bidi="ar"/>
        </w:rPr>
        <w:t>可行技术。</w:t>
      </w:r>
      <w:r>
        <w:rPr>
          <w:rFonts w:hint="eastAsia"/>
          <w:color w:val="auto"/>
          <w:kern w:val="21"/>
          <w:lang w:bidi="ar"/>
        </w:rPr>
        <w:t>因此，本项目</w:t>
      </w:r>
      <w:r>
        <w:rPr>
          <w:rFonts w:hint="eastAsia"/>
          <w:color w:val="auto"/>
          <w:kern w:val="21"/>
          <w:lang w:eastAsia="zh-CN" w:bidi="ar"/>
        </w:rPr>
        <w:t>“</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+MBR</w:t>
      </w:r>
      <w:r>
        <w:rPr>
          <w:rFonts w:hint="eastAsia"/>
          <w:color w:val="auto"/>
          <w:kern w:val="21"/>
          <w:lang w:eastAsia="zh-CN" w:bidi="ar"/>
        </w:rPr>
        <w:t>”</w:t>
      </w:r>
      <w:r>
        <w:rPr>
          <w:rFonts w:hint="eastAsia"/>
          <w:color w:val="auto"/>
          <w:kern w:val="21"/>
          <w:lang w:bidi="ar"/>
        </w:rPr>
        <w:t>处理工艺符合</w:t>
      </w:r>
      <w:r>
        <w:rPr>
          <w:rFonts w:hint="eastAsia"/>
          <w:color w:val="auto"/>
          <w:kern w:val="21"/>
          <w:lang w:eastAsia="zh-CN" w:bidi="ar"/>
        </w:rPr>
        <w:t>排污许可证推荐的可行技术</w:t>
      </w:r>
      <w:r>
        <w:rPr>
          <w:rFonts w:hint="eastAsia"/>
          <w:color w:val="auto"/>
          <w:kern w:val="21"/>
          <w:lang w:bidi="ar"/>
        </w:rPr>
        <w:t>。</w:t>
      </w:r>
    </w:p>
    <w:p>
      <w:pPr>
        <w:pStyle w:val="23"/>
        <w:spacing w:after="0" w:line="360" w:lineRule="auto"/>
        <w:ind w:left="480" w:firstLine="0" w:firstLineChars="0"/>
        <w:rPr>
          <w:b/>
          <w:bCs/>
          <w:color w:val="auto"/>
          <w:kern w:val="21"/>
          <w:u w:val="single"/>
          <w:lang w:bidi="ar"/>
        </w:rPr>
      </w:pPr>
      <w:r>
        <w:rPr>
          <w:b/>
          <w:bCs/>
          <w:color w:val="auto"/>
          <w:kern w:val="21"/>
          <w:lang w:bidi="ar"/>
        </w:rPr>
        <w:t>2、污泥处理工艺</w:t>
      </w:r>
    </w:p>
    <w:p>
      <w:pPr>
        <w:widowControl/>
        <w:ind w:firstLine="480"/>
        <w:jc w:val="left"/>
        <w:rPr>
          <w:color w:val="auto"/>
          <w:kern w:val="21"/>
          <w:lang w:bidi="ar"/>
        </w:rPr>
      </w:pPr>
      <w:r>
        <w:rPr>
          <w:color w:val="auto"/>
          <w:kern w:val="21"/>
          <w:lang w:bidi="ar"/>
        </w:rPr>
        <w:t>本工程污水处理规模较小，产生的污泥量不多，若采用消化处理，需增加消化池、加热、搅拌和沼气处理利用等一系列构筑物和设备，使投资增大，而且本工程厂区用地面积有限，因此不考虑污泥消化，考虑采用深度脱水技术处理。深度脱水技术包括机械脱水干化工艺和热干化工艺2种。机械脱水干化工艺主要是指“调理+压榨干化技术”，而热干化只需要采用半干化技术即可满足含水率为60%以下的要求。两者的优缺点比较详见</w:t>
      </w:r>
      <w:r>
        <w:rPr>
          <w:rFonts w:hint="eastAsia"/>
          <w:color w:val="auto"/>
          <w:kern w:val="21"/>
          <w:lang w:eastAsia="zh-CN" w:bidi="ar"/>
        </w:rPr>
        <w:t>下表</w:t>
      </w:r>
      <w:r>
        <w:rPr>
          <w:color w:val="auto"/>
          <w:kern w:val="21"/>
          <w:lang w:bidi="ar"/>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lang w:bidi="ar"/>
        </w:rPr>
      </w:pPr>
      <w:r>
        <w:rPr>
          <w:b/>
          <w:bCs/>
          <w:color w:val="auto"/>
          <w:kern w:val="21"/>
          <w:lang w:bidi="ar"/>
        </w:rPr>
        <w:t>污泥深度脱水技术经济比较表</w:t>
      </w:r>
    </w:p>
    <w:tbl>
      <w:tblPr>
        <w:tblStyle w:val="51"/>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999"/>
        <w:gridCol w:w="1001"/>
        <w:gridCol w:w="1031"/>
        <w:gridCol w:w="1227"/>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9" w:hRule="atLeast"/>
          <w:jc w:val="center"/>
        </w:trPr>
        <w:tc>
          <w:tcPr>
            <w:tcW w:w="1390"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处理技术</w:t>
            </w:r>
          </w:p>
        </w:tc>
        <w:tc>
          <w:tcPr>
            <w:tcW w:w="2000" w:type="dxa"/>
            <w:gridSpan w:val="2"/>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处理后的技术指标</w:t>
            </w:r>
          </w:p>
        </w:tc>
        <w:tc>
          <w:tcPr>
            <w:tcW w:w="1031"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投资（万元/吨）</w:t>
            </w:r>
          </w:p>
        </w:tc>
        <w:tc>
          <w:tcPr>
            <w:tcW w:w="1227"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运行费（元/吨）</w:t>
            </w:r>
          </w:p>
        </w:tc>
        <w:tc>
          <w:tcPr>
            <w:tcW w:w="2698"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设备及操作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390" w:type="dxa"/>
            <w:vMerge w:val="continue"/>
            <w:vAlign w:val="center"/>
          </w:tcPr>
          <w:p>
            <w:pPr>
              <w:pStyle w:val="23"/>
              <w:spacing w:after="0" w:line="240" w:lineRule="auto"/>
              <w:ind w:left="0" w:leftChars="0" w:firstLine="0" w:firstLineChars="0"/>
              <w:jc w:val="center"/>
              <w:rPr>
                <w:color w:val="auto"/>
                <w:kern w:val="21"/>
                <w:sz w:val="21"/>
                <w:szCs w:val="21"/>
              </w:rPr>
            </w:pPr>
          </w:p>
        </w:tc>
        <w:tc>
          <w:tcPr>
            <w:tcW w:w="999"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含水率（%）</w:t>
            </w:r>
          </w:p>
        </w:tc>
        <w:tc>
          <w:tcPr>
            <w:tcW w:w="100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pH</w:t>
            </w:r>
          </w:p>
        </w:tc>
        <w:tc>
          <w:tcPr>
            <w:tcW w:w="1031"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227" w:type="dxa"/>
            <w:vMerge w:val="continue"/>
            <w:vAlign w:val="center"/>
          </w:tcPr>
          <w:p>
            <w:pPr>
              <w:pStyle w:val="23"/>
              <w:spacing w:after="0" w:line="240" w:lineRule="auto"/>
              <w:ind w:left="0" w:leftChars="0" w:firstLine="0" w:firstLineChars="0"/>
              <w:jc w:val="center"/>
              <w:rPr>
                <w:color w:val="auto"/>
                <w:kern w:val="21"/>
                <w:sz w:val="21"/>
                <w:szCs w:val="21"/>
              </w:rPr>
            </w:pPr>
          </w:p>
        </w:tc>
        <w:tc>
          <w:tcPr>
            <w:tcW w:w="2698" w:type="dxa"/>
            <w:vMerge w:val="continue"/>
            <w:vAlign w:val="center"/>
          </w:tcPr>
          <w:p>
            <w:pPr>
              <w:pStyle w:val="23"/>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调理+压榨干化技术</w:t>
            </w:r>
          </w:p>
        </w:tc>
        <w:tc>
          <w:tcPr>
            <w:tcW w:w="999"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≤60</w:t>
            </w:r>
          </w:p>
        </w:tc>
        <w:tc>
          <w:tcPr>
            <w:tcW w:w="100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5-8</w:t>
            </w:r>
          </w:p>
        </w:tc>
        <w:tc>
          <w:tcPr>
            <w:tcW w:w="103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10</w:t>
            </w:r>
          </w:p>
        </w:tc>
        <w:tc>
          <w:tcPr>
            <w:tcW w:w="1227"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100-120</w:t>
            </w:r>
          </w:p>
        </w:tc>
        <w:tc>
          <w:tcPr>
            <w:tcW w:w="269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工艺操作简单，对操作环境要求低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热干化（半干化）</w:t>
            </w:r>
          </w:p>
        </w:tc>
        <w:tc>
          <w:tcPr>
            <w:tcW w:w="999"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≤50</w:t>
            </w:r>
          </w:p>
        </w:tc>
        <w:tc>
          <w:tcPr>
            <w:tcW w:w="100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5-8</w:t>
            </w:r>
          </w:p>
        </w:tc>
        <w:tc>
          <w:tcPr>
            <w:tcW w:w="103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35-50</w:t>
            </w:r>
          </w:p>
        </w:tc>
        <w:tc>
          <w:tcPr>
            <w:tcW w:w="1227"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200-250</w:t>
            </w:r>
          </w:p>
        </w:tc>
        <w:tc>
          <w:tcPr>
            <w:tcW w:w="269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自动化控制水平高，设备和配套设施复杂，需要提供热源，对操作环境要求高</w:t>
            </w:r>
          </w:p>
        </w:tc>
      </w:tr>
    </w:tbl>
    <w:p>
      <w:pPr>
        <w:keepNext w:val="0"/>
        <w:keepLines w:val="0"/>
        <w:pageBreakBefore w:val="0"/>
        <w:widowControl/>
        <w:kinsoku/>
        <w:wordWrap/>
        <w:overflowPunct/>
        <w:topLinePunct w:val="0"/>
        <w:autoSpaceDE/>
        <w:autoSpaceDN/>
        <w:bidi w:val="0"/>
        <w:adjustRightInd/>
        <w:snapToGrid/>
        <w:spacing w:before="0" w:beforeLines="50"/>
        <w:ind w:firstLine="480"/>
        <w:jc w:val="left"/>
        <w:textAlignment w:val="auto"/>
        <w:rPr>
          <w:color w:val="auto"/>
          <w:kern w:val="21"/>
        </w:rPr>
      </w:pPr>
      <w:r>
        <w:rPr>
          <w:color w:val="auto"/>
          <w:kern w:val="21"/>
          <w:lang w:bidi="ar"/>
        </w:rPr>
        <w:t>本项目</w:t>
      </w:r>
      <w:r>
        <w:rPr>
          <w:rFonts w:hint="eastAsia"/>
          <w:color w:val="auto"/>
          <w:kern w:val="21"/>
          <w:lang w:eastAsia="zh-CN" w:bidi="ar"/>
        </w:rPr>
        <w:t>产生的</w:t>
      </w:r>
      <w:r>
        <w:rPr>
          <w:color w:val="auto"/>
          <w:kern w:val="21"/>
          <w:lang w:bidi="ar"/>
        </w:rPr>
        <w:t>污泥主要为无机质污泥，采用“调理+压榨干化”后含水率可达到60%以下，因此</w:t>
      </w:r>
      <w:r>
        <w:rPr>
          <w:bCs/>
          <w:color w:val="auto"/>
          <w:kern w:val="21"/>
          <w:lang w:bidi="ar"/>
        </w:rPr>
        <w:t>本次设计推荐采用“调理+压榨干化技术”，即“调理+隔膜式高压板框深度脱水”工艺。</w:t>
      </w:r>
    </w:p>
    <w:p>
      <w:pPr>
        <w:pStyle w:val="23"/>
        <w:spacing w:after="0" w:line="360" w:lineRule="auto"/>
        <w:ind w:left="480" w:firstLine="0" w:firstLineChars="0"/>
        <w:rPr>
          <w:b/>
          <w:bCs/>
          <w:color w:val="auto"/>
          <w:kern w:val="21"/>
          <w:lang w:bidi="ar"/>
        </w:rPr>
      </w:pPr>
      <w:r>
        <w:rPr>
          <w:b/>
          <w:bCs/>
          <w:color w:val="auto"/>
          <w:kern w:val="21"/>
          <w:lang w:bidi="ar"/>
        </w:rPr>
        <w:t>3、消毒方法选择</w:t>
      </w:r>
    </w:p>
    <w:p>
      <w:pPr>
        <w:pStyle w:val="23"/>
        <w:spacing w:after="0" w:line="360" w:lineRule="auto"/>
        <w:ind w:left="0" w:leftChars="0" w:firstLine="480"/>
        <w:rPr>
          <w:color w:val="auto"/>
          <w:kern w:val="21"/>
          <w:lang w:bidi="ar"/>
        </w:rPr>
      </w:pPr>
      <w:r>
        <w:rPr>
          <w:color w:val="auto"/>
          <w:kern w:val="21"/>
          <w:lang w:bidi="ar"/>
        </w:rPr>
        <w:t>污水处理常用的消毒方法有加氯消毒和紫外线消毒两种。两种方案都能达到本工程所要求的消毒效果，但在技术上和经济上存在着差异。在技术方面，加氯消毒的优点是技术成熟、运行稳妥可靠，所需设备数量少，操作维护简单，有成熟的运行管理经验。缺点是所需接触池容积较大，占地面积较大，加氯间及氯库占地面积大，在进行氯瓶运输、库存和使用时，工作量大，且存在氯气泄漏危险。</w:t>
      </w:r>
    </w:p>
    <w:p>
      <w:pPr>
        <w:pStyle w:val="23"/>
        <w:spacing w:after="0" w:line="360" w:lineRule="auto"/>
        <w:ind w:left="0" w:leftChars="0" w:firstLine="480"/>
        <w:rPr>
          <w:color w:val="auto"/>
          <w:kern w:val="21"/>
          <w:lang w:bidi="ar"/>
        </w:rPr>
      </w:pPr>
      <w:r>
        <w:rPr>
          <w:color w:val="auto"/>
          <w:kern w:val="21"/>
          <w:lang w:bidi="ar"/>
        </w:rPr>
        <w:t>紫外线消毒的优点是所需接触池容积小，占地面积小，土建投资较省，工人日常管理、操作工作量小。缺点是设备数量多，系统维护管理较麻烦，紫外灯管需经常更换，设备维护费用较高。</w:t>
      </w:r>
    </w:p>
    <w:p>
      <w:pPr>
        <w:widowControl/>
        <w:ind w:firstLine="480"/>
        <w:jc w:val="left"/>
        <w:rPr>
          <w:color w:val="auto"/>
          <w:kern w:val="21"/>
        </w:rPr>
      </w:pPr>
      <w:r>
        <w:rPr>
          <w:color w:val="auto"/>
          <w:kern w:val="21"/>
          <w:lang w:bidi="ar"/>
        </w:rPr>
        <w:t>综合技术和经济两方面的比较，从经济的角度考虑，加氯消毒方案的土建工程投资比紫外消毒高，操作工人日常工作量大，占地面积大。</w:t>
      </w:r>
    </w:p>
    <w:p>
      <w:pPr>
        <w:widowControl/>
        <w:ind w:firstLine="480"/>
        <w:jc w:val="left"/>
        <w:rPr>
          <w:color w:val="auto"/>
          <w:kern w:val="21"/>
          <w:lang w:bidi="ar"/>
        </w:rPr>
      </w:pPr>
      <w:r>
        <w:rPr>
          <w:color w:val="auto"/>
          <w:kern w:val="21"/>
          <w:lang w:bidi="ar"/>
        </w:rPr>
        <w:t>本项目污水处理厂规模不大，用地面积小，因此本工程采用紫外线消毒方案。</w:t>
      </w:r>
    </w:p>
    <w:p>
      <w:pPr>
        <w:pStyle w:val="23"/>
        <w:spacing w:after="0" w:line="360" w:lineRule="auto"/>
        <w:ind w:left="0" w:leftChars="0" w:firstLine="482"/>
        <w:rPr>
          <w:b/>
          <w:bCs/>
          <w:color w:val="auto"/>
          <w:kern w:val="21"/>
          <w:lang w:bidi="ar"/>
        </w:rPr>
      </w:pPr>
      <w:r>
        <w:rPr>
          <w:rFonts w:hint="eastAsia"/>
          <w:b/>
          <w:bCs/>
          <w:color w:val="auto"/>
          <w:kern w:val="21"/>
          <w:lang w:bidi="ar"/>
        </w:rPr>
        <w:t>4、MBR膜再生工艺</w:t>
      </w:r>
    </w:p>
    <w:p>
      <w:pPr>
        <w:widowControl/>
        <w:ind w:firstLine="480"/>
        <w:jc w:val="left"/>
        <w:rPr>
          <w:color w:val="auto"/>
          <w:kern w:val="21"/>
          <w:lang w:bidi="ar"/>
        </w:rPr>
      </w:pPr>
      <w:r>
        <w:rPr>
          <w:rFonts w:hint="eastAsia"/>
          <w:color w:val="auto"/>
          <w:kern w:val="21"/>
          <w:lang w:bidi="ar"/>
        </w:rPr>
        <w:t>本项目MBR超滤膜由海南立昇净水科技实业有限公司提供，根据其运行维护管理手册，MBR膜再生主要通过日常运行维护管理实现，主要有反清洗、化学清洗、膜完整性检测及膜组件修复等组成。</w:t>
      </w:r>
    </w:p>
    <w:p>
      <w:pPr>
        <w:pStyle w:val="23"/>
        <w:widowControl/>
        <w:kinsoku w:val="0"/>
        <w:autoSpaceDE w:val="0"/>
        <w:autoSpaceDN w:val="0"/>
        <w:adjustRightInd w:val="0"/>
        <w:snapToGrid w:val="0"/>
        <w:spacing w:after="0" w:line="360" w:lineRule="auto"/>
        <w:ind w:left="0" w:leftChars="0" w:firstLine="480"/>
        <w:textAlignment w:val="baseline"/>
        <w:rPr>
          <w:color w:val="auto"/>
          <w:kern w:val="21"/>
          <w:lang w:bidi="ar"/>
        </w:rPr>
      </w:pPr>
      <w:r>
        <w:rPr>
          <w:color w:val="auto"/>
          <w:kern w:val="21"/>
          <w:lang w:bidi="ar"/>
        </w:rPr>
        <w:t>（1）反清洗</w:t>
      </w:r>
    </w:p>
    <w:p>
      <w:pPr>
        <w:pStyle w:val="23"/>
        <w:widowControl/>
        <w:kinsoku w:val="0"/>
        <w:autoSpaceDE w:val="0"/>
        <w:autoSpaceDN w:val="0"/>
        <w:adjustRightInd w:val="0"/>
        <w:snapToGrid w:val="0"/>
        <w:spacing w:after="0" w:line="360" w:lineRule="auto"/>
        <w:ind w:left="0" w:leftChars="0" w:firstLine="480"/>
        <w:textAlignment w:val="baseline"/>
        <w:rPr>
          <w:color w:val="auto"/>
          <w:kern w:val="21"/>
          <w:lang w:bidi="ar"/>
        </w:rPr>
      </w:pPr>
      <w:r>
        <w:rPr>
          <w:color w:val="auto"/>
          <w:kern w:val="21"/>
          <w:lang w:bidi="ar"/>
        </w:rPr>
        <w:t>随着过滤的进行，进水中的颗粒物会逐渐累积在膜的外表面，从而使过滤系统的跨膜压差增加，在达到一个预设值后开始反冲洗。反冲洗过程就是一方面将超滤产水反向透过中空纤维膜、同时在浸入式膜箱底部通过气冲擦洗中空纤维膜丝表面以去除沉积物，反洗结束后将膜池中的液体排到废液池或污水管。反冲洗一般持续60~180秒。另外在反冲洗程序启动阶段，会停止进水但继续过滤直到液位降到清洗液位，可最大限度减少反冲洗废水量。</w:t>
      </w:r>
    </w:p>
    <w:p>
      <w:pPr>
        <w:pStyle w:val="23"/>
        <w:widowControl/>
        <w:kinsoku w:val="0"/>
        <w:autoSpaceDE w:val="0"/>
        <w:autoSpaceDN w:val="0"/>
        <w:adjustRightInd w:val="0"/>
        <w:snapToGrid w:val="0"/>
        <w:spacing w:after="0" w:line="360" w:lineRule="auto"/>
        <w:ind w:left="0" w:leftChars="0" w:firstLine="480"/>
        <w:textAlignment w:val="baseline"/>
        <w:rPr>
          <w:color w:val="auto"/>
          <w:kern w:val="21"/>
          <w:lang w:bidi="ar"/>
        </w:rPr>
      </w:pPr>
      <w:r>
        <w:rPr>
          <w:color w:val="auto"/>
          <w:kern w:val="21"/>
          <w:lang w:bidi="ar"/>
        </w:rPr>
        <w:t>（2）化学清洗</w:t>
      </w:r>
    </w:p>
    <w:p>
      <w:pPr>
        <w:pStyle w:val="23"/>
        <w:widowControl/>
        <w:kinsoku w:val="0"/>
        <w:autoSpaceDE w:val="0"/>
        <w:autoSpaceDN w:val="0"/>
        <w:adjustRightInd w:val="0"/>
        <w:snapToGrid w:val="0"/>
        <w:spacing w:after="0" w:line="360" w:lineRule="auto"/>
        <w:ind w:left="0" w:leftChars="0" w:firstLine="480"/>
        <w:textAlignment w:val="baseline"/>
        <w:rPr>
          <w:color w:val="auto"/>
          <w:kern w:val="21"/>
          <w:lang w:bidi="ar"/>
        </w:rPr>
      </w:pPr>
      <w:r>
        <w:rPr>
          <w:color w:val="auto"/>
          <w:kern w:val="21"/>
          <w:lang w:bidi="ar"/>
        </w:rPr>
        <w:t>反冲洗是维持膜过滤通量的一个有效手段，但是随着过滤的进行，有些不可逆污染难以通过反冲洗去除，跨膜阻力缓慢上升，必须进行定期的化学清洗。化学清洗通常由跨膜压力或时间的设定值来启动，化学清洗可分为在线化学清洗和离线化学清洗两种模式</w:t>
      </w:r>
      <w:r>
        <w:rPr>
          <w:rFonts w:hint="eastAsia"/>
          <w:color w:val="auto"/>
          <w:kern w:val="21"/>
          <w:lang w:bidi="ar"/>
        </w:rPr>
        <w:t>。化学清洗采用次氯酸钠和柠檬酸溶液。</w:t>
      </w:r>
      <w:r>
        <w:rPr>
          <w:color w:val="auto"/>
          <w:kern w:val="21"/>
          <w:lang w:bidi="ar"/>
        </w:rPr>
        <w:t>在线化学清洗：膜直接在膜滤池中完成化学清洗操作，一格膜滤池在清洗时其他膜滤池保持正常运行状态。离线化学清洗：膜从膜池中移除，放入到专用的化学清洗池中完成清洗操作。化学清洗结束，采用清水冲洗膜滤池以及膜组件以去除膜组件和管路中残留的化学清洗药剂。</w:t>
      </w:r>
    </w:p>
    <w:p>
      <w:pPr>
        <w:pStyle w:val="23"/>
        <w:widowControl/>
        <w:kinsoku w:val="0"/>
        <w:autoSpaceDE w:val="0"/>
        <w:autoSpaceDN w:val="0"/>
        <w:adjustRightInd w:val="0"/>
        <w:snapToGrid w:val="0"/>
        <w:spacing w:after="0" w:line="360" w:lineRule="auto"/>
        <w:ind w:left="0" w:leftChars="0" w:firstLine="480"/>
        <w:textAlignment w:val="baseline"/>
        <w:rPr>
          <w:color w:val="auto"/>
          <w:kern w:val="21"/>
          <w:lang w:bidi="ar"/>
        </w:rPr>
      </w:pPr>
      <w:r>
        <w:rPr>
          <w:color w:val="auto"/>
          <w:kern w:val="21"/>
          <w:lang w:bidi="ar"/>
        </w:rPr>
        <w:t>（3）膜完整性检测</w:t>
      </w:r>
    </w:p>
    <w:p>
      <w:pPr>
        <w:pStyle w:val="23"/>
        <w:widowControl/>
        <w:kinsoku w:val="0"/>
        <w:autoSpaceDE w:val="0"/>
        <w:autoSpaceDN w:val="0"/>
        <w:adjustRightInd w:val="0"/>
        <w:snapToGrid w:val="0"/>
        <w:spacing w:after="0" w:line="360" w:lineRule="auto"/>
        <w:ind w:left="0" w:leftChars="0" w:firstLine="480"/>
        <w:textAlignment w:val="baseline"/>
        <w:rPr>
          <w:color w:val="auto"/>
          <w:kern w:val="21"/>
          <w:lang w:bidi="ar"/>
        </w:rPr>
      </w:pPr>
      <w:r>
        <w:rPr>
          <w:color w:val="auto"/>
          <w:kern w:val="21"/>
          <w:lang w:bidi="ar"/>
        </w:rPr>
        <w:t>浸入式超滤膜系统定期自动进行膜完整性测试，完整性检测是基于膜的泡点原理，采用自动的压力衰减测试方法，在线验证膜的截留有效性，确保滤后水的质量。每次检测持续10分钟，膜系统工作时间可作为启动压力衰减测试的条件。压力衰减测试采用50kPa压缩空气注入到浸入式膜的产水侧，待产水侧的水被完全压出后，切断空气并持续保压一段时间，由PLC计算出产水侧的空气压力衰减速率。当压力衰减速率低于预设定值则自动确认膜的完整性良好。</w:t>
      </w:r>
    </w:p>
    <w:p>
      <w:pPr>
        <w:pStyle w:val="23"/>
        <w:widowControl/>
        <w:kinsoku w:val="0"/>
        <w:autoSpaceDE w:val="0"/>
        <w:autoSpaceDN w:val="0"/>
        <w:adjustRightInd w:val="0"/>
        <w:snapToGrid w:val="0"/>
        <w:spacing w:after="0" w:line="360" w:lineRule="auto"/>
        <w:ind w:left="0" w:leftChars="0" w:firstLine="480"/>
        <w:textAlignment w:val="baseline"/>
        <w:rPr>
          <w:color w:val="auto"/>
          <w:kern w:val="21"/>
          <w:lang w:bidi="ar"/>
        </w:rPr>
      </w:pPr>
      <w:r>
        <w:rPr>
          <w:color w:val="auto"/>
          <w:kern w:val="21"/>
          <w:lang w:bidi="ar"/>
        </w:rPr>
        <w:t>（4）膜组件修复</w:t>
      </w:r>
    </w:p>
    <w:p>
      <w:pPr>
        <w:pStyle w:val="23"/>
        <w:widowControl/>
        <w:kinsoku w:val="0"/>
        <w:autoSpaceDE w:val="0"/>
        <w:autoSpaceDN w:val="0"/>
        <w:adjustRightInd w:val="0"/>
        <w:snapToGrid w:val="0"/>
        <w:spacing w:after="0" w:line="360" w:lineRule="auto"/>
        <w:ind w:left="0" w:leftChars="0" w:firstLine="480"/>
        <w:textAlignment w:val="baseline"/>
        <w:rPr>
          <w:color w:val="auto"/>
        </w:rPr>
      </w:pPr>
      <w:r>
        <w:rPr>
          <w:color w:val="auto"/>
          <w:kern w:val="21"/>
          <w:lang w:bidi="ar"/>
        </w:rPr>
        <w:t>如果完整性检测说明膜有损坏，则需要通过观察膜过滤池表面的气泡来确定膜滤池内破损的膜组件。之后将相应的膜组件取出，采用补膜签和专用修补工具进行修复，可请膜厂家专业人员协助进行维修。</w:t>
      </w:r>
    </w:p>
    <w:p>
      <w:pPr>
        <w:pStyle w:val="6"/>
        <w:spacing w:after="0"/>
        <w:rPr>
          <w:color w:val="auto"/>
          <w:kern w:val="21"/>
          <w:sz w:val="24"/>
          <w:szCs w:val="24"/>
        </w:rPr>
      </w:pPr>
      <w:bookmarkStart w:id="42" w:name="_Toc618"/>
      <w:r>
        <w:rPr>
          <w:color w:val="auto"/>
          <w:kern w:val="21"/>
          <w:sz w:val="24"/>
          <w:szCs w:val="24"/>
        </w:rPr>
        <w:t>3</w:t>
      </w:r>
      <w:r>
        <w:rPr>
          <w:rFonts w:eastAsia="宋体"/>
          <w:color w:val="auto"/>
          <w:kern w:val="21"/>
          <w:sz w:val="24"/>
          <w:szCs w:val="24"/>
        </w:rPr>
        <w:t>.1.6污水处理工艺</w:t>
      </w:r>
      <w:bookmarkEnd w:id="42"/>
    </w:p>
    <w:p>
      <w:pPr>
        <w:ind w:firstLine="480"/>
        <w:rPr>
          <w:color w:val="auto"/>
          <w:kern w:val="21"/>
        </w:rPr>
      </w:pPr>
      <w:r>
        <w:rPr>
          <w:color w:val="auto"/>
          <w:kern w:val="21"/>
        </w:rPr>
        <w:t>经过比选，确定的本项目污水处理工艺如下：</w:t>
      </w:r>
    </w:p>
    <w:p>
      <w:pPr>
        <w:pStyle w:val="23"/>
        <w:ind w:left="0" w:leftChars="0" w:firstLine="0" w:firstLineChars="0"/>
        <w:jc w:val="center"/>
        <w:rPr>
          <w:color w:val="auto"/>
          <w:kern w:val="21"/>
        </w:rPr>
      </w:pPr>
      <w:r>
        <w:rPr>
          <w:color w:val="auto"/>
          <w:kern w:val="21"/>
        </w:rPr>
        <w:object>
          <v:shape id="_x0000_i1026" o:spt="75" type="#_x0000_t75" style="height:436.2pt;width:352.2pt;" o:ole="t" filled="f" o:preferrelative="t" stroked="f" coordsize="21600,21600">
            <v:path/>
            <v:fill on="f" focussize="0,0"/>
            <v:stroke on="f" joinstyle="miter"/>
            <v:imagedata r:id="rId27" o:title=""/>
            <o:lock v:ext="edit" aspectratio="f"/>
            <w10:wrap type="none"/>
            <w10:anchorlock/>
          </v:shape>
          <o:OLEObject Type="Embed" ProgID="Visio.Drawing.11" ShapeID="_x0000_i1026" DrawAspect="Content" ObjectID="_1468075726" r:id="rId26">
            <o:LockedField>false</o:LockedField>
          </o:OLEObject>
        </w:object>
      </w:r>
    </w:p>
    <w:p>
      <w:pPr>
        <w:keepNext w:val="0"/>
        <w:keepLines w:val="0"/>
        <w:pageBreakBefore w:val="0"/>
        <w:widowControl/>
        <w:numPr>
          <w:ilvl w:val="0"/>
          <w:numId w:val="6"/>
        </w:numPr>
        <w:kinsoku/>
        <w:wordWrap/>
        <w:overflowPunct/>
        <w:topLinePunct w:val="0"/>
        <w:autoSpaceDE/>
        <w:autoSpaceDN/>
        <w:bidi w:val="0"/>
        <w:adjustRightInd/>
        <w:snapToGrid/>
        <w:ind w:left="0" w:leftChars="0" w:firstLine="0" w:firstLineChars="0"/>
        <w:jc w:val="center"/>
        <w:textAlignment w:val="auto"/>
        <w:rPr>
          <w:b/>
          <w:bCs/>
          <w:color w:val="auto"/>
          <w:kern w:val="21"/>
          <w:lang w:bidi="ar"/>
        </w:rPr>
      </w:pPr>
      <w:r>
        <w:rPr>
          <w:b/>
          <w:bCs/>
          <w:color w:val="auto"/>
          <w:kern w:val="21"/>
          <w:lang w:bidi="ar"/>
        </w:rPr>
        <w:t>项目污水处理工艺流程图</w:t>
      </w:r>
    </w:p>
    <w:p>
      <w:pPr>
        <w:widowControl/>
        <w:ind w:firstLine="480"/>
        <w:jc w:val="left"/>
        <w:rPr>
          <w:color w:val="auto"/>
          <w:kern w:val="21"/>
          <w:lang w:bidi="ar"/>
        </w:rPr>
      </w:pPr>
      <w:r>
        <w:rPr>
          <w:color w:val="auto"/>
          <w:kern w:val="21"/>
          <w:lang w:bidi="ar"/>
        </w:rPr>
        <w:t>污水处理工艺说明：</w:t>
      </w:r>
    </w:p>
    <w:p>
      <w:pPr>
        <w:pStyle w:val="23"/>
        <w:spacing w:after="0" w:line="360" w:lineRule="auto"/>
        <w:ind w:left="0" w:leftChars="0" w:firstLine="480"/>
        <w:rPr>
          <w:color w:val="auto"/>
          <w:kern w:val="21"/>
          <w:lang w:bidi="ar"/>
        </w:rPr>
      </w:pPr>
      <w:r>
        <w:rPr>
          <w:color w:val="auto"/>
          <w:kern w:val="21"/>
          <w:lang w:bidi="ar"/>
        </w:rPr>
        <w:t>（1）污水预处理工艺</w:t>
      </w:r>
    </w:p>
    <w:p>
      <w:pPr>
        <w:pStyle w:val="23"/>
        <w:spacing w:after="0" w:line="360" w:lineRule="auto"/>
        <w:ind w:left="0" w:leftChars="0" w:firstLine="480"/>
        <w:rPr>
          <w:color w:val="auto"/>
          <w:kern w:val="21"/>
          <w:lang w:bidi="ar"/>
        </w:rPr>
      </w:pPr>
      <w:r>
        <w:rPr>
          <w:color w:val="auto"/>
          <w:kern w:val="21"/>
          <w:lang w:bidi="ar"/>
        </w:rPr>
        <w:t>本项目主要处理工业废水，废水可生化性较差，故增设预处理单元，以提高废水的可生化性，减轻生物处理系统的负荷，增强系统的抗冲击负荷能力。本项目预处理单元包括粗格栅、细格栅、混凝沉淀池及水解酸化池。</w:t>
      </w:r>
    </w:p>
    <w:p>
      <w:pPr>
        <w:pStyle w:val="23"/>
        <w:spacing w:after="0" w:line="360" w:lineRule="auto"/>
        <w:ind w:left="0" w:leftChars="0" w:firstLine="480"/>
        <w:rPr>
          <w:color w:val="auto"/>
          <w:kern w:val="21"/>
          <w:lang w:bidi="ar"/>
        </w:rPr>
      </w:pPr>
      <w:r>
        <w:rPr>
          <w:color w:val="auto"/>
          <w:kern w:val="21"/>
          <w:lang w:bidi="ar"/>
        </w:rPr>
        <w:t>工业园区废水经管网收集后自流进入粗格栅池，经粗格栅去除颗粒较大的漂浮物及悬浮物后自流进入泵房，废水由进水泵房提升至细格栅池，经细格栅进一步去除较小的漂浮物及悬浮物后，废水再自流进入调节池，废水水质、水量在调节池内得以均衡，以减小冲击负荷，提高后续的处理效果。为避免悬浮物在调节池内沉积，因此在调节池内安装有潜水搅拌机。</w:t>
      </w:r>
    </w:p>
    <w:p>
      <w:pPr>
        <w:widowControl/>
        <w:ind w:firstLine="480"/>
        <w:jc w:val="left"/>
        <w:rPr>
          <w:color w:val="auto"/>
          <w:kern w:val="21"/>
        </w:rPr>
      </w:pPr>
      <w:r>
        <w:rPr>
          <w:color w:val="auto"/>
          <w:kern w:val="21"/>
          <w:lang w:bidi="ar"/>
        </w:rPr>
        <w:t>由于废水中悬浮物及磷含量较高，且废水可能含有有毒有害物质，对厌氧微生物有毒害和限制作用，不利于后续处理，因此为减轻后续生化系统的压力，拟设置混凝反应沉淀池。混凝沉淀池是废水处理中沉淀池的一种。混凝过程是工业用水和生活污水处理中最基本也是极为重要的处理过程，通过向水中投加一些药剂（通常称为混凝剂及助凝剂），使水中难以沉淀的颗粒能互相聚合而形成胶体，然后与水体中的杂质结合形成更大的絮凝体。絮凝体具有强大吸附力，不仅能吸附悬浮物，还能吸附部分细菌和溶解性物质。絮凝体通过吸附，体积增大而下沉。在混凝剂的作用下，使废水中的胶体和细微悬浮物凝聚成絮凝体，然后予以分离除去的水处理法。混凝沉淀法在水处理中的应用是非常广泛的，它既可以降低原水的浊度、色度等水质的感观指标，又可以去除多种有毒有害污染物。</w:t>
      </w:r>
    </w:p>
    <w:p>
      <w:pPr>
        <w:widowControl/>
        <w:ind w:firstLine="480"/>
        <w:jc w:val="left"/>
        <w:rPr>
          <w:color w:val="auto"/>
          <w:kern w:val="21"/>
          <w:lang w:bidi="ar"/>
        </w:rPr>
      </w:pPr>
      <w:r>
        <w:rPr>
          <w:color w:val="auto"/>
          <w:kern w:val="21"/>
          <w:lang w:bidi="ar"/>
        </w:rPr>
        <w:t>针对工业废水中难生物降解物质多，废水经pH值回调后自流入水解酸化池，通过厌氧菌、兼氧菌的作用，将废水中的不溶性有机物水解为可溶性物质，将大分子生物降解的物质转化为易于生物降解的物质，改善废水的可生化性，为后续的好氧生物处理创造条件。废水经水解酸化后，可生化性将大大提高。</w:t>
      </w:r>
    </w:p>
    <w:p>
      <w:pPr>
        <w:widowControl/>
        <w:ind w:firstLine="480"/>
        <w:jc w:val="left"/>
        <w:rPr>
          <w:color w:val="auto"/>
          <w:kern w:val="21"/>
          <w:lang w:bidi="ar"/>
        </w:rPr>
      </w:pPr>
      <w:r>
        <w:rPr>
          <w:color w:val="auto"/>
          <w:kern w:val="21"/>
          <w:lang w:bidi="ar"/>
        </w:rPr>
        <w:t>（2）生化处理工艺</w:t>
      </w:r>
    </w:p>
    <w:p>
      <w:pPr>
        <w:widowControl/>
        <w:ind w:firstLine="480"/>
        <w:jc w:val="left"/>
        <w:rPr>
          <w:color w:val="auto"/>
          <w:kern w:val="21"/>
          <w:lang w:bidi="ar"/>
        </w:rPr>
      </w:pPr>
      <w:r>
        <w:rPr>
          <w:color w:val="auto"/>
          <w:kern w:val="21"/>
          <w:lang w:bidi="ar"/>
        </w:rPr>
        <w:t>本项目生化处理采用</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工艺。污水经混凝沉淀、水解酸化处理后污水进入到</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生化池，该池由缺氧、厌氧、缺氧、好氧四段组成，以完成生物脱氮除磷和降解有机污染物的过程。其中，好氧段出水端的混合液回流至后一个缺氧段，回流污泥回流至首端的缺氧段。在缺氧段异养菌将污水中的淀粉、纤维、碳水化合物等悬浮污染物和可溶性有机物水解为有机酸，使大分子有机物分解为小分子有机物，不溶性的有机物转化成可溶性有机物，当这些经缺氧水解的产物进入好氧池进行好氧处理时，可提高污水的可生化性及氧的效率；在缺氧段，异养菌将蛋白质、脂肪等污染物进行氨化（有机链上的N或氨基酸中的氨基）游离出氨（NH</w:t>
      </w:r>
      <w:r>
        <w:rPr>
          <w:color w:val="auto"/>
          <w:kern w:val="21"/>
          <w:sz w:val="15"/>
          <w:szCs w:val="15"/>
          <w:lang w:bidi="ar"/>
        </w:rPr>
        <w:t>3</w:t>
      </w:r>
      <w:r>
        <w:rPr>
          <w:color w:val="auto"/>
          <w:kern w:val="21"/>
          <w:lang w:bidi="ar"/>
        </w:rPr>
        <w:t>、NH</w:t>
      </w:r>
      <w:r>
        <w:rPr>
          <w:color w:val="auto"/>
          <w:kern w:val="21"/>
          <w:sz w:val="15"/>
          <w:szCs w:val="15"/>
          <w:lang w:bidi="ar"/>
        </w:rPr>
        <w:t>4</w:t>
      </w:r>
      <w:r>
        <w:rPr>
          <w:color w:val="auto"/>
          <w:kern w:val="21"/>
          <w:vertAlign w:val="superscript"/>
          <w:lang w:bidi="ar"/>
        </w:rPr>
        <w:t>+</w:t>
      </w:r>
      <w:r>
        <w:rPr>
          <w:color w:val="auto"/>
          <w:kern w:val="21"/>
          <w:lang w:bidi="ar"/>
        </w:rPr>
        <w:t>），在充足供氧条件下，自养菌的硝化作用将NH</w:t>
      </w:r>
      <w:r>
        <w:rPr>
          <w:color w:val="auto"/>
          <w:kern w:val="21"/>
          <w:sz w:val="15"/>
          <w:szCs w:val="15"/>
          <w:lang w:bidi="ar"/>
        </w:rPr>
        <w:t>3</w:t>
      </w:r>
      <w:r>
        <w:rPr>
          <w:color w:val="auto"/>
          <w:kern w:val="21"/>
          <w:lang w:bidi="ar"/>
        </w:rPr>
        <w:t>-N（NH</w:t>
      </w:r>
      <w:r>
        <w:rPr>
          <w:color w:val="auto"/>
          <w:kern w:val="21"/>
          <w:sz w:val="15"/>
          <w:szCs w:val="15"/>
          <w:lang w:bidi="ar"/>
        </w:rPr>
        <w:t>4</w:t>
      </w:r>
      <w:r>
        <w:rPr>
          <w:color w:val="auto"/>
          <w:kern w:val="21"/>
          <w:sz w:val="15"/>
          <w:szCs w:val="15"/>
          <w:vertAlign w:val="superscript"/>
          <w:lang w:bidi="ar"/>
        </w:rPr>
        <w:t>+</w:t>
      </w:r>
      <w:r>
        <w:rPr>
          <w:color w:val="auto"/>
          <w:kern w:val="21"/>
          <w:lang w:bidi="ar"/>
        </w:rPr>
        <w:t>）氧化为NO</w:t>
      </w:r>
      <w:r>
        <w:rPr>
          <w:color w:val="auto"/>
          <w:kern w:val="21"/>
          <w:sz w:val="15"/>
          <w:szCs w:val="15"/>
          <w:lang w:bidi="ar"/>
        </w:rPr>
        <w:t>3</w:t>
      </w:r>
      <w:r>
        <w:rPr>
          <w:color w:val="auto"/>
          <w:kern w:val="21"/>
          <w:vertAlign w:val="superscript"/>
          <w:lang w:bidi="ar"/>
        </w:rPr>
        <w:t>-</w:t>
      </w:r>
      <w:r>
        <w:rPr>
          <w:color w:val="auto"/>
          <w:kern w:val="21"/>
          <w:lang w:bidi="ar"/>
        </w:rPr>
        <w:t>，通过回流控制返回至A池，在缺氧条件下，异氧菌的反硝化作用将NO</w:t>
      </w:r>
      <w:r>
        <w:rPr>
          <w:color w:val="auto"/>
          <w:kern w:val="21"/>
          <w:sz w:val="15"/>
          <w:szCs w:val="15"/>
          <w:lang w:bidi="ar"/>
        </w:rPr>
        <w:t>3</w:t>
      </w:r>
      <w:r>
        <w:rPr>
          <w:color w:val="auto"/>
          <w:kern w:val="21"/>
          <w:vertAlign w:val="superscript"/>
          <w:lang w:bidi="ar"/>
        </w:rPr>
        <w:t>-</w:t>
      </w:r>
      <w:r>
        <w:rPr>
          <w:color w:val="auto"/>
          <w:kern w:val="21"/>
          <w:lang w:bidi="ar"/>
        </w:rPr>
        <w:t>还原为分子态氮（N</w:t>
      </w:r>
      <w:r>
        <w:rPr>
          <w:color w:val="auto"/>
          <w:kern w:val="21"/>
          <w:vertAlign w:val="subscript"/>
          <w:lang w:bidi="ar"/>
        </w:rPr>
        <w:t>2</w:t>
      </w:r>
      <w:r>
        <w:rPr>
          <w:color w:val="auto"/>
          <w:kern w:val="21"/>
          <w:lang w:bidi="ar"/>
        </w:rPr>
        <w:t>）完成C、N、O在生态中的循环，实现污水无害化处理。</w:t>
      </w:r>
    </w:p>
    <w:p>
      <w:pPr>
        <w:widowControl/>
        <w:ind w:firstLine="480"/>
        <w:jc w:val="left"/>
        <w:rPr>
          <w:color w:val="auto"/>
          <w:kern w:val="21"/>
        </w:rPr>
      </w:pP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生物脱氮流程具有以下特点：</w:t>
      </w:r>
    </w:p>
    <w:p>
      <w:pPr>
        <w:widowControl/>
        <w:ind w:firstLine="480"/>
        <w:jc w:val="left"/>
        <w:rPr>
          <w:color w:val="auto"/>
          <w:kern w:val="21"/>
        </w:rPr>
      </w:pPr>
      <w:r>
        <w:rPr>
          <w:color w:val="auto"/>
          <w:kern w:val="21"/>
          <w:lang w:bidi="ar"/>
        </w:rPr>
        <w:t>1）效率高。该工艺对废水中的有机物，氨氮等均有较高的去除效果。总氮去除率在70%以上。</w:t>
      </w:r>
    </w:p>
    <w:p>
      <w:pPr>
        <w:widowControl/>
        <w:ind w:firstLine="480"/>
        <w:jc w:val="left"/>
        <w:rPr>
          <w:color w:val="auto"/>
          <w:kern w:val="21"/>
        </w:rPr>
      </w:pPr>
      <w:r>
        <w:rPr>
          <w:color w:val="auto"/>
          <w:kern w:val="21"/>
          <w:lang w:bidi="ar"/>
        </w:rPr>
        <w:t>2）流程简单，投资省，操作费用低。该工艺是以废水中的有机物作为反硝化的碳源，尤其在反硝化过程中产生的碱度相应地降低了硝化过程需要的碱耗。</w:t>
      </w:r>
    </w:p>
    <w:p>
      <w:pPr>
        <w:widowControl/>
        <w:ind w:firstLine="480"/>
        <w:jc w:val="left"/>
        <w:rPr>
          <w:color w:val="auto"/>
          <w:kern w:val="21"/>
        </w:rPr>
      </w:pPr>
      <w:r>
        <w:rPr>
          <w:color w:val="auto"/>
          <w:kern w:val="21"/>
          <w:lang w:bidi="ar"/>
        </w:rPr>
        <w:t>3）缺氧反硝化过程对污染物具有较高的降解效率。如COD、BOD</w:t>
      </w:r>
      <w:r>
        <w:rPr>
          <w:color w:val="auto"/>
          <w:kern w:val="21"/>
          <w:sz w:val="15"/>
          <w:szCs w:val="15"/>
          <w:lang w:bidi="ar"/>
        </w:rPr>
        <w:t>5</w:t>
      </w:r>
      <w:r>
        <w:rPr>
          <w:color w:val="auto"/>
          <w:kern w:val="21"/>
          <w:lang w:bidi="ar"/>
        </w:rPr>
        <w:t>和SCN</w:t>
      </w:r>
      <w:r>
        <w:rPr>
          <w:color w:val="auto"/>
          <w:kern w:val="21"/>
          <w:vertAlign w:val="superscript"/>
          <w:lang w:bidi="ar"/>
        </w:rPr>
        <w:t>-</w:t>
      </w:r>
      <w:r>
        <w:rPr>
          <w:color w:val="auto"/>
          <w:kern w:val="21"/>
          <w:lang w:bidi="ar"/>
        </w:rPr>
        <w:t>在缺氧段中去除率在分别为67%、38%、59%，酚和有机物的去除率分别为62%和36%，故反硝化反应是最为经济的节能型降解过程。</w:t>
      </w:r>
    </w:p>
    <w:p>
      <w:pPr>
        <w:widowControl/>
        <w:ind w:firstLine="480"/>
        <w:jc w:val="left"/>
        <w:rPr>
          <w:color w:val="auto"/>
          <w:kern w:val="21"/>
        </w:rPr>
      </w:pPr>
      <w:r>
        <w:rPr>
          <w:color w:val="auto"/>
          <w:kern w:val="21"/>
          <w:lang w:bidi="ar"/>
        </w:rPr>
        <w:t>4）容积负荷高。由于硝化阶段采用了强化生化，反硝化阶段又采用了高浓度污泥，有效地提高了硝化及反硝化的污泥浓度。</w:t>
      </w:r>
    </w:p>
    <w:p>
      <w:pPr>
        <w:widowControl/>
        <w:ind w:firstLine="480"/>
        <w:jc w:val="left"/>
        <w:rPr>
          <w:color w:val="auto"/>
          <w:kern w:val="21"/>
        </w:rPr>
      </w:pPr>
      <w:r>
        <w:rPr>
          <w:color w:val="auto"/>
          <w:kern w:val="21"/>
          <w:lang w:bidi="ar"/>
        </w:rPr>
        <w:t>5）缺氧/好氧工艺的耐冲击负荷能力强。当进水水质波动较大或污染物浓度较高时，本工艺均能维持正常运行，故操作管理也很简单。</w:t>
      </w:r>
    </w:p>
    <w:p>
      <w:pPr>
        <w:widowControl/>
        <w:ind w:firstLine="480"/>
        <w:jc w:val="left"/>
        <w:rPr>
          <w:color w:val="auto"/>
          <w:kern w:val="21"/>
          <w:lang w:bidi="ar"/>
        </w:rPr>
      </w:pPr>
      <w:r>
        <w:rPr>
          <w:color w:val="auto"/>
          <w:kern w:val="21"/>
          <w:lang w:bidi="ar"/>
        </w:rPr>
        <w:t>（3）深度处理工艺</w:t>
      </w:r>
    </w:p>
    <w:p>
      <w:pPr>
        <w:widowControl/>
        <w:ind w:firstLine="480"/>
        <w:jc w:val="left"/>
        <w:rPr>
          <w:color w:val="auto"/>
          <w:kern w:val="21"/>
          <w:lang w:bidi="ar"/>
        </w:rPr>
      </w:pPr>
      <w:r>
        <w:rPr>
          <w:color w:val="auto"/>
          <w:kern w:val="21"/>
          <w:lang w:bidi="ar"/>
        </w:rPr>
        <w:t>项目深度处理采用MBR工艺，对生化处理单元的出水进一步进行处理。</w:t>
      </w:r>
    </w:p>
    <w:p>
      <w:pPr>
        <w:widowControl/>
        <w:ind w:firstLine="480"/>
        <w:jc w:val="left"/>
        <w:rPr>
          <w:color w:val="auto"/>
          <w:kern w:val="21"/>
        </w:rPr>
      </w:pPr>
      <w:r>
        <w:rPr>
          <w:color w:val="auto"/>
          <w:kern w:val="21"/>
          <w:lang w:bidi="ar"/>
        </w:rPr>
        <w:t>本工程进水可生化性差，水质变化大，目前国内已广泛采用的MBR工艺具有抗水质冲击负荷强、氨氮硝化程度高、出水水质好的特点，从本工程对出水水质要求较高的角度出发，为保证出水水质，在</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生物处理工艺的基础上增加MBR处理工艺。</w:t>
      </w:r>
    </w:p>
    <w:p>
      <w:pPr>
        <w:widowControl/>
        <w:ind w:firstLine="480"/>
        <w:jc w:val="left"/>
        <w:rPr>
          <w:color w:val="auto"/>
          <w:kern w:val="21"/>
        </w:rPr>
      </w:pPr>
      <w:r>
        <w:rPr>
          <w:color w:val="auto"/>
          <w:kern w:val="21"/>
          <w:lang w:bidi="ar"/>
        </w:rPr>
        <w:t>考虑到MBR膜的超高过滤能力，该方案降低了</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生物池的容积，将停留时间降为11.2h，同时提高污泥浓度至8.3g/L。污水经过生化处理后进入MBR膜池进行过滤，此工序作为该工艺的核心，MBR膜具有超小的孔径，通过膜过滤的尾水有着较好的水质。膜过滤后的尾水进入消毒渠。在消毒渠中杀死水中的细菌、病毒，保证尾水的细菌指标，最后达标排放。</w:t>
      </w:r>
    </w:p>
    <w:p>
      <w:pPr>
        <w:widowControl/>
        <w:ind w:firstLine="480"/>
        <w:jc w:val="left"/>
        <w:rPr>
          <w:color w:val="auto"/>
          <w:kern w:val="21"/>
        </w:rPr>
      </w:pPr>
      <w:r>
        <w:rPr>
          <w:color w:val="auto"/>
          <w:kern w:val="21"/>
          <w:lang w:bidi="ar"/>
        </w:rPr>
        <w:t>MBR膜处理技术，是基于膜分离材料的水处理新技术，具有以下优缺点：</w:t>
      </w:r>
    </w:p>
    <w:p>
      <w:pPr>
        <w:widowControl/>
        <w:ind w:firstLine="480"/>
        <w:jc w:val="left"/>
        <w:rPr>
          <w:color w:val="auto"/>
          <w:kern w:val="21"/>
        </w:rPr>
      </w:pPr>
      <w:r>
        <w:rPr>
          <w:color w:val="auto"/>
          <w:kern w:val="21"/>
          <w:lang w:bidi="ar"/>
        </w:rPr>
        <w:t>1）出水水质标准高，品质稳定。膜表面孔径只有0.1~0.2微米，能够高效地进行固液分离，悬浮物和浊度接近于零，可直接回用；</w:t>
      </w:r>
    </w:p>
    <w:p>
      <w:pPr>
        <w:widowControl/>
        <w:ind w:firstLine="480"/>
        <w:jc w:val="left"/>
        <w:rPr>
          <w:color w:val="auto"/>
          <w:kern w:val="21"/>
        </w:rPr>
      </w:pPr>
      <w:r>
        <w:rPr>
          <w:color w:val="auto"/>
          <w:kern w:val="21"/>
          <w:lang w:bidi="ar"/>
        </w:rPr>
        <w:t>2）运行控制更加灵活稳定。膜的高效截流作用，使微生物完全截流在反应器内，实现了反应器水力停留时间（HRT）和污泥龄（SRT）的完全分离；</w:t>
      </w:r>
    </w:p>
    <w:p>
      <w:pPr>
        <w:widowControl/>
        <w:ind w:firstLine="480"/>
        <w:jc w:val="left"/>
        <w:rPr>
          <w:color w:val="auto"/>
          <w:kern w:val="21"/>
        </w:rPr>
      </w:pPr>
      <w:r>
        <w:rPr>
          <w:color w:val="auto"/>
          <w:kern w:val="21"/>
          <w:lang w:bidi="ar"/>
        </w:rPr>
        <w:t>3）对水质水量的变化适应力强，耐冲击负荷强。解决了传统活性污泥法造成的沉淀部分对最大生物浓度的限制，反应器内的微生物浓度高，是传统方法的2~3倍，达到8000~10000mg/L，在进水有机物浓度较低的情况下，污泥浓度可以控制在3000~4000mg/L；</w:t>
      </w:r>
    </w:p>
    <w:p>
      <w:pPr>
        <w:widowControl/>
        <w:ind w:firstLine="480"/>
        <w:jc w:val="left"/>
        <w:rPr>
          <w:color w:val="auto"/>
          <w:kern w:val="21"/>
        </w:rPr>
      </w:pPr>
      <w:r>
        <w:rPr>
          <w:color w:val="auto"/>
          <w:kern w:val="21"/>
          <w:lang w:bidi="ar"/>
        </w:rPr>
        <w:t>4）脱氮效果好。在膜池前设置缺氧段，同时就近从膜池回流含有大量硝酸基的内循环混合液，有利于增殖缓慢的硝化细菌及其它细菌的生长和繁殖，系统硝化效率得以提高，反应时间也大大缩短；</w:t>
      </w:r>
    </w:p>
    <w:p>
      <w:pPr>
        <w:widowControl/>
        <w:ind w:firstLine="480"/>
        <w:jc w:val="left"/>
        <w:rPr>
          <w:color w:val="auto"/>
          <w:kern w:val="21"/>
        </w:rPr>
      </w:pPr>
      <w:r>
        <w:rPr>
          <w:color w:val="auto"/>
          <w:kern w:val="21"/>
          <w:lang w:bidi="ar"/>
        </w:rPr>
        <w:t>5）有机物去除率高。膜分离使污水中的大分子难降解成分，在体积有限的生物反应器内有足够的停留时间，有利于专性菌的培养，大大提高了难降解有机物的降解效率，COD去除率高；</w:t>
      </w:r>
    </w:p>
    <w:p>
      <w:pPr>
        <w:widowControl/>
        <w:ind w:firstLine="480"/>
        <w:jc w:val="left"/>
        <w:rPr>
          <w:color w:val="auto"/>
          <w:kern w:val="21"/>
        </w:rPr>
      </w:pPr>
      <w:r>
        <w:rPr>
          <w:color w:val="auto"/>
          <w:kern w:val="21"/>
          <w:lang w:bidi="ar"/>
        </w:rPr>
        <w:t>6）模块化设计易于扩容，具有可移动性；</w:t>
      </w:r>
    </w:p>
    <w:p>
      <w:pPr>
        <w:widowControl/>
        <w:ind w:firstLine="480"/>
        <w:jc w:val="left"/>
        <w:rPr>
          <w:color w:val="auto"/>
          <w:kern w:val="21"/>
        </w:rPr>
      </w:pPr>
      <w:r>
        <w:rPr>
          <w:color w:val="auto"/>
          <w:kern w:val="21"/>
          <w:lang w:bidi="ar"/>
        </w:rPr>
        <w:t>7）系统采用PLC控制，可实现全程自动化控制，运行管理方便；</w:t>
      </w:r>
    </w:p>
    <w:p>
      <w:pPr>
        <w:widowControl/>
        <w:ind w:firstLine="480"/>
        <w:jc w:val="left"/>
        <w:rPr>
          <w:color w:val="auto"/>
          <w:kern w:val="21"/>
        </w:rPr>
      </w:pPr>
      <w:r>
        <w:rPr>
          <w:color w:val="auto"/>
          <w:kern w:val="21"/>
          <w:lang w:bidi="ar"/>
        </w:rPr>
        <w:t>8）膜抗污染性强，易清洗，适于污水处理。化学性能稳定，抗氧化性强，可采用常用氧化性药剂清洗；</w:t>
      </w:r>
    </w:p>
    <w:p>
      <w:pPr>
        <w:widowControl/>
        <w:ind w:firstLine="480"/>
        <w:jc w:val="left"/>
        <w:rPr>
          <w:color w:val="auto"/>
          <w:kern w:val="21"/>
        </w:rPr>
      </w:pPr>
      <w:r>
        <w:rPr>
          <w:color w:val="auto"/>
          <w:kern w:val="21"/>
          <w:lang w:bidi="ar"/>
        </w:rPr>
        <w:t>9）膜造价高，使膜生物反应器的基建投资高于传统污水处理工艺；</w:t>
      </w:r>
    </w:p>
    <w:p>
      <w:pPr>
        <w:widowControl/>
        <w:ind w:firstLine="480"/>
        <w:jc w:val="left"/>
        <w:rPr>
          <w:color w:val="auto"/>
          <w:kern w:val="21"/>
        </w:rPr>
      </w:pPr>
      <w:r>
        <w:rPr>
          <w:color w:val="auto"/>
          <w:kern w:val="21"/>
          <w:lang w:bidi="ar"/>
        </w:rPr>
        <w:t>10）膜污染容易出现，给操作管理带来不便；</w:t>
      </w:r>
    </w:p>
    <w:p>
      <w:pPr>
        <w:widowControl/>
        <w:ind w:firstLine="480"/>
        <w:jc w:val="left"/>
        <w:rPr>
          <w:color w:val="auto"/>
          <w:kern w:val="21"/>
        </w:rPr>
      </w:pPr>
      <w:r>
        <w:rPr>
          <w:color w:val="auto"/>
          <w:kern w:val="21"/>
          <w:lang w:bidi="ar"/>
        </w:rPr>
        <w:t>11）能耗高：首先MBR泥水分离过程必须保持一定的膜驱动压力，其次是MBR池中MLSS浓度非常高，要保持足够的传氧速率，必须加大曝气强度，还有为了加大膜通量、减轻膜污染，必须增大流速，冲刷膜表面，造成MBR的能耗要比传统的生物处理工艺高。</w:t>
      </w:r>
    </w:p>
    <w:p>
      <w:pPr>
        <w:pStyle w:val="23"/>
        <w:spacing w:after="0" w:line="360" w:lineRule="auto"/>
        <w:ind w:left="0" w:leftChars="0" w:firstLine="480"/>
        <w:rPr>
          <w:color w:val="auto"/>
          <w:kern w:val="21"/>
          <w:lang w:bidi="ar"/>
        </w:rPr>
      </w:pPr>
      <w:r>
        <w:rPr>
          <w:color w:val="auto"/>
          <w:kern w:val="21"/>
          <w:lang w:bidi="ar"/>
        </w:rPr>
        <w:t>（4）紫外线消毒</w:t>
      </w:r>
    </w:p>
    <w:p>
      <w:pPr>
        <w:widowControl/>
        <w:ind w:firstLine="480"/>
        <w:jc w:val="left"/>
        <w:rPr>
          <w:color w:val="auto"/>
          <w:kern w:val="21"/>
        </w:rPr>
      </w:pPr>
      <w:r>
        <w:rPr>
          <w:color w:val="auto"/>
          <w:kern w:val="21"/>
          <w:lang w:bidi="ar"/>
        </w:rPr>
        <w:t>尾水从气水反冲洗滤池排水渠道流入消毒渠，消毒渠为一条开放式钢筋混凝土渠道，紫外线灯管放置渠道中部，尾水流经紫外线灯管，当紫外线灯管发射的紫外线照射到微生物时，便发生能量的传递和积累，积累结果造成微生物的灭活，从而达到消毒的目的。在水渠末端的排水口还装有自动水位控制器。使消毒渠保持一个最低水位及最小水位变化，在此变化范围内保持灯管全部被淹没。</w:t>
      </w:r>
    </w:p>
    <w:p>
      <w:pPr>
        <w:pStyle w:val="23"/>
        <w:spacing w:after="0" w:line="360" w:lineRule="auto"/>
        <w:ind w:left="0" w:leftChars="0" w:firstLine="480"/>
        <w:rPr>
          <w:color w:val="auto"/>
          <w:kern w:val="21"/>
          <w:lang w:bidi="ar"/>
        </w:rPr>
      </w:pPr>
      <w:r>
        <w:rPr>
          <w:color w:val="auto"/>
          <w:kern w:val="21"/>
          <w:lang w:bidi="ar"/>
        </w:rPr>
        <w:t>（5）污泥处理工艺</w:t>
      </w:r>
    </w:p>
    <w:p>
      <w:pPr>
        <w:widowControl/>
        <w:ind w:firstLine="480"/>
        <w:jc w:val="left"/>
        <w:rPr>
          <w:color w:val="auto"/>
          <w:kern w:val="21"/>
        </w:rPr>
      </w:pPr>
      <w:r>
        <w:rPr>
          <w:color w:val="auto"/>
          <w:kern w:val="21"/>
          <w:lang w:bidi="ar"/>
        </w:rPr>
        <w:t>本污水处理厂主要产生以下几种污泥：混凝沉淀污泥、生化剩余污泥，絮凝沉淀化学污泥等，污泥处理采用浓缩脱水处理，处理后污泥应根据关于污（废）水处理设施产生污泥危险特性鉴别有关意见的函（环境保护部，环函</w:t>
      </w:r>
      <w:r>
        <w:rPr>
          <w:rFonts w:hint="eastAsia"/>
          <w:color w:val="auto"/>
          <w:kern w:val="21"/>
          <w:lang w:bidi="ar"/>
        </w:rPr>
        <w:t>[</w:t>
      </w:r>
      <w:r>
        <w:rPr>
          <w:color w:val="auto"/>
          <w:kern w:val="21"/>
          <w:lang w:bidi="ar"/>
        </w:rPr>
        <w:t>2010</w:t>
      </w:r>
      <w:r>
        <w:rPr>
          <w:rFonts w:hint="eastAsia"/>
          <w:color w:val="auto"/>
          <w:kern w:val="21"/>
          <w:lang w:bidi="ar"/>
        </w:rPr>
        <w:t>]</w:t>
      </w:r>
      <w:r>
        <w:rPr>
          <w:color w:val="auto"/>
          <w:kern w:val="21"/>
          <w:lang w:bidi="ar"/>
        </w:rPr>
        <w:t>129号）：“专门处理工业废水（或同时处理少量生活污水）的处理设施产生的污泥，可能具有危险特性，应按《国家危险废物名录》、国家环境保护标准《危险废物鉴别技术规范》（HJ/T298-2007）和危险废物鉴别标准的规定，对污泥进行危险特性鉴别。鉴定属性结果如果属于危险废物，则委托有资质的单位处置，如果不属于危险废物则按照一般工业固废进行处置。在污水处理过程中会产生含水率很高的污泥，这些污泥具有体积大、易腐败、有</w:t>
      </w:r>
      <w:r>
        <w:rPr>
          <w:rFonts w:hint="eastAsia"/>
          <w:color w:val="auto"/>
          <w:kern w:val="21"/>
          <w:lang w:bidi="ar"/>
        </w:rPr>
        <w:t>臭气</w:t>
      </w:r>
      <w:r>
        <w:rPr>
          <w:color w:val="auto"/>
          <w:kern w:val="21"/>
          <w:lang w:bidi="ar"/>
        </w:rPr>
        <w:t>的特点。污泥处理工艺一般包括减容、稳定、无害化三个方面：</w:t>
      </w:r>
    </w:p>
    <w:p>
      <w:pPr>
        <w:widowControl/>
        <w:ind w:firstLine="480"/>
        <w:jc w:val="left"/>
        <w:rPr>
          <w:color w:val="auto"/>
          <w:kern w:val="21"/>
        </w:rPr>
      </w:pPr>
      <w:r>
        <w:rPr>
          <w:color w:val="auto"/>
          <w:kern w:val="21"/>
          <w:lang w:bidi="ar"/>
        </w:rPr>
        <w:t>①污泥减容：主要是降低污泥的含水率。常用方法有污泥浓缩、机械脱水、干化等，以便于污泥输送及后续的处理、处置。</w:t>
      </w:r>
    </w:p>
    <w:p>
      <w:pPr>
        <w:widowControl/>
        <w:ind w:firstLine="480"/>
        <w:jc w:val="left"/>
        <w:rPr>
          <w:color w:val="auto"/>
          <w:kern w:val="21"/>
        </w:rPr>
      </w:pPr>
      <w:r>
        <w:rPr>
          <w:color w:val="auto"/>
          <w:kern w:val="21"/>
          <w:lang w:bidi="ar"/>
        </w:rPr>
        <w:t>②污泥稳定化处理：进一步降解污泥中的有机物，使污泥稳定，常用的污泥稳定处理一般有好氧稳定处理和厌氧稳定处理。</w:t>
      </w:r>
    </w:p>
    <w:p>
      <w:pPr>
        <w:widowControl/>
        <w:ind w:firstLine="480"/>
        <w:jc w:val="left"/>
        <w:rPr>
          <w:color w:val="auto"/>
          <w:kern w:val="21"/>
        </w:rPr>
      </w:pPr>
      <w:r>
        <w:rPr>
          <w:color w:val="auto"/>
          <w:kern w:val="21"/>
          <w:lang w:bidi="ar"/>
        </w:rPr>
        <w:t>——好氧稳定：长时间曝气，分解有机物；</w:t>
      </w:r>
    </w:p>
    <w:p>
      <w:pPr>
        <w:widowControl/>
        <w:ind w:firstLine="480"/>
        <w:jc w:val="left"/>
        <w:rPr>
          <w:color w:val="auto"/>
          <w:kern w:val="21"/>
        </w:rPr>
      </w:pPr>
      <w:r>
        <w:rPr>
          <w:color w:val="auto"/>
          <w:kern w:val="21"/>
          <w:lang w:bidi="ar"/>
        </w:rPr>
        <w:t>——厌氧稳定：在无氧条件下，降解有机物。</w:t>
      </w:r>
    </w:p>
    <w:p>
      <w:pPr>
        <w:widowControl/>
        <w:ind w:firstLine="480"/>
        <w:jc w:val="left"/>
        <w:rPr>
          <w:color w:val="auto"/>
          <w:kern w:val="21"/>
        </w:rPr>
      </w:pPr>
      <w:r>
        <w:rPr>
          <w:color w:val="auto"/>
          <w:kern w:val="21"/>
          <w:lang w:bidi="ar"/>
        </w:rPr>
        <w:t>③污泥无害化：去除和控制污泥中的有害物质，如各种病菌等。</w:t>
      </w:r>
    </w:p>
    <w:p>
      <w:pPr>
        <w:widowControl/>
        <w:ind w:firstLine="480"/>
        <w:jc w:val="left"/>
        <w:rPr>
          <w:color w:val="auto"/>
          <w:kern w:val="21"/>
          <w:lang w:bidi="ar"/>
        </w:rPr>
      </w:pPr>
      <w:r>
        <w:rPr>
          <w:color w:val="auto"/>
          <w:kern w:val="21"/>
          <w:lang w:bidi="ar"/>
        </w:rPr>
        <w:t>污泥经</w:t>
      </w:r>
      <w:r>
        <w:rPr>
          <w:rFonts w:hint="eastAsia"/>
          <w:color w:val="auto"/>
          <w:kern w:val="21"/>
          <w:lang w:bidi="ar"/>
        </w:rPr>
        <w:t>板框压滤机</w:t>
      </w:r>
      <w:r>
        <w:rPr>
          <w:color w:val="auto"/>
          <w:kern w:val="21"/>
          <w:lang w:bidi="ar"/>
        </w:rPr>
        <w:t>脱水后，污泥含水率低于60%，污泥处理工艺流程见</w:t>
      </w:r>
      <w:r>
        <w:rPr>
          <w:rFonts w:hint="eastAsia"/>
          <w:color w:val="auto"/>
          <w:kern w:val="21"/>
          <w:lang w:eastAsia="zh-CN" w:bidi="ar"/>
        </w:rPr>
        <w:t>下</w:t>
      </w:r>
      <w:r>
        <w:rPr>
          <w:color w:val="auto"/>
          <w:kern w:val="21"/>
          <w:lang w:bidi="ar"/>
        </w:rPr>
        <w:t>图。</w:t>
      </w:r>
    </w:p>
    <w:p>
      <w:pPr>
        <w:pStyle w:val="23"/>
        <w:spacing w:after="0" w:line="360" w:lineRule="auto"/>
        <w:ind w:left="0" w:leftChars="0" w:firstLine="0" w:firstLineChars="0"/>
        <w:rPr>
          <w:color w:val="auto"/>
          <w:kern w:val="21"/>
        </w:rPr>
      </w:pPr>
      <w:r>
        <w:rPr>
          <w:color w:val="auto"/>
          <w:kern w:val="21"/>
        </w:rPr>
        <w:object>
          <v:shape id="_x0000_i1027" o:spt="75" type="#_x0000_t75" style="height:59.05pt;width:413.9pt;" o:ole="t" filled="f" o:preferrelative="t" stroked="f" coordsize="21600,21600">
            <v:path/>
            <v:fill on="f" focussize="0,0"/>
            <v:stroke on="f" joinstyle="miter"/>
            <v:imagedata r:id="rId29" o:title=""/>
            <o:lock v:ext="edit" aspectratio="f"/>
            <w10:wrap type="none"/>
            <w10:anchorlock/>
          </v:shape>
          <o:OLEObject Type="Embed" ProgID="Visio.Drawing.11" ShapeID="_x0000_i1027" DrawAspect="Content" ObjectID="_1468075727" r:id="rId28">
            <o:LockedField>false</o:LockedField>
          </o:OLEObject>
        </w:object>
      </w:r>
    </w:p>
    <w:p>
      <w:pPr>
        <w:keepNext w:val="0"/>
        <w:keepLines w:val="0"/>
        <w:pageBreakBefore w:val="0"/>
        <w:widowControl/>
        <w:numPr>
          <w:ilvl w:val="0"/>
          <w:numId w:val="6"/>
        </w:numPr>
        <w:kinsoku/>
        <w:wordWrap/>
        <w:overflowPunct/>
        <w:topLinePunct w:val="0"/>
        <w:autoSpaceDE/>
        <w:autoSpaceDN/>
        <w:bidi w:val="0"/>
        <w:adjustRightInd/>
        <w:snapToGrid/>
        <w:ind w:left="0" w:leftChars="0" w:firstLine="0" w:firstLineChars="0"/>
        <w:jc w:val="center"/>
        <w:textAlignment w:val="auto"/>
        <w:rPr>
          <w:b/>
          <w:bCs/>
          <w:color w:val="auto"/>
          <w:kern w:val="21"/>
          <w:lang w:bidi="ar"/>
        </w:rPr>
      </w:pPr>
      <w:r>
        <w:rPr>
          <w:b/>
          <w:bCs/>
          <w:color w:val="auto"/>
          <w:kern w:val="21"/>
          <w:lang w:bidi="ar"/>
        </w:rPr>
        <w:t>污泥处理工艺流程图</w:t>
      </w:r>
    </w:p>
    <w:p>
      <w:pPr>
        <w:pStyle w:val="6"/>
        <w:spacing w:after="0"/>
        <w:rPr>
          <w:rFonts w:eastAsia="宋体"/>
          <w:color w:val="auto"/>
          <w:kern w:val="21"/>
          <w:sz w:val="24"/>
          <w:szCs w:val="24"/>
        </w:rPr>
      </w:pPr>
      <w:bookmarkStart w:id="43" w:name="_Toc29080"/>
      <w:r>
        <w:rPr>
          <w:rFonts w:eastAsia="宋体"/>
          <w:color w:val="auto"/>
          <w:kern w:val="21"/>
          <w:sz w:val="24"/>
          <w:szCs w:val="24"/>
        </w:rPr>
        <w:t>3.1.</w:t>
      </w:r>
      <w:r>
        <w:rPr>
          <w:rFonts w:hint="eastAsia" w:eastAsia="宋体"/>
          <w:color w:val="auto"/>
          <w:kern w:val="21"/>
          <w:sz w:val="24"/>
          <w:szCs w:val="24"/>
        </w:rPr>
        <w:t>7</w:t>
      </w:r>
      <w:r>
        <w:rPr>
          <w:rFonts w:eastAsia="宋体"/>
          <w:color w:val="auto"/>
          <w:kern w:val="21"/>
          <w:sz w:val="24"/>
          <w:szCs w:val="24"/>
        </w:rPr>
        <w:t>建设内容</w:t>
      </w:r>
      <w:bookmarkEnd w:id="43"/>
    </w:p>
    <w:p>
      <w:pPr>
        <w:ind w:firstLine="480"/>
        <w:rPr>
          <w:b/>
          <w:color w:val="auto"/>
          <w:kern w:val="21"/>
        </w:rPr>
      </w:pPr>
      <w:r>
        <w:rPr>
          <w:rFonts w:hint="eastAsia"/>
          <w:color w:val="auto"/>
          <w:kern w:val="21"/>
        </w:rPr>
        <w:t>项目已建设完成，包括</w:t>
      </w:r>
      <w:r>
        <w:rPr>
          <w:color w:val="auto"/>
          <w:kern w:val="21"/>
        </w:rPr>
        <w:t>主体工程、辅助工程、公用工程</w:t>
      </w:r>
      <w:r>
        <w:rPr>
          <w:rFonts w:hint="eastAsia"/>
          <w:color w:val="auto"/>
          <w:kern w:val="21"/>
        </w:rPr>
        <w:t>和</w:t>
      </w:r>
      <w:r>
        <w:rPr>
          <w:color w:val="auto"/>
          <w:kern w:val="21"/>
        </w:rPr>
        <w:t>环保工程，</w:t>
      </w:r>
      <w:r>
        <w:rPr>
          <w:rFonts w:hint="eastAsia"/>
          <w:color w:val="auto"/>
          <w:kern w:val="21"/>
        </w:rPr>
        <w:t>根据施工设计，</w:t>
      </w:r>
      <w:r>
        <w:rPr>
          <w:color w:val="auto"/>
          <w:kern w:val="21"/>
        </w:rPr>
        <w:t>项目建设内容见</w:t>
      </w:r>
      <w:r>
        <w:rPr>
          <w:rFonts w:hint="eastAsia"/>
          <w:color w:val="auto"/>
          <w:kern w:val="21"/>
          <w:lang w:eastAsia="zh-CN"/>
        </w:rPr>
        <w:t>下表</w:t>
      </w:r>
      <w:r>
        <w:rPr>
          <w:color w:val="auto"/>
          <w:kern w:val="21"/>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color w:val="auto"/>
          <w:kern w:val="21"/>
        </w:rPr>
      </w:pPr>
      <w:r>
        <w:rPr>
          <w:b/>
          <w:bCs/>
          <w:color w:val="auto"/>
          <w:kern w:val="21"/>
        </w:rPr>
        <w:t>项目主要</w:t>
      </w:r>
      <w:r>
        <w:rPr>
          <w:b/>
          <w:color w:val="auto"/>
          <w:kern w:val="21"/>
        </w:rPr>
        <w:t>建设内容表</w:t>
      </w:r>
    </w:p>
    <w:tbl>
      <w:tblPr>
        <w:tblStyle w:val="51"/>
        <w:tblW w:w="10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870"/>
        <w:gridCol w:w="1356"/>
        <w:gridCol w:w="5116"/>
        <w:gridCol w:w="775"/>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Align w:val="center"/>
          </w:tcPr>
          <w:p>
            <w:pPr>
              <w:spacing w:line="240" w:lineRule="auto"/>
              <w:ind w:firstLine="0" w:firstLineChars="0"/>
              <w:jc w:val="center"/>
              <w:rPr>
                <w:color w:val="auto"/>
                <w:kern w:val="21"/>
                <w:sz w:val="21"/>
                <w:szCs w:val="21"/>
              </w:rPr>
            </w:pPr>
            <w:r>
              <w:rPr>
                <w:color w:val="auto"/>
                <w:kern w:val="21"/>
                <w:sz w:val="21"/>
                <w:szCs w:val="21"/>
              </w:rPr>
              <w:t>项目</w:t>
            </w:r>
          </w:p>
        </w:tc>
        <w:tc>
          <w:tcPr>
            <w:tcW w:w="2226" w:type="dxa"/>
            <w:gridSpan w:val="2"/>
            <w:vAlign w:val="center"/>
          </w:tcPr>
          <w:p>
            <w:pPr>
              <w:spacing w:line="240" w:lineRule="auto"/>
              <w:ind w:firstLine="0" w:firstLineChars="0"/>
              <w:jc w:val="center"/>
              <w:rPr>
                <w:color w:val="auto"/>
                <w:kern w:val="21"/>
                <w:sz w:val="21"/>
                <w:szCs w:val="21"/>
              </w:rPr>
            </w:pPr>
            <w:r>
              <w:rPr>
                <w:color w:val="auto"/>
                <w:kern w:val="21"/>
                <w:sz w:val="21"/>
                <w:szCs w:val="21"/>
              </w:rPr>
              <w:t>工程名称</w:t>
            </w:r>
          </w:p>
        </w:tc>
        <w:tc>
          <w:tcPr>
            <w:tcW w:w="5116" w:type="dxa"/>
            <w:vAlign w:val="center"/>
          </w:tcPr>
          <w:p>
            <w:pPr>
              <w:spacing w:line="240" w:lineRule="auto"/>
              <w:ind w:firstLine="0" w:firstLineChars="0"/>
              <w:jc w:val="center"/>
              <w:rPr>
                <w:color w:val="auto"/>
                <w:kern w:val="21"/>
                <w:sz w:val="21"/>
                <w:szCs w:val="21"/>
              </w:rPr>
            </w:pPr>
            <w:r>
              <w:rPr>
                <w:color w:val="auto"/>
                <w:kern w:val="21"/>
                <w:sz w:val="21"/>
                <w:szCs w:val="21"/>
              </w:rPr>
              <w:t>建设内容</w:t>
            </w:r>
          </w:p>
        </w:tc>
        <w:tc>
          <w:tcPr>
            <w:tcW w:w="775" w:type="dxa"/>
            <w:vAlign w:val="center"/>
          </w:tcPr>
          <w:p>
            <w:pPr>
              <w:spacing w:line="240" w:lineRule="auto"/>
              <w:ind w:firstLine="0" w:firstLineChars="0"/>
              <w:jc w:val="center"/>
              <w:rPr>
                <w:color w:val="auto"/>
                <w:kern w:val="21"/>
                <w:sz w:val="21"/>
                <w:szCs w:val="21"/>
              </w:rPr>
            </w:pPr>
            <w:r>
              <w:rPr>
                <w:color w:val="auto"/>
                <w:kern w:val="21"/>
                <w:sz w:val="21"/>
                <w:szCs w:val="21"/>
              </w:rPr>
              <w:t>结构形式</w:t>
            </w:r>
          </w:p>
        </w:tc>
        <w:tc>
          <w:tcPr>
            <w:tcW w:w="923"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主体工程</w:t>
            </w:r>
          </w:p>
        </w:tc>
        <w:tc>
          <w:tcPr>
            <w:tcW w:w="870"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污水预处理系统</w:t>
            </w:r>
          </w:p>
        </w:tc>
        <w:tc>
          <w:tcPr>
            <w:tcW w:w="1356"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粗格栅间及进水泵房</w:t>
            </w:r>
          </w:p>
        </w:tc>
        <w:tc>
          <w:tcPr>
            <w:tcW w:w="5116" w:type="dxa"/>
            <w:vAlign w:val="center"/>
          </w:tcPr>
          <w:p>
            <w:pPr>
              <w:widowControl/>
              <w:spacing w:line="240" w:lineRule="auto"/>
              <w:ind w:firstLine="0" w:firstLineChars="0"/>
              <w:jc w:val="center"/>
              <w:rPr>
                <w:color w:val="auto"/>
                <w:kern w:val="21"/>
                <w:sz w:val="21"/>
                <w:szCs w:val="21"/>
              </w:rPr>
            </w:pPr>
            <w:r>
              <w:rPr>
                <w:color w:val="auto"/>
                <w:kern w:val="21"/>
                <w:sz w:val="21"/>
                <w:szCs w:val="21"/>
              </w:rPr>
              <w:t>项目设置1台粗格栅，栅条间隙为20mm，格栅宽度为0.6m。进水泵房1座，尺寸为</w:t>
            </w:r>
            <w:r>
              <w:rPr>
                <w:color w:val="auto"/>
                <w:kern w:val="21"/>
                <w:sz w:val="21"/>
                <w:szCs w:val="21"/>
                <w:lang w:bidi="ar"/>
              </w:rPr>
              <w:t>10.</w:t>
            </w:r>
            <w:r>
              <w:rPr>
                <w:rFonts w:hint="eastAsia"/>
                <w:color w:val="auto"/>
                <w:kern w:val="21"/>
                <w:sz w:val="21"/>
                <w:szCs w:val="21"/>
                <w:lang w:bidi="ar"/>
              </w:rPr>
              <w:t>1</w:t>
            </w:r>
            <w:r>
              <w:rPr>
                <w:color w:val="auto"/>
                <w:kern w:val="21"/>
                <w:sz w:val="21"/>
                <w:szCs w:val="21"/>
                <w:lang w:bidi="ar"/>
              </w:rPr>
              <w:t>m×</w:t>
            </w:r>
            <w:r>
              <w:rPr>
                <w:rFonts w:hint="eastAsia"/>
                <w:color w:val="auto"/>
                <w:kern w:val="21"/>
                <w:sz w:val="21"/>
                <w:szCs w:val="21"/>
                <w:lang w:bidi="ar"/>
              </w:rPr>
              <w:t>8.9</w:t>
            </w:r>
            <w:r>
              <w:rPr>
                <w:color w:val="auto"/>
                <w:kern w:val="21"/>
                <w:sz w:val="21"/>
                <w:szCs w:val="21"/>
                <w:lang w:bidi="ar"/>
              </w:rPr>
              <w:t>m×</w:t>
            </w:r>
            <w:r>
              <w:rPr>
                <w:rFonts w:hint="eastAsia"/>
                <w:color w:val="auto"/>
                <w:kern w:val="21"/>
                <w:sz w:val="21"/>
                <w:szCs w:val="21"/>
                <w:lang w:bidi="ar"/>
              </w:rPr>
              <w:t>4.7</w:t>
            </w:r>
            <w:r>
              <w:rPr>
                <w:color w:val="auto"/>
                <w:kern w:val="21"/>
                <w:sz w:val="21"/>
                <w:szCs w:val="21"/>
                <w:lang w:bidi="ar"/>
              </w:rPr>
              <w:t>m。</w:t>
            </w:r>
          </w:p>
        </w:tc>
        <w:tc>
          <w:tcPr>
            <w:tcW w:w="775"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lang w:bidi="ar"/>
              </w:rPr>
              <w:t>钢筋砼</w:t>
            </w:r>
          </w:p>
        </w:tc>
        <w:tc>
          <w:tcPr>
            <w:tcW w:w="923" w:type="dxa"/>
            <w:vAlign w:val="center"/>
          </w:tcPr>
          <w:p>
            <w:pPr>
              <w:widowControl/>
              <w:spacing w:line="240" w:lineRule="auto"/>
              <w:ind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spacing w:line="240" w:lineRule="auto"/>
              <w:ind w:firstLine="0" w:firstLineChars="0"/>
              <w:jc w:val="center"/>
              <w:rPr>
                <w:color w:val="auto"/>
                <w:kern w:val="21"/>
                <w:sz w:val="21"/>
                <w:szCs w:val="21"/>
              </w:rPr>
            </w:pPr>
          </w:p>
        </w:tc>
        <w:tc>
          <w:tcPr>
            <w:tcW w:w="1356" w:type="dxa"/>
            <w:vAlign w:val="center"/>
          </w:tcPr>
          <w:p>
            <w:pPr>
              <w:spacing w:line="240" w:lineRule="auto"/>
              <w:ind w:firstLine="0" w:firstLineChars="0"/>
              <w:jc w:val="center"/>
              <w:rPr>
                <w:color w:val="auto"/>
                <w:kern w:val="21"/>
                <w:sz w:val="21"/>
                <w:szCs w:val="21"/>
              </w:rPr>
            </w:pPr>
            <w:r>
              <w:rPr>
                <w:color w:val="auto"/>
                <w:kern w:val="21"/>
                <w:sz w:val="21"/>
                <w:szCs w:val="21"/>
                <w:lang w:bidi="ar"/>
              </w:rPr>
              <w:t>细格栅间及调节池</w:t>
            </w:r>
          </w:p>
        </w:tc>
        <w:tc>
          <w:tcPr>
            <w:tcW w:w="5116" w:type="dxa"/>
            <w:vAlign w:val="center"/>
          </w:tcPr>
          <w:p>
            <w:pPr>
              <w:widowControl/>
              <w:spacing w:line="240" w:lineRule="auto"/>
              <w:ind w:firstLine="0" w:firstLineChars="0"/>
              <w:rPr>
                <w:color w:val="auto"/>
                <w:kern w:val="21"/>
                <w:sz w:val="21"/>
                <w:szCs w:val="21"/>
              </w:rPr>
            </w:pPr>
            <w:r>
              <w:rPr>
                <w:color w:val="auto"/>
                <w:kern w:val="21"/>
                <w:sz w:val="21"/>
                <w:szCs w:val="21"/>
              </w:rPr>
              <w:t>项目设置1套细格栅，栅条间隙为5mm，格栅宽度为0.5m。调节池1座，尺寸为长</w:t>
            </w:r>
            <w:r>
              <w:rPr>
                <w:rFonts w:hint="eastAsia"/>
                <w:color w:val="auto"/>
                <w:kern w:val="21"/>
                <w:sz w:val="21"/>
                <w:szCs w:val="21"/>
              </w:rPr>
              <w:t>20.6</w:t>
            </w:r>
            <w:r>
              <w:rPr>
                <w:color w:val="auto"/>
                <w:kern w:val="21"/>
                <w:sz w:val="21"/>
                <w:szCs w:val="21"/>
              </w:rPr>
              <w:t>m×</w:t>
            </w:r>
            <w:r>
              <w:rPr>
                <w:rFonts w:hint="eastAsia"/>
                <w:color w:val="auto"/>
                <w:kern w:val="21"/>
                <w:sz w:val="21"/>
                <w:szCs w:val="21"/>
              </w:rPr>
              <w:t>15.6</w:t>
            </w:r>
            <w:r>
              <w:rPr>
                <w:color w:val="auto"/>
                <w:kern w:val="21"/>
                <w:sz w:val="21"/>
                <w:szCs w:val="21"/>
              </w:rPr>
              <w:t>m×</w:t>
            </w:r>
            <w:r>
              <w:rPr>
                <w:rFonts w:hint="eastAsia"/>
                <w:color w:val="auto"/>
                <w:kern w:val="21"/>
                <w:sz w:val="21"/>
                <w:szCs w:val="21"/>
              </w:rPr>
              <w:t>5.3</w:t>
            </w:r>
            <w:r>
              <w:rPr>
                <w:color w:val="auto"/>
                <w:kern w:val="21"/>
                <w:sz w:val="21"/>
                <w:szCs w:val="21"/>
              </w:rPr>
              <w:t>m。</w:t>
            </w:r>
          </w:p>
        </w:tc>
        <w:tc>
          <w:tcPr>
            <w:tcW w:w="775"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lang w:bidi="ar"/>
              </w:rPr>
              <w:t>钢筋砼</w:t>
            </w:r>
          </w:p>
        </w:tc>
        <w:tc>
          <w:tcPr>
            <w:tcW w:w="923" w:type="dxa"/>
            <w:vAlign w:val="center"/>
          </w:tcPr>
          <w:p>
            <w:pPr>
              <w:widowControl/>
              <w:spacing w:line="240" w:lineRule="auto"/>
              <w:ind w:firstLine="0" w:firstLineChars="0"/>
              <w:jc w:val="center"/>
              <w:rPr>
                <w:rFonts w:hint="eastAsia"/>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spacing w:line="240" w:lineRule="auto"/>
              <w:ind w:firstLine="0" w:firstLineChars="0"/>
              <w:jc w:val="center"/>
              <w:rPr>
                <w:color w:val="auto"/>
                <w:kern w:val="21"/>
                <w:sz w:val="21"/>
                <w:szCs w:val="21"/>
              </w:rPr>
            </w:pPr>
          </w:p>
        </w:tc>
        <w:tc>
          <w:tcPr>
            <w:tcW w:w="1356" w:type="dxa"/>
            <w:vAlign w:val="center"/>
          </w:tcPr>
          <w:p>
            <w:pPr>
              <w:spacing w:line="240" w:lineRule="auto"/>
              <w:ind w:firstLine="0" w:firstLineChars="0"/>
              <w:jc w:val="center"/>
              <w:rPr>
                <w:color w:val="auto"/>
                <w:kern w:val="21"/>
                <w:sz w:val="21"/>
                <w:szCs w:val="21"/>
              </w:rPr>
            </w:pPr>
            <w:r>
              <w:rPr>
                <w:color w:val="auto"/>
                <w:kern w:val="21"/>
                <w:sz w:val="21"/>
                <w:szCs w:val="21"/>
              </w:rPr>
              <w:t>混凝沉淀池</w:t>
            </w:r>
          </w:p>
        </w:tc>
        <w:tc>
          <w:tcPr>
            <w:tcW w:w="5116"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混凝沉淀池建设1座，分两格，包括混凝池和沉淀池两部分，沉淀池设计采用平流沉淀池，设计规模为0.5万m³/d，共分2组，沉淀池与絮凝池合建，有效水深3.90m，平面尺寸为41.80m×11.04m，排泥区高1.0m。</w:t>
            </w:r>
          </w:p>
        </w:tc>
        <w:tc>
          <w:tcPr>
            <w:tcW w:w="775" w:type="dxa"/>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bidi="ar"/>
              </w:rPr>
              <w:t>钢筋砼</w:t>
            </w:r>
          </w:p>
        </w:tc>
        <w:tc>
          <w:tcPr>
            <w:tcW w:w="923" w:type="dxa"/>
            <w:vAlign w:val="center"/>
          </w:tcPr>
          <w:p>
            <w:pPr>
              <w:widowControl/>
              <w:spacing w:line="240" w:lineRule="auto"/>
              <w:ind w:firstLine="0" w:firstLineChars="0"/>
              <w:jc w:val="center"/>
              <w:rPr>
                <w:rFonts w:hint="eastAsia"/>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spacing w:line="240" w:lineRule="auto"/>
              <w:ind w:firstLine="0" w:firstLineChars="0"/>
              <w:jc w:val="center"/>
              <w:rPr>
                <w:color w:val="auto"/>
                <w:kern w:val="21"/>
                <w:sz w:val="21"/>
                <w:szCs w:val="21"/>
              </w:rPr>
            </w:pPr>
          </w:p>
        </w:tc>
        <w:tc>
          <w:tcPr>
            <w:tcW w:w="1356" w:type="dxa"/>
            <w:vAlign w:val="center"/>
          </w:tcPr>
          <w:p>
            <w:pPr>
              <w:spacing w:line="240" w:lineRule="auto"/>
              <w:ind w:firstLine="0" w:firstLineChars="0"/>
              <w:jc w:val="center"/>
              <w:rPr>
                <w:color w:val="auto"/>
                <w:kern w:val="21"/>
                <w:sz w:val="21"/>
                <w:szCs w:val="21"/>
              </w:rPr>
            </w:pPr>
            <w:r>
              <w:rPr>
                <w:color w:val="auto"/>
                <w:kern w:val="21"/>
                <w:sz w:val="21"/>
                <w:szCs w:val="21"/>
              </w:rPr>
              <w:t>水解酸化池</w:t>
            </w:r>
          </w:p>
        </w:tc>
        <w:tc>
          <w:tcPr>
            <w:tcW w:w="5116" w:type="dxa"/>
            <w:vAlign w:val="center"/>
          </w:tcPr>
          <w:p>
            <w:pPr>
              <w:spacing w:line="240" w:lineRule="auto"/>
              <w:ind w:firstLine="0" w:firstLineChars="0"/>
              <w:jc w:val="center"/>
              <w:rPr>
                <w:color w:val="auto"/>
                <w:kern w:val="21"/>
                <w:sz w:val="21"/>
                <w:szCs w:val="21"/>
              </w:rPr>
            </w:pPr>
            <w:r>
              <w:rPr>
                <w:color w:val="auto"/>
                <w:kern w:val="21"/>
                <w:sz w:val="21"/>
                <w:szCs w:val="21"/>
              </w:rPr>
              <w:t>水解酸化池设计规模为0.5万m³/d，共分2组，酸化池规格为</w:t>
            </w:r>
            <w:r>
              <w:rPr>
                <w:rFonts w:hint="eastAsia"/>
                <w:color w:val="auto"/>
                <w:kern w:val="21"/>
                <w:sz w:val="21"/>
                <w:szCs w:val="21"/>
              </w:rPr>
              <w:t>20.2</w:t>
            </w:r>
            <w:r>
              <w:rPr>
                <w:color w:val="auto"/>
                <w:kern w:val="21"/>
                <w:sz w:val="21"/>
                <w:szCs w:val="21"/>
              </w:rPr>
              <w:t>×</w:t>
            </w:r>
            <w:r>
              <w:rPr>
                <w:rFonts w:hint="eastAsia"/>
                <w:color w:val="auto"/>
                <w:kern w:val="21"/>
                <w:sz w:val="21"/>
                <w:szCs w:val="21"/>
              </w:rPr>
              <w:t>16.8</w:t>
            </w:r>
            <w:r>
              <w:rPr>
                <w:color w:val="auto"/>
                <w:kern w:val="21"/>
                <w:sz w:val="21"/>
                <w:szCs w:val="21"/>
              </w:rPr>
              <w:t>m</w:t>
            </w:r>
            <w:r>
              <w:rPr>
                <w:color w:val="auto"/>
                <w:kern w:val="21"/>
                <w:sz w:val="21"/>
                <w:szCs w:val="21"/>
                <w:lang w:bidi="ar"/>
              </w:rPr>
              <w:t>×</w:t>
            </w:r>
            <w:r>
              <w:rPr>
                <w:rFonts w:hint="eastAsia"/>
                <w:color w:val="auto"/>
                <w:kern w:val="21"/>
                <w:sz w:val="21"/>
                <w:szCs w:val="21"/>
                <w:lang w:bidi="ar"/>
              </w:rPr>
              <w:t>6.5</w:t>
            </w:r>
            <w:r>
              <w:rPr>
                <w:color w:val="auto"/>
                <w:kern w:val="21"/>
                <w:sz w:val="21"/>
                <w:szCs w:val="21"/>
                <w:lang w:bidi="ar"/>
              </w:rPr>
              <w:t>m</w:t>
            </w:r>
            <w:r>
              <w:rPr>
                <w:color w:val="auto"/>
                <w:kern w:val="21"/>
                <w:sz w:val="21"/>
                <w:szCs w:val="21"/>
              </w:rPr>
              <w:t>。</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bidi="ar"/>
              </w:rPr>
              <w:t>钢筋砼</w:t>
            </w:r>
          </w:p>
        </w:tc>
        <w:tc>
          <w:tcPr>
            <w:tcW w:w="923" w:type="dxa"/>
            <w:vAlign w:val="center"/>
          </w:tcPr>
          <w:p>
            <w:pPr>
              <w:spacing w:line="240" w:lineRule="auto"/>
              <w:ind w:firstLine="0" w:firstLineChars="0"/>
              <w:jc w:val="center"/>
              <w:rPr>
                <w:rFonts w:hint="eastAsia"/>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生化处理系统</w:t>
            </w:r>
          </w:p>
        </w:tc>
        <w:tc>
          <w:tcPr>
            <w:tcW w:w="1356" w:type="dxa"/>
            <w:vAlign w:val="center"/>
          </w:tcPr>
          <w:p>
            <w:pPr>
              <w:spacing w:line="240" w:lineRule="auto"/>
              <w:ind w:firstLine="0" w:firstLineChars="0"/>
              <w:jc w:val="center"/>
              <w:rPr>
                <w:color w:val="auto"/>
                <w:kern w:val="21"/>
                <w:sz w:val="21"/>
                <w:szCs w:val="21"/>
              </w:rPr>
            </w:pPr>
            <w:r>
              <w:rPr>
                <w:rFonts w:hint="eastAsia"/>
                <w:i w:val="0"/>
                <w:iCs/>
                <w:color w:val="auto"/>
                <w:kern w:val="21"/>
                <w:sz w:val="21"/>
                <w:szCs w:val="21"/>
              </w:rPr>
              <w:t>A</w:t>
            </w:r>
            <w:r>
              <w:rPr>
                <w:rFonts w:hint="eastAsia"/>
                <w:i w:val="0"/>
                <w:iCs/>
                <w:color w:val="auto"/>
                <w:kern w:val="21"/>
                <w:sz w:val="21"/>
                <w:szCs w:val="21"/>
                <w:vertAlign w:val="superscript"/>
              </w:rPr>
              <w:t>2</w:t>
            </w:r>
            <w:r>
              <w:rPr>
                <w:rFonts w:hint="eastAsia"/>
                <w:color w:val="auto"/>
                <w:kern w:val="21"/>
                <w:sz w:val="21"/>
                <w:szCs w:val="21"/>
              </w:rPr>
              <w:t>/O</w:t>
            </w:r>
            <w:r>
              <w:rPr>
                <w:color w:val="auto"/>
                <w:kern w:val="21"/>
                <w:sz w:val="21"/>
                <w:szCs w:val="21"/>
              </w:rPr>
              <w:t>生化池</w:t>
            </w:r>
          </w:p>
        </w:tc>
        <w:tc>
          <w:tcPr>
            <w:tcW w:w="5116" w:type="dxa"/>
            <w:vAlign w:val="center"/>
          </w:tcPr>
          <w:p>
            <w:pPr>
              <w:spacing w:line="240" w:lineRule="auto"/>
              <w:ind w:firstLine="0" w:firstLineChars="0"/>
              <w:rPr>
                <w:color w:val="auto"/>
                <w:kern w:val="21"/>
                <w:sz w:val="21"/>
                <w:szCs w:val="21"/>
              </w:rPr>
            </w:pPr>
            <w:r>
              <w:rPr>
                <w:color w:val="auto"/>
                <w:kern w:val="21"/>
                <w:sz w:val="21"/>
                <w:szCs w:val="21"/>
              </w:rPr>
              <w:t>生化池由厌氧池、缺氧池、曝气池组成，设1座，分2组，每组分为两格，每格各设有1台推流器。单座平面尺寸：32.</w:t>
            </w:r>
            <w:r>
              <w:rPr>
                <w:rFonts w:hint="eastAsia"/>
                <w:color w:val="auto"/>
                <w:kern w:val="21"/>
                <w:sz w:val="21"/>
                <w:szCs w:val="21"/>
              </w:rPr>
              <w:t>7</w:t>
            </w:r>
            <w:r>
              <w:rPr>
                <w:color w:val="auto"/>
                <w:kern w:val="21"/>
                <w:sz w:val="21"/>
                <w:szCs w:val="21"/>
              </w:rPr>
              <w:t>×</w:t>
            </w:r>
            <w:r>
              <w:rPr>
                <w:rFonts w:hint="eastAsia"/>
                <w:color w:val="auto"/>
                <w:kern w:val="21"/>
                <w:sz w:val="21"/>
                <w:szCs w:val="21"/>
              </w:rPr>
              <w:t>25</w:t>
            </w:r>
            <w:r>
              <w:rPr>
                <w:color w:val="auto"/>
                <w:kern w:val="21"/>
                <w:sz w:val="21"/>
                <w:szCs w:val="21"/>
              </w:rPr>
              <w:t>m×7.00m。</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bidi="ar"/>
              </w:rPr>
              <w:t>钢筋砼</w:t>
            </w:r>
          </w:p>
        </w:tc>
        <w:tc>
          <w:tcPr>
            <w:tcW w:w="923" w:type="dxa"/>
            <w:vAlign w:val="center"/>
          </w:tcPr>
          <w:p>
            <w:pPr>
              <w:spacing w:line="240" w:lineRule="auto"/>
              <w:ind w:firstLine="0" w:firstLineChars="0"/>
              <w:jc w:val="center"/>
              <w:rPr>
                <w:rFonts w:hint="eastAsia"/>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spacing w:line="240" w:lineRule="auto"/>
              <w:ind w:firstLine="0" w:firstLineChars="0"/>
              <w:jc w:val="center"/>
              <w:rPr>
                <w:color w:val="auto"/>
                <w:kern w:val="21"/>
                <w:sz w:val="21"/>
                <w:szCs w:val="21"/>
              </w:rPr>
            </w:pPr>
          </w:p>
        </w:tc>
        <w:tc>
          <w:tcPr>
            <w:tcW w:w="1356" w:type="dxa"/>
            <w:vAlign w:val="center"/>
          </w:tcPr>
          <w:p>
            <w:pPr>
              <w:spacing w:line="240" w:lineRule="auto"/>
              <w:ind w:firstLine="0" w:firstLineChars="0"/>
              <w:jc w:val="center"/>
              <w:rPr>
                <w:color w:val="auto"/>
                <w:kern w:val="21"/>
                <w:sz w:val="21"/>
                <w:szCs w:val="21"/>
              </w:rPr>
            </w:pPr>
            <w:r>
              <w:rPr>
                <w:color w:val="auto"/>
                <w:kern w:val="21"/>
                <w:sz w:val="21"/>
                <w:szCs w:val="21"/>
              </w:rPr>
              <w:t>MBR膜池及设备间</w:t>
            </w:r>
          </w:p>
        </w:tc>
        <w:tc>
          <w:tcPr>
            <w:tcW w:w="5116" w:type="dxa"/>
            <w:vAlign w:val="center"/>
          </w:tcPr>
          <w:p>
            <w:pPr>
              <w:spacing w:line="240" w:lineRule="auto"/>
              <w:ind w:firstLine="0" w:firstLineChars="0"/>
              <w:jc w:val="center"/>
              <w:rPr>
                <w:color w:val="auto"/>
                <w:kern w:val="21"/>
                <w:sz w:val="21"/>
                <w:szCs w:val="21"/>
              </w:rPr>
            </w:pPr>
            <w:r>
              <w:rPr>
                <w:color w:val="auto"/>
                <w:kern w:val="21"/>
                <w:sz w:val="21"/>
                <w:szCs w:val="21"/>
              </w:rPr>
              <w:t>设置膜池1座，膜池主要包含配水渠、MBR膜池、回流渠、</w:t>
            </w:r>
            <w:r>
              <w:rPr>
                <w:rFonts w:hint="eastAsia"/>
                <w:color w:val="auto"/>
                <w:kern w:val="21"/>
                <w:sz w:val="21"/>
                <w:szCs w:val="21"/>
              </w:rPr>
              <w:t>控制系统、清洗池</w:t>
            </w:r>
            <w:r>
              <w:rPr>
                <w:color w:val="auto"/>
                <w:kern w:val="21"/>
                <w:sz w:val="21"/>
                <w:szCs w:val="21"/>
              </w:rPr>
              <w:t>等。膜池南侧设置鼓风机房。MBR膜池及设备</w:t>
            </w:r>
            <w:r>
              <w:rPr>
                <w:color w:val="auto"/>
                <w:kern w:val="21"/>
                <w:sz w:val="21"/>
                <w:szCs w:val="21"/>
                <w:lang w:bidi="ar"/>
              </w:rPr>
              <w:t>建筑面积</w:t>
            </w:r>
            <w:r>
              <w:rPr>
                <w:rFonts w:hint="eastAsia"/>
                <w:color w:val="auto"/>
                <w:kern w:val="21"/>
                <w:sz w:val="21"/>
                <w:szCs w:val="21"/>
                <w:lang w:bidi="ar"/>
              </w:rPr>
              <w:t>609.5</w:t>
            </w:r>
            <w:r>
              <w:rPr>
                <w:color w:val="auto"/>
                <w:kern w:val="21"/>
                <w:sz w:val="21"/>
                <w:szCs w:val="21"/>
                <w:lang w:bidi="ar"/>
              </w:rPr>
              <w:t>m²，其中膜池的建筑面积为320.2m²。</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bidi="ar"/>
              </w:rPr>
              <w:t>钢筋砼</w:t>
            </w:r>
          </w:p>
        </w:tc>
        <w:tc>
          <w:tcPr>
            <w:tcW w:w="923" w:type="dxa"/>
            <w:vAlign w:val="center"/>
          </w:tcPr>
          <w:p>
            <w:pPr>
              <w:spacing w:line="240" w:lineRule="auto"/>
              <w:ind w:firstLine="0" w:firstLineChars="0"/>
              <w:jc w:val="center"/>
              <w:rPr>
                <w:rFonts w:hint="eastAsia"/>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spacing w:line="240" w:lineRule="auto"/>
              <w:ind w:firstLine="0" w:firstLineChars="0"/>
              <w:jc w:val="center"/>
              <w:rPr>
                <w:rFonts w:hint="default" w:eastAsia="宋体"/>
                <w:color w:val="auto"/>
                <w:kern w:val="21"/>
                <w:sz w:val="21"/>
                <w:szCs w:val="21"/>
                <w:lang w:val="en-US" w:eastAsia="zh-CN"/>
              </w:rPr>
            </w:pPr>
          </w:p>
        </w:tc>
        <w:tc>
          <w:tcPr>
            <w:tcW w:w="135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rPr>
              <w:t>储罐区</w:t>
            </w:r>
          </w:p>
        </w:tc>
        <w:tc>
          <w:tcPr>
            <w:tcW w:w="511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rPr>
              <w:t>储罐区设在MBR膜池的设备间内部，建筑面积约30</w:t>
            </w:r>
            <w:r>
              <w:rPr>
                <w:color w:val="auto"/>
                <w:kern w:val="21"/>
                <w:sz w:val="21"/>
                <w:szCs w:val="21"/>
                <w:lang w:bidi="ar"/>
              </w:rPr>
              <w:t>m²</w:t>
            </w:r>
            <w:r>
              <w:rPr>
                <w:rFonts w:hint="eastAsia"/>
                <w:color w:val="auto"/>
                <w:kern w:val="21"/>
                <w:sz w:val="21"/>
                <w:szCs w:val="21"/>
                <w:lang w:eastAsia="zh-CN" w:bidi="ar"/>
              </w:rPr>
              <w:t>，主要存放清洗</w:t>
            </w:r>
            <w:r>
              <w:rPr>
                <w:rFonts w:hint="eastAsia"/>
                <w:color w:val="auto"/>
                <w:kern w:val="21"/>
                <w:sz w:val="21"/>
                <w:szCs w:val="21"/>
                <w:lang w:val="en-US" w:eastAsia="zh-CN" w:bidi="ar"/>
              </w:rPr>
              <w:t>MBR膜的次氯酸钠、柠檬酸</w:t>
            </w:r>
            <w:r>
              <w:rPr>
                <w:color w:val="auto"/>
                <w:kern w:val="21"/>
                <w:sz w:val="21"/>
                <w:szCs w:val="21"/>
                <w:lang w:bidi="ar"/>
              </w:rPr>
              <w:t>。</w:t>
            </w:r>
          </w:p>
        </w:tc>
        <w:tc>
          <w:tcPr>
            <w:tcW w:w="775"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rFonts w:hint="eastAsia"/>
                <w:color w:val="auto"/>
                <w:kern w:val="21"/>
                <w:sz w:val="21"/>
                <w:szCs w:val="21"/>
                <w:lang w:bidi="ar"/>
              </w:rPr>
              <w:t>钢筋砼</w:t>
            </w:r>
          </w:p>
        </w:tc>
        <w:tc>
          <w:tcPr>
            <w:tcW w:w="923" w:type="dxa"/>
            <w:vAlign w:val="center"/>
          </w:tcPr>
          <w:p>
            <w:pPr>
              <w:spacing w:line="240" w:lineRule="auto"/>
              <w:ind w:firstLine="0" w:firstLineChars="0"/>
              <w:jc w:val="center"/>
              <w:rPr>
                <w:rFonts w:hint="eastAsia"/>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Align w:val="center"/>
          </w:tcPr>
          <w:p>
            <w:pPr>
              <w:spacing w:line="240" w:lineRule="auto"/>
              <w:ind w:firstLine="0" w:firstLineChars="0"/>
              <w:jc w:val="center"/>
              <w:rPr>
                <w:color w:val="auto"/>
                <w:kern w:val="21"/>
                <w:sz w:val="21"/>
                <w:szCs w:val="21"/>
              </w:rPr>
            </w:pPr>
            <w:r>
              <w:rPr>
                <w:color w:val="auto"/>
                <w:kern w:val="21"/>
                <w:sz w:val="21"/>
                <w:szCs w:val="21"/>
              </w:rPr>
              <w:t>消毒系统</w:t>
            </w:r>
          </w:p>
        </w:tc>
        <w:tc>
          <w:tcPr>
            <w:tcW w:w="1356" w:type="dxa"/>
            <w:vAlign w:val="center"/>
          </w:tcPr>
          <w:p>
            <w:pPr>
              <w:spacing w:line="240" w:lineRule="auto"/>
              <w:ind w:firstLine="0" w:firstLineChars="0"/>
              <w:jc w:val="center"/>
              <w:rPr>
                <w:color w:val="auto"/>
                <w:kern w:val="21"/>
                <w:sz w:val="21"/>
                <w:szCs w:val="21"/>
              </w:rPr>
            </w:pPr>
            <w:r>
              <w:rPr>
                <w:color w:val="auto"/>
                <w:kern w:val="21"/>
                <w:sz w:val="21"/>
                <w:szCs w:val="21"/>
              </w:rPr>
              <w:t>紫外消毒渠</w:t>
            </w:r>
          </w:p>
        </w:tc>
        <w:tc>
          <w:tcPr>
            <w:tcW w:w="5116" w:type="dxa"/>
            <w:vAlign w:val="center"/>
          </w:tcPr>
          <w:p>
            <w:pPr>
              <w:spacing w:line="240" w:lineRule="auto"/>
              <w:ind w:firstLine="0" w:firstLineChars="0"/>
              <w:jc w:val="center"/>
              <w:rPr>
                <w:color w:val="auto"/>
                <w:kern w:val="21"/>
                <w:sz w:val="21"/>
                <w:szCs w:val="21"/>
              </w:rPr>
            </w:pPr>
            <w:r>
              <w:rPr>
                <w:color w:val="auto"/>
                <w:kern w:val="21"/>
                <w:sz w:val="21"/>
                <w:szCs w:val="21"/>
              </w:rPr>
              <w:t>消毒渠平面尺寸9.13×3.0m，渠道高度1.45m，设计流量Q=275~550m³/h。</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bidi="ar"/>
              </w:rPr>
              <w:t>钢筋砼</w:t>
            </w:r>
          </w:p>
        </w:tc>
        <w:tc>
          <w:tcPr>
            <w:tcW w:w="923" w:type="dxa"/>
            <w:vAlign w:val="center"/>
          </w:tcPr>
          <w:p>
            <w:pPr>
              <w:spacing w:line="240" w:lineRule="auto"/>
              <w:ind w:firstLine="0" w:firstLineChars="0"/>
              <w:jc w:val="center"/>
              <w:rPr>
                <w:rFonts w:hint="eastAsia"/>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污泥处理系统</w:t>
            </w:r>
          </w:p>
        </w:tc>
        <w:tc>
          <w:tcPr>
            <w:tcW w:w="1356" w:type="dxa"/>
            <w:vAlign w:val="center"/>
          </w:tcPr>
          <w:p>
            <w:pPr>
              <w:spacing w:line="240" w:lineRule="auto"/>
              <w:ind w:firstLine="0" w:firstLineChars="0"/>
              <w:jc w:val="center"/>
              <w:rPr>
                <w:color w:val="auto"/>
                <w:kern w:val="21"/>
                <w:sz w:val="21"/>
                <w:szCs w:val="21"/>
              </w:rPr>
            </w:pPr>
            <w:r>
              <w:rPr>
                <w:color w:val="auto"/>
                <w:kern w:val="21"/>
                <w:sz w:val="21"/>
                <w:szCs w:val="21"/>
              </w:rPr>
              <w:t>污泥脱水车间</w:t>
            </w:r>
          </w:p>
        </w:tc>
        <w:tc>
          <w:tcPr>
            <w:tcW w:w="5116"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1间，</w:t>
            </w:r>
            <w:r>
              <w:rPr>
                <w:rFonts w:hint="eastAsia"/>
                <w:color w:val="auto"/>
                <w:kern w:val="21"/>
                <w:sz w:val="21"/>
                <w:szCs w:val="21"/>
                <w:lang w:bidi="ar"/>
              </w:rPr>
              <w:t>2F</w:t>
            </w:r>
            <w:r>
              <w:rPr>
                <w:color w:val="auto"/>
                <w:kern w:val="21"/>
                <w:sz w:val="21"/>
                <w:szCs w:val="21"/>
                <w:lang w:bidi="ar"/>
              </w:rPr>
              <w:t>，高10.4m，占地面积</w:t>
            </w:r>
            <w:r>
              <w:rPr>
                <w:rFonts w:hint="eastAsia"/>
                <w:color w:val="auto"/>
                <w:kern w:val="21"/>
                <w:sz w:val="21"/>
                <w:szCs w:val="21"/>
                <w:lang w:bidi="ar"/>
              </w:rPr>
              <w:t>377.64</w:t>
            </w:r>
            <w:r>
              <w:rPr>
                <w:color w:val="auto"/>
                <w:kern w:val="21"/>
                <w:sz w:val="21"/>
                <w:szCs w:val="21"/>
                <w:lang w:bidi="ar"/>
              </w:rPr>
              <w:t>m</w:t>
            </w:r>
            <w:r>
              <w:rPr>
                <w:color w:val="auto"/>
                <w:kern w:val="21"/>
                <w:sz w:val="21"/>
                <w:szCs w:val="21"/>
                <w:vertAlign w:val="superscript"/>
                <w:lang w:bidi="ar"/>
              </w:rPr>
              <w:t>2</w:t>
            </w:r>
            <w:r>
              <w:rPr>
                <w:rFonts w:hint="eastAsia"/>
                <w:color w:val="auto"/>
                <w:kern w:val="21"/>
                <w:sz w:val="21"/>
                <w:szCs w:val="21"/>
                <w:lang w:bidi="ar"/>
              </w:rPr>
              <w:t>，设置两套板框压滤系统。</w:t>
            </w:r>
          </w:p>
        </w:tc>
        <w:tc>
          <w:tcPr>
            <w:tcW w:w="775" w:type="dxa"/>
            <w:vAlign w:val="center"/>
          </w:tcPr>
          <w:p>
            <w:pPr>
              <w:spacing w:line="240" w:lineRule="auto"/>
              <w:ind w:firstLine="0" w:firstLineChars="0"/>
              <w:jc w:val="center"/>
              <w:rPr>
                <w:color w:val="auto"/>
                <w:kern w:val="21"/>
                <w:sz w:val="21"/>
                <w:szCs w:val="21"/>
                <w:lang w:bidi="ar"/>
              </w:rPr>
            </w:pPr>
            <w:r>
              <w:rPr>
                <w:color w:val="auto"/>
                <w:kern w:val="21"/>
                <w:sz w:val="21"/>
                <w:szCs w:val="21"/>
                <w:lang w:bidi="ar"/>
              </w:rPr>
              <w:t>框架结构</w:t>
            </w:r>
          </w:p>
        </w:tc>
        <w:tc>
          <w:tcPr>
            <w:tcW w:w="923" w:type="dxa"/>
            <w:vAlign w:val="center"/>
          </w:tcPr>
          <w:p>
            <w:pPr>
              <w:spacing w:line="240" w:lineRule="auto"/>
              <w:ind w:firstLine="0" w:firstLineChars="0"/>
              <w:jc w:val="center"/>
              <w:rPr>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spacing w:line="240" w:lineRule="auto"/>
              <w:ind w:firstLine="0" w:firstLineChars="0"/>
              <w:jc w:val="center"/>
              <w:rPr>
                <w:color w:val="auto"/>
                <w:kern w:val="21"/>
                <w:sz w:val="21"/>
                <w:szCs w:val="21"/>
              </w:rPr>
            </w:pPr>
          </w:p>
        </w:tc>
        <w:tc>
          <w:tcPr>
            <w:tcW w:w="1356"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污泥浓缩池</w:t>
            </w:r>
          </w:p>
        </w:tc>
        <w:tc>
          <w:tcPr>
            <w:tcW w:w="5116" w:type="dxa"/>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rPr>
              <w:t>设置污泥浓缩池一座，</w:t>
            </w:r>
            <w:r>
              <w:rPr>
                <w:rFonts w:hint="eastAsia"/>
                <w:color w:val="auto"/>
                <w:sz w:val="21"/>
                <w:szCs w:val="21"/>
              </w:rPr>
              <w:t>D=8m，H=5.8m，容积约291m</w:t>
            </w:r>
            <w:r>
              <w:rPr>
                <w:rFonts w:hint="eastAsia"/>
                <w:color w:val="auto"/>
                <w:sz w:val="21"/>
                <w:szCs w:val="21"/>
                <w:vertAlign w:val="superscript"/>
              </w:rPr>
              <w:t>3</w:t>
            </w:r>
            <w:r>
              <w:rPr>
                <w:rFonts w:hint="eastAsia"/>
                <w:color w:val="auto"/>
                <w:sz w:val="21"/>
                <w:szCs w:val="21"/>
              </w:rPr>
              <w:t>，全封闭结构</w:t>
            </w:r>
          </w:p>
        </w:tc>
        <w:tc>
          <w:tcPr>
            <w:tcW w:w="775" w:type="dxa"/>
            <w:vAlign w:val="center"/>
          </w:tcPr>
          <w:p>
            <w:pPr>
              <w:spacing w:line="240" w:lineRule="auto"/>
              <w:ind w:firstLine="0" w:firstLineChars="0"/>
              <w:jc w:val="center"/>
              <w:rPr>
                <w:color w:val="auto"/>
                <w:kern w:val="21"/>
                <w:sz w:val="21"/>
                <w:szCs w:val="21"/>
                <w:lang w:bidi="ar"/>
              </w:rPr>
            </w:pPr>
            <w:r>
              <w:rPr>
                <w:rFonts w:hint="eastAsia"/>
                <w:color w:val="auto"/>
                <w:kern w:val="21"/>
                <w:sz w:val="21"/>
                <w:szCs w:val="21"/>
                <w:lang w:bidi="ar"/>
              </w:rPr>
              <w:t>钢筋砼</w:t>
            </w:r>
          </w:p>
        </w:tc>
        <w:tc>
          <w:tcPr>
            <w:tcW w:w="923" w:type="dxa"/>
            <w:vAlign w:val="center"/>
          </w:tcPr>
          <w:p>
            <w:pPr>
              <w:spacing w:line="240" w:lineRule="auto"/>
              <w:ind w:firstLine="0" w:firstLineChars="0"/>
              <w:jc w:val="center"/>
              <w:rPr>
                <w:rFonts w:hint="eastAsia"/>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辅助工程</w:t>
            </w:r>
          </w:p>
        </w:tc>
        <w:tc>
          <w:tcPr>
            <w:tcW w:w="2226" w:type="dxa"/>
            <w:gridSpan w:val="2"/>
            <w:vAlign w:val="center"/>
          </w:tcPr>
          <w:p>
            <w:pPr>
              <w:widowControl/>
              <w:spacing w:line="240" w:lineRule="auto"/>
              <w:ind w:firstLine="0" w:firstLineChars="0"/>
              <w:jc w:val="center"/>
              <w:rPr>
                <w:color w:val="auto"/>
                <w:kern w:val="21"/>
                <w:sz w:val="21"/>
                <w:szCs w:val="21"/>
              </w:rPr>
            </w:pPr>
            <w:r>
              <w:rPr>
                <w:color w:val="auto"/>
                <w:kern w:val="21"/>
                <w:sz w:val="21"/>
                <w:szCs w:val="21"/>
                <w:lang w:bidi="ar"/>
              </w:rPr>
              <w:t>鼓风机房及配电房</w:t>
            </w:r>
          </w:p>
        </w:tc>
        <w:tc>
          <w:tcPr>
            <w:tcW w:w="5116" w:type="dxa"/>
            <w:vAlign w:val="center"/>
          </w:tcPr>
          <w:p>
            <w:pPr>
              <w:widowControl/>
              <w:spacing w:line="240" w:lineRule="auto"/>
              <w:ind w:firstLine="0" w:firstLineChars="0"/>
              <w:jc w:val="center"/>
              <w:rPr>
                <w:color w:val="auto"/>
                <w:kern w:val="21"/>
                <w:sz w:val="21"/>
                <w:szCs w:val="21"/>
              </w:rPr>
            </w:pPr>
            <w:r>
              <w:rPr>
                <w:color w:val="auto"/>
                <w:kern w:val="21"/>
                <w:sz w:val="21"/>
                <w:szCs w:val="21"/>
              </w:rPr>
              <w:t>1间，</w:t>
            </w:r>
            <w:r>
              <w:rPr>
                <w:rFonts w:hint="eastAsia"/>
                <w:color w:val="auto"/>
                <w:kern w:val="21"/>
                <w:sz w:val="21"/>
                <w:szCs w:val="21"/>
              </w:rPr>
              <w:t>1F</w:t>
            </w:r>
            <w:r>
              <w:rPr>
                <w:color w:val="auto"/>
                <w:kern w:val="21"/>
                <w:sz w:val="21"/>
                <w:szCs w:val="21"/>
              </w:rPr>
              <w:t>，</w:t>
            </w:r>
            <w:r>
              <w:rPr>
                <w:color w:val="auto"/>
                <w:kern w:val="21"/>
                <w:sz w:val="21"/>
                <w:szCs w:val="21"/>
                <w:lang w:bidi="ar"/>
              </w:rPr>
              <w:t>高7.5m，</w:t>
            </w:r>
            <w:r>
              <w:rPr>
                <w:color w:val="auto"/>
                <w:kern w:val="21"/>
                <w:sz w:val="21"/>
                <w:szCs w:val="21"/>
              </w:rPr>
              <w:t>占地面179.32</w:t>
            </w:r>
            <w:r>
              <w:rPr>
                <w:color w:val="auto"/>
                <w:kern w:val="21"/>
                <w:sz w:val="21"/>
                <w:szCs w:val="21"/>
                <w:lang w:bidi="ar"/>
              </w:rPr>
              <w:t>m</w:t>
            </w:r>
            <w:r>
              <w:rPr>
                <w:color w:val="auto"/>
                <w:kern w:val="21"/>
                <w:sz w:val="21"/>
                <w:szCs w:val="21"/>
                <w:vertAlign w:val="superscript"/>
                <w:lang w:bidi="ar"/>
              </w:rPr>
              <w:t>2</w:t>
            </w:r>
          </w:p>
        </w:tc>
        <w:tc>
          <w:tcPr>
            <w:tcW w:w="775" w:type="dxa"/>
            <w:vAlign w:val="center"/>
          </w:tcPr>
          <w:p>
            <w:pPr>
              <w:spacing w:line="240" w:lineRule="auto"/>
              <w:ind w:firstLine="0" w:firstLineChars="0"/>
              <w:jc w:val="center"/>
              <w:rPr>
                <w:color w:val="auto"/>
                <w:kern w:val="21"/>
                <w:sz w:val="21"/>
                <w:szCs w:val="21"/>
              </w:rPr>
            </w:pPr>
            <w:r>
              <w:rPr>
                <w:color w:val="auto"/>
                <w:kern w:val="21"/>
                <w:sz w:val="21"/>
                <w:szCs w:val="21"/>
                <w:lang w:bidi="ar"/>
              </w:rPr>
              <w:t>框架结构</w:t>
            </w:r>
          </w:p>
        </w:tc>
        <w:tc>
          <w:tcPr>
            <w:tcW w:w="923" w:type="dxa"/>
            <w:vAlign w:val="center"/>
          </w:tcPr>
          <w:p>
            <w:pPr>
              <w:spacing w:line="240" w:lineRule="auto"/>
              <w:ind w:firstLine="0" w:firstLineChars="0"/>
              <w:jc w:val="center"/>
              <w:rPr>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2226" w:type="dxa"/>
            <w:gridSpan w:val="2"/>
            <w:vAlign w:val="center"/>
          </w:tcPr>
          <w:p>
            <w:pPr>
              <w:spacing w:line="240" w:lineRule="auto"/>
              <w:ind w:firstLine="0" w:firstLineChars="0"/>
              <w:jc w:val="center"/>
              <w:rPr>
                <w:color w:val="auto"/>
                <w:kern w:val="21"/>
                <w:sz w:val="21"/>
                <w:szCs w:val="21"/>
              </w:rPr>
            </w:pPr>
            <w:r>
              <w:rPr>
                <w:color w:val="auto"/>
                <w:kern w:val="21"/>
                <w:sz w:val="21"/>
                <w:szCs w:val="21"/>
              </w:rPr>
              <w:t>巴氏计量槽</w:t>
            </w:r>
          </w:p>
        </w:tc>
        <w:tc>
          <w:tcPr>
            <w:tcW w:w="5116" w:type="dxa"/>
            <w:vAlign w:val="center"/>
          </w:tcPr>
          <w:p>
            <w:pPr>
              <w:widowControl/>
              <w:spacing w:line="240" w:lineRule="auto"/>
              <w:ind w:firstLine="0" w:firstLineChars="0"/>
              <w:rPr>
                <w:color w:val="auto"/>
                <w:kern w:val="21"/>
                <w:sz w:val="21"/>
                <w:szCs w:val="21"/>
              </w:rPr>
            </w:pPr>
            <w:r>
              <w:rPr>
                <w:color w:val="auto"/>
                <w:kern w:val="21"/>
                <w:sz w:val="21"/>
                <w:szCs w:val="21"/>
              </w:rPr>
              <w:t>2套，Q=0.003~0.25m³/s，尺寸为</w:t>
            </w:r>
            <w:r>
              <w:rPr>
                <w:color w:val="auto"/>
                <w:kern w:val="21"/>
                <w:sz w:val="21"/>
                <w:szCs w:val="21"/>
                <w:lang w:bidi="ar"/>
              </w:rPr>
              <w:t>16.0m×1.70m，深1.7m</w:t>
            </w:r>
          </w:p>
        </w:tc>
        <w:tc>
          <w:tcPr>
            <w:tcW w:w="775"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lang w:bidi="ar"/>
              </w:rPr>
              <w:t>钢筋砼</w:t>
            </w:r>
          </w:p>
        </w:tc>
        <w:tc>
          <w:tcPr>
            <w:tcW w:w="923" w:type="dxa"/>
            <w:vAlign w:val="center"/>
          </w:tcPr>
          <w:p>
            <w:pPr>
              <w:widowControl/>
              <w:spacing w:line="240" w:lineRule="auto"/>
              <w:ind w:firstLine="0" w:firstLineChars="0"/>
              <w:jc w:val="center"/>
              <w:rPr>
                <w:rFonts w:hint="eastAsia"/>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2226" w:type="dxa"/>
            <w:gridSpan w:val="2"/>
            <w:vAlign w:val="center"/>
          </w:tcPr>
          <w:p>
            <w:pPr>
              <w:spacing w:line="240" w:lineRule="auto"/>
              <w:ind w:firstLine="0" w:firstLineChars="0"/>
              <w:jc w:val="center"/>
              <w:rPr>
                <w:color w:val="auto"/>
                <w:kern w:val="21"/>
                <w:sz w:val="21"/>
                <w:szCs w:val="21"/>
              </w:rPr>
            </w:pPr>
            <w:r>
              <w:rPr>
                <w:color w:val="auto"/>
                <w:kern w:val="21"/>
                <w:sz w:val="21"/>
                <w:szCs w:val="21"/>
              </w:rPr>
              <w:t>加药间</w:t>
            </w:r>
          </w:p>
        </w:tc>
        <w:tc>
          <w:tcPr>
            <w:tcW w:w="5116" w:type="dxa"/>
            <w:vAlign w:val="center"/>
          </w:tcPr>
          <w:p>
            <w:pPr>
              <w:spacing w:line="240" w:lineRule="auto"/>
              <w:ind w:firstLine="0" w:firstLineChars="0"/>
              <w:jc w:val="center"/>
              <w:rPr>
                <w:color w:val="auto"/>
                <w:kern w:val="21"/>
                <w:sz w:val="21"/>
                <w:szCs w:val="21"/>
              </w:rPr>
            </w:pPr>
            <w:r>
              <w:rPr>
                <w:color w:val="auto"/>
                <w:kern w:val="21"/>
                <w:sz w:val="21"/>
                <w:szCs w:val="21"/>
              </w:rPr>
              <w:t>1间，</w:t>
            </w:r>
            <w:r>
              <w:rPr>
                <w:rFonts w:hint="eastAsia"/>
                <w:color w:val="auto"/>
                <w:kern w:val="21"/>
                <w:sz w:val="21"/>
                <w:szCs w:val="21"/>
              </w:rPr>
              <w:t>1F，占地面积304.56m</w:t>
            </w:r>
            <w:r>
              <w:rPr>
                <w:rFonts w:hint="eastAsia"/>
                <w:color w:val="auto"/>
                <w:kern w:val="21"/>
                <w:sz w:val="21"/>
                <w:szCs w:val="21"/>
                <w:vertAlign w:val="superscript"/>
              </w:rPr>
              <w:t>2</w:t>
            </w:r>
          </w:p>
        </w:tc>
        <w:tc>
          <w:tcPr>
            <w:tcW w:w="775" w:type="dxa"/>
            <w:vAlign w:val="center"/>
          </w:tcPr>
          <w:p>
            <w:pPr>
              <w:spacing w:line="240" w:lineRule="auto"/>
              <w:ind w:firstLine="0" w:firstLineChars="0"/>
              <w:jc w:val="center"/>
              <w:rPr>
                <w:color w:val="auto"/>
                <w:kern w:val="21"/>
                <w:sz w:val="21"/>
                <w:szCs w:val="21"/>
              </w:rPr>
            </w:pPr>
            <w:r>
              <w:rPr>
                <w:color w:val="auto"/>
                <w:kern w:val="21"/>
                <w:sz w:val="21"/>
                <w:szCs w:val="21"/>
                <w:lang w:bidi="ar"/>
              </w:rPr>
              <w:t>框架结构</w:t>
            </w:r>
          </w:p>
        </w:tc>
        <w:tc>
          <w:tcPr>
            <w:tcW w:w="923" w:type="dxa"/>
            <w:vAlign w:val="center"/>
          </w:tcPr>
          <w:p>
            <w:pPr>
              <w:spacing w:line="240" w:lineRule="auto"/>
              <w:ind w:firstLine="0" w:firstLineChars="0"/>
              <w:jc w:val="center"/>
              <w:rPr>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2226" w:type="dxa"/>
            <w:gridSpan w:val="2"/>
            <w:vAlign w:val="center"/>
          </w:tcPr>
          <w:p>
            <w:pPr>
              <w:spacing w:line="240" w:lineRule="auto"/>
              <w:ind w:firstLine="0" w:firstLineChars="0"/>
              <w:jc w:val="center"/>
              <w:rPr>
                <w:color w:val="auto"/>
                <w:kern w:val="21"/>
                <w:sz w:val="21"/>
                <w:szCs w:val="21"/>
              </w:rPr>
            </w:pPr>
            <w:r>
              <w:rPr>
                <w:color w:val="auto"/>
                <w:kern w:val="21"/>
                <w:sz w:val="21"/>
                <w:szCs w:val="21"/>
              </w:rPr>
              <w:t>水质在线监测用房</w:t>
            </w:r>
          </w:p>
        </w:tc>
        <w:tc>
          <w:tcPr>
            <w:tcW w:w="5116"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1座</w:t>
            </w:r>
            <w:r>
              <w:rPr>
                <w:rFonts w:hint="eastAsia"/>
                <w:color w:val="auto"/>
                <w:kern w:val="21"/>
                <w:sz w:val="21"/>
                <w:szCs w:val="21"/>
                <w:lang w:bidi="ar"/>
              </w:rPr>
              <w:t>，1F</w:t>
            </w:r>
            <w:r>
              <w:rPr>
                <w:color w:val="auto"/>
                <w:kern w:val="21"/>
                <w:sz w:val="21"/>
                <w:szCs w:val="21"/>
                <w:lang w:bidi="ar"/>
              </w:rPr>
              <w:t>，在线监测仪表房面积</w:t>
            </w:r>
            <w:r>
              <w:rPr>
                <w:rFonts w:hint="eastAsia"/>
                <w:color w:val="auto"/>
                <w:kern w:val="21"/>
                <w:sz w:val="21"/>
                <w:szCs w:val="21"/>
                <w:lang w:bidi="ar"/>
              </w:rPr>
              <w:t>51.52</w:t>
            </w:r>
            <w:r>
              <w:rPr>
                <w:rFonts w:hint="eastAsia"/>
                <w:color w:val="auto"/>
                <w:kern w:val="21"/>
                <w:sz w:val="21"/>
                <w:szCs w:val="21"/>
              </w:rPr>
              <w:t>m</w:t>
            </w:r>
            <w:r>
              <w:rPr>
                <w:rFonts w:hint="eastAsia"/>
                <w:color w:val="auto"/>
                <w:kern w:val="21"/>
                <w:sz w:val="21"/>
                <w:szCs w:val="21"/>
                <w:vertAlign w:val="superscript"/>
              </w:rPr>
              <w:t>2</w:t>
            </w:r>
          </w:p>
        </w:tc>
        <w:tc>
          <w:tcPr>
            <w:tcW w:w="775" w:type="dxa"/>
            <w:vAlign w:val="center"/>
          </w:tcPr>
          <w:p>
            <w:pPr>
              <w:spacing w:line="240" w:lineRule="auto"/>
              <w:ind w:firstLine="0" w:firstLineChars="0"/>
              <w:jc w:val="center"/>
              <w:rPr>
                <w:color w:val="auto"/>
                <w:kern w:val="21"/>
                <w:sz w:val="21"/>
                <w:szCs w:val="21"/>
              </w:rPr>
            </w:pPr>
            <w:r>
              <w:rPr>
                <w:color w:val="auto"/>
                <w:kern w:val="21"/>
                <w:sz w:val="21"/>
                <w:szCs w:val="21"/>
                <w:lang w:bidi="ar"/>
              </w:rPr>
              <w:t>框架结构</w:t>
            </w:r>
          </w:p>
        </w:tc>
        <w:tc>
          <w:tcPr>
            <w:tcW w:w="923" w:type="dxa"/>
            <w:vAlign w:val="center"/>
          </w:tcPr>
          <w:p>
            <w:pPr>
              <w:spacing w:line="240" w:lineRule="auto"/>
              <w:ind w:firstLine="0" w:firstLineChars="0"/>
              <w:jc w:val="center"/>
              <w:rPr>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2226" w:type="dxa"/>
            <w:gridSpan w:val="2"/>
            <w:vAlign w:val="center"/>
          </w:tcPr>
          <w:p>
            <w:pPr>
              <w:widowControl/>
              <w:spacing w:line="240" w:lineRule="auto"/>
              <w:ind w:firstLine="0" w:firstLineChars="0"/>
              <w:jc w:val="center"/>
              <w:rPr>
                <w:color w:val="auto"/>
                <w:kern w:val="21"/>
                <w:sz w:val="21"/>
                <w:szCs w:val="21"/>
              </w:rPr>
            </w:pPr>
            <w:r>
              <w:rPr>
                <w:bCs/>
                <w:color w:val="auto"/>
                <w:kern w:val="21"/>
                <w:sz w:val="21"/>
                <w:szCs w:val="21"/>
                <w:lang w:bidi="ar"/>
              </w:rPr>
              <w:t>综合楼</w:t>
            </w:r>
          </w:p>
        </w:tc>
        <w:tc>
          <w:tcPr>
            <w:tcW w:w="5116" w:type="dxa"/>
            <w:vAlign w:val="center"/>
          </w:tcPr>
          <w:p>
            <w:pPr>
              <w:widowControl/>
              <w:spacing w:line="240" w:lineRule="auto"/>
              <w:ind w:firstLine="0" w:firstLineChars="0"/>
              <w:jc w:val="center"/>
              <w:rPr>
                <w:color w:val="auto"/>
                <w:kern w:val="21"/>
                <w:sz w:val="21"/>
                <w:szCs w:val="21"/>
              </w:rPr>
            </w:pPr>
            <w:r>
              <w:rPr>
                <w:color w:val="auto"/>
                <w:kern w:val="21"/>
                <w:sz w:val="21"/>
                <w:szCs w:val="21"/>
              </w:rPr>
              <w:t>1栋，</w:t>
            </w:r>
            <w:r>
              <w:rPr>
                <w:rFonts w:hint="eastAsia"/>
                <w:color w:val="auto"/>
                <w:kern w:val="21"/>
                <w:sz w:val="21"/>
                <w:szCs w:val="21"/>
              </w:rPr>
              <w:t>2F</w:t>
            </w:r>
            <w:r>
              <w:rPr>
                <w:color w:val="auto"/>
                <w:kern w:val="21"/>
                <w:sz w:val="21"/>
                <w:szCs w:val="21"/>
              </w:rPr>
              <w:t>，</w:t>
            </w:r>
            <w:r>
              <w:rPr>
                <w:color w:val="auto"/>
                <w:kern w:val="21"/>
                <w:sz w:val="21"/>
                <w:szCs w:val="21"/>
                <w:lang w:bidi="ar"/>
              </w:rPr>
              <w:t>总建筑面积488.52m²，内设办公室、</w:t>
            </w:r>
            <w:r>
              <w:rPr>
                <w:rFonts w:hint="eastAsia"/>
                <w:color w:val="auto"/>
                <w:kern w:val="21"/>
                <w:sz w:val="21"/>
                <w:szCs w:val="21"/>
                <w:lang w:bidi="ar"/>
              </w:rPr>
              <w:t>自控系统室</w:t>
            </w:r>
            <w:r>
              <w:rPr>
                <w:color w:val="auto"/>
                <w:kern w:val="21"/>
                <w:sz w:val="21"/>
                <w:szCs w:val="21"/>
                <w:lang w:bidi="ar"/>
              </w:rPr>
              <w:t>、</w:t>
            </w:r>
            <w:r>
              <w:rPr>
                <w:rFonts w:hint="eastAsia"/>
                <w:color w:val="auto"/>
                <w:kern w:val="21"/>
                <w:sz w:val="21"/>
                <w:szCs w:val="21"/>
                <w:lang w:bidi="ar"/>
              </w:rPr>
              <w:t>会议室、值班宿舍</w:t>
            </w:r>
            <w:r>
              <w:rPr>
                <w:color w:val="auto"/>
                <w:kern w:val="21"/>
                <w:sz w:val="21"/>
                <w:szCs w:val="21"/>
                <w:lang w:bidi="ar"/>
              </w:rPr>
              <w:t>等。</w:t>
            </w:r>
          </w:p>
        </w:tc>
        <w:tc>
          <w:tcPr>
            <w:tcW w:w="775" w:type="dxa"/>
            <w:vAlign w:val="center"/>
          </w:tcPr>
          <w:p>
            <w:pPr>
              <w:spacing w:line="240" w:lineRule="auto"/>
              <w:ind w:firstLine="0" w:firstLineChars="0"/>
              <w:jc w:val="center"/>
              <w:rPr>
                <w:color w:val="auto"/>
                <w:kern w:val="21"/>
                <w:sz w:val="21"/>
                <w:szCs w:val="21"/>
              </w:rPr>
            </w:pPr>
            <w:r>
              <w:rPr>
                <w:color w:val="auto"/>
                <w:kern w:val="21"/>
                <w:sz w:val="21"/>
                <w:szCs w:val="21"/>
                <w:lang w:bidi="ar"/>
              </w:rPr>
              <w:t>框架结构</w:t>
            </w:r>
          </w:p>
        </w:tc>
        <w:tc>
          <w:tcPr>
            <w:tcW w:w="923" w:type="dxa"/>
            <w:vAlign w:val="center"/>
          </w:tcPr>
          <w:p>
            <w:pPr>
              <w:spacing w:line="240" w:lineRule="auto"/>
              <w:ind w:firstLine="0" w:firstLineChars="0"/>
              <w:jc w:val="center"/>
              <w:rPr>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2226" w:type="dxa"/>
            <w:gridSpan w:val="2"/>
            <w:vAlign w:val="center"/>
          </w:tcPr>
          <w:p>
            <w:pPr>
              <w:widowControl/>
              <w:spacing w:line="240" w:lineRule="auto"/>
              <w:ind w:firstLine="0" w:firstLineChars="0"/>
              <w:jc w:val="center"/>
              <w:rPr>
                <w:bCs/>
                <w:color w:val="auto"/>
                <w:kern w:val="21"/>
                <w:sz w:val="21"/>
                <w:szCs w:val="21"/>
                <w:lang w:bidi="ar"/>
              </w:rPr>
            </w:pPr>
            <w:r>
              <w:rPr>
                <w:rFonts w:hint="eastAsia"/>
                <w:bCs/>
                <w:color w:val="auto"/>
                <w:kern w:val="21"/>
                <w:sz w:val="21"/>
                <w:szCs w:val="21"/>
                <w:lang w:bidi="ar"/>
              </w:rPr>
              <w:t>食堂及传达室</w:t>
            </w:r>
          </w:p>
        </w:tc>
        <w:tc>
          <w:tcPr>
            <w:tcW w:w="5116"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lang w:bidi="ar"/>
              </w:rPr>
              <w:t>1F</w:t>
            </w:r>
            <w:r>
              <w:rPr>
                <w:color w:val="auto"/>
                <w:kern w:val="21"/>
                <w:sz w:val="21"/>
                <w:szCs w:val="21"/>
                <w:lang w:bidi="ar"/>
              </w:rPr>
              <w:t>，</w:t>
            </w:r>
            <w:r>
              <w:rPr>
                <w:rFonts w:hint="eastAsia"/>
                <w:color w:val="auto"/>
                <w:kern w:val="21"/>
                <w:sz w:val="21"/>
                <w:szCs w:val="21"/>
              </w:rPr>
              <w:t>食堂占地面积106.28m</w:t>
            </w:r>
            <w:r>
              <w:rPr>
                <w:rFonts w:hint="eastAsia"/>
                <w:color w:val="auto"/>
                <w:kern w:val="21"/>
                <w:sz w:val="21"/>
                <w:szCs w:val="21"/>
                <w:vertAlign w:val="superscript"/>
              </w:rPr>
              <w:t>2</w:t>
            </w:r>
            <w:r>
              <w:rPr>
                <w:rFonts w:hint="eastAsia"/>
                <w:color w:val="auto"/>
                <w:kern w:val="21"/>
                <w:sz w:val="21"/>
                <w:szCs w:val="21"/>
              </w:rPr>
              <w:t>，传达室占地面积47.52m</w:t>
            </w:r>
            <w:r>
              <w:rPr>
                <w:rFonts w:hint="eastAsia"/>
                <w:color w:val="auto"/>
                <w:kern w:val="21"/>
                <w:sz w:val="21"/>
                <w:szCs w:val="21"/>
                <w:vertAlign w:val="superscript"/>
              </w:rPr>
              <w:t>2</w:t>
            </w:r>
          </w:p>
        </w:tc>
        <w:tc>
          <w:tcPr>
            <w:tcW w:w="775" w:type="dxa"/>
            <w:vAlign w:val="center"/>
          </w:tcPr>
          <w:p>
            <w:pPr>
              <w:spacing w:line="240" w:lineRule="auto"/>
              <w:ind w:firstLine="0" w:firstLineChars="0"/>
              <w:jc w:val="center"/>
              <w:rPr>
                <w:color w:val="auto"/>
                <w:kern w:val="21"/>
                <w:sz w:val="21"/>
                <w:szCs w:val="21"/>
                <w:lang w:bidi="ar"/>
              </w:rPr>
            </w:pPr>
            <w:r>
              <w:rPr>
                <w:color w:val="auto"/>
                <w:kern w:val="21"/>
                <w:sz w:val="21"/>
                <w:szCs w:val="21"/>
                <w:lang w:bidi="ar"/>
              </w:rPr>
              <w:t>框架结构</w:t>
            </w:r>
          </w:p>
        </w:tc>
        <w:tc>
          <w:tcPr>
            <w:tcW w:w="923" w:type="dxa"/>
            <w:vAlign w:val="center"/>
          </w:tcPr>
          <w:p>
            <w:pPr>
              <w:spacing w:line="240" w:lineRule="auto"/>
              <w:ind w:firstLine="0" w:firstLineChars="0"/>
              <w:jc w:val="center"/>
              <w:rPr>
                <w:color w:val="auto"/>
                <w:kern w:val="21"/>
                <w:sz w:val="21"/>
                <w:szCs w:val="21"/>
                <w:lang w:bidi="ar"/>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restart"/>
            <w:vAlign w:val="center"/>
          </w:tcPr>
          <w:p>
            <w:pPr>
              <w:spacing w:line="240" w:lineRule="auto"/>
              <w:ind w:firstLine="0" w:firstLineChars="0"/>
              <w:jc w:val="center"/>
              <w:rPr>
                <w:color w:val="auto"/>
                <w:kern w:val="21"/>
                <w:sz w:val="21"/>
                <w:szCs w:val="21"/>
              </w:rPr>
            </w:pPr>
          </w:p>
          <w:p>
            <w:pPr>
              <w:spacing w:line="240" w:lineRule="auto"/>
              <w:ind w:firstLine="0" w:firstLineChars="0"/>
              <w:jc w:val="center"/>
              <w:rPr>
                <w:color w:val="auto"/>
                <w:kern w:val="21"/>
                <w:sz w:val="21"/>
                <w:szCs w:val="21"/>
              </w:rPr>
            </w:pPr>
          </w:p>
          <w:p>
            <w:pPr>
              <w:spacing w:line="240" w:lineRule="auto"/>
              <w:ind w:firstLine="0" w:firstLineChars="0"/>
              <w:jc w:val="center"/>
              <w:rPr>
                <w:color w:val="auto"/>
                <w:kern w:val="21"/>
                <w:sz w:val="21"/>
                <w:szCs w:val="21"/>
              </w:rPr>
            </w:pPr>
            <w:r>
              <w:rPr>
                <w:color w:val="auto"/>
                <w:kern w:val="21"/>
                <w:sz w:val="21"/>
                <w:szCs w:val="21"/>
              </w:rPr>
              <w:t>公用工程</w:t>
            </w:r>
          </w:p>
        </w:tc>
        <w:tc>
          <w:tcPr>
            <w:tcW w:w="2226" w:type="dxa"/>
            <w:gridSpan w:val="2"/>
            <w:vAlign w:val="center"/>
          </w:tcPr>
          <w:p>
            <w:pPr>
              <w:spacing w:line="240" w:lineRule="auto"/>
              <w:ind w:firstLine="0" w:firstLineChars="0"/>
              <w:jc w:val="center"/>
              <w:rPr>
                <w:color w:val="auto"/>
                <w:kern w:val="21"/>
                <w:sz w:val="21"/>
                <w:szCs w:val="21"/>
              </w:rPr>
            </w:pPr>
            <w:r>
              <w:rPr>
                <w:rFonts w:hint="eastAsia"/>
                <w:color w:val="auto"/>
                <w:kern w:val="21"/>
                <w:sz w:val="21"/>
                <w:szCs w:val="21"/>
              </w:rPr>
              <w:t>雨污分流系统</w:t>
            </w:r>
          </w:p>
        </w:tc>
        <w:tc>
          <w:tcPr>
            <w:tcW w:w="5116" w:type="dxa"/>
            <w:vAlign w:val="center"/>
          </w:tcPr>
          <w:p>
            <w:pPr>
              <w:widowControl/>
              <w:spacing w:line="240" w:lineRule="auto"/>
              <w:ind w:firstLine="0" w:firstLineChars="0"/>
              <w:rPr>
                <w:color w:val="auto"/>
                <w:kern w:val="21"/>
                <w:sz w:val="21"/>
                <w:szCs w:val="21"/>
              </w:rPr>
            </w:pPr>
            <w:r>
              <w:rPr>
                <w:rFonts w:hint="eastAsia"/>
                <w:color w:val="auto"/>
                <w:kern w:val="21"/>
                <w:sz w:val="21"/>
                <w:szCs w:val="21"/>
              </w:rPr>
              <w:t>厂区已按设计全面实施“雨污分流”，</w:t>
            </w:r>
            <w:r>
              <w:rPr>
                <w:rFonts w:hint="eastAsia"/>
                <w:color w:val="auto"/>
                <w:sz w:val="21"/>
                <w:szCs w:val="21"/>
              </w:rPr>
              <w:t>雨水管</w:t>
            </w:r>
            <w:r>
              <w:rPr>
                <w:color w:val="auto"/>
                <w:sz w:val="21"/>
                <w:szCs w:val="21"/>
              </w:rPr>
              <w:t>DN400</w:t>
            </w:r>
            <w:r>
              <w:rPr>
                <w:rFonts w:hint="eastAsia"/>
                <w:color w:val="auto"/>
                <w:sz w:val="21"/>
                <w:szCs w:val="21"/>
              </w:rPr>
              <w:t>～</w:t>
            </w:r>
            <w:r>
              <w:rPr>
                <w:color w:val="auto"/>
                <w:sz w:val="21"/>
                <w:szCs w:val="21"/>
              </w:rPr>
              <w:t>DN500</w:t>
            </w:r>
            <w:r>
              <w:rPr>
                <w:rFonts w:hint="eastAsia"/>
                <w:color w:val="auto"/>
                <w:sz w:val="21"/>
                <w:szCs w:val="21"/>
              </w:rPr>
              <w:t>采用HDPE钢带增强聚乙烯螺旋波纹管，其他规格雨水管采用HDPE管，铺设长度765m；污水管网污水管采用HDPE钢带增强聚乙烯螺旋波纹管，铺设长度426m。</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color w:val="auto"/>
                <w:kern w:val="21"/>
                <w:sz w:val="21"/>
                <w:szCs w:val="21"/>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2226" w:type="dxa"/>
            <w:gridSpan w:val="2"/>
            <w:vAlign w:val="center"/>
          </w:tcPr>
          <w:p>
            <w:pPr>
              <w:spacing w:line="240" w:lineRule="auto"/>
              <w:ind w:firstLine="0" w:firstLineChars="0"/>
              <w:jc w:val="center"/>
              <w:rPr>
                <w:color w:val="auto"/>
                <w:kern w:val="21"/>
                <w:sz w:val="21"/>
                <w:szCs w:val="21"/>
              </w:rPr>
            </w:pPr>
            <w:r>
              <w:rPr>
                <w:color w:val="auto"/>
                <w:kern w:val="21"/>
                <w:sz w:val="21"/>
                <w:szCs w:val="21"/>
              </w:rPr>
              <w:t>供电设施</w:t>
            </w:r>
          </w:p>
        </w:tc>
        <w:tc>
          <w:tcPr>
            <w:tcW w:w="5116"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设置两台630kVA变压器，1用1备，负荷率约67.8%。</w:t>
            </w:r>
            <w:r>
              <w:rPr>
                <w:color w:val="auto"/>
                <w:kern w:val="21"/>
                <w:sz w:val="21"/>
                <w:szCs w:val="21"/>
              </w:rPr>
              <w:t>供厂区生产、生活用电。</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color w:val="auto"/>
                <w:kern w:val="21"/>
                <w:sz w:val="21"/>
                <w:szCs w:val="21"/>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2226" w:type="dxa"/>
            <w:gridSpan w:val="2"/>
            <w:vAlign w:val="center"/>
          </w:tcPr>
          <w:p>
            <w:pPr>
              <w:spacing w:line="240" w:lineRule="auto"/>
              <w:ind w:firstLine="0" w:firstLineChars="0"/>
              <w:jc w:val="center"/>
              <w:rPr>
                <w:color w:val="auto"/>
                <w:kern w:val="21"/>
                <w:sz w:val="21"/>
                <w:szCs w:val="21"/>
              </w:rPr>
            </w:pPr>
            <w:r>
              <w:rPr>
                <w:color w:val="auto"/>
                <w:kern w:val="21"/>
                <w:sz w:val="21"/>
                <w:szCs w:val="21"/>
              </w:rPr>
              <w:t>道路工程</w:t>
            </w:r>
          </w:p>
        </w:tc>
        <w:tc>
          <w:tcPr>
            <w:tcW w:w="5116"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广场、道路</w:t>
            </w:r>
            <w:r>
              <w:rPr>
                <w:color w:val="auto"/>
                <w:kern w:val="21"/>
                <w:sz w:val="21"/>
                <w:szCs w:val="21"/>
              </w:rPr>
              <w:t>占地面积</w:t>
            </w:r>
            <w:r>
              <w:rPr>
                <w:rFonts w:hint="eastAsia"/>
                <w:color w:val="auto"/>
                <w:kern w:val="21"/>
                <w:sz w:val="21"/>
                <w:szCs w:val="21"/>
              </w:rPr>
              <w:t>3288.5</w:t>
            </w:r>
            <w:r>
              <w:rPr>
                <w:color w:val="auto"/>
                <w:kern w:val="21"/>
                <w:sz w:val="21"/>
                <w:szCs w:val="21"/>
              </w:rPr>
              <w:t>m</w:t>
            </w:r>
            <w:r>
              <w:rPr>
                <w:color w:val="auto"/>
                <w:kern w:val="21"/>
                <w:sz w:val="21"/>
                <w:szCs w:val="21"/>
                <w:vertAlign w:val="superscript"/>
              </w:rPr>
              <w:t>2</w:t>
            </w:r>
            <w:r>
              <w:rPr>
                <w:rFonts w:hint="eastAsia"/>
                <w:color w:val="auto"/>
                <w:kern w:val="21"/>
                <w:sz w:val="21"/>
                <w:szCs w:val="21"/>
              </w:rPr>
              <w:t>，人行步道69.6</w:t>
            </w:r>
            <w:r>
              <w:rPr>
                <w:color w:val="auto"/>
                <w:kern w:val="21"/>
                <w:sz w:val="21"/>
                <w:szCs w:val="21"/>
              </w:rPr>
              <w:t>m</w:t>
            </w:r>
            <w:r>
              <w:rPr>
                <w:color w:val="auto"/>
                <w:kern w:val="21"/>
                <w:sz w:val="21"/>
                <w:szCs w:val="21"/>
                <w:vertAlign w:val="superscript"/>
              </w:rPr>
              <w:t>2</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混凝土</w:t>
            </w:r>
          </w:p>
        </w:tc>
        <w:tc>
          <w:tcPr>
            <w:tcW w:w="923" w:type="dxa"/>
            <w:vAlign w:val="center"/>
          </w:tcPr>
          <w:p>
            <w:pPr>
              <w:spacing w:line="240" w:lineRule="auto"/>
              <w:ind w:firstLine="0" w:firstLineChars="0"/>
              <w:jc w:val="center"/>
              <w:rPr>
                <w:rFonts w:hint="eastAsia"/>
                <w:color w:val="auto"/>
                <w:kern w:val="21"/>
                <w:sz w:val="21"/>
                <w:szCs w:val="21"/>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restart"/>
            <w:vAlign w:val="center"/>
          </w:tcPr>
          <w:p>
            <w:pPr>
              <w:spacing w:line="240" w:lineRule="auto"/>
              <w:ind w:firstLine="0" w:firstLineChars="0"/>
              <w:jc w:val="center"/>
              <w:rPr>
                <w:color w:val="auto"/>
                <w:kern w:val="21"/>
                <w:sz w:val="21"/>
                <w:szCs w:val="21"/>
              </w:rPr>
            </w:pPr>
          </w:p>
          <w:p>
            <w:pPr>
              <w:spacing w:line="240" w:lineRule="auto"/>
              <w:ind w:firstLine="0" w:firstLineChars="0"/>
              <w:jc w:val="center"/>
              <w:rPr>
                <w:color w:val="auto"/>
                <w:kern w:val="21"/>
                <w:sz w:val="21"/>
                <w:szCs w:val="21"/>
              </w:rPr>
            </w:pPr>
          </w:p>
          <w:p>
            <w:pPr>
              <w:pStyle w:val="23"/>
              <w:spacing w:after="0" w:line="240" w:lineRule="auto"/>
              <w:ind w:left="0" w:leftChars="0" w:firstLine="0" w:firstLineChars="0"/>
              <w:jc w:val="center"/>
              <w:rPr>
                <w:color w:val="auto"/>
                <w:kern w:val="21"/>
                <w:sz w:val="21"/>
                <w:szCs w:val="21"/>
              </w:rPr>
            </w:pPr>
          </w:p>
          <w:p>
            <w:pPr>
              <w:pStyle w:val="23"/>
              <w:spacing w:after="0" w:line="240" w:lineRule="auto"/>
              <w:ind w:left="0" w:leftChars="0" w:firstLine="0" w:firstLineChars="0"/>
              <w:jc w:val="center"/>
              <w:rPr>
                <w:color w:val="auto"/>
                <w:kern w:val="21"/>
                <w:sz w:val="21"/>
                <w:szCs w:val="21"/>
              </w:rPr>
            </w:pPr>
          </w:p>
          <w:p>
            <w:pPr>
              <w:spacing w:line="240" w:lineRule="auto"/>
              <w:ind w:firstLine="0" w:firstLineChars="0"/>
              <w:jc w:val="center"/>
              <w:rPr>
                <w:color w:val="auto"/>
                <w:kern w:val="21"/>
                <w:sz w:val="21"/>
                <w:szCs w:val="21"/>
              </w:rPr>
            </w:pPr>
            <w:r>
              <w:rPr>
                <w:color w:val="auto"/>
                <w:kern w:val="21"/>
                <w:sz w:val="21"/>
                <w:szCs w:val="21"/>
              </w:rPr>
              <w:t>环保工程</w:t>
            </w:r>
          </w:p>
        </w:tc>
        <w:tc>
          <w:tcPr>
            <w:tcW w:w="870" w:type="dxa"/>
            <w:vMerge w:val="restart"/>
            <w:vAlign w:val="center"/>
          </w:tcPr>
          <w:p>
            <w:pPr>
              <w:spacing w:line="240" w:lineRule="auto"/>
              <w:ind w:firstLine="0" w:firstLineChars="0"/>
              <w:jc w:val="center"/>
              <w:rPr>
                <w:color w:val="auto"/>
                <w:kern w:val="21"/>
                <w:sz w:val="21"/>
                <w:szCs w:val="21"/>
              </w:rPr>
            </w:pPr>
            <w:r>
              <w:rPr>
                <w:rFonts w:hint="eastAsia"/>
                <w:color w:val="auto"/>
                <w:kern w:val="21"/>
                <w:sz w:val="21"/>
                <w:szCs w:val="21"/>
              </w:rPr>
              <w:t>废气</w:t>
            </w:r>
          </w:p>
        </w:tc>
        <w:tc>
          <w:tcPr>
            <w:tcW w:w="1356"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食堂油烟</w:t>
            </w:r>
          </w:p>
        </w:tc>
        <w:tc>
          <w:tcPr>
            <w:tcW w:w="5116"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安装油烟净化器</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color w:val="auto"/>
                <w:kern w:val="21"/>
                <w:sz w:val="21"/>
                <w:szCs w:val="21"/>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spacing w:line="240" w:lineRule="auto"/>
              <w:ind w:firstLine="0" w:firstLineChars="0"/>
              <w:jc w:val="center"/>
              <w:rPr>
                <w:color w:val="auto"/>
                <w:kern w:val="21"/>
                <w:sz w:val="21"/>
                <w:szCs w:val="21"/>
              </w:rPr>
            </w:pPr>
          </w:p>
        </w:tc>
        <w:tc>
          <w:tcPr>
            <w:tcW w:w="1356"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恶臭气体</w:t>
            </w:r>
          </w:p>
        </w:tc>
        <w:tc>
          <w:tcPr>
            <w:tcW w:w="5116"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eastAsia="zh-CN"/>
              </w:rPr>
              <w:t>污泥浓缩池、水解酸化池加盖密闭，</w:t>
            </w:r>
            <w:r>
              <w:rPr>
                <w:rFonts w:hint="eastAsia"/>
                <w:color w:val="auto"/>
                <w:kern w:val="21"/>
                <w:sz w:val="21"/>
                <w:szCs w:val="21"/>
              </w:rPr>
              <w:t>大气稀释扩散和绿化吸收</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color w:val="auto"/>
                <w:kern w:val="21"/>
                <w:sz w:val="21"/>
                <w:szCs w:val="21"/>
              </w:rPr>
            </w:pPr>
            <w:r>
              <w:rPr>
                <w:rFonts w:hint="eastAsia"/>
                <w:color w:val="auto"/>
                <w:kern w:val="21"/>
                <w:sz w:val="21"/>
                <w:szCs w:val="21"/>
                <w:lang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spacing w:line="240" w:lineRule="auto"/>
              <w:ind w:firstLine="0" w:firstLineChars="0"/>
              <w:jc w:val="center"/>
              <w:rPr>
                <w:color w:val="auto"/>
                <w:kern w:val="21"/>
                <w:sz w:val="21"/>
                <w:szCs w:val="21"/>
              </w:rPr>
            </w:pPr>
          </w:p>
        </w:tc>
        <w:tc>
          <w:tcPr>
            <w:tcW w:w="1356"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恶臭气体</w:t>
            </w:r>
          </w:p>
        </w:tc>
        <w:tc>
          <w:tcPr>
            <w:tcW w:w="5116"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eastAsia="zh-CN"/>
              </w:rPr>
              <w:t>环评要求对</w:t>
            </w:r>
            <w:r>
              <w:rPr>
                <w:color w:val="auto"/>
                <w:kern w:val="21"/>
                <w:sz w:val="21"/>
                <w:szCs w:val="21"/>
                <w:lang w:bidi="ar"/>
              </w:rPr>
              <w:t>粗格栅间及进水泵房</w:t>
            </w:r>
            <w:r>
              <w:rPr>
                <w:rFonts w:hint="eastAsia"/>
                <w:color w:val="auto"/>
                <w:kern w:val="21"/>
                <w:sz w:val="21"/>
                <w:szCs w:val="21"/>
                <w:lang w:eastAsia="zh-CN" w:bidi="ar"/>
              </w:rPr>
              <w:t>、</w:t>
            </w:r>
            <w:r>
              <w:rPr>
                <w:color w:val="auto"/>
                <w:kern w:val="21"/>
                <w:sz w:val="21"/>
                <w:szCs w:val="21"/>
                <w:lang w:bidi="ar"/>
              </w:rPr>
              <w:t>细格栅间及调节池</w:t>
            </w:r>
            <w:r>
              <w:rPr>
                <w:rFonts w:hint="eastAsia"/>
                <w:color w:val="auto"/>
                <w:kern w:val="21"/>
                <w:sz w:val="21"/>
                <w:szCs w:val="21"/>
                <w:lang w:eastAsia="zh-CN" w:bidi="ar"/>
              </w:rPr>
              <w:t>、</w:t>
            </w:r>
            <w:r>
              <w:rPr>
                <w:color w:val="auto"/>
                <w:kern w:val="21"/>
                <w:sz w:val="21"/>
                <w:szCs w:val="21"/>
              </w:rPr>
              <w:t>混凝沉淀池</w:t>
            </w:r>
            <w:r>
              <w:rPr>
                <w:rFonts w:hint="eastAsia"/>
                <w:color w:val="auto"/>
                <w:kern w:val="21"/>
                <w:sz w:val="21"/>
                <w:szCs w:val="21"/>
                <w:lang w:eastAsia="zh-CN"/>
              </w:rPr>
              <w:t>、</w:t>
            </w:r>
            <w:r>
              <w:rPr>
                <w:color w:val="auto"/>
                <w:kern w:val="21"/>
                <w:sz w:val="21"/>
                <w:szCs w:val="21"/>
              </w:rPr>
              <w:t>污泥脱水车间</w:t>
            </w:r>
            <w:r>
              <w:rPr>
                <w:rFonts w:hint="eastAsia"/>
                <w:color w:val="auto"/>
                <w:kern w:val="21"/>
                <w:sz w:val="21"/>
                <w:szCs w:val="21"/>
                <w:lang w:eastAsia="zh-CN"/>
              </w:rPr>
              <w:t>进行加盖密闭，并在污泥脱水车间西侧空地上设置</w:t>
            </w:r>
            <w:r>
              <w:rPr>
                <w:rFonts w:hint="eastAsia"/>
                <w:color w:val="auto"/>
                <w:kern w:val="21"/>
                <w:sz w:val="21"/>
                <w:szCs w:val="21"/>
                <w:lang w:val="en-US" w:eastAsia="zh-CN"/>
              </w:rPr>
              <w:t>1套活性炭吸附塔，通过引风机将</w:t>
            </w:r>
            <w:r>
              <w:rPr>
                <w:color w:val="auto"/>
                <w:kern w:val="21"/>
                <w:sz w:val="21"/>
                <w:szCs w:val="21"/>
                <w:lang w:bidi="ar"/>
              </w:rPr>
              <w:t>粗格栅间及进水泵房</w:t>
            </w:r>
            <w:r>
              <w:rPr>
                <w:rFonts w:hint="eastAsia"/>
                <w:color w:val="auto"/>
                <w:kern w:val="21"/>
                <w:sz w:val="21"/>
                <w:szCs w:val="21"/>
                <w:lang w:eastAsia="zh-CN" w:bidi="ar"/>
              </w:rPr>
              <w:t>、</w:t>
            </w:r>
            <w:r>
              <w:rPr>
                <w:color w:val="auto"/>
                <w:kern w:val="21"/>
                <w:sz w:val="21"/>
                <w:szCs w:val="21"/>
                <w:lang w:bidi="ar"/>
              </w:rPr>
              <w:t>细格栅间及调节池</w:t>
            </w:r>
            <w:r>
              <w:rPr>
                <w:rFonts w:hint="eastAsia"/>
                <w:color w:val="auto"/>
                <w:kern w:val="21"/>
                <w:sz w:val="21"/>
                <w:szCs w:val="21"/>
                <w:lang w:eastAsia="zh-CN" w:bidi="ar"/>
              </w:rPr>
              <w:t>、</w:t>
            </w:r>
            <w:r>
              <w:rPr>
                <w:color w:val="auto"/>
                <w:kern w:val="21"/>
                <w:sz w:val="21"/>
                <w:szCs w:val="21"/>
              </w:rPr>
              <w:t>混凝沉淀池</w:t>
            </w:r>
            <w:r>
              <w:rPr>
                <w:rFonts w:hint="eastAsia"/>
                <w:color w:val="auto"/>
                <w:kern w:val="21"/>
                <w:sz w:val="21"/>
                <w:szCs w:val="21"/>
                <w:lang w:eastAsia="zh-CN"/>
              </w:rPr>
              <w:t>、</w:t>
            </w:r>
            <w:r>
              <w:rPr>
                <w:color w:val="auto"/>
                <w:kern w:val="21"/>
                <w:sz w:val="21"/>
                <w:szCs w:val="21"/>
              </w:rPr>
              <w:t>污泥脱水车间</w:t>
            </w:r>
            <w:r>
              <w:rPr>
                <w:rFonts w:hint="eastAsia"/>
                <w:color w:val="auto"/>
                <w:kern w:val="21"/>
                <w:sz w:val="21"/>
                <w:szCs w:val="21"/>
                <w:lang w:eastAsia="zh-CN"/>
              </w:rPr>
              <w:t>、污泥浓缩池、水解酸化池产生的恶臭气体收集至</w:t>
            </w:r>
            <w:r>
              <w:rPr>
                <w:rFonts w:hint="eastAsia"/>
                <w:color w:val="auto"/>
                <w:kern w:val="21"/>
                <w:sz w:val="21"/>
                <w:szCs w:val="21"/>
                <w:lang w:val="en-US" w:eastAsia="zh-CN"/>
              </w:rPr>
              <w:t>活性炭吸附塔治理后通过15m排气筒DA001排放</w:t>
            </w:r>
          </w:p>
        </w:tc>
        <w:tc>
          <w:tcPr>
            <w:tcW w:w="775" w:type="dxa"/>
            <w:vAlign w:val="center"/>
          </w:tcPr>
          <w:p>
            <w:pPr>
              <w:spacing w:line="240" w:lineRule="auto"/>
              <w:ind w:firstLine="0" w:firstLineChars="0"/>
              <w:jc w:val="center"/>
              <w:rPr>
                <w:rFonts w:hint="eastAsia"/>
                <w:color w:val="auto"/>
                <w:kern w:val="21"/>
                <w:sz w:val="21"/>
                <w:szCs w:val="21"/>
              </w:rPr>
            </w:pPr>
          </w:p>
        </w:tc>
        <w:tc>
          <w:tcPr>
            <w:tcW w:w="923" w:type="dxa"/>
            <w:vAlign w:val="center"/>
          </w:tcPr>
          <w:p>
            <w:pPr>
              <w:spacing w:line="240" w:lineRule="auto"/>
              <w:ind w:firstLine="0" w:firstLineChars="0"/>
              <w:jc w:val="center"/>
              <w:rPr>
                <w:rFonts w:hint="eastAsia"/>
                <w:color w:val="auto"/>
                <w:kern w:val="21"/>
                <w:sz w:val="21"/>
                <w:szCs w:val="21"/>
                <w:lang w:eastAsia="zh-CN" w:bidi="ar"/>
              </w:rPr>
            </w:pPr>
            <w:r>
              <w:rPr>
                <w:rFonts w:hint="eastAsia"/>
                <w:color w:val="auto"/>
                <w:kern w:val="21"/>
                <w:sz w:val="21"/>
                <w:szCs w:val="21"/>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restart"/>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废水处置措施</w:t>
            </w:r>
          </w:p>
        </w:tc>
        <w:tc>
          <w:tcPr>
            <w:tcW w:w="1356"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在线监控设施</w:t>
            </w:r>
          </w:p>
        </w:tc>
        <w:tc>
          <w:tcPr>
            <w:tcW w:w="5116"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lang w:bidi="ar"/>
              </w:rPr>
              <w:t>厂区</w:t>
            </w:r>
            <w:r>
              <w:rPr>
                <w:color w:val="auto"/>
                <w:kern w:val="21"/>
                <w:sz w:val="21"/>
                <w:szCs w:val="21"/>
                <w:lang w:bidi="ar"/>
              </w:rPr>
              <w:t>废水</w:t>
            </w:r>
            <w:r>
              <w:rPr>
                <w:rFonts w:hint="eastAsia"/>
                <w:color w:val="auto"/>
                <w:kern w:val="21"/>
                <w:sz w:val="21"/>
                <w:szCs w:val="21"/>
                <w:lang w:bidi="ar"/>
              </w:rPr>
              <w:t>进出口</w:t>
            </w:r>
            <w:r>
              <w:rPr>
                <w:color w:val="auto"/>
                <w:kern w:val="21"/>
                <w:sz w:val="21"/>
                <w:szCs w:val="21"/>
                <w:lang w:bidi="ar"/>
              </w:rPr>
              <w:t>分别安装</w:t>
            </w:r>
            <w:r>
              <w:rPr>
                <w:rFonts w:hint="eastAsia"/>
                <w:color w:val="auto"/>
                <w:kern w:val="21"/>
                <w:sz w:val="21"/>
                <w:szCs w:val="21"/>
                <w:lang w:bidi="ar"/>
              </w:rPr>
              <w:t>pH、</w:t>
            </w:r>
            <w:r>
              <w:rPr>
                <w:color w:val="auto"/>
                <w:kern w:val="21"/>
                <w:sz w:val="21"/>
                <w:szCs w:val="21"/>
                <w:lang w:bidi="ar"/>
              </w:rPr>
              <w:t>COD、氨氮、</w:t>
            </w:r>
            <w:r>
              <w:rPr>
                <w:rFonts w:hint="eastAsia"/>
                <w:color w:val="auto"/>
                <w:kern w:val="21"/>
                <w:sz w:val="21"/>
                <w:szCs w:val="21"/>
                <w:lang w:bidi="ar"/>
              </w:rPr>
              <w:t>总磷、</w:t>
            </w:r>
            <w:r>
              <w:rPr>
                <w:rFonts w:hint="eastAsia"/>
                <w:color w:val="auto"/>
                <w:kern w:val="21"/>
                <w:sz w:val="21"/>
                <w:szCs w:val="21"/>
                <w:lang w:eastAsia="zh-CN" w:bidi="ar"/>
              </w:rPr>
              <w:t>总氮、</w:t>
            </w:r>
            <w:r>
              <w:rPr>
                <w:rFonts w:hint="eastAsia"/>
                <w:color w:val="auto"/>
                <w:kern w:val="21"/>
                <w:sz w:val="21"/>
                <w:szCs w:val="21"/>
                <w:lang w:bidi="ar"/>
              </w:rPr>
              <w:t>氟化物</w:t>
            </w:r>
            <w:r>
              <w:rPr>
                <w:color w:val="auto"/>
                <w:kern w:val="21"/>
                <w:sz w:val="21"/>
                <w:szCs w:val="21"/>
                <w:lang w:bidi="ar"/>
              </w:rPr>
              <w:t>在线检测仪1套，共设置2套在线监控设施。</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widowControl/>
              <w:spacing w:line="240" w:lineRule="auto"/>
              <w:ind w:firstLine="0" w:firstLineChars="0"/>
              <w:jc w:val="center"/>
              <w:rPr>
                <w:color w:val="auto"/>
                <w:kern w:val="21"/>
                <w:sz w:val="21"/>
                <w:szCs w:val="21"/>
              </w:rPr>
            </w:pPr>
          </w:p>
        </w:tc>
        <w:tc>
          <w:tcPr>
            <w:tcW w:w="1356"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lang w:bidi="ar"/>
              </w:rPr>
              <w:t>事故</w:t>
            </w:r>
            <w:r>
              <w:rPr>
                <w:rFonts w:hint="eastAsia"/>
                <w:color w:val="auto"/>
                <w:kern w:val="21"/>
                <w:sz w:val="21"/>
                <w:szCs w:val="21"/>
                <w:lang w:eastAsia="zh-CN" w:bidi="ar"/>
              </w:rPr>
              <w:t>应急</w:t>
            </w:r>
            <w:r>
              <w:rPr>
                <w:rFonts w:hint="eastAsia"/>
                <w:color w:val="auto"/>
                <w:kern w:val="21"/>
                <w:sz w:val="21"/>
                <w:szCs w:val="21"/>
                <w:lang w:bidi="ar"/>
              </w:rPr>
              <w:t>池</w:t>
            </w:r>
          </w:p>
        </w:tc>
        <w:tc>
          <w:tcPr>
            <w:tcW w:w="5116" w:type="dxa"/>
            <w:vAlign w:val="center"/>
          </w:tcPr>
          <w:p>
            <w:pPr>
              <w:widowControl/>
              <w:spacing w:line="240" w:lineRule="auto"/>
              <w:ind w:firstLine="0" w:firstLineChars="0"/>
              <w:jc w:val="center"/>
              <w:rPr>
                <w:rFonts w:hint="eastAsia" w:eastAsia="宋体"/>
                <w:color w:val="auto"/>
                <w:kern w:val="21"/>
                <w:sz w:val="21"/>
                <w:szCs w:val="21"/>
                <w:vertAlign w:val="baseline"/>
                <w:lang w:val="en-US" w:eastAsia="zh-CN"/>
              </w:rPr>
            </w:pPr>
            <w:r>
              <w:rPr>
                <w:rFonts w:hint="eastAsia" w:ascii="Times New Roman" w:hAnsi="Times New Roman" w:cs="Times New Roman"/>
                <w:color w:val="auto"/>
                <w:kern w:val="21"/>
                <w:sz w:val="21"/>
                <w:szCs w:val="21"/>
                <w:lang w:val="en-US" w:eastAsia="zh-CN"/>
              </w:rPr>
              <w:t>依托调节池可满足应急需要，当出现极端情况（如外部停电）时，可将进水临时切换至东升路市政污水管网，由一污厂、二污厂临时接纳处理</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2226" w:type="dxa"/>
            <w:gridSpan w:val="2"/>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地下水防渗措施</w:t>
            </w:r>
          </w:p>
        </w:tc>
        <w:tc>
          <w:tcPr>
            <w:tcW w:w="5116" w:type="dxa"/>
            <w:vAlign w:val="center"/>
          </w:tcPr>
          <w:p>
            <w:pPr>
              <w:spacing w:line="240" w:lineRule="auto"/>
              <w:ind w:firstLine="0" w:firstLineChars="0"/>
              <w:jc w:val="center"/>
              <w:rPr>
                <w:rStyle w:val="58"/>
                <w:color w:val="auto"/>
              </w:rPr>
            </w:pPr>
            <w:r>
              <w:rPr>
                <w:rStyle w:val="58"/>
                <w:rFonts w:hint="eastAsia"/>
                <w:color w:val="auto"/>
              </w:rPr>
              <w:t>本项目已实施的防渗措施分为厂区污水管网防渗、厂区构筑物防渗和工艺管道防腐。</w:t>
            </w:r>
          </w:p>
          <w:p>
            <w:pPr>
              <w:spacing w:line="240" w:lineRule="auto"/>
              <w:ind w:firstLine="0" w:firstLineChars="0"/>
              <w:rPr>
                <w:color w:val="auto"/>
                <w:kern w:val="21"/>
                <w:sz w:val="21"/>
                <w:szCs w:val="21"/>
              </w:rPr>
            </w:pPr>
            <w:r>
              <w:rPr>
                <w:rStyle w:val="58"/>
                <w:rFonts w:hint="eastAsia"/>
                <w:color w:val="auto"/>
              </w:rPr>
              <w:t>（1）防渗管材全部采用HDPE钢带增强聚乙烯螺旋波纹管，环刚度≥12.5KN/m</w:t>
            </w:r>
            <w:r>
              <w:rPr>
                <w:rStyle w:val="58"/>
                <w:rFonts w:hint="eastAsia"/>
                <w:color w:val="auto"/>
                <w:vertAlign w:val="superscript"/>
              </w:rPr>
              <w:t>2</w:t>
            </w:r>
            <w:r>
              <w:rPr>
                <w:rStyle w:val="58"/>
                <w:rFonts w:hint="eastAsia"/>
                <w:color w:val="auto"/>
              </w:rPr>
              <w:t>。污水检查井采用钢筋砼污水检查井，C25混凝土（商混），抗渗等级为P6；（2）本项目结构全部采用商品混凝土，混凝土抗渗等级为P6。采用补偿收缩混凝土，混凝土内掺入高效抗裂剂。所有管道与构筑物的连接部位均设置防水套管。构筑物施工缝按规范设置钢板止水带。构筑物的防水等级为Ⅱ级，构筑物的内外表面、中隔墙、底板上表面、顶板下表面，迎水面等采用高分子防水防腐涂料刷厚1.0mm（每平米约2kg）；（3）</w:t>
            </w:r>
            <w:r>
              <w:rPr>
                <w:rFonts w:hint="eastAsia"/>
                <w:color w:val="auto"/>
                <w:sz w:val="21"/>
                <w:szCs w:val="21"/>
              </w:rPr>
              <w:t>本工程管道内壁防腐采用无溶剂饮水舱防腐涂料，管道外壁防腐（一底一布三油）采用IPN</w:t>
            </w:r>
            <w:r>
              <w:rPr>
                <w:color w:val="auto"/>
                <w:sz w:val="21"/>
                <w:szCs w:val="21"/>
              </w:rPr>
              <w:t>8710</w:t>
            </w:r>
            <w:r>
              <w:rPr>
                <w:rFonts w:hint="eastAsia"/>
                <w:color w:val="auto"/>
                <w:sz w:val="21"/>
                <w:szCs w:val="21"/>
              </w:rPr>
              <w:t>系列聚氨酯聚乙烯涂料。</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8" w:hRule="atLeast"/>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rPr>
              <w:t>固废处置措施</w:t>
            </w:r>
          </w:p>
        </w:tc>
        <w:tc>
          <w:tcPr>
            <w:tcW w:w="1356" w:type="dxa"/>
            <w:vAlign w:val="center"/>
          </w:tcPr>
          <w:p>
            <w:pPr>
              <w:widowControl/>
              <w:spacing w:line="240" w:lineRule="auto"/>
              <w:ind w:firstLine="0" w:firstLineChars="0"/>
              <w:jc w:val="center"/>
              <w:rPr>
                <w:color w:val="auto"/>
                <w:kern w:val="21"/>
                <w:sz w:val="21"/>
                <w:szCs w:val="21"/>
              </w:rPr>
            </w:pPr>
            <w:r>
              <w:rPr>
                <w:color w:val="auto"/>
                <w:kern w:val="21"/>
                <w:sz w:val="21"/>
                <w:szCs w:val="21"/>
              </w:rPr>
              <w:t>污泥</w:t>
            </w:r>
          </w:p>
        </w:tc>
        <w:tc>
          <w:tcPr>
            <w:tcW w:w="5116" w:type="dxa"/>
            <w:vAlign w:val="center"/>
          </w:tcPr>
          <w:p>
            <w:pPr>
              <w:widowControl/>
              <w:spacing w:line="240" w:lineRule="auto"/>
              <w:ind w:firstLine="0" w:firstLineChars="0"/>
              <w:rPr>
                <w:rFonts w:hint="eastAsia" w:eastAsia="宋体"/>
                <w:color w:val="auto"/>
                <w:kern w:val="21"/>
                <w:sz w:val="21"/>
                <w:szCs w:val="21"/>
                <w:vertAlign w:val="baseline"/>
                <w:lang w:eastAsia="zh-CN"/>
              </w:rPr>
            </w:pPr>
            <w:r>
              <w:rPr>
                <w:color w:val="auto"/>
                <w:kern w:val="21"/>
                <w:sz w:val="21"/>
                <w:szCs w:val="21"/>
                <w:lang w:bidi="ar"/>
              </w:rPr>
              <w:t>脱水后的污泥先存于泥斗，待存至一定数量后</w:t>
            </w:r>
            <w:r>
              <w:rPr>
                <w:rFonts w:hint="eastAsia"/>
                <w:color w:val="auto"/>
                <w:kern w:val="21"/>
                <w:sz w:val="21"/>
                <w:szCs w:val="21"/>
                <w:lang w:bidi="ar"/>
              </w:rPr>
              <w:t>委托资质单位进行批次属性鉴别，鉴定为一般固废批次的</w:t>
            </w:r>
            <w:r>
              <w:rPr>
                <w:color w:val="auto"/>
                <w:kern w:val="21"/>
                <w:sz w:val="21"/>
                <w:szCs w:val="21"/>
                <w:lang w:bidi="ar"/>
              </w:rPr>
              <w:t>通过泥斗卸落到污泥运输汽车车箱内，再运输</w:t>
            </w:r>
            <w:r>
              <w:rPr>
                <w:rFonts w:hint="eastAsia"/>
                <w:color w:val="auto"/>
                <w:kern w:val="21"/>
                <w:sz w:val="21"/>
                <w:szCs w:val="21"/>
                <w:lang w:bidi="ar"/>
              </w:rPr>
              <w:t>至</w:t>
            </w:r>
            <w:r>
              <w:rPr>
                <w:color w:val="auto"/>
                <w:kern w:val="21"/>
                <w:sz w:val="21"/>
                <w:szCs w:val="21"/>
              </w:rPr>
              <w:t>楚雄市生活垃圾焚烧发电厂进行焚烧。</w:t>
            </w:r>
            <w:r>
              <w:rPr>
                <w:rFonts w:hint="eastAsia"/>
                <w:color w:val="auto"/>
                <w:kern w:val="21"/>
                <w:sz w:val="21"/>
                <w:szCs w:val="21"/>
              </w:rPr>
              <w:t>属性鉴别为危废的则</w:t>
            </w:r>
            <w:r>
              <w:rPr>
                <w:rFonts w:hint="eastAsia"/>
                <w:color w:val="auto"/>
                <w:kern w:val="21"/>
                <w:sz w:val="21"/>
                <w:szCs w:val="21"/>
                <w:lang w:eastAsia="zh-CN"/>
              </w:rPr>
              <w:t>暂存</w:t>
            </w:r>
            <w:r>
              <w:rPr>
                <w:rFonts w:hint="eastAsia"/>
                <w:color w:val="auto"/>
                <w:kern w:val="21"/>
                <w:sz w:val="21"/>
                <w:szCs w:val="21"/>
              </w:rPr>
              <w:t>危废暂存间</w:t>
            </w:r>
            <w:r>
              <w:rPr>
                <w:rFonts w:hint="eastAsia"/>
                <w:color w:val="auto"/>
                <w:kern w:val="21"/>
                <w:sz w:val="21"/>
                <w:szCs w:val="21"/>
                <w:lang w:eastAsia="zh-CN"/>
              </w:rPr>
              <w:t>。</w:t>
            </w:r>
            <w:r>
              <w:rPr>
                <w:rFonts w:hint="eastAsia"/>
                <w:color w:val="auto"/>
                <w:sz w:val="21"/>
                <w:szCs w:val="21"/>
                <w:lang w:eastAsia="zh-CN"/>
              </w:rPr>
              <w:t>本项目拟将加药间北区设置为</w:t>
            </w:r>
            <w:r>
              <w:rPr>
                <w:rFonts w:hint="eastAsia"/>
                <w:color w:val="auto"/>
                <w:kern w:val="21"/>
                <w:sz w:val="21"/>
                <w:szCs w:val="21"/>
                <w:lang w:bidi="ar"/>
              </w:rPr>
              <w:t>危废暂存间</w:t>
            </w:r>
            <w:r>
              <w:rPr>
                <w:rFonts w:hint="eastAsia"/>
                <w:color w:val="auto"/>
                <w:kern w:val="21"/>
                <w:sz w:val="21"/>
                <w:szCs w:val="21"/>
                <w:lang w:eastAsia="zh-CN" w:bidi="ar"/>
              </w:rPr>
              <w:t>，</w:t>
            </w:r>
            <w:r>
              <w:rPr>
                <w:rFonts w:hint="eastAsia"/>
                <w:color w:val="auto"/>
                <w:kern w:val="21"/>
                <w:sz w:val="21"/>
                <w:szCs w:val="21"/>
                <w:lang w:bidi="ar"/>
              </w:rPr>
              <w:t>占地面积25m</w:t>
            </w:r>
            <w:r>
              <w:rPr>
                <w:rFonts w:hint="eastAsia"/>
                <w:color w:val="auto"/>
                <w:kern w:val="21"/>
                <w:sz w:val="21"/>
                <w:szCs w:val="21"/>
                <w:vertAlign w:val="superscript"/>
                <w:lang w:bidi="ar"/>
              </w:rPr>
              <w:t>2</w:t>
            </w:r>
            <w:r>
              <w:rPr>
                <w:rFonts w:hint="eastAsia"/>
                <w:color w:val="auto"/>
                <w:kern w:val="21"/>
                <w:sz w:val="21"/>
                <w:szCs w:val="21"/>
                <w:lang w:bidi="ar"/>
              </w:rPr>
              <w:t>，容积约100m</w:t>
            </w:r>
            <w:r>
              <w:rPr>
                <w:rFonts w:hint="eastAsia"/>
                <w:color w:val="auto"/>
                <w:kern w:val="21"/>
                <w:sz w:val="21"/>
                <w:szCs w:val="21"/>
                <w:vertAlign w:val="superscript"/>
                <w:lang w:bidi="ar"/>
              </w:rPr>
              <w:t>3</w:t>
            </w:r>
            <w:r>
              <w:rPr>
                <w:rFonts w:hint="eastAsia"/>
                <w:color w:val="auto"/>
                <w:kern w:val="21"/>
                <w:sz w:val="21"/>
                <w:szCs w:val="21"/>
                <w:vertAlign w:val="baseline"/>
                <w:lang w:eastAsia="zh-CN" w:bidi="ar"/>
              </w:rPr>
              <w:t>。</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widowControl/>
              <w:spacing w:line="240" w:lineRule="auto"/>
              <w:ind w:firstLine="0" w:firstLineChars="0"/>
              <w:jc w:val="center"/>
              <w:rPr>
                <w:color w:val="auto"/>
                <w:kern w:val="21"/>
                <w:sz w:val="21"/>
                <w:szCs w:val="21"/>
                <w:lang w:bidi="ar"/>
              </w:rPr>
            </w:pPr>
          </w:p>
        </w:tc>
        <w:tc>
          <w:tcPr>
            <w:tcW w:w="1356" w:type="dxa"/>
            <w:vAlign w:val="center"/>
          </w:tcPr>
          <w:p>
            <w:pPr>
              <w:widowControl/>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废活性炭</w:t>
            </w:r>
          </w:p>
        </w:tc>
        <w:tc>
          <w:tcPr>
            <w:tcW w:w="5116" w:type="dxa"/>
            <w:vAlign w:val="center"/>
          </w:tcPr>
          <w:p>
            <w:pPr>
              <w:widowControl/>
              <w:spacing w:line="240" w:lineRule="auto"/>
              <w:ind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废活性炭由设备厂家定期上门更换回收再生处理</w:t>
            </w:r>
          </w:p>
        </w:tc>
        <w:tc>
          <w:tcPr>
            <w:tcW w:w="775" w:type="dxa"/>
            <w:vAlign w:val="center"/>
          </w:tcPr>
          <w:p>
            <w:pPr>
              <w:spacing w:line="240" w:lineRule="auto"/>
              <w:ind w:firstLine="0" w:firstLineChars="0"/>
              <w:jc w:val="center"/>
              <w:rPr>
                <w:rFonts w:hint="eastAsia" w:eastAsia="宋体"/>
                <w:color w:val="auto"/>
                <w:kern w:val="21"/>
                <w:sz w:val="21"/>
                <w:szCs w:val="21"/>
                <w:lang w:val="en-US" w:eastAsia="zh-CN"/>
              </w:rPr>
            </w:pPr>
            <w:r>
              <w:rPr>
                <w:rFonts w:hint="eastAsia"/>
                <w:color w:val="auto"/>
                <w:kern w:val="21"/>
                <w:sz w:val="21"/>
                <w:szCs w:val="21"/>
                <w:lang w:val="en-US" w:eastAsia="zh-CN"/>
              </w:rPr>
              <w:t>/</w:t>
            </w:r>
          </w:p>
        </w:tc>
        <w:tc>
          <w:tcPr>
            <w:tcW w:w="923" w:type="dxa"/>
            <w:vAlign w:val="center"/>
          </w:tcPr>
          <w:p>
            <w:pPr>
              <w:spacing w:line="240" w:lineRule="auto"/>
              <w:ind w:firstLine="0" w:firstLineChars="0"/>
              <w:jc w:val="center"/>
              <w:rPr>
                <w:rFonts w:hint="eastAsia"/>
                <w:color w:val="auto"/>
                <w:kern w:val="21"/>
                <w:sz w:val="21"/>
                <w:szCs w:val="21"/>
                <w:lang w:eastAsia="zh-CN"/>
              </w:rPr>
            </w:pPr>
            <w:r>
              <w:rPr>
                <w:rFonts w:hint="eastAsia"/>
                <w:color w:val="auto"/>
                <w:kern w:val="21"/>
                <w:sz w:val="21"/>
                <w:szCs w:val="21"/>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widowControl/>
              <w:spacing w:line="240" w:lineRule="auto"/>
              <w:ind w:firstLine="0" w:firstLineChars="0"/>
              <w:jc w:val="center"/>
              <w:rPr>
                <w:color w:val="auto"/>
                <w:kern w:val="21"/>
                <w:sz w:val="21"/>
                <w:szCs w:val="21"/>
                <w:lang w:bidi="ar"/>
              </w:rPr>
            </w:pPr>
          </w:p>
        </w:tc>
        <w:tc>
          <w:tcPr>
            <w:tcW w:w="1356" w:type="dxa"/>
            <w:vAlign w:val="center"/>
          </w:tcPr>
          <w:p>
            <w:pPr>
              <w:widowControl/>
              <w:spacing w:line="240" w:lineRule="auto"/>
              <w:ind w:firstLine="0" w:firstLineChars="0"/>
              <w:jc w:val="center"/>
              <w:rPr>
                <w:color w:val="auto"/>
                <w:kern w:val="21"/>
                <w:sz w:val="21"/>
                <w:szCs w:val="21"/>
                <w:lang w:bidi="ar"/>
              </w:rPr>
            </w:pPr>
            <w:r>
              <w:rPr>
                <w:color w:val="auto"/>
                <w:sz w:val="21"/>
                <w:szCs w:val="21"/>
              </w:rPr>
              <w:t>栅渣及</w:t>
            </w:r>
            <w:r>
              <w:rPr>
                <w:color w:val="auto"/>
                <w:kern w:val="21"/>
                <w:sz w:val="21"/>
                <w:szCs w:val="21"/>
                <w:lang w:bidi="ar"/>
              </w:rPr>
              <w:t>生活垃圾</w:t>
            </w:r>
          </w:p>
        </w:tc>
        <w:tc>
          <w:tcPr>
            <w:tcW w:w="5116" w:type="dxa"/>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bidi="ar"/>
              </w:rPr>
              <w:t>暂存厂区生活垃圾箱内，</w:t>
            </w:r>
            <w:r>
              <w:rPr>
                <w:color w:val="auto"/>
                <w:kern w:val="21"/>
                <w:sz w:val="21"/>
                <w:szCs w:val="21"/>
                <w:lang w:bidi="ar"/>
              </w:rPr>
              <w:t>由环卫站定期清运</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870" w:type="dxa"/>
            <w:vMerge w:val="continue"/>
            <w:vAlign w:val="center"/>
          </w:tcPr>
          <w:p>
            <w:pPr>
              <w:widowControl/>
              <w:spacing w:line="240" w:lineRule="auto"/>
              <w:ind w:firstLine="0" w:firstLineChars="0"/>
              <w:jc w:val="center"/>
              <w:rPr>
                <w:color w:val="auto"/>
                <w:kern w:val="21"/>
                <w:sz w:val="21"/>
                <w:szCs w:val="21"/>
                <w:lang w:bidi="ar"/>
              </w:rPr>
            </w:pPr>
          </w:p>
        </w:tc>
        <w:tc>
          <w:tcPr>
            <w:tcW w:w="1356" w:type="dxa"/>
            <w:vAlign w:val="center"/>
          </w:tcPr>
          <w:p>
            <w:pPr>
              <w:widowControl/>
              <w:spacing w:line="240" w:lineRule="auto"/>
              <w:ind w:firstLine="0" w:firstLineChars="0"/>
              <w:jc w:val="center"/>
              <w:rPr>
                <w:rFonts w:hint="eastAsia" w:eastAsia="宋体"/>
                <w:color w:val="auto"/>
                <w:sz w:val="21"/>
                <w:szCs w:val="21"/>
                <w:lang w:eastAsia="zh-CN"/>
              </w:rPr>
            </w:pPr>
            <w:r>
              <w:rPr>
                <w:rFonts w:hint="eastAsia"/>
                <w:color w:val="auto"/>
                <w:sz w:val="21"/>
                <w:szCs w:val="21"/>
              </w:rPr>
              <w:t>废机油、废紫外灯管</w:t>
            </w:r>
            <w:r>
              <w:rPr>
                <w:rFonts w:hint="eastAsia"/>
                <w:color w:val="auto"/>
                <w:sz w:val="21"/>
                <w:szCs w:val="21"/>
                <w:lang w:eastAsia="zh-CN"/>
              </w:rPr>
              <w:t>、在线监测设备废液</w:t>
            </w:r>
          </w:p>
        </w:tc>
        <w:tc>
          <w:tcPr>
            <w:tcW w:w="5116" w:type="dxa"/>
            <w:vAlign w:val="center"/>
          </w:tcPr>
          <w:p>
            <w:pPr>
              <w:widowControl/>
              <w:spacing w:line="240" w:lineRule="auto"/>
              <w:ind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暂存危废暂存间，定期委托资质单位处置</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spacing w:line="240" w:lineRule="auto"/>
              <w:ind w:firstLine="0" w:firstLineChars="0"/>
              <w:jc w:val="center"/>
              <w:rPr>
                <w:color w:val="auto"/>
                <w:kern w:val="21"/>
                <w:sz w:val="21"/>
                <w:szCs w:val="21"/>
              </w:rPr>
            </w:pPr>
          </w:p>
        </w:tc>
        <w:tc>
          <w:tcPr>
            <w:tcW w:w="2226" w:type="dxa"/>
            <w:gridSpan w:val="2"/>
            <w:vAlign w:val="center"/>
          </w:tcPr>
          <w:p>
            <w:pPr>
              <w:spacing w:line="240" w:lineRule="auto"/>
              <w:ind w:firstLine="0" w:firstLineChars="0"/>
              <w:jc w:val="center"/>
              <w:rPr>
                <w:color w:val="auto"/>
                <w:kern w:val="21"/>
                <w:sz w:val="21"/>
                <w:szCs w:val="21"/>
              </w:rPr>
            </w:pPr>
            <w:r>
              <w:rPr>
                <w:color w:val="auto"/>
                <w:kern w:val="21"/>
                <w:sz w:val="21"/>
                <w:szCs w:val="21"/>
              </w:rPr>
              <w:t>绿化</w:t>
            </w:r>
          </w:p>
        </w:tc>
        <w:tc>
          <w:tcPr>
            <w:tcW w:w="5116" w:type="dxa"/>
            <w:vAlign w:val="center"/>
          </w:tcPr>
          <w:p>
            <w:pPr>
              <w:spacing w:line="240" w:lineRule="auto"/>
              <w:ind w:firstLine="0" w:firstLineChars="0"/>
              <w:jc w:val="center"/>
              <w:rPr>
                <w:color w:val="auto"/>
                <w:kern w:val="21"/>
                <w:sz w:val="21"/>
                <w:szCs w:val="21"/>
              </w:rPr>
            </w:pPr>
            <w:r>
              <w:rPr>
                <w:color w:val="auto"/>
                <w:kern w:val="21"/>
                <w:sz w:val="21"/>
                <w:szCs w:val="21"/>
              </w:rPr>
              <w:t>厂区绿化</w:t>
            </w:r>
            <w:r>
              <w:rPr>
                <w:rFonts w:hint="eastAsia"/>
                <w:color w:val="auto"/>
                <w:kern w:val="21"/>
                <w:sz w:val="21"/>
                <w:szCs w:val="21"/>
              </w:rPr>
              <w:t>2719.09</w:t>
            </w:r>
            <w:r>
              <w:rPr>
                <w:color w:val="auto"/>
                <w:kern w:val="21"/>
                <w:sz w:val="21"/>
                <w:szCs w:val="21"/>
              </w:rPr>
              <w:t>m</w:t>
            </w:r>
            <w:r>
              <w:rPr>
                <w:color w:val="auto"/>
                <w:kern w:val="21"/>
                <w:sz w:val="21"/>
                <w:szCs w:val="21"/>
                <w:vertAlign w:val="superscript"/>
              </w:rPr>
              <w:t>2</w:t>
            </w:r>
          </w:p>
        </w:tc>
        <w:tc>
          <w:tcPr>
            <w:tcW w:w="77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c>
          <w:tcPr>
            <w:tcW w:w="923"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已建</w:t>
            </w:r>
          </w:p>
        </w:tc>
      </w:tr>
    </w:tbl>
    <w:p>
      <w:pPr>
        <w:pStyle w:val="23"/>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beforeLines="50" w:after="0" w:line="360" w:lineRule="auto"/>
        <w:ind w:firstLine="480" w:firstLineChars="200"/>
        <w:jc w:val="left"/>
        <w:textAlignment w:val="auto"/>
        <w:rPr>
          <w:rFonts w:hint="eastAsia" w:eastAsia="宋体"/>
          <w:b/>
          <w:color w:val="auto"/>
          <w:kern w:val="21"/>
          <w:lang w:eastAsia="zh-CN"/>
        </w:rPr>
      </w:pPr>
      <w:r>
        <w:rPr>
          <w:color w:val="auto"/>
          <w:kern w:val="21"/>
        </w:rPr>
        <w:t>工程主要设计参数见</w:t>
      </w:r>
      <w:r>
        <w:rPr>
          <w:rFonts w:hint="eastAsia"/>
          <w:color w:val="auto"/>
          <w:kern w:val="21"/>
          <w:lang w:eastAsia="zh-CN"/>
        </w:rPr>
        <w:t>下表。</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color w:val="auto"/>
          <w:kern w:val="21"/>
        </w:rPr>
      </w:pPr>
      <w:r>
        <w:rPr>
          <w:b/>
          <w:bCs/>
          <w:color w:val="auto"/>
          <w:kern w:val="21"/>
        </w:rPr>
        <w:t>工程</w:t>
      </w:r>
      <w:r>
        <w:rPr>
          <w:b/>
          <w:color w:val="auto"/>
          <w:kern w:val="21"/>
        </w:rPr>
        <w:t>主要设计参数表</w:t>
      </w:r>
    </w:p>
    <w:tbl>
      <w:tblPr>
        <w:tblStyle w:val="51"/>
        <w:tblW w:w="9408" w:type="dxa"/>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52"/>
        <w:gridCol w:w="2868"/>
        <w:gridCol w:w="4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blHeader/>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序号</w:t>
            </w:r>
          </w:p>
        </w:tc>
        <w:tc>
          <w:tcPr>
            <w:tcW w:w="1152" w:type="dxa"/>
            <w:vAlign w:val="center"/>
          </w:tcPr>
          <w:p>
            <w:pPr>
              <w:spacing w:line="240" w:lineRule="auto"/>
              <w:ind w:firstLine="0" w:firstLineChars="0"/>
              <w:jc w:val="center"/>
              <w:rPr>
                <w:color w:val="auto"/>
                <w:kern w:val="21"/>
                <w:sz w:val="21"/>
                <w:szCs w:val="21"/>
              </w:rPr>
            </w:pPr>
            <w:r>
              <w:rPr>
                <w:color w:val="auto"/>
                <w:kern w:val="21"/>
                <w:sz w:val="21"/>
                <w:szCs w:val="21"/>
              </w:rPr>
              <w:t>工程名称</w:t>
            </w:r>
          </w:p>
        </w:tc>
        <w:tc>
          <w:tcPr>
            <w:tcW w:w="2868" w:type="dxa"/>
            <w:vAlign w:val="center"/>
          </w:tcPr>
          <w:p>
            <w:pPr>
              <w:spacing w:line="240" w:lineRule="auto"/>
              <w:ind w:firstLine="0" w:firstLineChars="0"/>
              <w:jc w:val="center"/>
              <w:rPr>
                <w:color w:val="auto"/>
                <w:kern w:val="21"/>
                <w:sz w:val="21"/>
                <w:szCs w:val="21"/>
              </w:rPr>
            </w:pPr>
            <w:r>
              <w:rPr>
                <w:color w:val="auto"/>
                <w:kern w:val="21"/>
                <w:sz w:val="21"/>
                <w:szCs w:val="21"/>
              </w:rPr>
              <w:t>功能</w:t>
            </w:r>
          </w:p>
        </w:tc>
        <w:tc>
          <w:tcPr>
            <w:tcW w:w="4764" w:type="dxa"/>
            <w:vAlign w:val="center"/>
          </w:tcPr>
          <w:p>
            <w:pPr>
              <w:spacing w:line="240" w:lineRule="auto"/>
              <w:ind w:firstLine="0" w:firstLineChars="0"/>
              <w:jc w:val="center"/>
              <w:rPr>
                <w:color w:val="auto"/>
                <w:kern w:val="21"/>
                <w:sz w:val="21"/>
                <w:szCs w:val="21"/>
              </w:rPr>
            </w:pPr>
            <w:r>
              <w:rPr>
                <w:color w:val="auto"/>
                <w:kern w:val="21"/>
                <w:sz w:val="21"/>
                <w:szCs w:val="21"/>
              </w:rPr>
              <w:t>主要设计参数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1</w:t>
            </w:r>
          </w:p>
        </w:tc>
        <w:tc>
          <w:tcPr>
            <w:tcW w:w="1152" w:type="dxa"/>
            <w:vAlign w:val="center"/>
          </w:tcPr>
          <w:p>
            <w:pPr>
              <w:spacing w:line="240" w:lineRule="auto"/>
              <w:ind w:firstLine="0" w:firstLineChars="0"/>
              <w:jc w:val="center"/>
              <w:rPr>
                <w:color w:val="auto"/>
                <w:kern w:val="21"/>
                <w:sz w:val="21"/>
                <w:szCs w:val="21"/>
              </w:rPr>
            </w:pPr>
            <w:r>
              <w:rPr>
                <w:color w:val="auto"/>
                <w:kern w:val="21"/>
                <w:sz w:val="21"/>
                <w:szCs w:val="21"/>
                <w:lang w:bidi="ar"/>
              </w:rPr>
              <w:t>粗格栅</w:t>
            </w:r>
          </w:p>
        </w:tc>
        <w:tc>
          <w:tcPr>
            <w:tcW w:w="2868" w:type="dxa"/>
            <w:vAlign w:val="center"/>
          </w:tcPr>
          <w:p>
            <w:pPr>
              <w:spacing w:line="240" w:lineRule="auto"/>
              <w:ind w:firstLine="0" w:firstLineChars="0"/>
              <w:jc w:val="center"/>
              <w:rPr>
                <w:color w:val="auto"/>
                <w:kern w:val="21"/>
                <w:sz w:val="21"/>
                <w:szCs w:val="21"/>
              </w:rPr>
            </w:pPr>
            <w:r>
              <w:rPr>
                <w:color w:val="auto"/>
                <w:kern w:val="21"/>
                <w:sz w:val="21"/>
                <w:szCs w:val="21"/>
              </w:rPr>
              <w:t>用于去除污水中的较大漂浮物，保证水泵使用安全。</w:t>
            </w:r>
          </w:p>
          <w:p>
            <w:pPr>
              <w:pStyle w:val="23"/>
              <w:spacing w:after="0" w:line="240" w:lineRule="auto"/>
              <w:ind w:left="0" w:leftChars="0" w:firstLine="0" w:firstLineChars="0"/>
              <w:jc w:val="center"/>
              <w:rPr>
                <w:color w:val="auto"/>
                <w:kern w:val="21"/>
                <w:sz w:val="21"/>
                <w:szCs w:val="21"/>
              </w:rPr>
            </w:pPr>
          </w:p>
        </w:tc>
        <w:tc>
          <w:tcPr>
            <w:tcW w:w="4764" w:type="dxa"/>
            <w:vAlign w:val="center"/>
          </w:tcPr>
          <w:p>
            <w:pPr>
              <w:spacing w:line="240" w:lineRule="auto"/>
              <w:ind w:firstLine="0" w:firstLineChars="0"/>
              <w:jc w:val="center"/>
              <w:rPr>
                <w:color w:val="auto"/>
                <w:kern w:val="21"/>
                <w:sz w:val="21"/>
                <w:szCs w:val="21"/>
              </w:rPr>
            </w:pPr>
            <w:r>
              <w:rPr>
                <w:color w:val="auto"/>
                <w:kern w:val="21"/>
                <w:sz w:val="21"/>
                <w:szCs w:val="21"/>
              </w:rPr>
              <w:t>平均流量：208.33m³/h，最大流量312.5m³/h，栅前水深0.85m，最大过栅流速0.34m/s，过水面有效率70%，渠道宽度0.7m。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2</w:t>
            </w:r>
          </w:p>
        </w:tc>
        <w:tc>
          <w:tcPr>
            <w:tcW w:w="1152" w:type="dxa"/>
            <w:vAlign w:val="center"/>
          </w:tcPr>
          <w:p>
            <w:pPr>
              <w:spacing w:line="240" w:lineRule="auto"/>
              <w:ind w:firstLine="0" w:firstLineChars="0"/>
              <w:jc w:val="center"/>
              <w:rPr>
                <w:color w:val="auto"/>
                <w:kern w:val="21"/>
                <w:sz w:val="21"/>
                <w:szCs w:val="21"/>
                <w:lang w:bidi="ar"/>
              </w:rPr>
            </w:pPr>
            <w:r>
              <w:rPr>
                <w:color w:val="auto"/>
                <w:kern w:val="21"/>
                <w:sz w:val="21"/>
                <w:szCs w:val="21"/>
                <w:lang w:bidi="ar"/>
              </w:rPr>
              <w:t>进水泵房</w:t>
            </w:r>
          </w:p>
        </w:tc>
        <w:tc>
          <w:tcPr>
            <w:tcW w:w="286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将工业废水进行提升至后续处理单元</w:t>
            </w:r>
          </w:p>
        </w:tc>
        <w:tc>
          <w:tcPr>
            <w:tcW w:w="4764" w:type="dxa"/>
            <w:vAlign w:val="center"/>
          </w:tcPr>
          <w:p>
            <w:pPr>
              <w:widowControl/>
              <w:spacing w:line="240" w:lineRule="auto"/>
              <w:ind w:firstLine="0" w:firstLineChars="0"/>
              <w:jc w:val="center"/>
              <w:rPr>
                <w:color w:val="auto"/>
                <w:kern w:val="21"/>
                <w:sz w:val="21"/>
                <w:szCs w:val="21"/>
              </w:rPr>
            </w:pPr>
            <w:r>
              <w:rPr>
                <w:color w:val="auto"/>
                <w:kern w:val="21"/>
                <w:sz w:val="21"/>
                <w:szCs w:val="21"/>
              </w:rPr>
              <w:t>设计废水量208.33m³/h，</w:t>
            </w:r>
            <w:r>
              <w:rPr>
                <w:color w:val="auto"/>
                <w:kern w:val="21"/>
                <w:sz w:val="21"/>
                <w:szCs w:val="21"/>
                <w:lang w:bidi="ar"/>
              </w:rPr>
              <w:t>配备：立式污水泵4台，其中大泵2台，一用一备；小泵2台，一用一备。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3</w:t>
            </w:r>
          </w:p>
        </w:tc>
        <w:tc>
          <w:tcPr>
            <w:tcW w:w="1152" w:type="dxa"/>
            <w:vAlign w:val="center"/>
          </w:tcPr>
          <w:p>
            <w:pPr>
              <w:spacing w:line="240" w:lineRule="auto"/>
              <w:ind w:firstLine="0" w:firstLineChars="0"/>
              <w:jc w:val="center"/>
              <w:rPr>
                <w:color w:val="auto"/>
                <w:kern w:val="21"/>
                <w:sz w:val="21"/>
                <w:szCs w:val="21"/>
                <w:lang w:bidi="ar"/>
              </w:rPr>
            </w:pPr>
            <w:r>
              <w:rPr>
                <w:color w:val="auto"/>
                <w:kern w:val="21"/>
                <w:sz w:val="21"/>
                <w:szCs w:val="21"/>
                <w:lang w:bidi="ar"/>
              </w:rPr>
              <w:t>细格栅</w:t>
            </w:r>
          </w:p>
        </w:tc>
        <w:tc>
          <w:tcPr>
            <w:tcW w:w="2868" w:type="dxa"/>
            <w:vAlign w:val="center"/>
          </w:tcPr>
          <w:p>
            <w:pPr>
              <w:spacing w:line="240" w:lineRule="auto"/>
              <w:ind w:firstLine="0" w:firstLineChars="0"/>
              <w:jc w:val="center"/>
              <w:rPr>
                <w:color w:val="auto"/>
                <w:kern w:val="21"/>
                <w:sz w:val="21"/>
                <w:szCs w:val="21"/>
              </w:rPr>
            </w:pPr>
            <w:r>
              <w:rPr>
                <w:color w:val="auto"/>
                <w:kern w:val="21"/>
                <w:sz w:val="21"/>
                <w:szCs w:val="21"/>
              </w:rPr>
              <w:t>用于去除污水中的较小漂浮物，不影响续处理单元的运行。</w:t>
            </w:r>
          </w:p>
        </w:tc>
        <w:tc>
          <w:tcPr>
            <w:tcW w:w="4764" w:type="dxa"/>
            <w:vAlign w:val="center"/>
          </w:tcPr>
          <w:p>
            <w:pPr>
              <w:spacing w:line="240" w:lineRule="auto"/>
              <w:ind w:firstLine="0" w:firstLineChars="0"/>
              <w:jc w:val="center"/>
              <w:rPr>
                <w:color w:val="auto"/>
                <w:kern w:val="21"/>
                <w:sz w:val="21"/>
                <w:szCs w:val="21"/>
              </w:rPr>
            </w:pPr>
            <w:r>
              <w:rPr>
                <w:color w:val="auto"/>
                <w:kern w:val="21"/>
                <w:sz w:val="21"/>
                <w:szCs w:val="21"/>
              </w:rPr>
              <w:t>平均流量208.33m³/h，最大流量312.5m³/h，格栅数量1套，栅条间隙5，栅前水深1.00m，过栅流速0.52m/s，格栅宽度0.5m，渠道宽度0.6m。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4</w:t>
            </w:r>
          </w:p>
        </w:tc>
        <w:tc>
          <w:tcPr>
            <w:tcW w:w="1152" w:type="dxa"/>
            <w:vAlign w:val="center"/>
          </w:tcPr>
          <w:p>
            <w:pPr>
              <w:spacing w:line="240" w:lineRule="auto"/>
              <w:ind w:firstLine="0" w:firstLineChars="0"/>
              <w:jc w:val="center"/>
              <w:rPr>
                <w:color w:val="auto"/>
                <w:kern w:val="21"/>
                <w:sz w:val="21"/>
                <w:szCs w:val="21"/>
                <w:lang w:bidi="ar"/>
              </w:rPr>
            </w:pPr>
            <w:r>
              <w:rPr>
                <w:color w:val="auto"/>
                <w:kern w:val="21"/>
                <w:sz w:val="21"/>
                <w:szCs w:val="21"/>
                <w:lang w:bidi="ar"/>
              </w:rPr>
              <w:t>调节池</w:t>
            </w:r>
          </w:p>
        </w:tc>
        <w:tc>
          <w:tcPr>
            <w:tcW w:w="286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对进入的废水水量、水质进行调节，保证后续正常稳定运行。</w:t>
            </w:r>
          </w:p>
        </w:tc>
        <w:tc>
          <w:tcPr>
            <w:tcW w:w="4764" w:type="dxa"/>
            <w:vAlign w:val="center"/>
          </w:tcPr>
          <w:p>
            <w:pPr>
              <w:spacing w:line="240" w:lineRule="auto"/>
              <w:ind w:firstLine="0" w:firstLineChars="0"/>
              <w:jc w:val="center"/>
              <w:rPr>
                <w:color w:val="auto"/>
                <w:kern w:val="21"/>
                <w:sz w:val="21"/>
                <w:szCs w:val="21"/>
              </w:rPr>
            </w:pPr>
            <w:r>
              <w:rPr>
                <w:color w:val="auto"/>
                <w:kern w:val="21"/>
                <w:sz w:val="21"/>
                <w:szCs w:val="21"/>
              </w:rPr>
              <w:t>平均流量230.33m³/h，水泵数量3台（两用一备），水泵流量105m³/h。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0"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5</w:t>
            </w:r>
          </w:p>
        </w:tc>
        <w:tc>
          <w:tcPr>
            <w:tcW w:w="1152" w:type="dxa"/>
            <w:vAlign w:val="center"/>
          </w:tcPr>
          <w:p>
            <w:pPr>
              <w:spacing w:line="240" w:lineRule="auto"/>
              <w:ind w:firstLine="0" w:firstLineChars="0"/>
              <w:jc w:val="center"/>
              <w:rPr>
                <w:color w:val="auto"/>
                <w:kern w:val="21"/>
                <w:sz w:val="21"/>
                <w:szCs w:val="21"/>
              </w:rPr>
            </w:pPr>
            <w:r>
              <w:rPr>
                <w:color w:val="auto"/>
                <w:kern w:val="21"/>
                <w:sz w:val="21"/>
                <w:szCs w:val="21"/>
                <w:lang w:bidi="ar"/>
              </w:rPr>
              <w:t>混凝沉淀池</w:t>
            </w:r>
          </w:p>
        </w:tc>
        <w:tc>
          <w:tcPr>
            <w:tcW w:w="2868"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对废水中比重较小的固体悬浮物进一步进行沉淀分离，提高出水水质。</w:t>
            </w:r>
          </w:p>
          <w:p>
            <w:pPr>
              <w:spacing w:line="240" w:lineRule="auto"/>
              <w:ind w:firstLine="0" w:firstLineChars="0"/>
              <w:jc w:val="center"/>
              <w:rPr>
                <w:color w:val="auto"/>
                <w:kern w:val="21"/>
                <w:sz w:val="21"/>
                <w:szCs w:val="21"/>
              </w:rPr>
            </w:pPr>
          </w:p>
        </w:tc>
        <w:tc>
          <w:tcPr>
            <w:tcW w:w="4764"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混凝池设计采用多格竖流式机械絮凝池，单座絮凝池共有8格，单格平面尺2.15×2.15m，平均有效水深3.0m，分为三段，前段搅拌器搅拌较快，搅拌线速度为0.5m/s，絮凝时间8min，竖井平均流速0.065m/s；中段搅拌器搅拌适中，搅拌线速度为0.35m/s，絮凝时间8min，竖井平均流速0.065m/s；后段搅拌器搅拌适中，搅拌线速度为0.2m/s，絮凝时间16min，竖井平均流速0.065m/s；絮凝区总反应时间32min。沉淀池有效水深3.3m，沉淀时间5.23h，水平流速1.75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6</w:t>
            </w:r>
          </w:p>
        </w:tc>
        <w:tc>
          <w:tcPr>
            <w:tcW w:w="1152"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水解酸化池</w:t>
            </w:r>
          </w:p>
        </w:tc>
        <w:tc>
          <w:tcPr>
            <w:tcW w:w="2868"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对工业废水进行水解酸化，提高其可生化性，为后续生物处理提供条件。</w:t>
            </w:r>
          </w:p>
        </w:tc>
        <w:tc>
          <w:tcPr>
            <w:tcW w:w="4764" w:type="dxa"/>
            <w:vAlign w:val="center"/>
          </w:tcPr>
          <w:p>
            <w:pPr>
              <w:spacing w:line="240" w:lineRule="auto"/>
              <w:ind w:firstLine="0" w:firstLineChars="0"/>
              <w:jc w:val="center"/>
              <w:rPr>
                <w:color w:val="auto"/>
                <w:kern w:val="21"/>
                <w:sz w:val="21"/>
                <w:szCs w:val="21"/>
              </w:rPr>
            </w:pPr>
            <w:r>
              <w:rPr>
                <w:color w:val="auto"/>
                <w:kern w:val="21"/>
                <w:sz w:val="21"/>
                <w:szCs w:val="21"/>
              </w:rPr>
              <w:t>水力停留时间17.88h。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7</w:t>
            </w:r>
          </w:p>
        </w:tc>
        <w:tc>
          <w:tcPr>
            <w:tcW w:w="1152" w:type="dxa"/>
            <w:vAlign w:val="center"/>
          </w:tcPr>
          <w:p>
            <w:pPr>
              <w:spacing w:line="240" w:lineRule="auto"/>
              <w:ind w:firstLine="0" w:firstLineChars="0"/>
              <w:jc w:val="center"/>
              <w:rPr>
                <w:color w:val="auto"/>
                <w:kern w:val="21"/>
                <w:sz w:val="21"/>
                <w:szCs w:val="21"/>
              </w:rPr>
            </w:pPr>
          </w:p>
          <w:p>
            <w:pPr>
              <w:spacing w:line="240" w:lineRule="auto"/>
              <w:ind w:firstLine="0" w:firstLineChars="0"/>
              <w:jc w:val="center"/>
              <w:rPr>
                <w:color w:val="auto"/>
                <w:kern w:val="21"/>
                <w:sz w:val="21"/>
                <w:szCs w:val="21"/>
              </w:rPr>
            </w:pPr>
          </w:p>
          <w:p>
            <w:pPr>
              <w:spacing w:line="240" w:lineRule="auto"/>
              <w:ind w:firstLine="0" w:firstLineChars="0"/>
              <w:jc w:val="center"/>
              <w:rPr>
                <w:color w:val="auto"/>
                <w:kern w:val="21"/>
                <w:sz w:val="21"/>
                <w:szCs w:val="21"/>
              </w:rPr>
            </w:pPr>
          </w:p>
          <w:p>
            <w:pPr>
              <w:spacing w:line="240" w:lineRule="auto"/>
              <w:ind w:firstLine="0" w:firstLineChars="0"/>
              <w:jc w:val="center"/>
              <w:rPr>
                <w:color w:val="auto"/>
                <w:kern w:val="21"/>
                <w:sz w:val="21"/>
                <w:szCs w:val="21"/>
              </w:rPr>
            </w:pPr>
          </w:p>
          <w:p>
            <w:pPr>
              <w:spacing w:line="240" w:lineRule="auto"/>
              <w:ind w:firstLine="0" w:firstLineChars="0"/>
              <w:jc w:val="center"/>
              <w:rPr>
                <w:color w:val="auto"/>
                <w:kern w:val="21"/>
                <w:sz w:val="21"/>
                <w:szCs w:val="21"/>
              </w:rPr>
            </w:pPr>
            <w:r>
              <w:rPr>
                <w:rFonts w:hint="eastAsia"/>
                <w:i w:val="0"/>
                <w:iCs/>
                <w:color w:val="auto"/>
                <w:kern w:val="21"/>
                <w:sz w:val="21"/>
                <w:szCs w:val="21"/>
              </w:rPr>
              <w:t>A</w:t>
            </w:r>
            <w:r>
              <w:rPr>
                <w:rFonts w:hint="eastAsia"/>
                <w:i w:val="0"/>
                <w:iCs/>
                <w:color w:val="auto"/>
                <w:kern w:val="21"/>
                <w:sz w:val="21"/>
                <w:szCs w:val="21"/>
                <w:vertAlign w:val="superscript"/>
              </w:rPr>
              <w:t>2</w:t>
            </w:r>
            <w:r>
              <w:rPr>
                <w:rFonts w:hint="eastAsia"/>
                <w:color w:val="auto"/>
                <w:kern w:val="21"/>
                <w:sz w:val="21"/>
                <w:szCs w:val="21"/>
              </w:rPr>
              <w:t>/O</w:t>
            </w:r>
            <w:r>
              <w:rPr>
                <w:color w:val="auto"/>
                <w:kern w:val="21"/>
                <w:sz w:val="21"/>
                <w:szCs w:val="21"/>
              </w:rPr>
              <w:t>生化池</w:t>
            </w:r>
          </w:p>
        </w:tc>
        <w:tc>
          <w:tcPr>
            <w:tcW w:w="2868" w:type="dxa"/>
            <w:vAlign w:val="center"/>
          </w:tcPr>
          <w:p>
            <w:pPr>
              <w:spacing w:line="240" w:lineRule="auto"/>
              <w:ind w:firstLine="0" w:firstLineChars="0"/>
              <w:jc w:val="center"/>
              <w:rPr>
                <w:color w:val="auto"/>
                <w:kern w:val="21"/>
                <w:sz w:val="21"/>
                <w:szCs w:val="21"/>
              </w:rPr>
            </w:pPr>
            <w:r>
              <w:rPr>
                <w:color w:val="auto"/>
                <w:kern w:val="21"/>
                <w:sz w:val="21"/>
                <w:szCs w:val="21"/>
              </w:rPr>
              <w:t>本池分为缺氧池和好氧池，缺氧池内进行反硝化反应脱氮，好氧池内，利用微生物降解污水中有机物去除COD、BOD，并在本池内进行硝化反应。</w:t>
            </w:r>
          </w:p>
        </w:tc>
        <w:tc>
          <w:tcPr>
            <w:tcW w:w="4764" w:type="dxa"/>
            <w:vAlign w:val="center"/>
          </w:tcPr>
          <w:p>
            <w:pPr>
              <w:spacing w:line="240" w:lineRule="auto"/>
              <w:ind w:firstLine="0" w:firstLineChars="0"/>
              <w:jc w:val="center"/>
              <w:rPr>
                <w:color w:val="auto"/>
                <w:kern w:val="21"/>
                <w:sz w:val="21"/>
                <w:szCs w:val="21"/>
              </w:rPr>
            </w:pPr>
            <w:r>
              <w:rPr>
                <w:color w:val="auto"/>
                <w:kern w:val="21"/>
                <w:sz w:val="21"/>
                <w:szCs w:val="21"/>
              </w:rPr>
              <w:t>设计流量208.33m³/h，设计水温15℃，生物池数量1座（2组），污泥负荷0.02kgBOD</w:t>
            </w:r>
            <w:r>
              <w:rPr>
                <w:color w:val="auto"/>
                <w:kern w:val="21"/>
                <w:sz w:val="21"/>
                <w:szCs w:val="21"/>
                <w:vertAlign w:val="subscript"/>
              </w:rPr>
              <w:t>5</w:t>
            </w:r>
            <w:r>
              <w:rPr>
                <w:color w:val="auto"/>
                <w:kern w:val="21"/>
                <w:sz w:val="21"/>
                <w:szCs w:val="21"/>
              </w:rPr>
              <w:t>/kgMLSS.d，容积负荷0.07kgBOD</w:t>
            </w:r>
            <w:r>
              <w:rPr>
                <w:color w:val="auto"/>
                <w:kern w:val="21"/>
                <w:sz w:val="21"/>
                <w:szCs w:val="21"/>
                <w:vertAlign w:val="subscript"/>
              </w:rPr>
              <w:t>5</w:t>
            </w:r>
            <w:r>
              <w:rPr>
                <w:color w:val="auto"/>
                <w:kern w:val="21"/>
                <w:sz w:val="21"/>
                <w:szCs w:val="21"/>
              </w:rPr>
              <w:t>/m³.d，平均污泥浓度62.424mg/L，厌氧区泥龄3.76d，缺氧区泥龄7.47d，好氧区泥龄，29.06d，有效水深7.0m，总停留时间17.25h，总有效容积1796.38m³厌氧区停留时间1.61h，有效容积167.45m³，缺氧区停留时间3.20h，有效容积333m³，好氧区停留时间12.44h，有效容积1295.93m³剩余污泥312.12kgSS/d（相当于1.05kgSS/kgBOD</w:t>
            </w:r>
            <w:r>
              <w:rPr>
                <w:color w:val="auto"/>
                <w:kern w:val="21"/>
                <w:sz w:val="21"/>
                <w:szCs w:val="21"/>
                <w:vertAlign w:val="subscript"/>
              </w:rPr>
              <w:t>5</w:t>
            </w:r>
            <w:r>
              <w:rPr>
                <w:color w:val="auto"/>
                <w:kern w:val="21"/>
                <w:sz w:val="21"/>
                <w:szCs w:val="21"/>
              </w:rPr>
              <w:t>），最大供气量1800m³/h（按30%的氧转移率计算）。配备的曝气器：管式微孔曝气器，规格6m³/m.h。</w:t>
            </w:r>
            <w:r>
              <w:rPr>
                <w:color w:val="auto"/>
                <w:kern w:val="21"/>
                <w:sz w:val="21"/>
                <w:szCs w:val="21"/>
                <w:lang w:bidi="ar"/>
              </w:rPr>
              <w:t>缺氧池搅拌机4台，好氧池推流器4台。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8</w:t>
            </w:r>
          </w:p>
        </w:tc>
        <w:tc>
          <w:tcPr>
            <w:tcW w:w="1152" w:type="dxa"/>
            <w:vAlign w:val="center"/>
          </w:tcPr>
          <w:p>
            <w:pPr>
              <w:spacing w:line="240" w:lineRule="auto"/>
              <w:ind w:firstLine="0" w:firstLineChars="0"/>
              <w:jc w:val="center"/>
              <w:rPr>
                <w:color w:val="auto"/>
                <w:kern w:val="21"/>
                <w:sz w:val="21"/>
                <w:szCs w:val="21"/>
              </w:rPr>
            </w:pPr>
            <w:r>
              <w:rPr>
                <w:color w:val="auto"/>
                <w:kern w:val="21"/>
                <w:sz w:val="21"/>
                <w:szCs w:val="21"/>
              </w:rPr>
              <w:t>MBR膜池</w:t>
            </w:r>
          </w:p>
        </w:tc>
        <w:tc>
          <w:tcPr>
            <w:tcW w:w="2868"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MBR膜池是利用膜对反应池内含泥污水进</w:t>
            </w:r>
            <w:r>
              <w:rPr>
                <w:color w:val="auto"/>
                <w:kern w:val="21"/>
                <w:sz w:val="21"/>
                <w:szCs w:val="21"/>
              </w:rPr>
              <w:t>行过滤，实现泥水分离，同时强化系统生化功能。一方面，膜截留了反应池中的微生物，使降解污水的生化反应进行得更迅速更彻底；另一方面，由于膜的高过滤精度，保证了出水清澈透明，得到高质量的出水。</w:t>
            </w:r>
          </w:p>
        </w:tc>
        <w:tc>
          <w:tcPr>
            <w:tcW w:w="4764"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膜组件：6套，每组膜面积2100m²。膜池有效水深3.6m，水力停留时间1.37h，膜池设2条廊道，每条廊道宽3.4m，可单独运行。每条廊道设4个膜位，安装3只组膜组件，预留1个膜组件位置。膜吹扫空气量2083m³/h，气水比10</w:t>
            </w:r>
            <w:r>
              <w:rPr>
                <w:rFonts w:hint="eastAsia"/>
                <w:color w:val="auto"/>
                <w:kern w:val="21"/>
                <w:sz w:val="21"/>
                <w:szCs w:val="21"/>
                <w:lang w:bidi="ar"/>
              </w:rPr>
              <w:t>：</w:t>
            </w:r>
            <w:r>
              <w:rPr>
                <w:color w:val="auto"/>
                <w:kern w:val="21"/>
                <w:sz w:val="21"/>
                <w:szCs w:val="21"/>
                <w:lang w:bidi="ar"/>
              </w:rPr>
              <w:t>1。膜清洗：采用膜池内原位清洗，采用药剂为次氯酸钠、柠檬酸。膜池回流至好氧池，回流比500%，膜通量，16.5L/㎡.h。膜池单座平面尺25.90×23.00m，地上部分高度为4.20m，地下部分高度为5.00m，总高度9.2m。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9</w:t>
            </w:r>
          </w:p>
        </w:tc>
        <w:tc>
          <w:tcPr>
            <w:tcW w:w="1152" w:type="dxa"/>
            <w:vAlign w:val="center"/>
          </w:tcPr>
          <w:p>
            <w:pPr>
              <w:spacing w:line="240" w:lineRule="auto"/>
              <w:ind w:firstLine="0" w:firstLineChars="0"/>
              <w:jc w:val="center"/>
              <w:rPr>
                <w:color w:val="auto"/>
                <w:kern w:val="21"/>
                <w:sz w:val="21"/>
                <w:szCs w:val="21"/>
              </w:rPr>
            </w:pPr>
            <w:r>
              <w:rPr>
                <w:color w:val="auto"/>
                <w:kern w:val="21"/>
                <w:sz w:val="21"/>
                <w:szCs w:val="21"/>
              </w:rPr>
              <w:t>紫外线消毒渠</w:t>
            </w:r>
          </w:p>
        </w:tc>
        <w:tc>
          <w:tcPr>
            <w:tcW w:w="2868" w:type="dxa"/>
            <w:vAlign w:val="center"/>
          </w:tcPr>
          <w:p>
            <w:pPr>
              <w:spacing w:line="240" w:lineRule="auto"/>
              <w:ind w:firstLine="0" w:firstLineChars="0"/>
              <w:jc w:val="center"/>
              <w:rPr>
                <w:color w:val="auto"/>
                <w:kern w:val="21"/>
                <w:sz w:val="21"/>
                <w:szCs w:val="21"/>
              </w:rPr>
            </w:pPr>
            <w:r>
              <w:rPr>
                <w:color w:val="auto"/>
                <w:kern w:val="21"/>
                <w:sz w:val="21"/>
                <w:szCs w:val="21"/>
              </w:rPr>
              <w:t>对出水中的微生物进行灭活，从而达到消毒的目的。</w:t>
            </w:r>
          </w:p>
        </w:tc>
        <w:tc>
          <w:tcPr>
            <w:tcW w:w="4764" w:type="dxa"/>
            <w:vAlign w:val="center"/>
          </w:tcPr>
          <w:p>
            <w:pPr>
              <w:spacing w:line="240" w:lineRule="auto"/>
              <w:ind w:firstLine="0" w:firstLineChars="0"/>
              <w:jc w:val="center"/>
              <w:rPr>
                <w:color w:val="auto"/>
                <w:kern w:val="21"/>
                <w:sz w:val="21"/>
                <w:szCs w:val="21"/>
              </w:rPr>
            </w:pPr>
            <w:r>
              <w:rPr>
                <w:color w:val="auto"/>
                <w:kern w:val="21"/>
                <w:sz w:val="21"/>
                <w:szCs w:val="21"/>
              </w:rPr>
              <w:t>流量Q=275~550m³/h，TSS最大值20mg/L，紫外透光率：55%（最小值），消毒指标：粪大肠菌群小于10000个/L。</w:t>
            </w:r>
            <w:r>
              <w:rPr>
                <w:color w:val="auto"/>
                <w:kern w:val="21"/>
                <w:sz w:val="21"/>
                <w:szCs w:val="21"/>
                <w:lang w:bidi="ar"/>
              </w:rPr>
              <w:t>配备紫外灯管UVL32个，紫外模块UVM4个。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10</w:t>
            </w:r>
          </w:p>
        </w:tc>
        <w:tc>
          <w:tcPr>
            <w:tcW w:w="1152" w:type="dxa"/>
            <w:vAlign w:val="center"/>
          </w:tcPr>
          <w:p>
            <w:pPr>
              <w:spacing w:line="240" w:lineRule="auto"/>
              <w:ind w:firstLine="0" w:firstLineChars="0"/>
              <w:jc w:val="center"/>
              <w:rPr>
                <w:color w:val="auto"/>
                <w:kern w:val="21"/>
                <w:sz w:val="21"/>
                <w:szCs w:val="21"/>
              </w:rPr>
            </w:pPr>
            <w:r>
              <w:rPr>
                <w:color w:val="auto"/>
                <w:kern w:val="21"/>
                <w:sz w:val="21"/>
                <w:szCs w:val="21"/>
              </w:rPr>
              <w:t>污泥脱水车间</w:t>
            </w:r>
          </w:p>
        </w:tc>
        <w:tc>
          <w:tcPr>
            <w:tcW w:w="2868" w:type="dxa"/>
            <w:vAlign w:val="center"/>
          </w:tcPr>
          <w:p>
            <w:pPr>
              <w:spacing w:line="240" w:lineRule="auto"/>
              <w:ind w:firstLine="0" w:firstLineChars="0"/>
              <w:jc w:val="center"/>
              <w:rPr>
                <w:color w:val="auto"/>
                <w:kern w:val="21"/>
                <w:sz w:val="21"/>
                <w:szCs w:val="21"/>
              </w:rPr>
            </w:pPr>
            <w:r>
              <w:rPr>
                <w:color w:val="auto"/>
                <w:kern w:val="21"/>
                <w:sz w:val="21"/>
                <w:szCs w:val="21"/>
              </w:rPr>
              <w:t>将污水处理过程中产生的剩余和化学污泥进行浓缩、脱水，降低含水率，使之便于运输和最终处置。</w:t>
            </w:r>
          </w:p>
        </w:tc>
        <w:tc>
          <w:tcPr>
            <w:tcW w:w="4764" w:type="dxa"/>
            <w:vAlign w:val="center"/>
          </w:tcPr>
          <w:p>
            <w:pPr>
              <w:widowControl/>
              <w:spacing w:line="240" w:lineRule="auto"/>
              <w:ind w:firstLine="0" w:firstLineChars="0"/>
              <w:rPr>
                <w:color w:val="auto"/>
                <w:kern w:val="21"/>
                <w:sz w:val="21"/>
                <w:szCs w:val="21"/>
              </w:rPr>
            </w:pPr>
            <w:r>
              <w:rPr>
                <w:color w:val="auto"/>
                <w:kern w:val="21"/>
                <w:sz w:val="21"/>
                <w:szCs w:val="21"/>
                <w:lang w:bidi="ar"/>
              </w:rPr>
              <w:t>需浓缩脱水污泥量（含水率99.5%）为200m³/d，处理后外运污泥量（含水率</w:t>
            </w:r>
            <w:r>
              <w:rPr>
                <w:rFonts w:hint="eastAsia"/>
                <w:color w:val="auto"/>
                <w:kern w:val="21"/>
                <w:sz w:val="21"/>
                <w:szCs w:val="21"/>
                <w:lang w:bidi="ar"/>
              </w:rPr>
              <w:t>6</w:t>
            </w:r>
            <w:r>
              <w:rPr>
                <w:color w:val="auto"/>
                <w:kern w:val="21"/>
                <w:sz w:val="21"/>
                <w:szCs w:val="21"/>
                <w:lang w:bidi="ar"/>
              </w:rPr>
              <w:t>0%</w:t>
            </w:r>
            <w:r>
              <w:rPr>
                <w:rFonts w:hint="eastAsia"/>
                <w:color w:val="auto"/>
                <w:kern w:val="21"/>
                <w:sz w:val="21"/>
                <w:szCs w:val="21"/>
                <w:lang w:bidi="ar"/>
              </w:rPr>
              <w:t>以下</w:t>
            </w:r>
            <w:r>
              <w:rPr>
                <w:color w:val="auto"/>
                <w:kern w:val="21"/>
                <w:sz w:val="21"/>
                <w:szCs w:val="21"/>
                <w:lang w:bidi="ar"/>
              </w:rPr>
              <w:t>）2t/d，调理剂投加PAC、PAM等。配备</w:t>
            </w:r>
            <w:r>
              <w:rPr>
                <w:rFonts w:hint="eastAsia"/>
                <w:color w:val="auto"/>
                <w:kern w:val="21"/>
                <w:sz w:val="21"/>
                <w:szCs w:val="21"/>
                <w:lang w:bidi="ar"/>
              </w:rPr>
              <w:t>板框</w:t>
            </w:r>
            <w:r>
              <w:rPr>
                <w:color w:val="auto"/>
                <w:kern w:val="21"/>
                <w:sz w:val="21"/>
                <w:szCs w:val="21"/>
                <w:lang w:bidi="ar"/>
              </w:rPr>
              <w:t>压滤机</w:t>
            </w:r>
            <w:r>
              <w:rPr>
                <w:rFonts w:hint="eastAsia"/>
                <w:color w:val="auto"/>
                <w:kern w:val="21"/>
                <w:sz w:val="21"/>
                <w:szCs w:val="21"/>
                <w:lang w:bidi="ar"/>
              </w:rPr>
              <w:t>2</w:t>
            </w:r>
            <w:r>
              <w:rPr>
                <w:color w:val="auto"/>
                <w:kern w:val="21"/>
                <w:sz w:val="21"/>
                <w:szCs w:val="21"/>
                <w:lang w:bidi="ar"/>
              </w:rPr>
              <w:t>台，处理能力60m³/h。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11</w:t>
            </w:r>
          </w:p>
        </w:tc>
        <w:tc>
          <w:tcPr>
            <w:tcW w:w="1152"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鼓风机房</w:t>
            </w:r>
          </w:p>
        </w:tc>
        <w:tc>
          <w:tcPr>
            <w:tcW w:w="2868" w:type="dxa"/>
            <w:vAlign w:val="center"/>
          </w:tcPr>
          <w:p>
            <w:pPr>
              <w:spacing w:line="240" w:lineRule="auto"/>
              <w:ind w:firstLine="0" w:firstLineChars="0"/>
              <w:jc w:val="center"/>
              <w:rPr>
                <w:color w:val="auto"/>
                <w:kern w:val="21"/>
                <w:sz w:val="21"/>
                <w:szCs w:val="21"/>
              </w:rPr>
            </w:pPr>
            <w:r>
              <w:rPr>
                <w:color w:val="auto"/>
                <w:kern w:val="21"/>
                <w:sz w:val="21"/>
                <w:szCs w:val="21"/>
              </w:rPr>
              <w:t>鼓风机房为A</w:t>
            </w:r>
            <w:r>
              <w:rPr>
                <w:color w:val="auto"/>
                <w:kern w:val="21"/>
                <w:sz w:val="21"/>
                <w:szCs w:val="21"/>
                <w:vertAlign w:val="superscript"/>
              </w:rPr>
              <w:t>2</w:t>
            </w:r>
            <w:r>
              <w:rPr>
                <w:color w:val="auto"/>
                <w:kern w:val="21"/>
                <w:sz w:val="21"/>
                <w:szCs w:val="21"/>
              </w:rPr>
              <w:t>/O生化池的微孔曝气装置和MBR膜池提供氧气。</w:t>
            </w:r>
          </w:p>
        </w:tc>
        <w:tc>
          <w:tcPr>
            <w:tcW w:w="4764" w:type="dxa"/>
            <w:vAlign w:val="center"/>
          </w:tcPr>
          <w:p>
            <w:pPr>
              <w:tabs>
                <w:tab w:val="center" w:pos="957"/>
              </w:tabs>
              <w:spacing w:line="240" w:lineRule="auto"/>
              <w:ind w:firstLine="0" w:firstLineChars="0"/>
              <w:jc w:val="center"/>
              <w:rPr>
                <w:color w:val="auto"/>
                <w:kern w:val="21"/>
                <w:sz w:val="21"/>
                <w:szCs w:val="21"/>
              </w:rPr>
            </w:pPr>
            <w:r>
              <w:rPr>
                <w:color w:val="auto"/>
                <w:kern w:val="21"/>
                <w:sz w:val="21"/>
                <w:szCs w:val="21"/>
              </w:rPr>
              <w:t>配置6台鼓风机，其中A</w:t>
            </w:r>
            <w:r>
              <w:rPr>
                <w:color w:val="auto"/>
                <w:kern w:val="21"/>
                <w:sz w:val="21"/>
                <w:szCs w:val="21"/>
                <w:vertAlign w:val="superscript"/>
              </w:rPr>
              <w:t>2</w:t>
            </w:r>
            <w:r>
              <w:rPr>
                <w:color w:val="auto"/>
                <w:kern w:val="21"/>
                <w:sz w:val="21"/>
                <w:szCs w:val="21"/>
              </w:rPr>
              <w:t>/O生化池3台（2用1备），A</w:t>
            </w:r>
            <w:r>
              <w:rPr>
                <w:color w:val="auto"/>
                <w:kern w:val="21"/>
                <w:sz w:val="21"/>
                <w:szCs w:val="21"/>
                <w:vertAlign w:val="superscript"/>
              </w:rPr>
              <w:t>2</w:t>
            </w:r>
            <w:r>
              <w:rPr>
                <w:color w:val="auto"/>
                <w:kern w:val="21"/>
                <w:sz w:val="21"/>
                <w:szCs w:val="21"/>
              </w:rPr>
              <w:t>/O生化池最大供气量1800m³/h；MBR膜池鼓风机3台（2用1备），MBR膜池最大供气量1920m³/h。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24" w:type="dxa"/>
            <w:vAlign w:val="center"/>
          </w:tcPr>
          <w:p>
            <w:pPr>
              <w:spacing w:line="240" w:lineRule="auto"/>
              <w:ind w:firstLine="0" w:firstLineChars="0"/>
              <w:jc w:val="center"/>
              <w:rPr>
                <w:color w:val="auto"/>
                <w:kern w:val="21"/>
                <w:sz w:val="21"/>
                <w:szCs w:val="21"/>
              </w:rPr>
            </w:pPr>
            <w:r>
              <w:rPr>
                <w:color w:val="auto"/>
                <w:kern w:val="21"/>
                <w:sz w:val="21"/>
                <w:szCs w:val="21"/>
              </w:rPr>
              <w:t>12</w:t>
            </w:r>
          </w:p>
        </w:tc>
        <w:tc>
          <w:tcPr>
            <w:tcW w:w="1152"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加药间</w:t>
            </w:r>
          </w:p>
        </w:tc>
        <w:tc>
          <w:tcPr>
            <w:tcW w:w="2868"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加药间主要为混凝沉淀池投加混凝剂。</w:t>
            </w:r>
          </w:p>
        </w:tc>
        <w:tc>
          <w:tcPr>
            <w:tcW w:w="4764"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加药间配置PAC配药一体机和PAM配药一体机各两台，均为1备1用，单台规格为2000L/h。</w:t>
            </w:r>
          </w:p>
        </w:tc>
      </w:tr>
    </w:tbl>
    <w:p>
      <w:pPr>
        <w:pStyle w:val="6"/>
        <w:keepNext/>
        <w:keepLines/>
        <w:pageBreakBefore w:val="0"/>
        <w:widowControl w:val="0"/>
        <w:kinsoku/>
        <w:wordWrap/>
        <w:overflowPunct/>
        <w:topLinePunct w:val="0"/>
        <w:autoSpaceDE/>
        <w:autoSpaceDN/>
        <w:bidi w:val="0"/>
        <w:adjustRightInd/>
        <w:snapToGrid/>
        <w:spacing w:before="0" w:beforeLines="50" w:after="0"/>
        <w:textAlignment w:val="auto"/>
        <w:rPr>
          <w:rFonts w:eastAsia="宋体"/>
          <w:color w:val="auto"/>
          <w:kern w:val="21"/>
          <w:sz w:val="24"/>
          <w:szCs w:val="24"/>
        </w:rPr>
      </w:pPr>
      <w:bookmarkStart w:id="44" w:name="_Toc5471"/>
      <w:r>
        <w:rPr>
          <w:rFonts w:eastAsia="宋体"/>
          <w:color w:val="auto"/>
          <w:kern w:val="21"/>
          <w:sz w:val="24"/>
          <w:szCs w:val="24"/>
        </w:rPr>
        <w:t>3.1.</w:t>
      </w:r>
      <w:r>
        <w:rPr>
          <w:rFonts w:hint="eastAsia" w:eastAsia="宋体"/>
          <w:color w:val="auto"/>
          <w:kern w:val="21"/>
          <w:sz w:val="24"/>
          <w:szCs w:val="24"/>
        </w:rPr>
        <w:t>8</w:t>
      </w:r>
      <w:r>
        <w:rPr>
          <w:rFonts w:eastAsia="宋体"/>
          <w:color w:val="auto"/>
          <w:kern w:val="21"/>
          <w:sz w:val="24"/>
          <w:szCs w:val="24"/>
        </w:rPr>
        <w:t>主要原辅材料及能源消耗</w:t>
      </w:r>
      <w:bookmarkEnd w:id="44"/>
    </w:p>
    <w:p>
      <w:pPr>
        <w:widowControl/>
        <w:kinsoku w:val="0"/>
        <w:autoSpaceDE w:val="0"/>
        <w:autoSpaceDN w:val="0"/>
        <w:adjustRightInd w:val="0"/>
        <w:snapToGrid w:val="0"/>
        <w:ind w:firstLine="480"/>
        <w:textAlignment w:val="baseline"/>
        <w:rPr>
          <w:color w:val="auto"/>
          <w:kern w:val="21"/>
        </w:rPr>
      </w:pPr>
      <w:r>
        <w:rPr>
          <w:color w:val="auto"/>
          <w:kern w:val="21"/>
        </w:rPr>
        <w:t>项目主要原辅材料及能源消耗情况见</w:t>
      </w:r>
      <w:r>
        <w:rPr>
          <w:rFonts w:hint="eastAsia"/>
          <w:color w:val="auto"/>
          <w:kern w:val="21"/>
          <w:lang w:eastAsia="zh-CN"/>
        </w:rPr>
        <w:t>下表</w:t>
      </w:r>
      <w:r>
        <w:rPr>
          <w:rFonts w:hint="eastAsia"/>
          <w:color w:val="auto"/>
          <w:kern w:val="21"/>
          <w:lang w:bidi="ar"/>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rPr>
      </w:pPr>
      <w:r>
        <w:rPr>
          <w:b/>
          <w:bCs/>
          <w:color w:val="auto"/>
          <w:kern w:val="21"/>
        </w:rPr>
        <w:t>主要原辅材料及能源消耗一览表</w:t>
      </w:r>
    </w:p>
    <w:tbl>
      <w:tblPr>
        <w:tblStyle w:val="51"/>
        <w:tblW w:w="85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1698"/>
        <w:gridCol w:w="993"/>
        <w:gridCol w:w="1360"/>
        <w:gridCol w:w="1902"/>
        <w:gridCol w:w="17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序号</w:t>
            </w:r>
          </w:p>
        </w:tc>
        <w:tc>
          <w:tcPr>
            <w:tcW w:w="1698"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原材料名称</w:t>
            </w:r>
          </w:p>
        </w:tc>
        <w:tc>
          <w:tcPr>
            <w:tcW w:w="993"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用量</w:t>
            </w:r>
            <w:r>
              <w:rPr>
                <w:rFonts w:hint="eastAsia"/>
                <w:color w:val="auto"/>
                <w:kern w:val="21"/>
                <w:sz w:val="21"/>
                <w:szCs w:val="21"/>
              </w:rPr>
              <w:t>t/a</w:t>
            </w:r>
          </w:p>
        </w:tc>
        <w:tc>
          <w:tcPr>
            <w:tcW w:w="136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最大储量</w:t>
            </w:r>
            <w:r>
              <w:rPr>
                <w:rFonts w:hint="eastAsia"/>
                <w:color w:val="auto"/>
                <w:kern w:val="21"/>
                <w:sz w:val="21"/>
                <w:szCs w:val="21"/>
              </w:rPr>
              <w:t>t/a</w:t>
            </w:r>
          </w:p>
        </w:tc>
        <w:tc>
          <w:tcPr>
            <w:tcW w:w="190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储存位置</w:t>
            </w:r>
          </w:p>
        </w:tc>
        <w:tc>
          <w:tcPr>
            <w:tcW w:w="17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来源/备注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0" w:hRule="atLeast"/>
          <w:jc w:val="center"/>
        </w:trPr>
        <w:tc>
          <w:tcPr>
            <w:tcW w:w="8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1</w:t>
            </w:r>
          </w:p>
        </w:tc>
        <w:tc>
          <w:tcPr>
            <w:tcW w:w="1698"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PAC</w:t>
            </w:r>
          </w:p>
        </w:tc>
        <w:tc>
          <w:tcPr>
            <w:tcW w:w="993"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47</w:t>
            </w:r>
          </w:p>
        </w:tc>
        <w:tc>
          <w:tcPr>
            <w:tcW w:w="1360"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20</w:t>
            </w:r>
          </w:p>
        </w:tc>
        <w:tc>
          <w:tcPr>
            <w:tcW w:w="190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加药间</w:t>
            </w:r>
          </w:p>
        </w:tc>
        <w:tc>
          <w:tcPr>
            <w:tcW w:w="17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2</w:t>
            </w:r>
          </w:p>
        </w:tc>
        <w:tc>
          <w:tcPr>
            <w:tcW w:w="1698"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PAM</w:t>
            </w:r>
          </w:p>
        </w:tc>
        <w:tc>
          <w:tcPr>
            <w:tcW w:w="993"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0.1</w:t>
            </w:r>
          </w:p>
        </w:tc>
        <w:tc>
          <w:tcPr>
            <w:tcW w:w="1360"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1</w:t>
            </w:r>
          </w:p>
        </w:tc>
        <w:tc>
          <w:tcPr>
            <w:tcW w:w="190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加药间及污泥脱水间</w:t>
            </w:r>
          </w:p>
        </w:tc>
        <w:tc>
          <w:tcPr>
            <w:tcW w:w="17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3</w:t>
            </w:r>
          </w:p>
        </w:tc>
        <w:tc>
          <w:tcPr>
            <w:tcW w:w="1698"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柠檬酸</w:t>
            </w:r>
            <w:r>
              <w:rPr>
                <w:rFonts w:hint="eastAsia"/>
                <w:color w:val="auto"/>
                <w:kern w:val="0"/>
                <w:sz w:val="21"/>
                <w:szCs w:val="21"/>
                <w:lang w:bidi="ar"/>
              </w:rPr>
              <w:t>（MBR膜酸洗）</w:t>
            </w:r>
          </w:p>
        </w:tc>
        <w:tc>
          <w:tcPr>
            <w:tcW w:w="993"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7.2</w:t>
            </w:r>
          </w:p>
        </w:tc>
        <w:tc>
          <w:tcPr>
            <w:tcW w:w="1360"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0"/>
                <w:sz w:val="21"/>
                <w:szCs w:val="21"/>
                <w:lang w:bidi="ar"/>
              </w:rPr>
              <w:t>3.5</w:t>
            </w:r>
          </w:p>
        </w:tc>
        <w:tc>
          <w:tcPr>
            <w:tcW w:w="190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MBR膜池及设备间（储罐）</w:t>
            </w:r>
          </w:p>
        </w:tc>
        <w:tc>
          <w:tcPr>
            <w:tcW w:w="17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4</w:t>
            </w:r>
          </w:p>
        </w:tc>
        <w:tc>
          <w:tcPr>
            <w:tcW w:w="1698"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次氯酸钠</w:t>
            </w:r>
            <w:r>
              <w:rPr>
                <w:rFonts w:hint="eastAsia"/>
                <w:color w:val="auto"/>
                <w:kern w:val="0"/>
                <w:sz w:val="21"/>
                <w:szCs w:val="21"/>
                <w:lang w:bidi="ar"/>
              </w:rPr>
              <w:t>（MBR膜碱洗）</w:t>
            </w:r>
          </w:p>
        </w:tc>
        <w:tc>
          <w:tcPr>
            <w:tcW w:w="993"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19</w:t>
            </w:r>
          </w:p>
        </w:tc>
        <w:tc>
          <w:tcPr>
            <w:tcW w:w="1360"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rPr>
              <w:t>3.5</w:t>
            </w:r>
          </w:p>
        </w:tc>
        <w:tc>
          <w:tcPr>
            <w:tcW w:w="190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MBR膜池及设备间（储罐）</w:t>
            </w:r>
          </w:p>
        </w:tc>
        <w:tc>
          <w:tcPr>
            <w:tcW w:w="17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5</w:t>
            </w:r>
          </w:p>
        </w:tc>
        <w:tc>
          <w:tcPr>
            <w:tcW w:w="1698"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生石灰</w:t>
            </w:r>
          </w:p>
        </w:tc>
        <w:tc>
          <w:tcPr>
            <w:tcW w:w="993"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20</w:t>
            </w:r>
          </w:p>
        </w:tc>
        <w:tc>
          <w:tcPr>
            <w:tcW w:w="1360" w:type="dxa"/>
            <w:vAlign w:val="center"/>
          </w:tcPr>
          <w:p>
            <w:pPr>
              <w:widowControl/>
              <w:spacing w:line="240" w:lineRule="auto"/>
              <w:ind w:firstLine="0" w:firstLineChars="0"/>
              <w:jc w:val="center"/>
              <w:textAlignment w:val="center"/>
              <w:rPr>
                <w:color w:val="auto"/>
                <w:kern w:val="21"/>
                <w:sz w:val="21"/>
                <w:szCs w:val="21"/>
              </w:rPr>
            </w:pPr>
            <w:r>
              <w:rPr>
                <w:color w:val="auto"/>
                <w:kern w:val="0"/>
                <w:sz w:val="21"/>
                <w:szCs w:val="21"/>
                <w:lang w:bidi="ar"/>
              </w:rPr>
              <w:t>10</w:t>
            </w:r>
          </w:p>
        </w:tc>
        <w:tc>
          <w:tcPr>
            <w:tcW w:w="190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rFonts w:hint="eastAsia"/>
                <w:color w:val="auto"/>
                <w:kern w:val="21"/>
                <w:sz w:val="21"/>
                <w:szCs w:val="21"/>
              </w:rPr>
              <w:t>污泥浓缩间</w:t>
            </w:r>
          </w:p>
        </w:tc>
        <w:tc>
          <w:tcPr>
            <w:tcW w:w="17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6</w:t>
            </w:r>
          </w:p>
        </w:tc>
        <w:tc>
          <w:tcPr>
            <w:tcW w:w="1698"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水</w:t>
            </w:r>
          </w:p>
        </w:tc>
        <w:tc>
          <w:tcPr>
            <w:tcW w:w="993"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478.15m</w:t>
            </w:r>
            <w:r>
              <w:rPr>
                <w:color w:val="auto"/>
                <w:kern w:val="21"/>
                <w:sz w:val="21"/>
                <w:szCs w:val="21"/>
                <w:vertAlign w:val="superscript"/>
              </w:rPr>
              <w:t>3</w:t>
            </w:r>
          </w:p>
        </w:tc>
        <w:tc>
          <w:tcPr>
            <w:tcW w:w="136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478.15m</w:t>
            </w:r>
            <w:r>
              <w:rPr>
                <w:color w:val="auto"/>
                <w:kern w:val="21"/>
                <w:sz w:val="21"/>
                <w:szCs w:val="21"/>
                <w:vertAlign w:val="superscript"/>
              </w:rPr>
              <w:t>3</w:t>
            </w:r>
          </w:p>
        </w:tc>
        <w:tc>
          <w:tcPr>
            <w:tcW w:w="190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w:t>
            </w:r>
          </w:p>
        </w:tc>
        <w:tc>
          <w:tcPr>
            <w:tcW w:w="17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园区供水管接入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25"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7</w:t>
            </w:r>
          </w:p>
        </w:tc>
        <w:tc>
          <w:tcPr>
            <w:tcW w:w="1698"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电</w:t>
            </w:r>
          </w:p>
        </w:tc>
        <w:tc>
          <w:tcPr>
            <w:tcW w:w="993"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374万Kw·h</w:t>
            </w:r>
          </w:p>
        </w:tc>
        <w:tc>
          <w:tcPr>
            <w:tcW w:w="136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374万Kw·h</w:t>
            </w:r>
          </w:p>
        </w:tc>
        <w:tc>
          <w:tcPr>
            <w:tcW w:w="190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w:t>
            </w:r>
          </w:p>
        </w:tc>
        <w:tc>
          <w:tcPr>
            <w:tcW w:w="17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园区供电接入</w:t>
            </w:r>
          </w:p>
        </w:tc>
      </w:tr>
    </w:tbl>
    <w:p>
      <w:pPr>
        <w:pStyle w:val="6"/>
        <w:keepNext/>
        <w:keepLines/>
        <w:pageBreakBefore w:val="0"/>
        <w:widowControl w:val="0"/>
        <w:kinsoku/>
        <w:wordWrap/>
        <w:overflowPunct/>
        <w:topLinePunct w:val="0"/>
        <w:autoSpaceDE/>
        <w:autoSpaceDN/>
        <w:bidi w:val="0"/>
        <w:adjustRightInd/>
        <w:snapToGrid/>
        <w:spacing w:before="0" w:beforeLines="50" w:after="0"/>
        <w:textAlignment w:val="auto"/>
        <w:rPr>
          <w:rFonts w:eastAsia="宋体"/>
          <w:color w:val="auto"/>
          <w:kern w:val="21"/>
          <w:sz w:val="24"/>
          <w:szCs w:val="24"/>
        </w:rPr>
      </w:pPr>
      <w:bookmarkStart w:id="45" w:name="_Toc27077"/>
      <w:r>
        <w:rPr>
          <w:rFonts w:eastAsia="宋体"/>
          <w:color w:val="auto"/>
          <w:kern w:val="21"/>
          <w:sz w:val="24"/>
          <w:szCs w:val="24"/>
        </w:rPr>
        <w:t>3.1.</w:t>
      </w:r>
      <w:r>
        <w:rPr>
          <w:rFonts w:hint="eastAsia" w:eastAsia="宋体"/>
          <w:color w:val="auto"/>
          <w:kern w:val="21"/>
          <w:sz w:val="24"/>
          <w:szCs w:val="24"/>
        </w:rPr>
        <w:t>9</w:t>
      </w:r>
      <w:r>
        <w:rPr>
          <w:rFonts w:eastAsia="宋体"/>
          <w:color w:val="auto"/>
          <w:kern w:val="21"/>
          <w:sz w:val="24"/>
          <w:szCs w:val="24"/>
        </w:rPr>
        <w:t>总平面布置</w:t>
      </w:r>
      <w:bookmarkEnd w:id="45"/>
    </w:p>
    <w:p>
      <w:pPr>
        <w:widowControl/>
        <w:ind w:firstLine="480"/>
        <w:rPr>
          <w:color w:val="auto"/>
          <w:kern w:val="21"/>
        </w:rPr>
      </w:pPr>
      <w:r>
        <w:rPr>
          <w:color w:val="auto"/>
          <w:kern w:val="21"/>
          <w:lang w:bidi="ar"/>
        </w:rPr>
        <w:t>按照不同的功能分区将整个厂区分为：厂前管理区、污水预处理区、进水区、污水水处理区、辅助生产区。</w:t>
      </w:r>
    </w:p>
    <w:p>
      <w:pPr>
        <w:widowControl/>
        <w:ind w:firstLine="480"/>
        <w:rPr>
          <w:color w:val="auto"/>
          <w:kern w:val="21"/>
        </w:rPr>
      </w:pPr>
      <w:r>
        <w:rPr>
          <w:color w:val="auto"/>
          <w:kern w:val="21"/>
          <w:lang w:bidi="ar"/>
        </w:rPr>
        <w:t>厂前区位于厂区东南侧，紧接东升路，与外界联系方便；厂前区与生产区之间用绿化隔离带分开，并且远离环境较差的污泥处理构筑物，保证厂前区优美的环境。厂前区内主要布置有综合楼。厂前区面积较大，综合楼楼上可俯视全厂。进、出水构筑物根据园区工业污水主干管来水方向布置于北侧，进水区主要粗格栅和进水泵房，细格栅及调节池组成；污水处理区构筑物按照工艺流程，依据现状厂区地势条件由北-南-西方向依次布置混凝沉淀池、水解酸化池、</w:t>
      </w:r>
      <w:r>
        <w:rPr>
          <w:rFonts w:hint="eastAsia"/>
          <w:i w:val="0"/>
          <w:iCs/>
          <w:color w:val="auto"/>
          <w:kern w:val="21"/>
          <w:sz w:val="24"/>
          <w:szCs w:val="24"/>
        </w:rPr>
        <w:t>A</w:t>
      </w:r>
      <w:r>
        <w:rPr>
          <w:rFonts w:hint="eastAsia"/>
          <w:i w:val="0"/>
          <w:iCs/>
          <w:color w:val="auto"/>
          <w:kern w:val="21"/>
          <w:sz w:val="24"/>
          <w:szCs w:val="24"/>
          <w:vertAlign w:val="superscript"/>
        </w:rPr>
        <w:t>2</w:t>
      </w:r>
      <w:r>
        <w:rPr>
          <w:color w:val="auto"/>
          <w:kern w:val="21"/>
          <w:lang w:bidi="ar"/>
        </w:rPr>
        <w:t>/O生化池、MBR膜池。将辅助生产建筑物如配电间、污泥浓缩脱水车间、鼓风机房、加药间等，分散布置在厂区内，使得较臭的构筑物远离厂前区以及厂周边较近的居民区，使厂前区保持较好环境及减小对大气敏感目标的影响。</w:t>
      </w:r>
    </w:p>
    <w:p>
      <w:pPr>
        <w:widowControl/>
        <w:ind w:firstLine="480"/>
        <w:jc w:val="left"/>
        <w:rPr>
          <w:color w:val="auto"/>
          <w:kern w:val="21"/>
        </w:rPr>
      </w:pPr>
      <w:r>
        <w:rPr>
          <w:color w:val="auto"/>
          <w:kern w:val="21"/>
          <w:lang w:bidi="ar"/>
        </w:rPr>
        <w:t>厂区平面布置具有以下优点：</w:t>
      </w:r>
    </w:p>
    <w:p>
      <w:pPr>
        <w:widowControl/>
        <w:ind w:firstLine="480"/>
        <w:jc w:val="left"/>
        <w:rPr>
          <w:color w:val="auto"/>
          <w:kern w:val="21"/>
          <w:lang w:bidi="ar"/>
        </w:rPr>
      </w:pPr>
      <w:r>
        <w:rPr>
          <w:color w:val="auto"/>
          <w:kern w:val="21"/>
          <w:lang w:bidi="ar"/>
        </w:rPr>
        <w:t>（1）功能分区明确。厂区分为厂前区、生产区，各区相互独立，又不乏有机联系，通过厂区道路连成一体，工作、生活均感方便。</w:t>
      </w:r>
    </w:p>
    <w:p>
      <w:pPr>
        <w:widowControl/>
        <w:ind w:firstLine="480"/>
        <w:jc w:val="left"/>
        <w:rPr>
          <w:color w:val="auto"/>
          <w:kern w:val="21"/>
        </w:rPr>
      </w:pPr>
      <w:r>
        <w:rPr>
          <w:color w:val="auto"/>
          <w:kern w:val="21"/>
          <w:lang w:bidi="ar"/>
        </w:rPr>
        <w:t>（2）考虑近远期结合，工艺流程顺畅，水头损失小。构筑物布置考虑远期发展需要，尽量使工艺流程顺畅，管道无迂回、无交叉，水头损失小，运行费用低，巡视管理方便。</w:t>
      </w:r>
    </w:p>
    <w:p>
      <w:pPr>
        <w:widowControl/>
        <w:ind w:firstLine="480"/>
        <w:jc w:val="left"/>
        <w:rPr>
          <w:color w:val="auto"/>
          <w:kern w:val="21"/>
        </w:rPr>
      </w:pPr>
      <w:r>
        <w:rPr>
          <w:color w:val="auto"/>
          <w:kern w:val="21"/>
          <w:lang w:bidi="ar"/>
        </w:rPr>
        <w:t>（3）厂前区位于侧风向，尽量远离产生</w:t>
      </w:r>
      <w:r>
        <w:rPr>
          <w:rFonts w:hint="eastAsia"/>
          <w:color w:val="auto"/>
          <w:kern w:val="21"/>
          <w:lang w:bidi="ar"/>
        </w:rPr>
        <w:t>臭气</w:t>
      </w:r>
      <w:r>
        <w:rPr>
          <w:color w:val="auto"/>
          <w:kern w:val="21"/>
          <w:lang w:bidi="ar"/>
        </w:rPr>
        <w:t>的构筑物，厂前区环境较好。</w:t>
      </w:r>
    </w:p>
    <w:p>
      <w:pPr>
        <w:widowControl/>
        <w:ind w:firstLine="480"/>
        <w:jc w:val="left"/>
        <w:rPr>
          <w:color w:val="auto"/>
          <w:kern w:val="21"/>
        </w:rPr>
      </w:pPr>
      <w:r>
        <w:rPr>
          <w:color w:val="auto"/>
          <w:kern w:val="21"/>
        </w:rPr>
        <w:t>项目平面布置见附图3。</w:t>
      </w:r>
    </w:p>
    <w:p>
      <w:pPr>
        <w:pStyle w:val="6"/>
        <w:spacing w:after="0"/>
        <w:rPr>
          <w:rFonts w:eastAsia="宋体"/>
          <w:color w:val="auto"/>
          <w:kern w:val="21"/>
          <w:sz w:val="24"/>
          <w:szCs w:val="24"/>
        </w:rPr>
      </w:pPr>
      <w:bookmarkStart w:id="46" w:name="_Toc12877"/>
      <w:r>
        <w:rPr>
          <w:rFonts w:eastAsia="宋体"/>
          <w:color w:val="auto"/>
          <w:kern w:val="21"/>
          <w:sz w:val="24"/>
          <w:szCs w:val="24"/>
        </w:rPr>
        <w:t>3.1.1</w:t>
      </w:r>
      <w:r>
        <w:rPr>
          <w:rFonts w:hint="eastAsia" w:eastAsia="宋体"/>
          <w:color w:val="auto"/>
          <w:kern w:val="21"/>
          <w:sz w:val="24"/>
          <w:szCs w:val="24"/>
        </w:rPr>
        <w:t>0</w:t>
      </w:r>
      <w:r>
        <w:rPr>
          <w:rFonts w:eastAsia="宋体"/>
          <w:color w:val="auto"/>
          <w:kern w:val="21"/>
          <w:sz w:val="24"/>
          <w:szCs w:val="24"/>
        </w:rPr>
        <w:t>项目主要机械设备</w:t>
      </w:r>
      <w:bookmarkEnd w:id="46"/>
    </w:p>
    <w:p>
      <w:pPr>
        <w:ind w:firstLine="480"/>
        <w:rPr>
          <w:color w:val="auto"/>
          <w:kern w:val="21"/>
        </w:rPr>
      </w:pPr>
      <w:r>
        <w:rPr>
          <w:color w:val="auto"/>
          <w:kern w:val="21"/>
        </w:rPr>
        <w:t>项目主要设备见</w:t>
      </w:r>
      <w:r>
        <w:rPr>
          <w:rFonts w:hint="eastAsia"/>
          <w:color w:val="auto"/>
          <w:kern w:val="21"/>
          <w:lang w:eastAsia="zh-CN"/>
        </w:rPr>
        <w:t>下表</w:t>
      </w:r>
      <w:r>
        <w:rPr>
          <w:color w:val="auto"/>
          <w:kern w:val="21"/>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color w:val="auto"/>
          <w:kern w:val="21"/>
        </w:rPr>
      </w:pPr>
      <w:r>
        <w:rPr>
          <w:b/>
          <w:color w:val="auto"/>
          <w:kern w:val="21"/>
        </w:rPr>
        <w:t>项目主要设备表</w:t>
      </w:r>
    </w:p>
    <w:tbl>
      <w:tblPr>
        <w:tblStyle w:val="51"/>
        <w:tblW w:w="9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70"/>
        <w:gridCol w:w="1960"/>
        <w:gridCol w:w="3724"/>
        <w:gridCol w:w="824"/>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序号</w:t>
            </w:r>
          </w:p>
        </w:tc>
        <w:tc>
          <w:tcPr>
            <w:tcW w:w="1070" w:type="dxa"/>
            <w:vAlign w:val="center"/>
          </w:tcPr>
          <w:p>
            <w:pPr>
              <w:widowControl/>
              <w:adjustRightInd w:val="0"/>
              <w:snapToGrid w:val="0"/>
              <w:spacing w:line="240" w:lineRule="auto"/>
              <w:ind w:firstLine="0" w:firstLineChars="0"/>
              <w:jc w:val="center"/>
              <w:rPr>
                <w:color w:val="auto"/>
                <w:kern w:val="21"/>
                <w:sz w:val="21"/>
                <w:szCs w:val="21"/>
              </w:rPr>
            </w:pPr>
            <w:r>
              <w:rPr>
                <w:bCs/>
                <w:color w:val="auto"/>
                <w:kern w:val="21"/>
                <w:sz w:val="21"/>
                <w:szCs w:val="21"/>
                <w:lang w:bidi="ar"/>
              </w:rPr>
              <w:t>建构筑物名称</w:t>
            </w:r>
          </w:p>
        </w:tc>
        <w:tc>
          <w:tcPr>
            <w:tcW w:w="1960"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主要设备名称</w:t>
            </w:r>
          </w:p>
        </w:tc>
        <w:tc>
          <w:tcPr>
            <w:tcW w:w="37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规格、型号</w:t>
            </w:r>
          </w:p>
        </w:tc>
        <w:tc>
          <w:tcPr>
            <w:tcW w:w="8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数量</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restart"/>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1</w:t>
            </w:r>
          </w:p>
        </w:tc>
        <w:tc>
          <w:tcPr>
            <w:tcW w:w="1070"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粗格栅间及进水泵房</w:t>
            </w: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钢丝绳牵引格栅清污机</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rPr>
              <w:t>B=600mmb=20mm，α=75°，N=1.5+0.75kW</w:t>
            </w:r>
          </w:p>
        </w:tc>
        <w:tc>
          <w:tcPr>
            <w:tcW w:w="8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lang w:bidi="ar"/>
              </w:rPr>
              <w:t>1台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adjustRightInd w:val="0"/>
              <w:snapToGrid w:val="0"/>
              <w:spacing w:line="240" w:lineRule="auto"/>
              <w:ind w:firstLine="0" w:firstLineChars="0"/>
              <w:jc w:val="center"/>
              <w:rPr>
                <w:color w:val="auto"/>
                <w:kern w:val="21"/>
                <w:sz w:val="21"/>
                <w:szCs w:val="21"/>
              </w:rPr>
            </w:pP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潜水离心泵</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Q=70m³/h，H=16m，P=7.5kW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2台</w:t>
            </w:r>
          </w:p>
        </w:tc>
        <w:tc>
          <w:tcPr>
            <w:tcW w:w="1065"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Merge w:val="continue"/>
            <w:vAlign w:val="center"/>
          </w:tcPr>
          <w:p>
            <w:pPr>
              <w:adjustRightInd w:val="0"/>
              <w:snapToGrid w:val="0"/>
              <w:spacing w:line="240" w:lineRule="auto"/>
              <w:ind w:firstLine="0" w:firstLineChars="0"/>
              <w:jc w:val="center"/>
              <w:rPr>
                <w:color w:val="auto"/>
                <w:kern w:val="21"/>
                <w:sz w:val="21"/>
                <w:szCs w:val="21"/>
              </w:rPr>
            </w:pP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lang w:bidi="ar"/>
              </w:rPr>
              <w:t>潜水离心泵</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Q=140m³/h，H=16m，P=15kW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2台</w:t>
            </w:r>
          </w:p>
        </w:tc>
        <w:tc>
          <w:tcPr>
            <w:tcW w:w="1065"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2</w:t>
            </w:r>
          </w:p>
        </w:tc>
        <w:tc>
          <w:tcPr>
            <w:tcW w:w="1070" w:type="dxa"/>
            <w:vMerge w:val="restart"/>
            <w:vAlign w:val="center"/>
          </w:tcPr>
          <w:p>
            <w:pPr>
              <w:adjustRightInd w:val="0"/>
              <w:snapToGrid w:val="0"/>
              <w:spacing w:line="240" w:lineRule="auto"/>
              <w:ind w:firstLine="0" w:firstLineChars="0"/>
              <w:jc w:val="center"/>
              <w:rPr>
                <w:color w:val="auto"/>
                <w:kern w:val="21"/>
                <w:sz w:val="21"/>
                <w:szCs w:val="21"/>
              </w:rPr>
            </w:pPr>
          </w:p>
          <w:p>
            <w:pPr>
              <w:adjustRightInd w:val="0"/>
              <w:snapToGrid w:val="0"/>
              <w:spacing w:line="240" w:lineRule="auto"/>
              <w:ind w:firstLine="0" w:firstLineChars="0"/>
              <w:jc w:val="center"/>
              <w:rPr>
                <w:color w:val="auto"/>
                <w:kern w:val="21"/>
                <w:sz w:val="21"/>
                <w:szCs w:val="21"/>
              </w:rPr>
            </w:pPr>
            <w:r>
              <w:rPr>
                <w:color w:val="auto"/>
                <w:kern w:val="21"/>
                <w:sz w:val="21"/>
                <w:szCs w:val="21"/>
              </w:rPr>
              <w:t>细格栅及调节池</w:t>
            </w: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回转式格栅除污机</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B=500，b=5mm，N=0.7，5Kw，a=75</w:t>
            </w:r>
          </w:p>
        </w:tc>
        <w:tc>
          <w:tcPr>
            <w:tcW w:w="8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lang w:bidi="ar"/>
              </w:rPr>
              <w:t>1台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3</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lang w:bidi="ar"/>
              </w:rPr>
              <w:t>潜水离心泵</w:t>
            </w:r>
          </w:p>
        </w:tc>
        <w:tc>
          <w:tcPr>
            <w:tcW w:w="37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Q=105m³/h，H=10m，P=7.5kW</w:t>
            </w:r>
          </w:p>
        </w:tc>
        <w:tc>
          <w:tcPr>
            <w:tcW w:w="8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3台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4</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潜水搅拌机</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D</w:t>
            </w:r>
            <w:r>
              <w:rPr>
                <w:rFonts w:eastAsia="楷体"/>
                <w:color w:val="auto"/>
                <w:kern w:val="21"/>
                <w:sz w:val="21"/>
                <w:szCs w:val="21"/>
                <w:lang w:bidi="ar"/>
              </w:rPr>
              <w:t>≥</w:t>
            </w:r>
            <w:r>
              <w:rPr>
                <w:color w:val="auto"/>
                <w:kern w:val="21"/>
                <w:sz w:val="21"/>
                <w:szCs w:val="21"/>
                <w:lang w:bidi="ar"/>
              </w:rPr>
              <w:t>1300mm</w:t>
            </w:r>
            <w:r>
              <w:rPr>
                <w:rFonts w:hint="eastAsia"/>
                <w:color w:val="auto"/>
                <w:kern w:val="21"/>
                <w:sz w:val="21"/>
                <w:szCs w:val="21"/>
                <w:lang w:bidi="ar"/>
              </w:rPr>
              <w:t>，</w:t>
            </w:r>
            <w:r>
              <w:rPr>
                <w:color w:val="auto"/>
                <w:kern w:val="21"/>
                <w:sz w:val="21"/>
                <w:szCs w:val="21"/>
                <w:lang w:bidi="ar"/>
              </w:rPr>
              <w:t>N=5.5kw</w:t>
            </w:r>
          </w:p>
        </w:tc>
        <w:tc>
          <w:tcPr>
            <w:tcW w:w="8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2套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5</w:t>
            </w:r>
          </w:p>
        </w:tc>
        <w:tc>
          <w:tcPr>
            <w:tcW w:w="1070" w:type="dxa"/>
            <w:vMerge w:val="restart"/>
            <w:vAlign w:val="center"/>
          </w:tcPr>
          <w:p>
            <w:pPr>
              <w:adjustRightInd w:val="0"/>
              <w:snapToGrid w:val="0"/>
              <w:spacing w:line="240" w:lineRule="auto"/>
              <w:ind w:firstLine="0" w:firstLineChars="0"/>
              <w:jc w:val="center"/>
              <w:rPr>
                <w:color w:val="auto"/>
                <w:kern w:val="21"/>
                <w:sz w:val="21"/>
                <w:szCs w:val="21"/>
              </w:rPr>
            </w:pPr>
          </w:p>
          <w:p>
            <w:pPr>
              <w:adjustRightInd w:val="0"/>
              <w:snapToGrid w:val="0"/>
              <w:spacing w:line="240" w:lineRule="auto"/>
              <w:ind w:firstLine="0" w:firstLineChars="0"/>
              <w:jc w:val="center"/>
              <w:rPr>
                <w:color w:val="auto"/>
                <w:kern w:val="21"/>
                <w:sz w:val="21"/>
                <w:szCs w:val="21"/>
              </w:rPr>
            </w:pPr>
          </w:p>
          <w:p>
            <w:pPr>
              <w:adjustRightInd w:val="0"/>
              <w:snapToGrid w:val="0"/>
              <w:spacing w:line="240" w:lineRule="auto"/>
              <w:ind w:firstLine="0" w:firstLineChars="0"/>
              <w:jc w:val="center"/>
              <w:rPr>
                <w:color w:val="auto"/>
                <w:kern w:val="21"/>
                <w:sz w:val="21"/>
                <w:szCs w:val="21"/>
              </w:rPr>
            </w:pPr>
            <w:r>
              <w:rPr>
                <w:color w:val="auto"/>
                <w:kern w:val="21"/>
                <w:sz w:val="21"/>
                <w:szCs w:val="21"/>
              </w:rPr>
              <w:t>混凝沉淀池</w:t>
            </w: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桁车式刮泥机</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Lk=10.64m，L=33m，N=0.55X2KW</w:t>
            </w:r>
          </w:p>
        </w:tc>
        <w:tc>
          <w:tcPr>
            <w:tcW w:w="8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1套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6</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桨板式反应搅拌器</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N=0.37kW</w:t>
            </w:r>
          </w:p>
        </w:tc>
        <w:tc>
          <w:tcPr>
            <w:tcW w:w="8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8套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7</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混合反应搅拌器</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N=0.45kW</w:t>
            </w:r>
          </w:p>
        </w:tc>
        <w:tc>
          <w:tcPr>
            <w:tcW w:w="8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1套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8</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无堵塞潜水排污泵</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Q=50m³/h，H=7m</w:t>
            </w:r>
            <w:r>
              <w:rPr>
                <w:rFonts w:eastAsia="楷体"/>
                <w:color w:val="auto"/>
                <w:kern w:val="21"/>
                <w:sz w:val="21"/>
                <w:szCs w:val="21"/>
                <w:lang w:bidi="ar"/>
              </w:rPr>
              <w:t>，</w:t>
            </w:r>
            <w:r>
              <w:rPr>
                <w:color w:val="auto"/>
                <w:kern w:val="21"/>
                <w:sz w:val="21"/>
                <w:szCs w:val="21"/>
                <w:lang w:bidi="ar"/>
              </w:rPr>
              <w:t>N=3.0Kw</w:t>
            </w:r>
          </w:p>
        </w:tc>
        <w:tc>
          <w:tcPr>
            <w:tcW w:w="8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2台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9</w:t>
            </w:r>
          </w:p>
        </w:tc>
        <w:tc>
          <w:tcPr>
            <w:tcW w:w="107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水解酸化池</w:t>
            </w: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高效脉冲布水器</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D=0.9m</w:t>
            </w:r>
            <w:r>
              <w:rPr>
                <w:rFonts w:eastAsia="楷体"/>
                <w:color w:val="auto"/>
                <w:kern w:val="21"/>
                <w:sz w:val="21"/>
                <w:szCs w:val="21"/>
                <w:lang w:bidi="ar"/>
              </w:rPr>
              <w:t>，</w:t>
            </w:r>
            <w:r>
              <w:rPr>
                <w:color w:val="auto"/>
                <w:kern w:val="21"/>
                <w:sz w:val="21"/>
                <w:szCs w:val="21"/>
                <w:lang w:bidi="ar"/>
              </w:rPr>
              <w:t>H=1.0m</w:t>
            </w:r>
          </w:p>
        </w:tc>
        <w:tc>
          <w:tcPr>
            <w:tcW w:w="824"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2台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w:t>
            </w:r>
          </w:p>
        </w:tc>
        <w:tc>
          <w:tcPr>
            <w:tcW w:w="1070" w:type="dxa"/>
            <w:vMerge w:val="restart"/>
            <w:vAlign w:val="center"/>
          </w:tcPr>
          <w:p>
            <w:pPr>
              <w:widowControl/>
              <w:adjustRightInd w:val="0"/>
              <w:snapToGrid w:val="0"/>
              <w:spacing w:line="240" w:lineRule="auto"/>
              <w:ind w:firstLine="0" w:firstLineChars="0"/>
              <w:jc w:val="center"/>
              <w:rPr>
                <w:color w:val="auto"/>
                <w:kern w:val="21"/>
                <w:sz w:val="21"/>
                <w:szCs w:val="21"/>
                <w:lang w:bidi="ar"/>
              </w:rPr>
            </w:pPr>
          </w:p>
          <w:p>
            <w:pPr>
              <w:widowControl/>
              <w:adjustRightInd w:val="0"/>
              <w:snapToGrid w:val="0"/>
              <w:spacing w:line="240" w:lineRule="auto"/>
              <w:ind w:firstLine="0" w:firstLineChars="0"/>
              <w:jc w:val="center"/>
              <w:rPr>
                <w:color w:val="auto"/>
                <w:kern w:val="21"/>
                <w:sz w:val="21"/>
                <w:szCs w:val="21"/>
                <w:lang w:bidi="ar"/>
              </w:rPr>
            </w:pPr>
          </w:p>
          <w:p>
            <w:pPr>
              <w:widowControl/>
              <w:adjustRightInd w:val="0"/>
              <w:snapToGrid w:val="0"/>
              <w:spacing w:line="240" w:lineRule="auto"/>
              <w:ind w:firstLine="0" w:firstLineChars="0"/>
              <w:jc w:val="center"/>
              <w:rPr>
                <w:color w:val="auto"/>
                <w:kern w:val="21"/>
                <w:sz w:val="21"/>
                <w:szCs w:val="21"/>
                <w:lang w:bidi="ar"/>
              </w:rPr>
            </w:pPr>
          </w:p>
          <w:p>
            <w:pPr>
              <w:widowControl/>
              <w:adjustRightInd w:val="0"/>
              <w:snapToGrid w:val="0"/>
              <w:spacing w:line="240" w:lineRule="auto"/>
              <w:ind w:firstLine="0" w:firstLineChars="0"/>
              <w:jc w:val="center"/>
              <w:rPr>
                <w:color w:val="auto"/>
                <w:kern w:val="21"/>
                <w:sz w:val="21"/>
                <w:szCs w:val="21"/>
                <w:lang w:bidi="ar"/>
              </w:rPr>
            </w:pPr>
          </w:p>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A</w:t>
            </w:r>
            <w:r>
              <w:rPr>
                <w:color w:val="auto"/>
                <w:kern w:val="21"/>
                <w:sz w:val="21"/>
                <w:szCs w:val="21"/>
                <w:vertAlign w:val="superscript"/>
                <w:lang w:bidi="ar"/>
              </w:rPr>
              <w:t>2</w:t>
            </w:r>
            <w:r>
              <w:rPr>
                <w:color w:val="auto"/>
                <w:kern w:val="21"/>
                <w:sz w:val="21"/>
                <w:szCs w:val="21"/>
                <w:lang w:bidi="ar"/>
              </w:rPr>
              <w:t>/O生化池</w:t>
            </w:r>
          </w:p>
        </w:tc>
        <w:tc>
          <w:tcPr>
            <w:tcW w:w="196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rPr>
              <w:t>低速推流器</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N=2.2kw，叶轮直径1100mm，池深7m</w:t>
            </w:r>
          </w:p>
        </w:tc>
        <w:tc>
          <w:tcPr>
            <w:tcW w:w="824" w:type="dxa"/>
            <w:vAlign w:val="center"/>
          </w:tcPr>
          <w:p>
            <w:pPr>
              <w:adjustRightInd w:val="0"/>
              <w:snapToGrid w:val="0"/>
              <w:spacing w:line="240" w:lineRule="auto"/>
              <w:ind w:firstLine="0" w:firstLineChars="0"/>
              <w:jc w:val="center"/>
              <w:rPr>
                <w:color w:val="auto"/>
                <w:kern w:val="21"/>
                <w:sz w:val="21"/>
                <w:szCs w:val="21"/>
              </w:rPr>
            </w:pPr>
            <w:r>
              <w:rPr>
                <w:rFonts w:hint="eastAsia"/>
                <w:color w:val="auto"/>
                <w:kern w:val="21"/>
                <w:sz w:val="21"/>
                <w:szCs w:val="21"/>
              </w:rPr>
              <w:t>1台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11</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厌氧池混合搅拌机</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N=1.5kw，叶轮直径260mm，池深7m</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12</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缺氧池至厌氧回流泵</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Q=105m³/h</w:t>
            </w:r>
            <w:r>
              <w:rPr>
                <w:rFonts w:eastAsia="楷体"/>
                <w:color w:val="auto"/>
                <w:kern w:val="21"/>
                <w:sz w:val="21"/>
                <w:szCs w:val="21"/>
                <w:lang w:bidi="ar"/>
              </w:rPr>
              <w:t>，</w:t>
            </w:r>
            <w:r>
              <w:rPr>
                <w:color w:val="auto"/>
                <w:kern w:val="21"/>
                <w:sz w:val="21"/>
                <w:szCs w:val="21"/>
                <w:lang w:bidi="ar"/>
              </w:rPr>
              <w:t>H=1.0m</w:t>
            </w:r>
            <w:r>
              <w:rPr>
                <w:rFonts w:eastAsia="楷体"/>
                <w:color w:val="auto"/>
                <w:kern w:val="21"/>
                <w:sz w:val="21"/>
                <w:szCs w:val="21"/>
                <w:lang w:bidi="ar"/>
              </w:rPr>
              <w:t>，</w:t>
            </w:r>
            <w:r>
              <w:rPr>
                <w:color w:val="auto"/>
                <w:kern w:val="21"/>
                <w:sz w:val="21"/>
                <w:szCs w:val="21"/>
                <w:lang w:bidi="ar"/>
              </w:rPr>
              <w:t>N=2.20kw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6台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4用2备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13</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好氧至缺氧回流泵</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Q=160m³/h</w:t>
            </w:r>
            <w:r>
              <w:rPr>
                <w:rFonts w:eastAsia="楷体"/>
                <w:color w:val="auto"/>
                <w:kern w:val="21"/>
                <w:sz w:val="21"/>
                <w:szCs w:val="21"/>
                <w:lang w:bidi="ar"/>
              </w:rPr>
              <w:t>，</w:t>
            </w:r>
            <w:r>
              <w:rPr>
                <w:color w:val="auto"/>
                <w:kern w:val="21"/>
                <w:sz w:val="21"/>
                <w:szCs w:val="21"/>
                <w:lang w:bidi="ar"/>
              </w:rPr>
              <w:t>H=1.0m</w:t>
            </w:r>
            <w:r>
              <w:rPr>
                <w:rFonts w:eastAsia="楷体"/>
                <w:color w:val="auto"/>
                <w:kern w:val="21"/>
                <w:sz w:val="21"/>
                <w:szCs w:val="21"/>
                <w:lang w:bidi="ar"/>
              </w:rPr>
              <w:t>，</w:t>
            </w:r>
            <w:r>
              <w:rPr>
                <w:color w:val="auto"/>
                <w:kern w:val="21"/>
                <w:sz w:val="21"/>
                <w:szCs w:val="21"/>
                <w:lang w:bidi="ar"/>
              </w:rPr>
              <w:t>N=2.20kw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6台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4用2备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14</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膜池至好氧池回流泵</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Q=270m³/h</w:t>
            </w:r>
            <w:r>
              <w:rPr>
                <w:rFonts w:eastAsia="楷体"/>
                <w:color w:val="auto"/>
                <w:kern w:val="21"/>
                <w:sz w:val="21"/>
                <w:szCs w:val="21"/>
                <w:lang w:bidi="ar"/>
              </w:rPr>
              <w:t>，</w:t>
            </w:r>
            <w:r>
              <w:rPr>
                <w:color w:val="auto"/>
                <w:kern w:val="21"/>
                <w:sz w:val="21"/>
                <w:szCs w:val="21"/>
                <w:lang w:bidi="ar"/>
              </w:rPr>
              <w:t>H=1.5m</w:t>
            </w:r>
            <w:r>
              <w:rPr>
                <w:rFonts w:eastAsia="楷体"/>
                <w:color w:val="auto"/>
                <w:kern w:val="21"/>
                <w:sz w:val="21"/>
                <w:szCs w:val="21"/>
                <w:lang w:bidi="ar"/>
              </w:rPr>
              <w:t>，</w:t>
            </w:r>
            <w:r>
              <w:rPr>
                <w:color w:val="auto"/>
                <w:kern w:val="21"/>
                <w:sz w:val="21"/>
                <w:szCs w:val="21"/>
                <w:lang w:bidi="ar"/>
              </w:rPr>
              <w:t>N=5.50kw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6台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4用2备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15</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冲洗水泵</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Q=20m</w:t>
            </w:r>
            <w:r>
              <w:rPr>
                <w:color w:val="auto"/>
                <w:kern w:val="21"/>
                <w:sz w:val="21"/>
                <w:szCs w:val="21"/>
                <w:vertAlign w:val="superscript"/>
                <w:lang w:bidi="ar"/>
              </w:rPr>
              <w:t>3</w:t>
            </w:r>
            <w:r>
              <w:rPr>
                <w:color w:val="auto"/>
                <w:kern w:val="21"/>
                <w:sz w:val="21"/>
                <w:szCs w:val="21"/>
                <w:lang w:bidi="ar"/>
              </w:rPr>
              <w:t>/h</w:t>
            </w:r>
            <w:r>
              <w:rPr>
                <w:rFonts w:eastAsia="楷体"/>
                <w:color w:val="auto"/>
                <w:kern w:val="21"/>
                <w:sz w:val="21"/>
                <w:szCs w:val="21"/>
                <w:lang w:bidi="ar"/>
              </w:rPr>
              <w:t>，</w:t>
            </w:r>
            <w:r>
              <w:rPr>
                <w:color w:val="auto"/>
                <w:kern w:val="21"/>
                <w:sz w:val="21"/>
                <w:szCs w:val="21"/>
                <w:lang w:bidi="ar"/>
              </w:rPr>
              <w:t>H=100m，22kw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1备1用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16</w:t>
            </w:r>
          </w:p>
        </w:tc>
        <w:tc>
          <w:tcPr>
            <w:tcW w:w="1070"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MBR膜池及设备间</w:t>
            </w:r>
          </w:p>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膜组器</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平均产水量834m³/d·组，PVDF中空纤维带衬膜</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6组</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17</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不锈钢软管</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DN125，2.5m/根，SS316，含1个法兰、1个快速接头</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6根</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18</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手电动铸铁镶铜方闸门</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800×800mm</w:t>
            </w:r>
            <w:r>
              <w:rPr>
                <w:rFonts w:hint="eastAsia"/>
                <w:color w:val="auto"/>
                <w:kern w:val="21"/>
                <w:sz w:val="21"/>
                <w:szCs w:val="21"/>
                <w:lang w:bidi="ar"/>
              </w:rPr>
              <w:t>，</w:t>
            </w:r>
            <w:r>
              <w:rPr>
                <w:color w:val="auto"/>
                <w:kern w:val="21"/>
                <w:sz w:val="21"/>
                <w:szCs w:val="21"/>
                <w:lang w:bidi="ar"/>
              </w:rPr>
              <w:t>H=4.6m</w:t>
            </w:r>
            <w:r>
              <w:rPr>
                <w:rFonts w:hint="eastAsia"/>
                <w:color w:val="auto"/>
                <w:kern w:val="21"/>
                <w:sz w:val="21"/>
                <w:szCs w:val="21"/>
                <w:lang w:bidi="ar"/>
              </w:rPr>
              <w:t>，</w:t>
            </w:r>
            <w:r>
              <w:rPr>
                <w:color w:val="auto"/>
                <w:kern w:val="21"/>
                <w:sz w:val="21"/>
                <w:szCs w:val="21"/>
                <w:lang w:bidi="ar"/>
              </w:rPr>
              <w:t>N=0.75kw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19</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手电动调节堰门</w:t>
            </w:r>
          </w:p>
        </w:tc>
        <w:tc>
          <w:tcPr>
            <w:tcW w:w="37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lang w:bidi="ar"/>
              </w:rPr>
              <w:t>800×800mm</w:t>
            </w:r>
            <w:r>
              <w:rPr>
                <w:rFonts w:hint="eastAsia"/>
                <w:color w:val="auto"/>
                <w:kern w:val="21"/>
                <w:sz w:val="21"/>
                <w:szCs w:val="21"/>
                <w:lang w:bidi="ar"/>
              </w:rPr>
              <w:t>，</w:t>
            </w:r>
            <w:r>
              <w:rPr>
                <w:color w:val="auto"/>
                <w:kern w:val="21"/>
                <w:sz w:val="21"/>
                <w:szCs w:val="21"/>
                <w:lang w:bidi="ar"/>
              </w:rPr>
              <w:t>H=1.5m</w:t>
            </w:r>
            <w:r>
              <w:rPr>
                <w:rFonts w:hint="eastAsia"/>
                <w:color w:val="auto"/>
                <w:kern w:val="21"/>
                <w:sz w:val="21"/>
                <w:szCs w:val="21"/>
                <w:lang w:bidi="ar"/>
              </w:rPr>
              <w:t>，</w:t>
            </w:r>
            <w:r>
              <w:rPr>
                <w:color w:val="auto"/>
                <w:kern w:val="21"/>
                <w:sz w:val="21"/>
                <w:szCs w:val="21"/>
                <w:lang w:bidi="ar"/>
              </w:rPr>
              <w:t>N=0.75kw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20</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电动单梁起重机</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5T，跨度9m，行程22.7m，起吊高度12m，N=1.5×2+7.5+0.8kw，室外</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21</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产水泵</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Q=167m³/h，H=10m</w:t>
            </w:r>
            <w:r>
              <w:rPr>
                <w:rFonts w:hint="eastAsia"/>
                <w:color w:val="auto"/>
                <w:kern w:val="21"/>
                <w:sz w:val="21"/>
                <w:szCs w:val="21"/>
                <w:lang w:bidi="ar"/>
              </w:rPr>
              <w:t>，</w:t>
            </w:r>
            <w:r>
              <w:rPr>
                <w:color w:val="auto"/>
                <w:kern w:val="21"/>
                <w:sz w:val="21"/>
                <w:szCs w:val="21"/>
                <w:lang w:bidi="ar"/>
              </w:rPr>
              <w:t>N=7.5kw，变频控制</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22</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CIP泵</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Q=120m³/h</w:t>
            </w:r>
            <w:r>
              <w:rPr>
                <w:rFonts w:hint="eastAsia"/>
                <w:color w:val="auto"/>
                <w:kern w:val="21"/>
                <w:sz w:val="21"/>
                <w:szCs w:val="21"/>
                <w:lang w:bidi="ar"/>
              </w:rPr>
              <w:t>，</w:t>
            </w:r>
            <w:r>
              <w:rPr>
                <w:color w:val="auto"/>
                <w:kern w:val="21"/>
                <w:sz w:val="21"/>
                <w:szCs w:val="21"/>
                <w:lang w:bidi="ar"/>
              </w:rPr>
              <w:t>H=12m</w:t>
            </w:r>
            <w:r>
              <w:rPr>
                <w:rFonts w:hint="eastAsia"/>
                <w:color w:val="auto"/>
                <w:kern w:val="21"/>
                <w:sz w:val="21"/>
                <w:szCs w:val="21"/>
                <w:lang w:bidi="ar"/>
              </w:rPr>
              <w:t>，</w:t>
            </w:r>
            <w:r>
              <w:rPr>
                <w:color w:val="auto"/>
                <w:kern w:val="21"/>
                <w:sz w:val="21"/>
                <w:szCs w:val="21"/>
                <w:lang w:bidi="ar"/>
              </w:rPr>
              <w:t>N=7.5kw，变频控制</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2台</w:t>
            </w:r>
          </w:p>
        </w:tc>
        <w:tc>
          <w:tcPr>
            <w:tcW w:w="1065"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23</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液环真空泵</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Q=165m³/h</w:t>
            </w:r>
            <w:r>
              <w:rPr>
                <w:rFonts w:hint="eastAsia"/>
                <w:color w:val="auto"/>
                <w:kern w:val="21"/>
                <w:sz w:val="21"/>
                <w:szCs w:val="21"/>
                <w:lang w:bidi="ar"/>
              </w:rPr>
              <w:t>，</w:t>
            </w:r>
            <w:r>
              <w:rPr>
                <w:color w:val="auto"/>
                <w:kern w:val="21"/>
                <w:sz w:val="21"/>
                <w:szCs w:val="21"/>
                <w:lang w:bidi="ar"/>
              </w:rPr>
              <w:t>最大真空度</w:t>
            </w:r>
            <w:r>
              <w:rPr>
                <w:rFonts w:hint="eastAsia"/>
                <w:color w:val="auto"/>
                <w:kern w:val="21"/>
                <w:sz w:val="21"/>
                <w:szCs w:val="21"/>
                <w:lang w:bidi="ar"/>
              </w:rPr>
              <w:t>：</w:t>
            </w:r>
            <w:r>
              <w:rPr>
                <w:color w:val="auto"/>
                <w:kern w:val="21"/>
                <w:sz w:val="21"/>
                <w:szCs w:val="21"/>
                <w:lang w:bidi="ar"/>
              </w:rPr>
              <w:t>84%</w:t>
            </w:r>
            <w:r>
              <w:rPr>
                <w:rFonts w:hint="eastAsia"/>
                <w:color w:val="auto"/>
                <w:kern w:val="21"/>
                <w:sz w:val="21"/>
                <w:szCs w:val="21"/>
                <w:lang w:bidi="ar"/>
              </w:rPr>
              <w:t>，</w:t>
            </w:r>
            <w:r>
              <w:rPr>
                <w:color w:val="auto"/>
                <w:kern w:val="21"/>
                <w:sz w:val="21"/>
                <w:szCs w:val="21"/>
                <w:lang w:bidi="ar"/>
              </w:rPr>
              <w:t>N=4kw；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2台</w:t>
            </w:r>
          </w:p>
        </w:tc>
        <w:tc>
          <w:tcPr>
            <w:tcW w:w="1065"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24</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空压机</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排气量1.0m³/min，排气压力0.85MPa，N=7.5kw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lang w:bidi="ar"/>
              </w:rPr>
              <w:t>2台</w:t>
            </w:r>
          </w:p>
        </w:tc>
        <w:tc>
          <w:tcPr>
            <w:tcW w:w="1065"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25</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压缩空气罐</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V=1m³，工作压力1.0MPa</w:t>
            </w:r>
          </w:p>
        </w:tc>
        <w:tc>
          <w:tcPr>
            <w:tcW w:w="824" w:type="dxa"/>
            <w:vAlign w:val="center"/>
          </w:tcPr>
          <w:p>
            <w:pPr>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1个</w:t>
            </w:r>
          </w:p>
        </w:tc>
        <w:tc>
          <w:tcPr>
            <w:tcW w:w="1065" w:type="dxa"/>
            <w:vAlign w:val="center"/>
          </w:tcPr>
          <w:p>
            <w:pPr>
              <w:widowControl/>
              <w:adjustRightInd w:val="0"/>
              <w:snapToGrid w:val="0"/>
              <w:spacing w:line="240" w:lineRule="auto"/>
              <w:ind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26</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柠檬酸储罐</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V=5m³，PE</w:t>
            </w:r>
          </w:p>
        </w:tc>
        <w:tc>
          <w:tcPr>
            <w:tcW w:w="8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1个</w:t>
            </w:r>
          </w:p>
        </w:tc>
        <w:tc>
          <w:tcPr>
            <w:tcW w:w="1065" w:type="dxa"/>
            <w:vAlign w:val="center"/>
          </w:tcPr>
          <w:p>
            <w:pPr>
              <w:widowControl/>
              <w:adjustRightInd w:val="0"/>
              <w:snapToGrid w:val="0"/>
              <w:spacing w:line="240" w:lineRule="auto"/>
              <w:ind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27</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次氯酸钠储罐</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V=5m³，PE</w:t>
            </w:r>
          </w:p>
        </w:tc>
        <w:tc>
          <w:tcPr>
            <w:tcW w:w="8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1个</w:t>
            </w:r>
          </w:p>
        </w:tc>
        <w:tc>
          <w:tcPr>
            <w:tcW w:w="1065" w:type="dxa"/>
            <w:vAlign w:val="center"/>
          </w:tcPr>
          <w:p>
            <w:pPr>
              <w:widowControl/>
              <w:adjustRightInd w:val="0"/>
              <w:snapToGrid w:val="0"/>
              <w:spacing w:line="240" w:lineRule="auto"/>
              <w:ind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28</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柠檬酸加药泵</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Q=1500L/h</w:t>
            </w:r>
            <w:r>
              <w:rPr>
                <w:rFonts w:hint="eastAsia"/>
                <w:color w:val="auto"/>
                <w:kern w:val="21"/>
                <w:sz w:val="21"/>
                <w:szCs w:val="21"/>
                <w:lang w:bidi="ar"/>
              </w:rPr>
              <w:t>，</w:t>
            </w:r>
            <w:r>
              <w:rPr>
                <w:color w:val="auto"/>
                <w:kern w:val="21"/>
                <w:sz w:val="21"/>
                <w:szCs w:val="21"/>
                <w:lang w:bidi="ar"/>
              </w:rPr>
              <w:t>3bar</w:t>
            </w:r>
            <w:r>
              <w:rPr>
                <w:rFonts w:hint="eastAsia"/>
                <w:color w:val="auto"/>
                <w:kern w:val="21"/>
                <w:sz w:val="21"/>
                <w:szCs w:val="21"/>
                <w:lang w:bidi="ar"/>
              </w:rPr>
              <w:t>，</w:t>
            </w:r>
            <w:r>
              <w:rPr>
                <w:color w:val="auto"/>
                <w:kern w:val="21"/>
                <w:sz w:val="21"/>
                <w:szCs w:val="21"/>
                <w:lang w:bidi="ar"/>
              </w:rPr>
              <w:t>N=0.75kw</w:t>
            </w:r>
          </w:p>
        </w:tc>
        <w:tc>
          <w:tcPr>
            <w:tcW w:w="8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2台</w:t>
            </w:r>
          </w:p>
        </w:tc>
        <w:tc>
          <w:tcPr>
            <w:tcW w:w="1065" w:type="dxa"/>
            <w:vAlign w:val="center"/>
          </w:tcPr>
          <w:p>
            <w:pPr>
              <w:widowControl/>
              <w:adjustRightInd w:val="0"/>
              <w:snapToGrid w:val="0"/>
              <w:spacing w:line="240" w:lineRule="auto"/>
              <w:ind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29</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设备间排水泵</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Q=15m³/h</w:t>
            </w:r>
            <w:r>
              <w:rPr>
                <w:rFonts w:hint="eastAsia"/>
                <w:color w:val="auto"/>
                <w:kern w:val="21"/>
                <w:sz w:val="21"/>
                <w:szCs w:val="21"/>
                <w:lang w:bidi="ar"/>
              </w:rPr>
              <w:t>，</w:t>
            </w:r>
            <w:r>
              <w:rPr>
                <w:color w:val="auto"/>
                <w:kern w:val="21"/>
                <w:sz w:val="21"/>
                <w:szCs w:val="21"/>
                <w:lang w:bidi="ar"/>
              </w:rPr>
              <w:t>H=10m</w:t>
            </w:r>
            <w:r>
              <w:rPr>
                <w:rFonts w:hint="eastAsia"/>
                <w:color w:val="auto"/>
                <w:kern w:val="21"/>
                <w:sz w:val="21"/>
                <w:szCs w:val="21"/>
                <w:lang w:bidi="ar"/>
              </w:rPr>
              <w:t>，</w:t>
            </w:r>
            <w:r>
              <w:rPr>
                <w:color w:val="auto"/>
                <w:kern w:val="21"/>
                <w:sz w:val="21"/>
                <w:szCs w:val="21"/>
                <w:lang w:bidi="ar"/>
              </w:rPr>
              <w:t>N=1.1kw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lang w:bidi="ar"/>
              </w:rPr>
              <w:t>2台</w:t>
            </w:r>
          </w:p>
        </w:tc>
        <w:tc>
          <w:tcPr>
            <w:tcW w:w="1065"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30</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剩余污泥泵</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Q=25m³/h，H=20m，吸程4m，N=3.0kw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lang w:bidi="ar"/>
              </w:rPr>
              <w:t>2台</w:t>
            </w:r>
          </w:p>
        </w:tc>
        <w:tc>
          <w:tcPr>
            <w:tcW w:w="1065"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31</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MBR池鼓风机</w:t>
            </w:r>
          </w:p>
        </w:tc>
        <w:tc>
          <w:tcPr>
            <w:tcW w:w="37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Q=114m³/min，P=44.1kPa，N=132kW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lang w:bidi="ar"/>
              </w:rPr>
              <w:t>4台</w:t>
            </w:r>
          </w:p>
        </w:tc>
        <w:tc>
          <w:tcPr>
            <w:tcW w:w="1065"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3用1备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32</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在线MLSS仪</w:t>
            </w:r>
          </w:p>
        </w:tc>
        <w:tc>
          <w:tcPr>
            <w:tcW w:w="37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量程0~20g/L</w:t>
            </w:r>
            <w:r>
              <w:rPr>
                <w:rFonts w:hint="eastAsia"/>
                <w:color w:val="auto"/>
                <w:kern w:val="21"/>
                <w:sz w:val="21"/>
                <w:szCs w:val="21"/>
              </w:rPr>
              <w:t>，</w:t>
            </w:r>
            <w:r>
              <w:rPr>
                <w:color w:val="auto"/>
                <w:kern w:val="21"/>
                <w:sz w:val="21"/>
                <w:szCs w:val="21"/>
              </w:rPr>
              <w:t>输出信号4~20mA</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33</w:t>
            </w:r>
          </w:p>
        </w:tc>
        <w:tc>
          <w:tcPr>
            <w:tcW w:w="1070"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污泥脱水车间</w:t>
            </w:r>
          </w:p>
        </w:tc>
        <w:tc>
          <w:tcPr>
            <w:tcW w:w="1960" w:type="dxa"/>
            <w:vAlign w:val="center"/>
          </w:tcPr>
          <w:p>
            <w:pPr>
              <w:adjustRightInd w:val="0"/>
              <w:snapToGrid w:val="0"/>
              <w:spacing w:line="240" w:lineRule="auto"/>
              <w:ind w:firstLine="0" w:firstLineChars="0"/>
              <w:jc w:val="center"/>
              <w:rPr>
                <w:color w:val="auto"/>
                <w:kern w:val="21"/>
                <w:sz w:val="21"/>
                <w:szCs w:val="21"/>
              </w:rPr>
            </w:pPr>
            <w:r>
              <w:rPr>
                <w:rFonts w:hint="eastAsia"/>
                <w:color w:val="auto"/>
                <w:kern w:val="21"/>
                <w:sz w:val="21"/>
                <w:szCs w:val="21"/>
              </w:rPr>
              <w:t>板框</w:t>
            </w:r>
            <w:r>
              <w:rPr>
                <w:color w:val="auto"/>
                <w:kern w:val="21"/>
                <w:sz w:val="21"/>
                <w:szCs w:val="21"/>
              </w:rPr>
              <w:t>压滤机</w:t>
            </w:r>
          </w:p>
        </w:tc>
        <w:tc>
          <w:tcPr>
            <w:tcW w:w="37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过滤面积40㎡，P=8.8kW</w:t>
            </w:r>
            <w:r>
              <w:rPr>
                <w:rFonts w:hint="eastAsia"/>
                <w:color w:val="auto"/>
                <w:kern w:val="21"/>
                <w:sz w:val="21"/>
                <w:szCs w:val="21"/>
              </w:rPr>
              <w:t>，</w:t>
            </w:r>
            <w:r>
              <w:rPr>
                <w:color w:val="auto"/>
                <w:kern w:val="21"/>
                <w:sz w:val="21"/>
                <w:szCs w:val="21"/>
              </w:rPr>
              <w:t>滤室容积</w:t>
            </w:r>
          </w:p>
          <w:p>
            <w:pPr>
              <w:adjustRightInd w:val="0"/>
              <w:snapToGrid w:val="0"/>
              <w:spacing w:line="240" w:lineRule="auto"/>
              <w:ind w:firstLine="0" w:firstLineChars="0"/>
              <w:jc w:val="center"/>
              <w:rPr>
                <w:color w:val="auto"/>
                <w:kern w:val="21"/>
                <w:sz w:val="21"/>
                <w:szCs w:val="21"/>
              </w:rPr>
            </w:pPr>
            <w:r>
              <w:rPr>
                <w:color w:val="auto"/>
                <w:kern w:val="21"/>
                <w:sz w:val="21"/>
                <w:szCs w:val="21"/>
              </w:rPr>
              <w:t>0.7m³</w:t>
            </w:r>
            <w:r>
              <w:rPr>
                <w:rFonts w:hint="eastAsia"/>
                <w:color w:val="auto"/>
                <w:kern w:val="21"/>
                <w:sz w:val="21"/>
                <w:szCs w:val="21"/>
              </w:rPr>
              <w:t>，</w:t>
            </w:r>
            <w:r>
              <w:rPr>
                <w:color w:val="auto"/>
                <w:kern w:val="21"/>
                <w:sz w:val="21"/>
                <w:szCs w:val="21"/>
              </w:rPr>
              <w:t>滤板尺寸0.8x0.8m，过滤压力≤0.8MPa，压榨压力≤1.5MPa</w:t>
            </w:r>
          </w:p>
        </w:tc>
        <w:tc>
          <w:tcPr>
            <w:tcW w:w="824" w:type="dxa"/>
            <w:vAlign w:val="center"/>
          </w:tcPr>
          <w:p>
            <w:pPr>
              <w:adjustRightInd w:val="0"/>
              <w:snapToGrid w:val="0"/>
              <w:spacing w:line="240" w:lineRule="auto"/>
              <w:ind w:firstLine="0" w:firstLineChars="0"/>
              <w:jc w:val="center"/>
              <w:rPr>
                <w:color w:val="auto"/>
                <w:kern w:val="21"/>
                <w:sz w:val="21"/>
                <w:szCs w:val="21"/>
              </w:rPr>
            </w:pPr>
            <w:r>
              <w:rPr>
                <w:rFonts w:hint="eastAsia"/>
                <w:color w:val="auto"/>
                <w:kern w:val="21"/>
                <w:sz w:val="21"/>
                <w:szCs w:val="21"/>
              </w:rPr>
              <w:t>2</w:t>
            </w:r>
            <w:r>
              <w:rPr>
                <w:color w:val="auto"/>
                <w:kern w:val="21"/>
                <w:sz w:val="21"/>
                <w:szCs w:val="21"/>
              </w:rPr>
              <w:t>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34</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调理剂储罐</w:t>
            </w:r>
          </w:p>
        </w:tc>
        <w:tc>
          <w:tcPr>
            <w:tcW w:w="37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V=3m³</w:t>
            </w:r>
            <w:r>
              <w:rPr>
                <w:rFonts w:hint="eastAsia"/>
                <w:color w:val="auto"/>
                <w:kern w:val="21"/>
                <w:sz w:val="21"/>
                <w:szCs w:val="21"/>
              </w:rPr>
              <w:t>，</w:t>
            </w:r>
            <w:r>
              <w:rPr>
                <w:color w:val="auto"/>
                <w:kern w:val="21"/>
                <w:sz w:val="21"/>
                <w:szCs w:val="21"/>
              </w:rPr>
              <w:t>PE材质，2套（带搅拌机）</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35</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PAM储罐</w:t>
            </w:r>
          </w:p>
        </w:tc>
        <w:tc>
          <w:tcPr>
            <w:tcW w:w="37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V=3m³</w:t>
            </w:r>
            <w:r>
              <w:rPr>
                <w:rFonts w:hint="eastAsia"/>
                <w:color w:val="auto"/>
                <w:kern w:val="21"/>
                <w:sz w:val="21"/>
                <w:szCs w:val="21"/>
              </w:rPr>
              <w:t>，</w:t>
            </w:r>
            <w:r>
              <w:rPr>
                <w:color w:val="auto"/>
                <w:kern w:val="21"/>
                <w:sz w:val="21"/>
                <w:szCs w:val="21"/>
              </w:rPr>
              <w:t>PE材质，2套（带搅拌机</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36</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PAC储罐</w:t>
            </w:r>
          </w:p>
        </w:tc>
        <w:tc>
          <w:tcPr>
            <w:tcW w:w="37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V=3m³</w:t>
            </w:r>
            <w:r>
              <w:rPr>
                <w:rFonts w:hint="eastAsia"/>
                <w:color w:val="auto"/>
                <w:kern w:val="21"/>
                <w:sz w:val="21"/>
                <w:szCs w:val="21"/>
              </w:rPr>
              <w:t>，</w:t>
            </w:r>
            <w:r>
              <w:rPr>
                <w:color w:val="auto"/>
                <w:kern w:val="21"/>
                <w:sz w:val="21"/>
                <w:szCs w:val="21"/>
              </w:rPr>
              <w:t>PE材质，2套（带搅拌机</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37</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污泥进料螺杆泵</w:t>
            </w:r>
          </w:p>
        </w:tc>
        <w:tc>
          <w:tcPr>
            <w:tcW w:w="37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Q=10m³/h，H=1.2MPa，P=5.5Kw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38</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清洗水立式多级离心泵组</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Q=6m³/h</w:t>
            </w:r>
            <w:r>
              <w:rPr>
                <w:rFonts w:eastAsia="楷体"/>
                <w:color w:val="auto"/>
                <w:kern w:val="21"/>
                <w:sz w:val="21"/>
                <w:szCs w:val="21"/>
                <w:lang w:bidi="ar"/>
              </w:rPr>
              <w:t>，</w:t>
            </w:r>
            <w:r>
              <w:rPr>
                <w:color w:val="auto"/>
                <w:kern w:val="21"/>
                <w:sz w:val="21"/>
                <w:szCs w:val="21"/>
                <w:lang w:bidi="ar"/>
              </w:rPr>
              <w:t>H=397m</w:t>
            </w:r>
            <w:r>
              <w:rPr>
                <w:rFonts w:eastAsia="楷体"/>
                <w:color w:val="auto"/>
                <w:kern w:val="21"/>
                <w:sz w:val="21"/>
                <w:szCs w:val="21"/>
                <w:lang w:bidi="ar"/>
              </w:rPr>
              <w:t>，</w:t>
            </w:r>
            <w:r>
              <w:rPr>
                <w:color w:val="auto"/>
                <w:kern w:val="21"/>
                <w:sz w:val="21"/>
                <w:szCs w:val="21"/>
                <w:lang w:bidi="ar"/>
              </w:rPr>
              <w:t>P=2X7.5Kw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39</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清洗水立式多级离心泵</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Q=6m³/h</w:t>
            </w:r>
            <w:r>
              <w:rPr>
                <w:rFonts w:eastAsia="楷体"/>
                <w:color w:val="auto"/>
                <w:kern w:val="21"/>
                <w:sz w:val="21"/>
                <w:szCs w:val="21"/>
                <w:lang w:bidi="ar"/>
              </w:rPr>
              <w:t>，</w:t>
            </w:r>
            <w:r>
              <w:rPr>
                <w:color w:val="auto"/>
                <w:kern w:val="21"/>
                <w:sz w:val="21"/>
                <w:szCs w:val="21"/>
                <w:lang w:bidi="ar"/>
              </w:rPr>
              <w:t>H=197m</w:t>
            </w:r>
            <w:r>
              <w:rPr>
                <w:rFonts w:eastAsia="楷体"/>
                <w:color w:val="auto"/>
                <w:kern w:val="21"/>
                <w:sz w:val="21"/>
                <w:szCs w:val="21"/>
                <w:lang w:bidi="ar"/>
              </w:rPr>
              <w:t>，</w:t>
            </w:r>
            <w:r>
              <w:rPr>
                <w:color w:val="auto"/>
                <w:kern w:val="21"/>
                <w:sz w:val="21"/>
                <w:szCs w:val="21"/>
                <w:lang w:bidi="ar"/>
              </w:rPr>
              <w:t>P=7.5Kw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40</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压榨水立式多级离心泵</w:t>
            </w:r>
          </w:p>
        </w:tc>
        <w:tc>
          <w:tcPr>
            <w:tcW w:w="3724"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Q=2m³/h</w:t>
            </w:r>
            <w:r>
              <w:rPr>
                <w:rFonts w:eastAsia="楷体"/>
                <w:color w:val="auto"/>
                <w:kern w:val="21"/>
                <w:sz w:val="21"/>
                <w:szCs w:val="21"/>
                <w:lang w:bidi="ar"/>
              </w:rPr>
              <w:t>，</w:t>
            </w:r>
            <w:r>
              <w:rPr>
                <w:color w:val="auto"/>
                <w:kern w:val="21"/>
                <w:sz w:val="21"/>
                <w:szCs w:val="21"/>
                <w:lang w:bidi="ar"/>
              </w:rPr>
              <w:t>H=200m</w:t>
            </w:r>
            <w:r>
              <w:rPr>
                <w:rFonts w:eastAsia="楷体"/>
                <w:color w:val="auto"/>
                <w:kern w:val="21"/>
                <w:sz w:val="21"/>
                <w:szCs w:val="21"/>
                <w:lang w:bidi="ar"/>
              </w:rPr>
              <w:t>，</w:t>
            </w:r>
            <w:r>
              <w:rPr>
                <w:color w:val="auto"/>
                <w:kern w:val="21"/>
                <w:sz w:val="21"/>
                <w:szCs w:val="21"/>
                <w:lang w:bidi="ar"/>
              </w:rPr>
              <w:t>P=4Kw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41</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计量泵</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Q=0~500L/h，H=4bar，P=0.55kW</w:t>
            </w:r>
          </w:p>
        </w:tc>
        <w:tc>
          <w:tcPr>
            <w:tcW w:w="82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2台</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42</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清洗水储罐</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V=3m³</w:t>
            </w:r>
            <w:r>
              <w:rPr>
                <w:rFonts w:eastAsia="楷体"/>
                <w:color w:val="auto"/>
                <w:kern w:val="21"/>
                <w:sz w:val="21"/>
                <w:szCs w:val="21"/>
                <w:lang w:bidi="ar"/>
              </w:rPr>
              <w:t>，</w:t>
            </w:r>
            <w:r>
              <w:rPr>
                <w:color w:val="auto"/>
                <w:kern w:val="21"/>
                <w:sz w:val="21"/>
                <w:szCs w:val="21"/>
                <w:lang w:bidi="ar"/>
              </w:rPr>
              <w:t>PE材质</w:t>
            </w:r>
          </w:p>
        </w:tc>
        <w:tc>
          <w:tcPr>
            <w:tcW w:w="8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1套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43</w:t>
            </w:r>
          </w:p>
        </w:tc>
        <w:tc>
          <w:tcPr>
            <w:tcW w:w="1070" w:type="dxa"/>
            <w:vMerge w:val="continue"/>
            <w:vAlign w:val="center"/>
          </w:tcPr>
          <w:p>
            <w:pPr>
              <w:adjustRightInd w:val="0"/>
              <w:snapToGrid w:val="0"/>
              <w:spacing w:line="240" w:lineRule="auto"/>
              <w:ind w:firstLine="0" w:firstLineChars="0"/>
              <w:jc w:val="center"/>
              <w:rPr>
                <w:color w:val="auto"/>
                <w:kern w:val="21"/>
                <w:sz w:val="21"/>
                <w:szCs w:val="21"/>
              </w:rPr>
            </w:pPr>
          </w:p>
        </w:tc>
        <w:tc>
          <w:tcPr>
            <w:tcW w:w="196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压榨水储罐</w:t>
            </w:r>
          </w:p>
        </w:tc>
        <w:tc>
          <w:tcPr>
            <w:tcW w:w="37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V=3m³</w:t>
            </w:r>
            <w:r>
              <w:rPr>
                <w:rFonts w:eastAsia="楷体"/>
                <w:color w:val="auto"/>
                <w:kern w:val="21"/>
                <w:sz w:val="21"/>
                <w:szCs w:val="21"/>
                <w:lang w:bidi="ar"/>
              </w:rPr>
              <w:t>，</w:t>
            </w:r>
            <w:r>
              <w:rPr>
                <w:color w:val="auto"/>
                <w:kern w:val="21"/>
                <w:sz w:val="21"/>
                <w:szCs w:val="21"/>
                <w:lang w:bidi="ar"/>
              </w:rPr>
              <w:t>PE材质</w:t>
            </w:r>
          </w:p>
        </w:tc>
        <w:tc>
          <w:tcPr>
            <w:tcW w:w="824"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1套</w:t>
            </w:r>
          </w:p>
        </w:tc>
        <w:tc>
          <w:tcPr>
            <w:tcW w:w="1065" w:type="dxa"/>
            <w:vAlign w:val="center"/>
          </w:tcPr>
          <w:p>
            <w:pPr>
              <w:adjustRightInd w:val="0"/>
              <w:snapToGrid w:val="0"/>
              <w:spacing w:line="240" w:lineRule="auto"/>
              <w:ind w:firstLine="0" w:firstLineChars="0"/>
              <w:jc w:val="center"/>
              <w:textAlignment w:val="baseline"/>
              <w:rPr>
                <w:color w:val="auto"/>
                <w:kern w:val="21"/>
                <w:sz w:val="21"/>
                <w:szCs w:val="21"/>
              </w:rPr>
            </w:pPr>
          </w:p>
        </w:tc>
      </w:tr>
    </w:tbl>
    <w:p>
      <w:pPr>
        <w:pStyle w:val="6"/>
        <w:spacing w:after="0"/>
        <w:rPr>
          <w:rFonts w:eastAsia="宋体"/>
          <w:color w:val="auto"/>
          <w:kern w:val="21"/>
          <w:sz w:val="24"/>
          <w:szCs w:val="24"/>
        </w:rPr>
      </w:pPr>
      <w:bookmarkStart w:id="47" w:name="_Toc14518"/>
      <w:r>
        <w:rPr>
          <w:rFonts w:eastAsia="宋体"/>
          <w:color w:val="auto"/>
          <w:kern w:val="21"/>
          <w:sz w:val="24"/>
          <w:szCs w:val="24"/>
        </w:rPr>
        <w:t>3.1.1</w:t>
      </w:r>
      <w:r>
        <w:rPr>
          <w:rFonts w:hint="eastAsia" w:eastAsia="宋体"/>
          <w:color w:val="auto"/>
          <w:kern w:val="21"/>
          <w:sz w:val="24"/>
          <w:szCs w:val="24"/>
        </w:rPr>
        <w:t>1</w:t>
      </w:r>
      <w:r>
        <w:rPr>
          <w:rFonts w:eastAsia="宋体"/>
          <w:color w:val="auto"/>
          <w:kern w:val="21"/>
          <w:sz w:val="24"/>
          <w:szCs w:val="24"/>
        </w:rPr>
        <w:t>生产制度及劳动定员</w:t>
      </w:r>
      <w:bookmarkEnd w:id="47"/>
    </w:p>
    <w:p>
      <w:pPr>
        <w:widowControl/>
        <w:ind w:firstLine="480"/>
        <w:jc w:val="left"/>
        <w:rPr>
          <w:color w:val="auto"/>
          <w:kern w:val="21"/>
        </w:rPr>
      </w:pPr>
      <w:r>
        <w:rPr>
          <w:color w:val="auto"/>
          <w:kern w:val="21"/>
          <w:lang w:bidi="ar"/>
        </w:rPr>
        <w:t>本项目年工作365天，</w:t>
      </w:r>
      <w:r>
        <w:rPr>
          <w:rFonts w:hint="eastAsia"/>
          <w:color w:val="auto"/>
          <w:kern w:val="21"/>
          <w:lang w:bidi="ar"/>
        </w:rPr>
        <w:t>处理设备24h运行。</w:t>
      </w:r>
      <w:r>
        <w:rPr>
          <w:color w:val="auto"/>
          <w:kern w:val="21"/>
          <w:lang w:bidi="ar"/>
        </w:rPr>
        <w:t>劳动定员共18人，技术及管理人员4人，生产人员14人，分“双班制”及“单班制”，在厂内食宿的为值班人员，一般在厂内值班的人员为9人。</w:t>
      </w:r>
    </w:p>
    <w:p>
      <w:pPr>
        <w:pStyle w:val="6"/>
        <w:spacing w:after="0"/>
        <w:rPr>
          <w:rFonts w:eastAsia="宋体"/>
          <w:color w:val="auto"/>
          <w:kern w:val="21"/>
          <w:sz w:val="24"/>
          <w:szCs w:val="24"/>
        </w:rPr>
      </w:pPr>
      <w:bookmarkStart w:id="48" w:name="_Toc12779"/>
      <w:r>
        <w:rPr>
          <w:rFonts w:eastAsia="宋体"/>
          <w:color w:val="auto"/>
          <w:kern w:val="21"/>
          <w:sz w:val="24"/>
          <w:szCs w:val="24"/>
        </w:rPr>
        <w:t>3.1.1</w:t>
      </w:r>
      <w:r>
        <w:rPr>
          <w:rFonts w:hint="eastAsia" w:eastAsia="宋体"/>
          <w:color w:val="auto"/>
          <w:kern w:val="21"/>
          <w:sz w:val="24"/>
          <w:szCs w:val="24"/>
        </w:rPr>
        <w:t>2</w:t>
      </w:r>
      <w:r>
        <w:rPr>
          <w:rFonts w:eastAsia="宋体"/>
          <w:color w:val="auto"/>
          <w:kern w:val="21"/>
          <w:sz w:val="24"/>
          <w:szCs w:val="24"/>
        </w:rPr>
        <w:t>公用辅助工程</w:t>
      </w:r>
      <w:bookmarkEnd w:id="48"/>
    </w:p>
    <w:p>
      <w:pPr>
        <w:pStyle w:val="8"/>
        <w:spacing w:before="0" w:after="0" w:line="360" w:lineRule="auto"/>
        <w:ind w:firstLine="0" w:firstLineChars="0"/>
        <w:rPr>
          <w:rStyle w:val="117"/>
          <w:rFonts w:ascii="Times New Roman" w:hAnsi="Times New Roman" w:eastAsia="宋体"/>
          <w:bCs w:val="0"/>
          <w:color w:val="auto"/>
          <w:kern w:val="21"/>
          <w:sz w:val="24"/>
          <w:szCs w:val="24"/>
        </w:rPr>
      </w:pPr>
      <w:bookmarkStart w:id="49" w:name="_Toc107557042"/>
      <w:bookmarkStart w:id="50" w:name="_Toc113790731"/>
      <w:bookmarkStart w:id="51" w:name="_Toc107546756"/>
      <w:bookmarkStart w:id="52" w:name="_Toc107650340"/>
      <w:bookmarkStart w:id="53" w:name="_Toc107556811"/>
      <w:bookmarkStart w:id="54" w:name="_Toc104447452"/>
      <w:bookmarkStart w:id="55" w:name="_Toc107650122"/>
      <w:bookmarkStart w:id="56" w:name="_Toc112902998"/>
      <w:bookmarkStart w:id="57" w:name="_Toc107649720"/>
      <w:bookmarkStart w:id="58" w:name="_Toc112890385"/>
      <w:bookmarkStart w:id="59" w:name="_Toc107557267"/>
      <w:r>
        <w:rPr>
          <w:rStyle w:val="117"/>
          <w:rFonts w:ascii="Times New Roman" w:hAnsi="Times New Roman" w:eastAsia="宋体"/>
          <w:bCs w:val="0"/>
          <w:color w:val="auto"/>
          <w:kern w:val="21"/>
          <w:sz w:val="24"/>
          <w:szCs w:val="24"/>
        </w:rPr>
        <w:t>3.1.1</w:t>
      </w:r>
      <w:r>
        <w:rPr>
          <w:rStyle w:val="117"/>
          <w:rFonts w:hint="eastAsia" w:ascii="Times New Roman" w:hAnsi="Times New Roman" w:eastAsia="宋体"/>
          <w:bCs w:val="0"/>
          <w:color w:val="auto"/>
          <w:kern w:val="21"/>
          <w:sz w:val="24"/>
          <w:szCs w:val="24"/>
        </w:rPr>
        <w:t>2</w:t>
      </w:r>
      <w:r>
        <w:rPr>
          <w:rStyle w:val="117"/>
          <w:rFonts w:ascii="Times New Roman" w:hAnsi="Times New Roman" w:eastAsia="宋体"/>
          <w:bCs w:val="0"/>
          <w:color w:val="auto"/>
          <w:kern w:val="21"/>
          <w:sz w:val="24"/>
          <w:szCs w:val="24"/>
        </w:rPr>
        <w:t>.1运输条件</w:t>
      </w:r>
      <w:bookmarkEnd w:id="49"/>
      <w:bookmarkEnd w:id="50"/>
      <w:bookmarkEnd w:id="51"/>
      <w:bookmarkEnd w:id="52"/>
      <w:bookmarkEnd w:id="53"/>
      <w:bookmarkEnd w:id="54"/>
      <w:bookmarkEnd w:id="55"/>
      <w:bookmarkEnd w:id="56"/>
      <w:bookmarkEnd w:id="57"/>
      <w:bookmarkEnd w:id="58"/>
      <w:bookmarkEnd w:id="59"/>
    </w:p>
    <w:p>
      <w:pPr>
        <w:ind w:firstLine="480"/>
        <w:rPr>
          <w:color w:val="auto"/>
          <w:kern w:val="21"/>
        </w:rPr>
      </w:pPr>
      <w:r>
        <w:rPr>
          <w:color w:val="auto"/>
          <w:kern w:val="21"/>
          <w:szCs w:val="20"/>
        </w:rPr>
        <w:t>项目厂址位于</w:t>
      </w:r>
      <w:r>
        <w:rPr>
          <w:color w:val="auto"/>
          <w:kern w:val="21"/>
        </w:rPr>
        <w:t>楚雄市东升路西侧，紧邻东升路</w:t>
      </w:r>
      <w:r>
        <w:rPr>
          <w:color w:val="auto"/>
          <w:kern w:val="21"/>
          <w:szCs w:val="20"/>
        </w:rPr>
        <w:t>，交通比较便利。</w:t>
      </w:r>
      <w:r>
        <w:rPr>
          <w:color w:val="auto"/>
          <w:kern w:val="21"/>
        </w:rPr>
        <w:t>全厂运营期间运入原料主要是PAC、PAM药剂等物资，运出的主要是干污泥、栅渣、职工生活产生的生活垃圾等固体废物，厂外运输方式均采用公路运输，企业所有进出物资的运输均考虑外委，充分利用社会运输力量，以减少资金的投入量。</w:t>
      </w:r>
    </w:p>
    <w:p>
      <w:pPr>
        <w:pStyle w:val="8"/>
        <w:spacing w:before="0" w:after="0" w:line="360" w:lineRule="auto"/>
        <w:ind w:firstLine="0" w:firstLineChars="0"/>
        <w:rPr>
          <w:rFonts w:ascii="Times New Roman" w:hAnsi="Times New Roman" w:eastAsia="宋体"/>
          <w:color w:val="auto"/>
          <w:kern w:val="21"/>
          <w:sz w:val="24"/>
          <w:szCs w:val="24"/>
        </w:rPr>
      </w:pPr>
      <w:bookmarkStart w:id="60" w:name="_Toc107650123"/>
      <w:bookmarkStart w:id="61" w:name="_Toc107546757"/>
      <w:bookmarkStart w:id="62" w:name="_Toc107649721"/>
      <w:bookmarkStart w:id="63" w:name="_Toc107557268"/>
      <w:bookmarkStart w:id="64" w:name="_Toc107650341"/>
      <w:bookmarkStart w:id="65" w:name="_Toc113790732"/>
      <w:bookmarkStart w:id="66" w:name="_Toc112890386"/>
      <w:bookmarkStart w:id="67" w:name="_Toc107556812"/>
      <w:bookmarkStart w:id="68" w:name="_Toc112902999"/>
      <w:bookmarkStart w:id="69" w:name="_Toc107557043"/>
      <w:r>
        <w:rPr>
          <w:rFonts w:ascii="Times New Roman" w:hAnsi="Times New Roman" w:eastAsia="宋体"/>
          <w:color w:val="auto"/>
          <w:kern w:val="21"/>
          <w:sz w:val="24"/>
          <w:szCs w:val="24"/>
        </w:rPr>
        <w:t>3.1.1</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.2</w:t>
      </w:r>
      <w:bookmarkEnd w:id="60"/>
      <w:bookmarkEnd w:id="61"/>
      <w:bookmarkEnd w:id="62"/>
      <w:bookmarkEnd w:id="63"/>
      <w:bookmarkEnd w:id="64"/>
      <w:bookmarkEnd w:id="65"/>
      <w:bookmarkEnd w:id="66"/>
      <w:bookmarkEnd w:id="67"/>
      <w:bookmarkEnd w:id="68"/>
      <w:bookmarkEnd w:id="69"/>
      <w:r>
        <w:rPr>
          <w:rFonts w:ascii="Times New Roman" w:hAnsi="Times New Roman" w:eastAsia="宋体"/>
          <w:color w:val="auto"/>
          <w:kern w:val="21"/>
          <w:sz w:val="24"/>
          <w:szCs w:val="24"/>
        </w:rPr>
        <w:t>供电</w:t>
      </w:r>
    </w:p>
    <w:p>
      <w:pPr>
        <w:ind w:firstLine="480"/>
        <w:rPr>
          <w:color w:val="auto"/>
          <w:kern w:val="21"/>
        </w:rPr>
      </w:pPr>
      <w:bookmarkStart w:id="70" w:name="_Toc112903000"/>
      <w:bookmarkStart w:id="71" w:name="_Toc112890387"/>
      <w:bookmarkStart w:id="72" w:name="_Toc113790733"/>
      <w:bookmarkStart w:id="73" w:name="_Toc107650342"/>
      <w:bookmarkStart w:id="74" w:name="_Toc107556813"/>
      <w:bookmarkStart w:id="75" w:name="_Toc107557269"/>
      <w:bookmarkStart w:id="76" w:name="_Toc107650124"/>
      <w:bookmarkStart w:id="77" w:name="_Toc107546758"/>
      <w:bookmarkStart w:id="78" w:name="_Toc107557044"/>
      <w:bookmarkStart w:id="79" w:name="_Toc107649722"/>
      <w:r>
        <w:rPr>
          <w:color w:val="auto"/>
          <w:kern w:val="21"/>
        </w:rPr>
        <w:t>本项目年用电量170.8392万Kw/h，在厂区设置两台630kVA变压器（1用1备），负荷率约67.8%，供厂区生产、生活用电。项目用电从附近的电网供给，在厂区设变压器分别供给生产用电和生活用电，电力供应保证。</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3.1.1</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.3</w:t>
      </w:r>
      <w:bookmarkEnd w:id="70"/>
      <w:bookmarkEnd w:id="71"/>
      <w:bookmarkEnd w:id="72"/>
      <w:bookmarkEnd w:id="73"/>
      <w:bookmarkEnd w:id="74"/>
      <w:bookmarkEnd w:id="75"/>
      <w:bookmarkEnd w:id="76"/>
      <w:bookmarkEnd w:id="77"/>
      <w:bookmarkEnd w:id="78"/>
      <w:bookmarkEnd w:id="79"/>
      <w:r>
        <w:rPr>
          <w:rFonts w:ascii="Times New Roman" w:hAnsi="Times New Roman" w:eastAsia="宋体"/>
          <w:color w:val="auto"/>
          <w:kern w:val="21"/>
          <w:sz w:val="24"/>
          <w:szCs w:val="24"/>
        </w:rPr>
        <w:t>供水</w:t>
      </w:r>
    </w:p>
    <w:p>
      <w:pPr>
        <w:pStyle w:val="11"/>
        <w:spacing w:line="360" w:lineRule="auto"/>
        <w:ind w:firstLine="480"/>
        <w:rPr>
          <w:color w:val="auto"/>
          <w:kern w:val="21"/>
          <w:sz w:val="24"/>
        </w:rPr>
      </w:pPr>
      <w:r>
        <w:rPr>
          <w:color w:val="auto"/>
          <w:kern w:val="21"/>
          <w:sz w:val="24"/>
        </w:rPr>
        <w:t>供水管网采用室外消防管网、工业供水管网与生活给水管网合用。给水干管网布置成环状，以保证供水及消防的安全可靠性。管径大于DN300的给水管道采用球墨铸铁管，管径小于或等于DN300给水用HDPE管材，给水管沿主要道路布置，按车行道下覆土不小于1.0米，人行道下不小于0.75米铺设。</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3.1.1</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.4绿化</w:t>
      </w:r>
    </w:p>
    <w:p>
      <w:pPr>
        <w:ind w:firstLine="480"/>
        <w:rPr>
          <w:color w:val="auto"/>
          <w:kern w:val="21"/>
        </w:rPr>
      </w:pPr>
      <w:bookmarkStart w:id="80" w:name="_Toc112903001"/>
      <w:bookmarkStart w:id="81" w:name="_Toc107546759"/>
      <w:bookmarkStart w:id="82" w:name="_Toc112890388"/>
      <w:bookmarkStart w:id="83" w:name="_Toc107650343"/>
      <w:bookmarkStart w:id="84" w:name="_Toc113790734"/>
      <w:bookmarkStart w:id="85" w:name="_Toc104447453"/>
      <w:bookmarkStart w:id="86" w:name="_Toc107649723"/>
      <w:bookmarkStart w:id="87" w:name="_Toc107557270"/>
      <w:bookmarkStart w:id="88" w:name="_Toc107650125"/>
      <w:bookmarkStart w:id="89" w:name="_Toc107557045"/>
      <w:bookmarkStart w:id="90" w:name="_Toc107556814"/>
      <w:r>
        <w:rPr>
          <w:color w:val="auto"/>
          <w:kern w:val="21"/>
        </w:rPr>
        <w:t>绿化可起到调温、调湿、降低噪声的功能，能改善和美化环境，工程对厂区除道路以外的裸露地面进行绿化，项目建成后绿化面积约为</w:t>
      </w:r>
      <w:r>
        <w:rPr>
          <w:rFonts w:hint="eastAsia"/>
          <w:color w:val="auto"/>
          <w:kern w:val="21"/>
        </w:rPr>
        <w:t>2719.09</w:t>
      </w:r>
      <w:r>
        <w:rPr>
          <w:color w:val="auto"/>
          <w:kern w:val="21"/>
        </w:rPr>
        <w:t>ｍ</w:t>
      </w:r>
      <w:r>
        <w:rPr>
          <w:color w:val="auto"/>
          <w:kern w:val="21"/>
          <w:vertAlign w:val="superscript"/>
        </w:rPr>
        <w:t>2</w:t>
      </w:r>
      <w:r>
        <w:rPr>
          <w:color w:val="auto"/>
          <w:kern w:val="21"/>
        </w:rPr>
        <w:t>。</w:t>
      </w:r>
    </w:p>
    <w:p>
      <w:pPr>
        <w:pStyle w:val="23"/>
        <w:spacing w:after="0" w:line="360" w:lineRule="auto"/>
        <w:ind w:left="0" w:leftChars="0" w:firstLine="0" w:firstLineChars="0"/>
        <w:outlineLvl w:val="3"/>
        <w:rPr>
          <w:b/>
          <w:bCs/>
          <w:color w:val="auto"/>
        </w:rPr>
      </w:pPr>
      <w:r>
        <w:rPr>
          <w:rFonts w:hint="eastAsia"/>
          <w:b/>
          <w:bCs/>
          <w:color w:val="auto"/>
        </w:rPr>
        <w:t>3.1.12.5厂区雨污分流</w:t>
      </w:r>
    </w:p>
    <w:p>
      <w:pPr>
        <w:pStyle w:val="23"/>
        <w:spacing w:after="0" w:line="360" w:lineRule="auto"/>
        <w:ind w:left="0" w:leftChars="0" w:firstLine="480"/>
        <w:rPr>
          <w:color w:val="auto"/>
        </w:rPr>
      </w:pPr>
      <w:r>
        <w:rPr>
          <w:rFonts w:hint="eastAsia"/>
          <w:color w:val="auto"/>
        </w:rPr>
        <w:t>本项目厂区已按设计全面实施“雨污分流”。</w:t>
      </w:r>
    </w:p>
    <w:p>
      <w:pPr>
        <w:pStyle w:val="23"/>
        <w:spacing w:after="0" w:line="360" w:lineRule="auto"/>
        <w:ind w:left="0" w:leftChars="0" w:firstLine="480"/>
        <w:rPr>
          <w:color w:val="auto"/>
        </w:rPr>
      </w:pPr>
      <w:r>
        <w:rPr>
          <w:rFonts w:hint="eastAsia"/>
          <w:color w:val="auto"/>
        </w:rPr>
        <w:t>（1）污水：厂区污水管采用HDPE钢带增强聚乙烯螺旋波纹管，环刚度≥1</w:t>
      </w:r>
      <w:r>
        <w:rPr>
          <w:color w:val="auto"/>
        </w:rPr>
        <w:t>2.5</w:t>
      </w:r>
      <w:r>
        <w:rPr>
          <w:rFonts w:hint="eastAsia"/>
          <w:color w:val="auto"/>
        </w:rPr>
        <w:t>KN/</w:t>
      </w:r>
      <w:r>
        <w:rPr>
          <w:color w:val="auto"/>
        </w:rPr>
        <w:t>m</w:t>
      </w:r>
      <w:r>
        <w:rPr>
          <w:color w:val="auto"/>
          <w:vertAlign w:val="superscript"/>
        </w:rPr>
        <w:t>2</w:t>
      </w:r>
      <w:r>
        <w:rPr>
          <w:rFonts w:hint="eastAsia"/>
          <w:color w:val="auto"/>
        </w:rPr>
        <w:t>，建设完成DN</w:t>
      </w:r>
      <w:r>
        <w:rPr>
          <w:color w:val="auto"/>
        </w:rPr>
        <w:t>300</w:t>
      </w:r>
      <w:r>
        <w:rPr>
          <w:rFonts w:hint="eastAsia"/>
          <w:color w:val="auto"/>
        </w:rPr>
        <w:t>污水管8</w:t>
      </w:r>
      <w:r>
        <w:rPr>
          <w:color w:val="auto"/>
        </w:rPr>
        <w:t>6m</w:t>
      </w:r>
      <w:r>
        <w:rPr>
          <w:rFonts w:hint="eastAsia"/>
          <w:color w:val="auto"/>
        </w:rPr>
        <w:t>，DN</w:t>
      </w:r>
      <w:r>
        <w:rPr>
          <w:color w:val="auto"/>
        </w:rPr>
        <w:t>400</w:t>
      </w:r>
      <w:r>
        <w:rPr>
          <w:rFonts w:hint="eastAsia"/>
          <w:color w:val="auto"/>
        </w:rPr>
        <w:t>污水管3</w:t>
      </w:r>
      <w:r>
        <w:rPr>
          <w:color w:val="auto"/>
        </w:rPr>
        <w:t>40m</w:t>
      </w:r>
      <w:r>
        <w:rPr>
          <w:rFonts w:hint="eastAsia"/>
          <w:color w:val="auto"/>
        </w:rPr>
        <w:t>，φ</w:t>
      </w:r>
      <w:r>
        <w:rPr>
          <w:color w:val="auto"/>
        </w:rPr>
        <w:t>1000</w:t>
      </w:r>
      <w:r>
        <w:rPr>
          <w:rFonts w:hint="eastAsia"/>
          <w:color w:val="auto"/>
        </w:rPr>
        <w:t>钢筋砼污水检查井2</w:t>
      </w:r>
      <w:r>
        <w:rPr>
          <w:color w:val="auto"/>
        </w:rPr>
        <w:t>2</w:t>
      </w:r>
      <w:r>
        <w:rPr>
          <w:rFonts w:hint="eastAsia"/>
          <w:color w:val="auto"/>
        </w:rPr>
        <w:t>座。污水收集情况如下：</w:t>
      </w:r>
    </w:p>
    <w:p>
      <w:pPr>
        <w:pStyle w:val="23"/>
        <w:spacing w:after="0" w:line="360" w:lineRule="auto"/>
        <w:ind w:left="0" w:leftChars="0" w:firstLine="480"/>
        <w:rPr>
          <w:color w:val="auto"/>
        </w:rPr>
      </w:pPr>
      <w:r>
        <w:rPr>
          <w:color w:val="auto"/>
        </w:rPr>
        <w:fldChar w:fldCharType="begin"/>
      </w:r>
      <w:r>
        <w:rPr>
          <w:color w:val="auto"/>
        </w:rPr>
        <w:instrText xml:space="preserve"> = 1 \* GB3 \* MERGEFORMAT </w:instrText>
      </w:r>
      <w:r>
        <w:rPr>
          <w:color w:val="auto"/>
        </w:rPr>
        <w:fldChar w:fldCharType="separate"/>
      </w:r>
      <w:r>
        <w:rPr>
          <w:rFonts w:hint="eastAsia"/>
          <w:color w:val="auto"/>
        </w:rPr>
        <w:t>①</w:t>
      </w:r>
      <w:r>
        <w:rPr>
          <w:color w:val="auto"/>
        </w:rPr>
        <w:fldChar w:fldCharType="end"/>
      </w:r>
      <w:r>
        <w:rPr>
          <w:rFonts w:hint="eastAsia"/>
          <w:color w:val="auto"/>
        </w:rPr>
        <w:t>办公生活污水：食堂废水通过DN</w:t>
      </w:r>
      <w:r>
        <w:rPr>
          <w:color w:val="auto"/>
        </w:rPr>
        <w:t>300</w:t>
      </w:r>
      <w:r>
        <w:rPr>
          <w:rFonts w:hint="eastAsia"/>
          <w:color w:val="auto"/>
        </w:rPr>
        <w:t>污水支管接入DN</w:t>
      </w:r>
      <w:r>
        <w:rPr>
          <w:color w:val="auto"/>
        </w:rPr>
        <w:t>400</w:t>
      </w:r>
      <w:r>
        <w:rPr>
          <w:rFonts w:hint="eastAsia"/>
          <w:color w:val="auto"/>
        </w:rPr>
        <w:t>污水主管，办公区卫生间污水通过DN</w:t>
      </w:r>
      <w:r>
        <w:rPr>
          <w:color w:val="auto"/>
        </w:rPr>
        <w:t>300</w:t>
      </w:r>
      <w:r>
        <w:rPr>
          <w:rFonts w:hint="eastAsia"/>
          <w:color w:val="auto"/>
        </w:rPr>
        <w:t>污水支管接入DN</w:t>
      </w:r>
      <w:r>
        <w:rPr>
          <w:color w:val="auto"/>
        </w:rPr>
        <w:t>400</w:t>
      </w:r>
      <w:r>
        <w:rPr>
          <w:rFonts w:hint="eastAsia"/>
          <w:color w:val="auto"/>
        </w:rPr>
        <w:t>污水主管，最后进入粗格栅及进水泵房，传达室卫生间污水经另一条污水管并入DN</w:t>
      </w:r>
      <w:r>
        <w:rPr>
          <w:color w:val="auto"/>
        </w:rPr>
        <w:t>400</w:t>
      </w:r>
      <w:r>
        <w:rPr>
          <w:rFonts w:hint="eastAsia"/>
          <w:color w:val="auto"/>
        </w:rPr>
        <w:t>污水主管后接入粗格栅及进水泵房。</w:t>
      </w:r>
    </w:p>
    <w:p>
      <w:pPr>
        <w:pStyle w:val="23"/>
        <w:spacing w:after="0" w:line="360" w:lineRule="auto"/>
        <w:ind w:left="0" w:leftChars="0" w:firstLine="480"/>
        <w:rPr>
          <w:color w:val="auto"/>
        </w:rPr>
      </w:pPr>
      <w:r>
        <w:rPr>
          <w:rFonts w:hint="eastAsia"/>
          <w:color w:val="auto"/>
        </w:rPr>
        <w:fldChar w:fldCharType="begin"/>
      </w:r>
      <w:r>
        <w:rPr>
          <w:rFonts w:hint="eastAsia"/>
          <w:color w:val="auto"/>
        </w:rPr>
        <w:instrText xml:space="preserve"> = 2 \* GB3 \* MERGEFORMAT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生产废水：所有生产工艺过程中产生的生产废水均通过污水支管接入DN</w:t>
      </w:r>
      <w:r>
        <w:rPr>
          <w:color w:val="auto"/>
        </w:rPr>
        <w:t>400</w:t>
      </w:r>
      <w:r>
        <w:rPr>
          <w:rFonts w:hint="eastAsia"/>
          <w:color w:val="auto"/>
        </w:rPr>
        <w:t>污水主管，最终全部进入粗格栅及进水泵房，具体包括：加药间地沟收集的溶药废水、加药泵管事故渗漏废水、冲洗废水；浓缩池产生的上清液；污泥脱水车间污泥滤液、车间冲洗水和泵管事故渗漏废水；A</w:t>
      </w:r>
      <w:r>
        <w:rPr>
          <w:color w:val="auto"/>
          <w:vertAlign w:val="superscript"/>
        </w:rPr>
        <w:t>2</w:t>
      </w:r>
      <w:r>
        <w:rPr>
          <w:color w:val="auto"/>
        </w:rPr>
        <w:t>/O</w:t>
      </w:r>
      <w:r>
        <w:rPr>
          <w:rFonts w:hint="eastAsia"/>
          <w:color w:val="auto"/>
        </w:rPr>
        <w:t>生化池底部集水坑放空污水（仅检修时用）；MBR膜池膜洗池底部集水坑放空清洗水。</w:t>
      </w:r>
    </w:p>
    <w:p>
      <w:pPr>
        <w:pStyle w:val="23"/>
        <w:spacing w:after="0" w:line="360" w:lineRule="auto"/>
        <w:ind w:left="0" w:leftChars="0" w:firstLine="480"/>
        <w:rPr>
          <w:color w:val="auto"/>
        </w:rPr>
      </w:pPr>
      <w:r>
        <w:rPr>
          <w:rFonts w:hint="eastAsia"/>
          <w:color w:val="auto"/>
        </w:rPr>
        <w:t>（2）雨水：厂区雨水管</w:t>
      </w:r>
      <w:r>
        <w:rPr>
          <w:color w:val="auto"/>
        </w:rPr>
        <w:t>DN400</w:t>
      </w:r>
      <w:r>
        <w:rPr>
          <w:rFonts w:hint="eastAsia"/>
          <w:color w:val="auto"/>
        </w:rPr>
        <w:t>～</w:t>
      </w:r>
      <w:r>
        <w:rPr>
          <w:color w:val="auto"/>
        </w:rPr>
        <w:t>DN500</w:t>
      </w:r>
      <w:r>
        <w:rPr>
          <w:rFonts w:hint="eastAsia"/>
          <w:color w:val="auto"/>
        </w:rPr>
        <w:t>采用HDPE钢带增强聚乙烯螺旋波纹管，环刚度≥1</w:t>
      </w:r>
      <w:r>
        <w:rPr>
          <w:color w:val="auto"/>
        </w:rPr>
        <w:t>2.5</w:t>
      </w:r>
      <w:r>
        <w:rPr>
          <w:rFonts w:hint="eastAsia"/>
          <w:color w:val="auto"/>
        </w:rPr>
        <w:t>KN/</w:t>
      </w:r>
      <w:r>
        <w:rPr>
          <w:color w:val="auto"/>
        </w:rPr>
        <w:t>m</w:t>
      </w:r>
      <w:r>
        <w:rPr>
          <w:color w:val="auto"/>
          <w:vertAlign w:val="superscript"/>
        </w:rPr>
        <w:t>2</w:t>
      </w:r>
      <w:r>
        <w:rPr>
          <w:rFonts w:hint="eastAsia"/>
          <w:color w:val="auto"/>
        </w:rPr>
        <w:t>，其他规格雨水管采用HDPE管。建设完成DN</w:t>
      </w:r>
      <w:r>
        <w:rPr>
          <w:color w:val="auto"/>
        </w:rPr>
        <w:t>400</w:t>
      </w:r>
      <w:r>
        <w:rPr>
          <w:rFonts w:hint="eastAsia"/>
          <w:color w:val="auto"/>
        </w:rPr>
        <w:t>雨水管2</w:t>
      </w:r>
      <w:r>
        <w:rPr>
          <w:color w:val="auto"/>
        </w:rPr>
        <w:t>10m</w:t>
      </w:r>
      <w:r>
        <w:rPr>
          <w:rFonts w:hint="eastAsia"/>
          <w:color w:val="auto"/>
        </w:rPr>
        <w:t>，DN</w:t>
      </w:r>
      <w:r>
        <w:rPr>
          <w:color w:val="auto"/>
        </w:rPr>
        <w:t>500</w:t>
      </w:r>
      <w:r>
        <w:rPr>
          <w:rFonts w:hint="eastAsia"/>
          <w:color w:val="auto"/>
        </w:rPr>
        <w:t>雨水管1</w:t>
      </w:r>
      <w:r>
        <w:rPr>
          <w:color w:val="auto"/>
        </w:rPr>
        <w:t>10m</w:t>
      </w:r>
      <w:r>
        <w:rPr>
          <w:rFonts w:hint="eastAsia"/>
          <w:color w:val="auto"/>
        </w:rPr>
        <w:t>，DN</w:t>
      </w:r>
      <w:r>
        <w:rPr>
          <w:color w:val="auto"/>
        </w:rPr>
        <w:t>600</w:t>
      </w:r>
      <w:r>
        <w:rPr>
          <w:rFonts w:hint="eastAsia"/>
          <w:color w:val="auto"/>
        </w:rPr>
        <w:t>雨水管1</w:t>
      </w:r>
      <w:r>
        <w:rPr>
          <w:color w:val="auto"/>
        </w:rPr>
        <w:t>15m</w:t>
      </w:r>
      <w:r>
        <w:rPr>
          <w:rFonts w:hint="eastAsia"/>
          <w:color w:val="auto"/>
        </w:rPr>
        <w:t>，DN</w:t>
      </w:r>
      <w:r>
        <w:rPr>
          <w:color w:val="auto"/>
        </w:rPr>
        <w:t>800</w:t>
      </w:r>
      <w:r>
        <w:rPr>
          <w:rFonts w:hint="eastAsia"/>
          <w:color w:val="auto"/>
        </w:rPr>
        <w:t>雨水管5</w:t>
      </w:r>
      <w:r>
        <w:rPr>
          <w:color w:val="auto"/>
        </w:rPr>
        <w:t>0m</w:t>
      </w:r>
      <w:r>
        <w:rPr>
          <w:rFonts w:hint="eastAsia"/>
          <w:color w:val="auto"/>
        </w:rPr>
        <w:t>，DN</w:t>
      </w:r>
      <w:r>
        <w:rPr>
          <w:color w:val="auto"/>
        </w:rPr>
        <w:t>100</w:t>
      </w:r>
      <w:r>
        <w:rPr>
          <w:rFonts w:hint="eastAsia"/>
          <w:color w:val="auto"/>
        </w:rPr>
        <w:t>～DN</w:t>
      </w:r>
      <w:r>
        <w:rPr>
          <w:color w:val="auto"/>
        </w:rPr>
        <w:t>300</w:t>
      </w:r>
      <w:r>
        <w:rPr>
          <w:rFonts w:hint="eastAsia"/>
          <w:color w:val="auto"/>
        </w:rPr>
        <w:t>雨水支管1</w:t>
      </w:r>
      <w:r>
        <w:rPr>
          <w:color w:val="auto"/>
        </w:rPr>
        <w:t>00m</w:t>
      </w:r>
      <w:r>
        <w:rPr>
          <w:rFonts w:hint="eastAsia"/>
          <w:color w:val="auto"/>
        </w:rPr>
        <w:t>，DN</w:t>
      </w:r>
      <w:r>
        <w:rPr>
          <w:color w:val="auto"/>
        </w:rPr>
        <w:t>200</w:t>
      </w:r>
      <w:r>
        <w:rPr>
          <w:rFonts w:hint="eastAsia"/>
          <w:color w:val="auto"/>
        </w:rPr>
        <w:t>雨水连接管1</w:t>
      </w:r>
      <w:r>
        <w:rPr>
          <w:color w:val="auto"/>
        </w:rPr>
        <w:t>80m</w:t>
      </w:r>
      <w:r>
        <w:rPr>
          <w:rFonts w:hint="eastAsia"/>
          <w:color w:val="auto"/>
        </w:rPr>
        <w:t>，偏沟式单篦雨水篦子5</w:t>
      </w:r>
      <w:r>
        <w:rPr>
          <w:color w:val="auto"/>
        </w:rPr>
        <w:t>8</w:t>
      </w:r>
      <w:r>
        <w:rPr>
          <w:rFonts w:hint="eastAsia"/>
          <w:color w:val="auto"/>
        </w:rPr>
        <w:t>座，φ</w:t>
      </w:r>
      <w:r>
        <w:rPr>
          <w:color w:val="auto"/>
        </w:rPr>
        <w:t>1000</w:t>
      </w:r>
      <w:r>
        <w:rPr>
          <w:rFonts w:hint="eastAsia"/>
          <w:color w:val="auto"/>
        </w:rPr>
        <w:t>钢筋砼雨水检查井1</w:t>
      </w:r>
      <w:r>
        <w:rPr>
          <w:color w:val="auto"/>
        </w:rPr>
        <w:t>9</w:t>
      </w:r>
      <w:r>
        <w:rPr>
          <w:rFonts w:hint="eastAsia"/>
          <w:color w:val="auto"/>
        </w:rPr>
        <w:t>座，φ</w:t>
      </w:r>
      <w:r>
        <w:rPr>
          <w:color w:val="auto"/>
        </w:rPr>
        <w:t>1250</w:t>
      </w:r>
      <w:r>
        <w:rPr>
          <w:rFonts w:hint="eastAsia"/>
          <w:color w:val="auto"/>
        </w:rPr>
        <w:t>钢筋砼雨水检查井5座，φ</w:t>
      </w:r>
      <w:r>
        <w:rPr>
          <w:color w:val="auto"/>
        </w:rPr>
        <w:t>1500</w:t>
      </w:r>
      <w:r>
        <w:rPr>
          <w:rFonts w:hint="eastAsia"/>
          <w:color w:val="auto"/>
        </w:rPr>
        <w:t>钢筋砼雨水检查井3座。厂区屋面雨水和硬化地面径流雨水经雨水管网系统收集后，经DN</w:t>
      </w:r>
      <w:r>
        <w:rPr>
          <w:color w:val="auto"/>
        </w:rPr>
        <w:t>800</w:t>
      </w:r>
      <w:r>
        <w:rPr>
          <w:rFonts w:hint="eastAsia"/>
          <w:color w:val="auto"/>
        </w:rPr>
        <w:t>雨水主管从厂区东北角接入东升路市政雨水管网。</w:t>
      </w:r>
    </w:p>
    <w:bookmarkEnd w:id="80"/>
    <w:bookmarkEnd w:id="81"/>
    <w:bookmarkEnd w:id="82"/>
    <w:bookmarkEnd w:id="83"/>
    <w:bookmarkEnd w:id="84"/>
    <w:bookmarkEnd w:id="85"/>
    <w:bookmarkEnd w:id="86"/>
    <w:bookmarkEnd w:id="87"/>
    <w:bookmarkEnd w:id="88"/>
    <w:bookmarkEnd w:id="89"/>
    <w:bookmarkEnd w:id="90"/>
    <w:p>
      <w:pPr>
        <w:pStyle w:val="6"/>
        <w:spacing w:after="0"/>
        <w:rPr>
          <w:rFonts w:eastAsia="宋体"/>
          <w:color w:val="auto"/>
          <w:kern w:val="21"/>
          <w:sz w:val="24"/>
          <w:szCs w:val="24"/>
        </w:rPr>
      </w:pPr>
      <w:bookmarkStart w:id="91" w:name="_Toc23471"/>
      <w:r>
        <w:rPr>
          <w:rFonts w:eastAsia="宋体"/>
          <w:color w:val="auto"/>
          <w:kern w:val="21"/>
          <w:sz w:val="24"/>
          <w:szCs w:val="24"/>
        </w:rPr>
        <w:t>3.1.1</w:t>
      </w:r>
      <w:r>
        <w:rPr>
          <w:rFonts w:hint="eastAsia" w:eastAsia="宋体"/>
          <w:color w:val="auto"/>
          <w:kern w:val="21"/>
          <w:sz w:val="24"/>
          <w:szCs w:val="24"/>
        </w:rPr>
        <w:t>3</w:t>
      </w:r>
      <w:r>
        <w:rPr>
          <w:rFonts w:eastAsia="宋体"/>
          <w:color w:val="auto"/>
          <w:kern w:val="21"/>
          <w:sz w:val="24"/>
          <w:szCs w:val="24"/>
        </w:rPr>
        <w:t>项目主要经济技术指标</w:t>
      </w:r>
      <w:bookmarkEnd w:id="91"/>
    </w:p>
    <w:p>
      <w:pPr>
        <w:ind w:firstLine="480"/>
        <w:rPr>
          <w:color w:val="auto"/>
          <w:kern w:val="21"/>
        </w:rPr>
      </w:pPr>
      <w:r>
        <w:rPr>
          <w:color w:val="auto"/>
          <w:kern w:val="21"/>
        </w:rPr>
        <w:t>项目主要经济技术指标见</w:t>
      </w:r>
      <w:r>
        <w:rPr>
          <w:rFonts w:hint="eastAsia"/>
          <w:color w:val="auto"/>
          <w:kern w:val="21"/>
          <w:lang w:eastAsia="zh-CN"/>
        </w:rPr>
        <w:t>下表</w:t>
      </w:r>
      <w:r>
        <w:rPr>
          <w:color w:val="auto"/>
          <w:kern w:val="21"/>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color w:val="auto"/>
          <w:kern w:val="21"/>
        </w:rPr>
      </w:pPr>
      <w:r>
        <w:rPr>
          <w:b/>
          <w:color w:val="auto"/>
          <w:kern w:val="21"/>
        </w:rPr>
        <w:t>项目主要技术经济指标</w:t>
      </w:r>
    </w:p>
    <w:tbl>
      <w:tblPr>
        <w:tblStyle w:val="51"/>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918"/>
        <w:gridCol w:w="1284"/>
        <w:gridCol w:w="2112"/>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序号</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指标名称</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单位</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rPr>
              <w:t>指标</w:t>
            </w:r>
          </w:p>
        </w:tc>
        <w:tc>
          <w:tcPr>
            <w:tcW w:w="1509" w:type="dxa"/>
            <w:vAlign w:val="center"/>
          </w:tcPr>
          <w:p>
            <w:pPr>
              <w:spacing w:line="240" w:lineRule="auto"/>
              <w:ind w:firstLine="0" w:firstLineChars="0"/>
              <w:jc w:val="center"/>
              <w:rPr>
                <w:color w:val="auto"/>
                <w:kern w:val="21"/>
                <w:sz w:val="21"/>
                <w:szCs w:val="21"/>
              </w:rPr>
            </w:pPr>
            <w:r>
              <w:rPr>
                <w:color w:val="auto"/>
                <w:kern w:val="21"/>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1</w:t>
            </w:r>
          </w:p>
        </w:tc>
        <w:tc>
          <w:tcPr>
            <w:tcW w:w="2918"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厂区用地面积</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m</w:t>
            </w:r>
            <w:r>
              <w:rPr>
                <w:color w:val="auto"/>
                <w:kern w:val="21"/>
                <w:sz w:val="21"/>
                <w:szCs w:val="21"/>
                <w:vertAlign w:val="superscript"/>
              </w:rPr>
              <w:t>2</w:t>
            </w:r>
          </w:p>
        </w:tc>
        <w:tc>
          <w:tcPr>
            <w:tcW w:w="2112"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11582.71</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2</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近期建、构筑物占地面积</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m</w:t>
            </w:r>
            <w:r>
              <w:rPr>
                <w:color w:val="auto"/>
                <w:kern w:val="21"/>
                <w:sz w:val="21"/>
                <w:szCs w:val="21"/>
                <w:vertAlign w:val="superscript"/>
              </w:rPr>
              <w:t>2</w:t>
            </w:r>
          </w:p>
        </w:tc>
        <w:tc>
          <w:tcPr>
            <w:tcW w:w="2112"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5505.52</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2.1</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道路及硬化面积</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m</w:t>
            </w:r>
            <w:r>
              <w:rPr>
                <w:color w:val="auto"/>
                <w:kern w:val="21"/>
                <w:sz w:val="21"/>
                <w:szCs w:val="21"/>
                <w:vertAlign w:val="superscript"/>
              </w:rPr>
              <w:t>2</w:t>
            </w:r>
          </w:p>
        </w:tc>
        <w:tc>
          <w:tcPr>
            <w:tcW w:w="2112"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3358.1</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2.2</w:t>
            </w:r>
          </w:p>
        </w:tc>
        <w:tc>
          <w:tcPr>
            <w:tcW w:w="2918"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绿地面积</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m</w:t>
            </w:r>
            <w:r>
              <w:rPr>
                <w:color w:val="auto"/>
                <w:kern w:val="21"/>
                <w:sz w:val="21"/>
                <w:szCs w:val="21"/>
                <w:vertAlign w:val="superscript"/>
              </w:rPr>
              <w:t>2</w:t>
            </w:r>
          </w:p>
        </w:tc>
        <w:tc>
          <w:tcPr>
            <w:tcW w:w="2112"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2719.07</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2.3</w:t>
            </w:r>
          </w:p>
        </w:tc>
        <w:tc>
          <w:tcPr>
            <w:tcW w:w="2918"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绿地系数</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w:t>
            </w:r>
          </w:p>
        </w:tc>
        <w:tc>
          <w:tcPr>
            <w:tcW w:w="2112"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23.48</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3</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年工作天数</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天</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rPr>
              <w:t>365</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4</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劳动定员</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人</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rPr>
              <w:t>18</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4.1</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其中：生产人员</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人</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rPr>
              <w:t>14</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4.2</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技术及管理人员</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人</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rPr>
              <w:t>4</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5</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项目总投资</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万元</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lang w:bidi="ar"/>
              </w:rPr>
              <w:t>6946.33</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5.1</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建设总投资</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万元</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lang w:bidi="ar"/>
              </w:rPr>
              <w:t>5455.66</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5.2</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铺底流动资金</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万元</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lang w:bidi="ar"/>
              </w:rPr>
              <w:t>17.57</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5.3</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lang w:bidi="ar"/>
              </w:rPr>
              <w:t>预备费</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lang w:bidi="ar"/>
              </w:rPr>
              <w:t>万元</w:t>
            </w:r>
          </w:p>
        </w:tc>
        <w:tc>
          <w:tcPr>
            <w:tcW w:w="2112" w:type="dxa"/>
            <w:vAlign w:val="center"/>
          </w:tcPr>
          <w:p>
            <w:pPr>
              <w:spacing w:line="240" w:lineRule="auto"/>
              <w:ind w:firstLine="0" w:firstLineChars="0"/>
              <w:jc w:val="center"/>
              <w:rPr>
                <w:color w:val="auto"/>
                <w:kern w:val="21"/>
                <w:sz w:val="21"/>
                <w:szCs w:val="21"/>
                <w:lang w:bidi="ar"/>
              </w:rPr>
            </w:pPr>
            <w:r>
              <w:rPr>
                <w:color w:val="auto"/>
                <w:kern w:val="21"/>
                <w:sz w:val="21"/>
                <w:szCs w:val="21"/>
                <w:lang w:bidi="ar"/>
              </w:rPr>
              <w:t>508.61</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6</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lang w:bidi="ar"/>
              </w:rPr>
              <w:t>投产后单位总成本</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lang w:bidi="ar"/>
              </w:rPr>
              <w:t>元/m³污水</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lang w:bidi="ar"/>
              </w:rPr>
              <w:t>3.85</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7</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单位</w:t>
            </w:r>
            <w:r>
              <w:rPr>
                <w:color w:val="auto"/>
                <w:kern w:val="21"/>
                <w:sz w:val="21"/>
                <w:szCs w:val="21"/>
                <w:lang w:bidi="ar"/>
              </w:rPr>
              <w:t>经营成本</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lang w:bidi="ar"/>
              </w:rPr>
              <w:t>元/m³污水</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lang w:bidi="ar"/>
              </w:rPr>
              <w:t>1.91</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8</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lang w:bidi="ar"/>
              </w:rPr>
              <w:t>投资内部收益率</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rPr>
              <w:t>5.49%</w:t>
            </w:r>
          </w:p>
        </w:tc>
        <w:tc>
          <w:tcPr>
            <w:tcW w:w="150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Align w:val="center"/>
          </w:tcPr>
          <w:p>
            <w:pPr>
              <w:spacing w:line="240" w:lineRule="auto"/>
              <w:ind w:firstLine="0" w:firstLineChars="0"/>
              <w:jc w:val="center"/>
              <w:rPr>
                <w:color w:val="auto"/>
                <w:kern w:val="21"/>
                <w:sz w:val="21"/>
                <w:szCs w:val="21"/>
              </w:rPr>
            </w:pPr>
            <w:r>
              <w:rPr>
                <w:color w:val="auto"/>
                <w:kern w:val="21"/>
                <w:sz w:val="21"/>
                <w:szCs w:val="21"/>
              </w:rPr>
              <w:t>9</w:t>
            </w:r>
          </w:p>
        </w:tc>
        <w:tc>
          <w:tcPr>
            <w:tcW w:w="2918" w:type="dxa"/>
            <w:vAlign w:val="center"/>
          </w:tcPr>
          <w:p>
            <w:pPr>
              <w:spacing w:line="240" w:lineRule="auto"/>
              <w:ind w:firstLine="0" w:firstLineChars="0"/>
              <w:jc w:val="center"/>
              <w:rPr>
                <w:color w:val="auto"/>
                <w:kern w:val="21"/>
                <w:sz w:val="21"/>
                <w:szCs w:val="21"/>
              </w:rPr>
            </w:pPr>
            <w:r>
              <w:rPr>
                <w:color w:val="auto"/>
                <w:kern w:val="21"/>
                <w:sz w:val="21"/>
                <w:szCs w:val="21"/>
              </w:rPr>
              <w:t>项目投资回收期</w:t>
            </w:r>
          </w:p>
        </w:tc>
        <w:tc>
          <w:tcPr>
            <w:tcW w:w="1284" w:type="dxa"/>
            <w:vAlign w:val="center"/>
          </w:tcPr>
          <w:p>
            <w:pPr>
              <w:spacing w:line="240" w:lineRule="auto"/>
              <w:ind w:firstLine="0" w:firstLineChars="0"/>
              <w:jc w:val="center"/>
              <w:rPr>
                <w:color w:val="auto"/>
                <w:kern w:val="21"/>
                <w:sz w:val="21"/>
                <w:szCs w:val="21"/>
              </w:rPr>
            </w:pPr>
            <w:r>
              <w:rPr>
                <w:color w:val="auto"/>
                <w:kern w:val="21"/>
                <w:sz w:val="21"/>
                <w:szCs w:val="21"/>
              </w:rPr>
              <w:t>年</w:t>
            </w:r>
          </w:p>
        </w:tc>
        <w:tc>
          <w:tcPr>
            <w:tcW w:w="2112" w:type="dxa"/>
            <w:vAlign w:val="center"/>
          </w:tcPr>
          <w:p>
            <w:pPr>
              <w:spacing w:line="240" w:lineRule="auto"/>
              <w:ind w:firstLine="0" w:firstLineChars="0"/>
              <w:jc w:val="center"/>
              <w:rPr>
                <w:color w:val="auto"/>
                <w:kern w:val="21"/>
                <w:sz w:val="21"/>
                <w:szCs w:val="21"/>
              </w:rPr>
            </w:pPr>
            <w:r>
              <w:rPr>
                <w:color w:val="auto"/>
                <w:kern w:val="21"/>
                <w:sz w:val="21"/>
                <w:szCs w:val="21"/>
              </w:rPr>
              <w:t>13.16</w:t>
            </w:r>
          </w:p>
        </w:tc>
        <w:tc>
          <w:tcPr>
            <w:tcW w:w="1509" w:type="dxa"/>
            <w:vAlign w:val="center"/>
          </w:tcPr>
          <w:p>
            <w:pPr>
              <w:spacing w:line="240" w:lineRule="auto"/>
              <w:ind w:firstLine="0" w:firstLineChars="0"/>
              <w:jc w:val="center"/>
              <w:rPr>
                <w:color w:val="auto"/>
                <w:kern w:val="21"/>
                <w:sz w:val="21"/>
                <w:szCs w:val="21"/>
              </w:rPr>
            </w:pPr>
          </w:p>
        </w:tc>
      </w:tr>
    </w:tbl>
    <w:p>
      <w:pPr>
        <w:pStyle w:val="5"/>
        <w:keepNext/>
        <w:keepLines/>
        <w:pageBreakBefore w:val="0"/>
        <w:widowControl w:val="0"/>
        <w:kinsoku/>
        <w:wordWrap/>
        <w:overflowPunct/>
        <w:topLinePunct w:val="0"/>
        <w:autoSpaceDE/>
        <w:autoSpaceDN/>
        <w:bidi w:val="0"/>
        <w:adjustRightInd/>
        <w:snapToGrid/>
        <w:spacing w:before="0" w:beforeLines="50" w:after="0"/>
        <w:textAlignment w:val="auto"/>
        <w:rPr>
          <w:color w:val="auto"/>
          <w:kern w:val="21"/>
          <w:sz w:val="28"/>
        </w:rPr>
      </w:pPr>
      <w:bookmarkStart w:id="92" w:name="_Toc11818"/>
      <w:bookmarkStart w:id="93" w:name="_Toc188246154"/>
      <w:r>
        <w:rPr>
          <w:color w:val="auto"/>
          <w:kern w:val="21"/>
          <w:sz w:val="28"/>
        </w:rPr>
        <w:t>3.2工程分析</w:t>
      </w:r>
      <w:bookmarkEnd w:id="92"/>
      <w:bookmarkEnd w:id="93"/>
    </w:p>
    <w:p>
      <w:pPr>
        <w:pStyle w:val="6"/>
        <w:spacing w:after="0"/>
        <w:rPr>
          <w:rFonts w:eastAsia="宋体"/>
          <w:color w:val="auto"/>
          <w:kern w:val="21"/>
          <w:sz w:val="24"/>
          <w:szCs w:val="24"/>
        </w:rPr>
      </w:pPr>
      <w:bookmarkStart w:id="94" w:name="_Toc22422"/>
      <w:bookmarkStart w:id="95" w:name="_Toc349147794"/>
      <w:r>
        <w:rPr>
          <w:rFonts w:eastAsia="宋体"/>
          <w:color w:val="auto"/>
          <w:kern w:val="21"/>
          <w:sz w:val="24"/>
          <w:szCs w:val="24"/>
        </w:rPr>
        <w:t>3.2.1施工期</w:t>
      </w:r>
      <w:bookmarkEnd w:id="94"/>
    </w:p>
    <w:p>
      <w:pPr>
        <w:pStyle w:val="16"/>
        <w:topLinePunct/>
        <w:autoSpaceDE/>
        <w:autoSpaceDN/>
        <w:snapToGrid w:val="0"/>
        <w:ind w:firstLine="480"/>
        <w:rPr>
          <w:rFonts w:ascii="Times New Roman" w:hAnsi="Times New Roman"/>
          <w:bCs/>
          <w:color w:val="auto"/>
          <w:kern w:val="21"/>
          <w:sz w:val="24"/>
          <w:szCs w:val="24"/>
        </w:rPr>
      </w:pPr>
      <w:r>
        <w:rPr>
          <w:rFonts w:hint="eastAsia" w:ascii="Times New Roman" w:hAnsi="Times New Roman"/>
          <w:bCs/>
          <w:color w:val="auto"/>
          <w:kern w:val="21"/>
          <w:sz w:val="24"/>
          <w:szCs w:val="24"/>
        </w:rPr>
        <w:t>本项目已于2020年8月建成运行，施工期早已结束，本次环评只进行简单的施工期影响回顾。</w:t>
      </w:r>
    </w:p>
    <w:p>
      <w:pPr>
        <w:pStyle w:val="6"/>
        <w:spacing w:after="0"/>
        <w:rPr>
          <w:rFonts w:eastAsia="宋体"/>
          <w:color w:val="auto"/>
          <w:kern w:val="21"/>
          <w:sz w:val="24"/>
          <w:szCs w:val="24"/>
        </w:rPr>
      </w:pPr>
      <w:bookmarkStart w:id="96" w:name="_Toc2090"/>
      <w:r>
        <w:rPr>
          <w:rFonts w:eastAsia="宋体"/>
          <w:color w:val="auto"/>
          <w:kern w:val="21"/>
          <w:sz w:val="24"/>
          <w:szCs w:val="24"/>
        </w:rPr>
        <w:t>3.2.2运营期</w:t>
      </w:r>
      <w:bookmarkEnd w:id="96"/>
    </w:p>
    <w:p>
      <w:pPr>
        <w:widowControl/>
        <w:ind w:firstLine="0" w:firstLineChars="0"/>
        <w:jc w:val="left"/>
        <w:outlineLvl w:val="3"/>
        <w:rPr>
          <w:b/>
          <w:bCs/>
          <w:color w:val="auto"/>
          <w:kern w:val="21"/>
        </w:rPr>
      </w:pPr>
      <w:r>
        <w:rPr>
          <w:rFonts w:hint="eastAsia"/>
          <w:b/>
          <w:bCs/>
          <w:color w:val="auto"/>
          <w:kern w:val="21"/>
        </w:rPr>
        <w:t>3.2.2.1影响因素分析</w:t>
      </w:r>
    </w:p>
    <w:p>
      <w:pPr>
        <w:widowControl/>
        <w:ind w:firstLine="480"/>
        <w:jc w:val="left"/>
        <w:rPr>
          <w:color w:val="auto"/>
          <w:kern w:val="21"/>
        </w:rPr>
      </w:pPr>
      <w:r>
        <w:rPr>
          <w:color w:val="auto"/>
          <w:kern w:val="21"/>
        </w:rPr>
        <w:t>项目运营期工艺流程及产污节点见</w:t>
      </w:r>
      <w:r>
        <w:rPr>
          <w:rFonts w:hint="eastAsia"/>
          <w:color w:val="auto"/>
          <w:kern w:val="21"/>
          <w:lang w:eastAsia="zh-CN"/>
        </w:rPr>
        <w:t>下图</w:t>
      </w:r>
      <w:r>
        <w:rPr>
          <w:color w:val="auto"/>
          <w:kern w:val="21"/>
        </w:rPr>
        <w:t>。</w:t>
      </w:r>
    </w:p>
    <w:p>
      <w:pPr>
        <w:ind w:firstLine="0" w:firstLineChars="0"/>
        <w:jc w:val="center"/>
        <w:rPr>
          <w:b/>
          <w:bCs/>
          <w:color w:val="auto"/>
          <w:kern w:val="21"/>
        </w:rPr>
      </w:pPr>
      <w:r>
        <w:rPr>
          <w:b/>
          <w:bCs/>
          <w:color w:val="auto"/>
          <w:kern w:val="21"/>
        </w:rPr>
        <w:object>
          <v:shape id="_x0000_i1028" o:spt="75" type="#_x0000_t75" style="height:624.75pt;width:413.25pt;" o:ole="t" filled="f" o:preferrelative="t" stroked="f" coordsize="21600,21600">
            <v:path/>
            <v:fill on="f" focussize="0,0"/>
            <v:stroke on="f"/>
            <v:imagedata r:id="rId31" o:title=""/>
            <o:lock v:ext="edit" aspectratio="f"/>
            <w10:wrap type="none"/>
            <w10:anchorlock/>
          </v:shape>
          <o:OLEObject Type="Embed" ProgID="Visio.Drawing.15" ShapeID="_x0000_i1028" DrawAspect="Content" ObjectID="_1468075728" r:id="rId30">
            <o:LockedField>false</o:LockedField>
          </o:OLEObject>
        </w:object>
      </w:r>
    </w:p>
    <w:p>
      <w:pPr>
        <w:keepNext w:val="0"/>
        <w:keepLines w:val="0"/>
        <w:pageBreakBefore w:val="0"/>
        <w:widowControl/>
        <w:numPr>
          <w:ilvl w:val="0"/>
          <w:numId w:val="6"/>
        </w:numPr>
        <w:kinsoku/>
        <w:wordWrap/>
        <w:overflowPunct/>
        <w:topLinePunct w:val="0"/>
        <w:autoSpaceDE/>
        <w:autoSpaceDN/>
        <w:bidi w:val="0"/>
        <w:adjustRightInd/>
        <w:snapToGrid/>
        <w:ind w:left="0" w:leftChars="0" w:firstLine="0" w:firstLineChars="0"/>
        <w:jc w:val="center"/>
        <w:textAlignment w:val="auto"/>
        <w:rPr>
          <w:b/>
          <w:bCs/>
          <w:color w:val="auto"/>
          <w:kern w:val="21"/>
        </w:rPr>
      </w:pPr>
      <w:r>
        <w:rPr>
          <w:b/>
          <w:bCs/>
          <w:color w:val="auto"/>
          <w:kern w:val="21"/>
        </w:rPr>
        <w:t>运营期工艺流程及产污节点图</w:t>
      </w:r>
    </w:p>
    <w:bookmarkEnd w:id="95"/>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3.</w:t>
      </w:r>
      <w:r>
        <w:rPr>
          <w:rFonts w:hint="eastAsia" w:ascii="Times New Roman" w:hAnsi="Times New Roman" w:eastAsia="宋体"/>
          <w:color w:val="auto"/>
          <w:kern w:val="21"/>
          <w:sz w:val="24"/>
          <w:szCs w:val="24"/>
          <w:lang w:val="en-US" w:eastAsia="zh-CN"/>
        </w:rPr>
        <w:t>2.</w:t>
      </w:r>
      <w:r>
        <w:rPr>
          <w:rFonts w:ascii="Times New Roman" w:hAnsi="Times New Roman" w:eastAsia="宋体"/>
          <w:color w:val="auto"/>
          <w:kern w:val="21"/>
          <w:sz w:val="24"/>
          <w:szCs w:val="24"/>
        </w:rPr>
        <w:t>2.</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大气污染源</w:t>
      </w:r>
      <w:r>
        <w:rPr>
          <w:rFonts w:hint="eastAsia" w:ascii="Times New Roman" w:hAnsi="Times New Roman" w:eastAsia="宋体"/>
          <w:color w:val="auto"/>
          <w:kern w:val="21"/>
          <w:sz w:val="24"/>
          <w:szCs w:val="24"/>
        </w:rPr>
        <w:t>强</w:t>
      </w:r>
    </w:p>
    <w:p>
      <w:pPr>
        <w:ind w:firstLine="480"/>
        <w:rPr>
          <w:color w:val="auto"/>
          <w:kern w:val="21"/>
        </w:rPr>
      </w:pPr>
      <w:r>
        <w:rPr>
          <w:color w:val="auto"/>
          <w:kern w:val="21"/>
        </w:rPr>
        <w:t>污水处理厂运营期大气污染物主要有</w:t>
      </w:r>
      <w:r>
        <w:rPr>
          <w:rFonts w:hint="eastAsia"/>
          <w:color w:val="auto"/>
          <w:kern w:val="21"/>
        </w:rPr>
        <w:t>异味和</w:t>
      </w:r>
      <w:r>
        <w:rPr>
          <w:color w:val="auto"/>
          <w:kern w:val="21"/>
        </w:rPr>
        <w:t>食堂油烟。</w:t>
      </w:r>
    </w:p>
    <w:p>
      <w:pPr>
        <w:ind w:firstLine="480"/>
        <w:rPr>
          <w:color w:val="auto"/>
          <w:kern w:val="21"/>
        </w:rPr>
      </w:pPr>
      <w:r>
        <w:rPr>
          <w:color w:val="auto"/>
          <w:kern w:val="21"/>
        </w:rPr>
        <w:t>1、</w:t>
      </w:r>
      <w:r>
        <w:rPr>
          <w:rFonts w:hint="eastAsia"/>
          <w:color w:val="auto"/>
          <w:kern w:val="21"/>
        </w:rPr>
        <w:t>异味</w:t>
      </w:r>
    </w:p>
    <w:p>
      <w:pPr>
        <w:widowControl/>
        <w:ind w:firstLine="480"/>
        <w:jc w:val="left"/>
        <w:rPr>
          <w:color w:val="auto"/>
          <w:kern w:val="21"/>
        </w:rPr>
      </w:pPr>
      <w:r>
        <w:rPr>
          <w:rFonts w:hint="eastAsia"/>
          <w:color w:val="auto"/>
          <w:kern w:val="21"/>
          <w:lang w:bidi="ar"/>
        </w:rPr>
        <w:t>本项目运行期厂区异味主要来源于</w:t>
      </w:r>
      <w:r>
        <w:rPr>
          <w:color w:val="auto"/>
          <w:kern w:val="21"/>
          <w:lang w:bidi="ar"/>
        </w:rPr>
        <w:t>污水处理过程中产生的</w:t>
      </w:r>
      <w:r>
        <w:rPr>
          <w:rFonts w:hint="eastAsia"/>
          <w:color w:val="auto"/>
          <w:kern w:val="21"/>
          <w:lang w:bidi="ar"/>
        </w:rPr>
        <w:t>臭气</w:t>
      </w:r>
      <w:r>
        <w:rPr>
          <w:color w:val="auto"/>
          <w:kern w:val="21"/>
          <w:lang w:bidi="ar"/>
        </w:rPr>
        <w:t>，</w:t>
      </w:r>
      <w:r>
        <w:rPr>
          <w:rFonts w:hint="eastAsia"/>
          <w:color w:val="auto"/>
          <w:kern w:val="21"/>
          <w:lang w:eastAsia="zh-CN" w:bidi="ar"/>
        </w:rPr>
        <w:t>主要产生源为粗格栅及进水泵房、细格栅及调节池、</w:t>
      </w:r>
      <w:r>
        <w:rPr>
          <w:rFonts w:hint="eastAsia"/>
          <w:color w:val="auto"/>
          <w:kern w:val="21"/>
          <w:lang w:bidi="ar"/>
        </w:rPr>
        <w:t>水解酸化池</w:t>
      </w:r>
      <w:r>
        <w:rPr>
          <w:rFonts w:hint="eastAsia"/>
          <w:color w:val="auto"/>
          <w:kern w:val="21"/>
          <w:lang w:eastAsia="zh-CN" w:bidi="ar"/>
        </w:rPr>
        <w:t>、混凝沉淀池、</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/O生化池</w:t>
      </w:r>
      <w:r>
        <w:rPr>
          <w:color w:val="auto"/>
          <w:kern w:val="21"/>
          <w:lang w:bidi="ar"/>
        </w:rPr>
        <w:t>、MBR膜池</w:t>
      </w:r>
      <w:r>
        <w:rPr>
          <w:rFonts w:hint="eastAsia"/>
          <w:color w:val="auto"/>
          <w:kern w:val="21"/>
          <w:lang w:eastAsia="zh-CN" w:bidi="ar"/>
        </w:rPr>
        <w:t>、</w:t>
      </w:r>
      <w:r>
        <w:rPr>
          <w:color w:val="auto"/>
          <w:kern w:val="21"/>
          <w:lang w:bidi="ar"/>
        </w:rPr>
        <w:t>污泥脱水车间</w:t>
      </w:r>
      <w:r>
        <w:rPr>
          <w:rFonts w:hint="eastAsia"/>
          <w:color w:val="auto"/>
          <w:kern w:val="21"/>
          <w:lang w:eastAsia="zh-CN" w:bidi="ar"/>
        </w:rPr>
        <w:t>、</w:t>
      </w:r>
      <w:r>
        <w:rPr>
          <w:rFonts w:hint="eastAsia"/>
          <w:color w:val="auto"/>
          <w:kern w:val="21"/>
          <w:lang w:bidi="ar"/>
        </w:rPr>
        <w:t>污泥浓缩池</w:t>
      </w:r>
      <w:r>
        <w:rPr>
          <w:rFonts w:hint="eastAsia"/>
          <w:color w:val="auto"/>
          <w:kern w:val="21"/>
          <w:lang w:eastAsia="zh-CN" w:bidi="ar"/>
        </w:rPr>
        <w:t>，其中水解酸化池、</w:t>
      </w:r>
      <w:r>
        <w:rPr>
          <w:rFonts w:hint="eastAsia"/>
          <w:color w:val="auto"/>
          <w:kern w:val="21"/>
          <w:lang w:bidi="ar"/>
        </w:rPr>
        <w:t>污泥浓缩池</w:t>
      </w:r>
      <w:r>
        <w:rPr>
          <w:rFonts w:hint="eastAsia"/>
          <w:color w:val="auto"/>
          <w:kern w:val="21"/>
          <w:lang w:eastAsia="zh-CN" w:bidi="ar"/>
        </w:rPr>
        <w:t>现状已</w:t>
      </w:r>
      <w:r>
        <w:rPr>
          <w:rFonts w:hint="eastAsia"/>
          <w:color w:val="auto"/>
          <w:kern w:val="21"/>
          <w:lang w:bidi="ar"/>
        </w:rPr>
        <w:t>密闭</w:t>
      </w:r>
      <w:r>
        <w:rPr>
          <w:rFonts w:hint="eastAsia"/>
          <w:color w:val="auto"/>
          <w:kern w:val="21"/>
          <w:lang w:eastAsia="zh-CN" w:bidi="ar"/>
        </w:rPr>
        <w:t>，其余池体及设施为开放式结构，是本项目臭气的主要来源，现状未设置除臭措施进行防治</w:t>
      </w:r>
      <w:r>
        <w:rPr>
          <w:color w:val="auto"/>
          <w:kern w:val="21"/>
          <w:lang w:bidi="ar"/>
        </w:rPr>
        <w:t>。</w:t>
      </w:r>
      <w:r>
        <w:rPr>
          <w:rFonts w:hint="eastAsia"/>
          <w:color w:val="auto"/>
          <w:kern w:val="21"/>
          <w:lang w:bidi="ar"/>
        </w:rPr>
        <w:t>臭气</w:t>
      </w:r>
      <w:r>
        <w:rPr>
          <w:color w:val="auto"/>
          <w:kern w:val="21"/>
          <w:lang w:bidi="ar"/>
        </w:rPr>
        <w:t>的主要成分、性质见</w:t>
      </w:r>
      <w:r>
        <w:rPr>
          <w:rFonts w:hint="eastAsia"/>
          <w:color w:val="auto"/>
          <w:kern w:val="21"/>
          <w:lang w:eastAsia="zh-CN" w:bidi="ar"/>
        </w:rPr>
        <w:t>下表</w:t>
      </w:r>
      <w:r>
        <w:rPr>
          <w:color w:val="auto"/>
          <w:kern w:val="21"/>
          <w:lang w:bidi="ar"/>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lang w:bidi="ar"/>
        </w:rPr>
      </w:pPr>
      <w:r>
        <w:rPr>
          <w:rFonts w:hint="eastAsia"/>
          <w:b/>
          <w:color w:val="auto"/>
          <w:kern w:val="21"/>
        </w:rPr>
        <w:t>臭气</w:t>
      </w:r>
      <w:r>
        <w:rPr>
          <w:b/>
          <w:bCs/>
          <w:color w:val="auto"/>
          <w:kern w:val="21"/>
          <w:lang w:bidi="ar"/>
        </w:rPr>
        <w:t>主要成份表</w:t>
      </w:r>
    </w:p>
    <w:tbl>
      <w:tblPr>
        <w:tblStyle w:val="51"/>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2934"/>
        <w:gridCol w:w="2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0" w:type="dxa"/>
            <w:vAlign w:val="center"/>
          </w:tcPr>
          <w:p>
            <w:pPr>
              <w:pStyle w:val="23"/>
              <w:spacing w:after="0" w:line="240" w:lineRule="auto"/>
              <w:ind w:left="0" w:leftChars="0" w:firstLine="0" w:firstLineChars="0"/>
              <w:jc w:val="center"/>
              <w:rPr>
                <w:b/>
                <w:bCs/>
                <w:color w:val="auto"/>
                <w:kern w:val="21"/>
                <w:sz w:val="21"/>
                <w:szCs w:val="21"/>
              </w:rPr>
            </w:pPr>
            <w:r>
              <w:rPr>
                <w:b/>
                <w:bCs/>
                <w:color w:val="auto"/>
                <w:kern w:val="21"/>
                <w:sz w:val="21"/>
                <w:szCs w:val="21"/>
              </w:rPr>
              <w:t>化合物</w:t>
            </w:r>
          </w:p>
        </w:tc>
        <w:tc>
          <w:tcPr>
            <w:tcW w:w="2934" w:type="dxa"/>
            <w:vAlign w:val="center"/>
          </w:tcPr>
          <w:p>
            <w:pPr>
              <w:pStyle w:val="23"/>
              <w:spacing w:after="0" w:line="240" w:lineRule="auto"/>
              <w:ind w:left="0" w:leftChars="0" w:firstLine="0" w:firstLineChars="0"/>
              <w:jc w:val="center"/>
              <w:rPr>
                <w:b/>
                <w:bCs/>
                <w:color w:val="auto"/>
                <w:kern w:val="21"/>
                <w:sz w:val="21"/>
                <w:szCs w:val="21"/>
              </w:rPr>
            </w:pPr>
            <w:r>
              <w:rPr>
                <w:b/>
                <w:bCs/>
                <w:color w:val="auto"/>
                <w:kern w:val="21"/>
                <w:sz w:val="21"/>
                <w:szCs w:val="21"/>
              </w:rPr>
              <w:t>典型分子式</w:t>
            </w:r>
          </w:p>
        </w:tc>
        <w:tc>
          <w:tcPr>
            <w:tcW w:w="2680" w:type="dxa"/>
            <w:vAlign w:val="center"/>
          </w:tcPr>
          <w:p>
            <w:pPr>
              <w:pStyle w:val="23"/>
              <w:spacing w:after="0" w:line="240" w:lineRule="auto"/>
              <w:ind w:left="0" w:leftChars="0" w:firstLine="0" w:firstLineChars="0"/>
              <w:jc w:val="center"/>
              <w:rPr>
                <w:b/>
                <w:bCs/>
                <w:color w:val="auto"/>
                <w:kern w:val="21"/>
                <w:sz w:val="21"/>
                <w:szCs w:val="21"/>
              </w:rPr>
            </w:pPr>
            <w:r>
              <w:rPr>
                <w:b/>
                <w:bCs/>
                <w:color w:val="auto"/>
                <w:kern w:val="21"/>
                <w:sz w:val="21"/>
                <w:szCs w:val="21"/>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胺类</w:t>
            </w:r>
          </w:p>
        </w:tc>
        <w:tc>
          <w:tcPr>
            <w:tcW w:w="2934"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CH</w:t>
            </w:r>
            <w:r>
              <w:rPr>
                <w:color w:val="auto"/>
                <w:kern w:val="21"/>
                <w:sz w:val="21"/>
                <w:szCs w:val="21"/>
                <w:vertAlign w:val="subscript"/>
                <w:lang w:bidi="ar"/>
              </w:rPr>
              <w:t>3</w:t>
            </w:r>
            <w:r>
              <w:rPr>
                <w:color w:val="auto"/>
                <w:kern w:val="21"/>
                <w:sz w:val="21"/>
                <w:szCs w:val="21"/>
                <w:lang w:bidi="ar"/>
              </w:rPr>
              <w:t>NH</w:t>
            </w:r>
            <w:r>
              <w:rPr>
                <w:color w:val="auto"/>
                <w:kern w:val="21"/>
                <w:sz w:val="21"/>
                <w:szCs w:val="21"/>
                <w:vertAlign w:val="subscript"/>
                <w:lang w:bidi="ar"/>
              </w:rPr>
              <w:t>2</w:t>
            </w:r>
            <w:r>
              <w:rPr>
                <w:rFonts w:hint="eastAsia"/>
                <w:color w:val="auto"/>
                <w:kern w:val="21"/>
                <w:sz w:val="21"/>
                <w:szCs w:val="21"/>
                <w:lang w:bidi="ar"/>
              </w:rPr>
              <w:t>（</w:t>
            </w:r>
            <w:r>
              <w:rPr>
                <w:color w:val="auto"/>
                <w:kern w:val="21"/>
                <w:sz w:val="21"/>
                <w:szCs w:val="21"/>
                <w:lang w:bidi="ar"/>
              </w:rPr>
              <w:t>CH</w:t>
            </w:r>
            <w:r>
              <w:rPr>
                <w:color w:val="auto"/>
                <w:kern w:val="21"/>
                <w:sz w:val="21"/>
                <w:szCs w:val="21"/>
                <w:vertAlign w:val="subscript"/>
                <w:lang w:bidi="ar"/>
              </w:rPr>
              <w:t>3</w:t>
            </w:r>
            <w:r>
              <w:rPr>
                <w:rFonts w:hint="eastAsia"/>
                <w:color w:val="auto"/>
                <w:kern w:val="21"/>
                <w:sz w:val="21"/>
                <w:szCs w:val="21"/>
                <w:lang w:bidi="ar"/>
              </w:rPr>
              <w:t>）</w:t>
            </w:r>
            <w:r>
              <w:rPr>
                <w:color w:val="auto"/>
                <w:kern w:val="21"/>
                <w:sz w:val="21"/>
                <w:szCs w:val="21"/>
                <w:vertAlign w:val="subscript"/>
                <w:lang w:bidi="ar"/>
              </w:rPr>
              <w:t>3</w:t>
            </w:r>
            <w:r>
              <w:rPr>
                <w:color w:val="auto"/>
                <w:kern w:val="21"/>
                <w:sz w:val="21"/>
                <w:szCs w:val="21"/>
                <w:lang w:bidi="ar"/>
              </w:rPr>
              <w:t>N</w:t>
            </w:r>
          </w:p>
        </w:tc>
        <w:tc>
          <w:tcPr>
            <w:tcW w:w="2680"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鱼腥味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0"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氨</w:t>
            </w:r>
          </w:p>
        </w:tc>
        <w:tc>
          <w:tcPr>
            <w:tcW w:w="2934"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NH</w:t>
            </w:r>
            <w:r>
              <w:rPr>
                <w:color w:val="auto"/>
                <w:kern w:val="21"/>
                <w:sz w:val="21"/>
                <w:szCs w:val="21"/>
                <w:vertAlign w:val="subscript"/>
                <w:lang w:bidi="ar"/>
              </w:rPr>
              <w:t>3</w:t>
            </w:r>
          </w:p>
        </w:tc>
        <w:tc>
          <w:tcPr>
            <w:tcW w:w="2680"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氨味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jc w:val="center"/>
        </w:trPr>
        <w:tc>
          <w:tcPr>
            <w:tcW w:w="2680"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二胺</w:t>
            </w:r>
          </w:p>
        </w:tc>
        <w:tc>
          <w:tcPr>
            <w:tcW w:w="2934"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NH</w:t>
            </w:r>
            <w:r>
              <w:rPr>
                <w:color w:val="auto"/>
                <w:kern w:val="21"/>
                <w:sz w:val="21"/>
                <w:szCs w:val="21"/>
                <w:vertAlign w:val="subscript"/>
                <w:lang w:bidi="ar"/>
              </w:rPr>
              <w:t>2</w:t>
            </w:r>
            <w:r>
              <w:rPr>
                <w:rFonts w:hint="eastAsia"/>
                <w:color w:val="auto"/>
                <w:kern w:val="21"/>
                <w:sz w:val="21"/>
                <w:szCs w:val="21"/>
                <w:lang w:bidi="ar"/>
              </w:rPr>
              <w:t>（</w:t>
            </w:r>
            <w:r>
              <w:rPr>
                <w:color w:val="auto"/>
                <w:kern w:val="21"/>
                <w:sz w:val="21"/>
                <w:szCs w:val="21"/>
                <w:lang w:bidi="ar"/>
              </w:rPr>
              <w:t>CH</w:t>
            </w:r>
            <w:r>
              <w:rPr>
                <w:color w:val="auto"/>
                <w:kern w:val="21"/>
                <w:sz w:val="21"/>
                <w:szCs w:val="21"/>
                <w:vertAlign w:val="subscript"/>
                <w:lang w:bidi="ar"/>
              </w:rPr>
              <w:t>2</w:t>
            </w:r>
            <w:r>
              <w:rPr>
                <w:rFonts w:hint="eastAsia"/>
                <w:color w:val="auto"/>
                <w:kern w:val="21"/>
                <w:sz w:val="21"/>
                <w:szCs w:val="21"/>
                <w:lang w:bidi="ar"/>
              </w:rPr>
              <w:t>）</w:t>
            </w:r>
            <w:r>
              <w:rPr>
                <w:color w:val="auto"/>
                <w:kern w:val="21"/>
                <w:sz w:val="21"/>
                <w:szCs w:val="21"/>
                <w:vertAlign w:val="subscript"/>
                <w:lang w:bidi="ar"/>
              </w:rPr>
              <w:t>4</w:t>
            </w:r>
            <w:r>
              <w:rPr>
                <w:color w:val="auto"/>
                <w:kern w:val="21"/>
                <w:sz w:val="21"/>
                <w:szCs w:val="21"/>
                <w:lang w:bidi="ar"/>
              </w:rPr>
              <w:t>NH</w:t>
            </w:r>
            <w:r>
              <w:rPr>
                <w:color w:val="auto"/>
                <w:kern w:val="21"/>
                <w:sz w:val="21"/>
                <w:szCs w:val="21"/>
                <w:vertAlign w:val="subscript"/>
                <w:lang w:bidi="ar"/>
              </w:rPr>
              <w:t>2</w:t>
            </w:r>
            <w:r>
              <w:rPr>
                <w:color w:val="auto"/>
                <w:kern w:val="21"/>
                <w:sz w:val="21"/>
                <w:szCs w:val="21"/>
                <w:lang w:bidi="ar"/>
              </w:rPr>
              <w:t>NH</w:t>
            </w:r>
            <w:r>
              <w:rPr>
                <w:color w:val="auto"/>
                <w:kern w:val="21"/>
                <w:sz w:val="21"/>
                <w:szCs w:val="21"/>
                <w:vertAlign w:val="subscript"/>
                <w:lang w:bidi="ar"/>
              </w:rPr>
              <w:t>2</w:t>
            </w:r>
            <w:r>
              <w:rPr>
                <w:rFonts w:hint="eastAsia"/>
                <w:color w:val="auto"/>
                <w:kern w:val="21"/>
                <w:sz w:val="21"/>
                <w:szCs w:val="21"/>
                <w:lang w:bidi="ar"/>
              </w:rPr>
              <w:t>（</w:t>
            </w:r>
            <w:r>
              <w:rPr>
                <w:color w:val="auto"/>
                <w:kern w:val="21"/>
                <w:sz w:val="21"/>
                <w:szCs w:val="21"/>
                <w:lang w:bidi="ar"/>
              </w:rPr>
              <w:t>CH</w:t>
            </w:r>
            <w:r>
              <w:rPr>
                <w:color w:val="auto"/>
                <w:kern w:val="21"/>
                <w:sz w:val="21"/>
                <w:szCs w:val="21"/>
                <w:vertAlign w:val="subscript"/>
                <w:lang w:bidi="ar"/>
              </w:rPr>
              <w:t>2</w:t>
            </w:r>
            <w:r>
              <w:rPr>
                <w:rFonts w:hint="eastAsia"/>
                <w:color w:val="auto"/>
                <w:kern w:val="21"/>
                <w:sz w:val="21"/>
                <w:szCs w:val="21"/>
                <w:lang w:bidi="ar"/>
              </w:rPr>
              <w:t>）</w:t>
            </w:r>
            <w:r>
              <w:rPr>
                <w:color w:val="auto"/>
                <w:kern w:val="21"/>
                <w:sz w:val="21"/>
                <w:szCs w:val="21"/>
                <w:vertAlign w:val="subscript"/>
                <w:lang w:bidi="ar"/>
              </w:rPr>
              <w:t>5</w:t>
            </w:r>
            <w:r>
              <w:rPr>
                <w:color w:val="auto"/>
                <w:kern w:val="21"/>
                <w:sz w:val="21"/>
                <w:szCs w:val="21"/>
                <w:lang w:bidi="ar"/>
              </w:rPr>
              <w:t>NH</w:t>
            </w:r>
            <w:r>
              <w:rPr>
                <w:color w:val="auto"/>
                <w:kern w:val="21"/>
                <w:sz w:val="21"/>
                <w:szCs w:val="21"/>
                <w:vertAlign w:val="subscript"/>
                <w:lang w:bidi="ar"/>
              </w:rPr>
              <w:t>2</w:t>
            </w:r>
          </w:p>
        </w:tc>
        <w:tc>
          <w:tcPr>
            <w:tcW w:w="2680"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腐肉味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硫化氢</w:t>
            </w:r>
          </w:p>
        </w:tc>
        <w:tc>
          <w:tcPr>
            <w:tcW w:w="2934"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H</w:t>
            </w:r>
            <w:r>
              <w:rPr>
                <w:color w:val="auto"/>
                <w:kern w:val="21"/>
                <w:sz w:val="21"/>
                <w:szCs w:val="21"/>
                <w:vertAlign w:val="subscript"/>
                <w:lang w:bidi="ar"/>
              </w:rPr>
              <w:t>2</w:t>
            </w:r>
            <w:r>
              <w:rPr>
                <w:color w:val="auto"/>
                <w:kern w:val="21"/>
                <w:sz w:val="21"/>
                <w:szCs w:val="21"/>
                <w:lang w:bidi="ar"/>
              </w:rPr>
              <w:t>S</w:t>
            </w:r>
          </w:p>
        </w:tc>
        <w:tc>
          <w:tcPr>
            <w:tcW w:w="268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臭鸡蛋味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硫醇</w:t>
            </w:r>
          </w:p>
        </w:tc>
        <w:tc>
          <w:tcPr>
            <w:tcW w:w="2934"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CH</w:t>
            </w:r>
            <w:r>
              <w:rPr>
                <w:color w:val="auto"/>
                <w:kern w:val="21"/>
                <w:sz w:val="21"/>
                <w:szCs w:val="21"/>
                <w:vertAlign w:val="subscript"/>
                <w:lang w:bidi="ar"/>
              </w:rPr>
              <w:t>3</w:t>
            </w:r>
            <w:r>
              <w:rPr>
                <w:color w:val="auto"/>
                <w:kern w:val="21"/>
                <w:sz w:val="21"/>
                <w:szCs w:val="21"/>
                <w:lang w:bidi="ar"/>
              </w:rPr>
              <w:t>SHCH</w:t>
            </w:r>
            <w:r>
              <w:rPr>
                <w:color w:val="auto"/>
                <w:kern w:val="21"/>
                <w:sz w:val="21"/>
                <w:szCs w:val="21"/>
                <w:vertAlign w:val="subscript"/>
                <w:lang w:bidi="ar"/>
              </w:rPr>
              <w:t>3</w:t>
            </w:r>
            <w:r>
              <w:rPr>
                <w:color w:val="auto"/>
                <w:kern w:val="21"/>
                <w:sz w:val="21"/>
                <w:szCs w:val="21"/>
                <w:lang w:bidi="ar"/>
              </w:rPr>
              <w:t>SSCH</w:t>
            </w:r>
            <w:r>
              <w:rPr>
                <w:color w:val="auto"/>
                <w:kern w:val="21"/>
                <w:sz w:val="21"/>
                <w:szCs w:val="21"/>
                <w:vertAlign w:val="subscript"/>
                <w:lang w:bidi="ar"/>
              </w:rPr>
              <w:t>3</w:t>
            </w:r>
          </w:p>
        </w:tc>
        <w:tc>
          <w:tcPr>
            <w:tcW w:w="2680"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烂洋葱味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类臭素</w:t>
            </w:r>
          </w:p>
        </w:tc>
        <w:tc>
          <w:tcPr>
            <w:tcW w:w="2934"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C</w:t>
            </w:r>
            <w:r>
              <w:rPr>
                <w:color w:val="auto"/>
                <w:kern w:val="21"/>
                <w:sz w:val="21"/>
                <w:szCs w:val="21"/>
                <w:vertAlign w:val="subscript"/>
                <w:lang w:bidi="ar"/>
              </w:rPr>
              <w:t>8</w:t>
            </w:r>
            <w:r>
              <w:rPr>
                <w:color w:val="auto"/>
                <w:kern w:val="21"/>
                <w:sz w:val="21"/>
                <w:szCs w:val="21"/>
                <w:lang w:bidi="ar"/>
              </w:rPr>
              <w:t>H</w:t>
            </w:r>
            <w:r>
              <w:rPr>
                <w:color w:val="auto"/>
                <w:kern w:val="21"/>
                <w:sz w:val="21"/>
                <w:szCs w:val="21"/>
                <w:vertAlign w:val="subscript"/>
                <w:lang w:bidi="ar"/>
              </w:rPr>
              <w:t>5</w:t>
            </w:r>
            <w:r>
              <w:rPr>
                <w:color w:val="auto"/>
                <w:kern w:val="21"/>
                <w:sz w:val="21"/>
                <w:szCs w:val="21"/>
                <w:lang w:bidi="ar"/>
              </w:rPr>
              <w:t>NHCH</w:t>
            </w:r>
            <w:r>
              <w:rPr>
                <w:color w:val="auto"/>
                <w:kern w:val="21"/>
                <w:sz w:val="21"/>
                <w:szCs w:val="21"/>
                <w:vertAlign w:val="subscript"/>
                <w:lang w:bidi="ar"/>
              </w:rPr>
              <w:t>3</w:t>
            </w:r>
          </w:p>
        </w:tc>
        <w:tc>
          <w:tcPr>
            <w:tcW w:w="2680"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粪便味</w:t>
            </w:r>
          </w:p>
        </w:tc>
      </w:tr>
    </w:tbl>
    <w:p>
      <w:pPr>
        <w:pStyle w:val="23"/>
        <w:spacing w:after="0" w:line="360" w:lineRule="auto"/>
        <w:ind w:left="0" w:leftChars="0" w:firstLine="480"/>
        <w:rPr>
          <w:rFonts w:hint="eastAsia"/>
          <w:color w:val="auto"/>
          <w:kern w:val="21"/>
        </w:rPr>
      </w:pPr>
      <w:r>
        <w:rPr>
          <w:color w:val="auto"/>
          <w:kern w:val="21"/>
        </w:rPr>
        <w:t>如上表所示，污水处理系统产生的</w:t>
      </w:r>
      <w:r>
        <w:rPr>
          <w:rFonts w:hint="eastAsia"/>
          <w:color w:val="auto"/>
          <w:kern w:val="21"/>
        </w:rPr>
        <w:t>臭气</w:t>
      </w:r>
      <w:r>
        <w:rPr>
          <w:color w:val="auto"/>
          <w:kern w:val="21"/>
        </w:rPr>
        <w:t>物质主要有NH</w:t>
      </w:r>
      <w:r>
        <w:rPr>
          <w:color w:val="auto"/>
          <w:kern w:val="21"/>
          <w:vertAlign w:val="subscript"/>
        </w:rPr>
        <w:t>3</w:t>
      </w:r>
      <w:r>
        <w:rPr>
          <w:color w:val="auto"/>
          <w:kern w:val="21"/>
        </w:rPr>
        <w:t>、H</w:t>
      </w:r>
      <w:r>
        <w:rPr>
          <w:color w:val="auto"/>
          <w:kern w:val="21"/>
          <w:vertAlign w:val="subscript"/>
        </w:rPr>
        <w:t>2</w:t>
      </w:r>
      <w:r>
        <w:rPr>
          <w:color w:val="auto"/>
          <w:kern w:val="21"/>
        </w:rPr>
        <w:t>S、甲硫醇、胺类等，</w:t>
      </w:r>
      <w:r>
        <w:rPr>
          <w:rFonts w:hint="eastAsia"/>
          <w:color w:val="auto"/>
          <w:kern w:val="21"/>
        </w:rPr>
        <w:t>最常见的是硫化氢和氨。</w:t>
      </w:r>
    </w:p>
    <w:p>
      <w:pPr>
        <w:pStyle w:val="23"/>
        <w:spacing w:after="0" w:line="360" w:lineRule="auto"/>
        <w:ind w:left="0" w:leftChars="0" w:firstLine="480"/>
        <w:rPr>
          <w:rFonts w:hint="eastAsia"/>
          <w:color w:val="auto"/>
          <w:kern w:val="21"/>
          <w:lang w:val="en-US" w:eastAsia="zh-CN"/>
        </w:rPr>
      </w:pPr>
      <w:r>
        <w:rPr>
          <w:rFonts w:hint="eastAsia"/>
          <w:color w:val="auto"/>
          <w:kern w:val="21"/>
          <w:lang w:eastAsia="zh-CN"/>
        </w:rPr>
        <w:t>由于污水处理厂恶臭源强与污水水质、处理工艺、各构筑物尺寸、污泥处理方式、风速、气温等存在较大关系，恶臭源强存在一定幅度的变化。</w:t>
      </w:r>
      <w:r>
        <w:rPr>
          <w:rFonts w:hint="eastAsia"/>
          <w:color w:val="auto"/>
          <w:kern w:val="21"/>
        </w:rPr>
        <w:t>本项目污水处理区产生源强</w:t>
      </w:r>
      <w:r>
        <w:rPr>
          <w:rFonts w:hint="eastAsia"/>
          <w:color w:val="auto"/>
          <w:kern w:val="21"/>
          <w:lang w:eastAsia="zh-CN"/>
        </w:rPr>
        <w:t>按照</w:t>
      </w:r>
      <w:r>
        <w:rPr>
          <w:rFonts w:hint="eastAsia"/>
          <w:color w:val="auto"/>
          <w:kern w:val="21"/>
        </w:rPr>
        <w:t>文献资料《</w:t>
      </w:r>
      <w:r>
        <w:rPr>
          <w:rFonts w:hint="eastAsia"/>
          <w:color w:val="auto"/>
          <w:kern w:val="21"/>
          <w:lang w:eastAsia="zh-CN"/>
        </w:rPr>
        <w:t>城市污水处理厂恶臭影响及对策分析</w:t>
      </w:r>
      <w:r>
        <w:rPr>
          <w:rFonts w:hint="eastAsia"/>
          <w:color w:val="auto"/>
          <w:kern w:val="21"/>
        </w:rPr>
        <w:t>》（</w:t>
      </w:r>
      <w:r>
        <w:rPr>
          <w:rFonts w:hint="eastAsia"/>
          <w:color w:val="auto"/>
          <w:kern w:val="21"/>
          <w:lang w:eastAsia="zh-CN"/>
        </w:rPr>
        <w:t>黑龙江环境通报</w:t>
      </w:r>
      <w:r>
        <w:rPr>
          <w:rFonts w:hint="eastAsia"/>
          <w:color w:val="auto"/>
          <w:kern w:val="21"/>
          <w:lang w:val="en-US" w:eastAsia="zh-CN"/>
        </w:rPr>
        <w:t xml:space="preserve"> 2011年9月 第35卷第3期 王喜红</w:t>
      </w:r>
      <w:r>
        <w:rPr>
          <w:rFonts w:hint="eastAsia"/>
          <w:color w:val="auto"/>
          <w:kern w:val="21"/>
        </w:rPr>
        <w:t>）中</w:t>
      </w:r>
      <w:r>
        <w:rPr>
          <w:rFonts w:hint="eastAsia"/>
          <w:color w:val="auto"/>
          <w:kern w:val="21"/>
          <w:lang w:eastAsia="zh-CN"/>
        </w:rPr>
        <w:t>的表</w:t>
      </w:r>
      <w:r>
        <w:rPr>
          <w:rFonts w:hint="eastAsia"/>
          <w:color w:val="auto"/>
          <w:kern w:val="21"/>
          <w:lang w:val="en-US" w:eastAsia="zh-CN"/>
        </w:rPr>
        <w:t>1进行估算。</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color w:val="auto"/>
          <w:kern w:val="21"/>
          <w:lang w:val="en-US" w:eastAsia="zh-CN"/>
        </w:rPr>
      </w:pPr>
      <w:r>
        <w:rPr>
          <w:color w:val="auto"/>
        </w:rPr>
        <w:drawing>
          <wp:inline distT="0" distB="0" distL="114300" distR="114300">
            <wp:extent cx="5263515" cy="1118870"/>
            <wp:effectExtent l="0" t="0" r="13335" b="508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2"/>
                    <a:stretch>
                      <a:fillRect/>
                    </a:stretch>
                  </pic:blipFill>
                  <pic:spPr>
                    <a:xfrm>
                      <a:off x="0" y="0"/>
                      <a:ext cx="5263515" cy="1118870"/>
                    </a:xfrm>
                    <a:prstGeom prst="rect">
                      <a:avLst/>
                    </a:prstGeom>
                    <a:noFill/>
                    <a:ln>
                      <a:noFill/>
                    </a:ln>
                  </pic:spPr>
                </pic:pic>
              </a:graphicData>
            </a:graphic>
          </wp:inline>
        </w:drawing>
      </w:r>
    </w:p>
    <w:p>
      <w:pPr>
        <w:pStyle w:val="23"/>
        <w:spacing w:after="0" w:line="360" w:lineRule="auto"/>
        <w:ind w:left="0" w:leftChars="0" w:firstLine="480"/>
        <w:rPr>
          <w:rFonts w:hint="eastAsia" w:eastAsia="宋体"/>
          <w:b/>
          <w:bCs/>
          <w:color w:val="auto"/>
          <w:kern w:val="21"/>
          <w:sz w:val="21"/>
          <w:szCs w:val="21"/>
          <w:lang w:eastAsia="zh-CN"/>
        </w:rPr>
      </w:pPr>
      <w:r>
        <w:rPr>
          <w:rFonts w:hint="eastAsia"/>
          <w:b/>
          <w:bCs/>
          <w:color w:val="auto"/>
          <w:kern w:val="21"/>
          <w:sz w:val="21"/>
          <w:szCs w:val="21"/>
          <w:lang w:eastAsia="zh-CN"/>
        </w:rPr>
        <w:t>注：上表取自</w:t>
      </w:r>
      <w:r>
        <w:rPr>
          <w:rFonts w:hint="eastAsia"/>
          <w:b/>
          <w:bCs/>
          <w:color w:val="auto"/>
          <w:kern w:val="21"/>
          <w:sz w:val="21"/>
          <w:szCs w:val="21"/>
        </w:rPr>
        <w:t>《</w:t>
      </w:r>
      <w:r>
        <w:rPr>
          <w:rFonts w:hint="eastAsia"/>
          <w:b/>
          <w:bCs/>
          <w:color w:val="auto"/>
          <w:kern w:val="21"/>
          <w:sz w:val="21"/>
          <w:szCs w:val="21"/>
          <w:lang w:eastAsia="zh-CN"/>
        </w:rPr>
        <w:t>城市污水处理厂恶臭影响及对策分析</w:t>
      </w:r>
      <w:r>
        <w:rPr>
          <w:rFonts w:hint="eastAsia"/>
          <w:b/>
          <w:bCs/>
          <w:color w:val="auto"/>
          <w:kern w:val="21"/>
          <w:sz w:val="21"/>
          <w:szCs w:val="21"/>
        </w:rPr>
        <w:t>》（</w:t>
      </w:r>
      <w:r>
        <w:rPr>
          <w:rFonts w:hint="eastAsia"/>
          <w:b/>
          <w:bCs/>
          <w:color w:val="auto"/>
          <w:kern w:val="21"/>
          <w:sz w:val="21"/>
          <w:szCs w:val="21"/>
          <w:lang w:eastAsia="zh-CN"/>
        </w:rPr>
        <w:t>黑龙江环境通报</w:t>
      </w:r>
      <w:r>
        <w:rPr>
          <w:rFonts w:hint="eastAsia"/>
          <w:b/>
          <w:bCs/>
          <w:color w:val="auto"/>
          <w:kern w:val="21"/>
          <w:sz w:val="21"/>
          <w:szCs w:val="21"/>
          <w:lang w:val="en-US" w:eastAsia="zh-CN"/>
        </w:rPr>
        <w:t xml:space="preserve"> 2011年9月 第35卷第3期 王喜红</w:t>
      </w:r>
      <w:r>
        <w:rPr>
          <w:rFonts w:hint="eastAsia"/>
          <w:b/>
          <w:bCs/>
          <w:color w:val="auto"/>
          <w:kern w:val="21"/>
          <w:sz w:val="21"/>
          <w:szCs w:val="21"/>
        </w:rPr>
        <w:t>）</w:t>
      </w:r>
      <w:r>
        <w:rPr>
          <w:rFonts w:hint="eastAsia"/>
          <w:b/>
          <w:bCs/>
          <w:color w:val="auto"/>
          <w:kern w:val="21"/>
          <w:sz w:val="21"/>
          <w:szCs w:val="21"/>
          <w:lang w:eastAsia="zh-CN"/>
        </w:rPr>
        <w:t>。</w:t>
      </w:r>
    </w:p>
    <w:p>
      <w:pPr>
        <w:pStyle w:val="23"/>
        <w:spacing w:after="0" w:line="360" w:lineRule="auto"/>
        <w:ind w:left="0" w:leftChars="0" w:firstLine="480"/>
        <w:rPr>
          <w:color w:val="auto"/>
          <w:kern w:val="21"/>
        </w:rPr>
      </w:pPr>
      <w:r>
        <w:rPr>
          <w:rFonts w:hint="eastAsia"/>
          <w:color w:val="auto"/>
          <w:kern w:val="21"/>
          <w:lang w:eastAsia="zh-CN"/>
        </w:rPr>
        <w:t>通过上表，计算得出本项目恶臭的产生源强，如下表所示</w:t>
      </w:r>
      <w:r>
        <w:rPr>
          <w:rFonts w:hint="eastAsia"/>
          <w:color w:val="auto"/>
          <w:kern w:val="21"/>
        </w:rPr>
        <w:t xml:space="preserve">。 </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rPr>
      </w:pPr>
      <w:r>
        <w:rPr>
          <w:b/>
          <w:bCs/>
          <w:color w:val="auto"/>
          <w:kern w:val="21"/>
        </w:rPr>
        <w:t>项目</w:t>
      </w:r>
      <w:r>
        <w:rPr>
          <w:rFonts w:hint="eastAsia"/>
          <w:b/>
          <w:bCs/>
          <w:color w:val="auto"/>
          <w:kern w:val="21"/>
          <w:lang w:eastAsia="zh-CN"/>
        </w:rPr>
        <w:t>恶臭气体</w:t>
      </w:r>
      <w:r>
        <w:rPr>
          <w:b/>
          <w:bCs/>
          <w:color w:val="auto"/>
          <w:kern w:val="21"/>
        </w:rPr>
        <w:t>产生情况一览表</w:t>
      </w:r>
    </w:p>
    <w:tbl>
      <w:tblPr>
        <w:tblStyle w:val="51"/>
        <w:tblW w:w="8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2041"/>
        <w:gridCol w:w="1150"/>
        <w:gridCol w:w="1209"/>
        <w:gridCol w:w="966"/>
        <w:gridCol w:w="1192"/>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序号</w:t>
            </w:r>
          </w:p>
        </w:tc>
        <w:tc>
          <w:tcPr>
            <w:tcW w:w="2041"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构筑物名称</w:t>
            </w:r>
          </w:p>
        </w:tc>
        <w:tc>
          <w:tcPr>
            <w:tcW w:w="1150"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面积（m</w:t>
            </w:r>
            <w:r>
              <w:rPr>
                <w:color w:val="auto"/>
                <w:kern w:val="21"/>
                <w:sz w:val="21"/>
                <w:szCs w:val="21"/>
                <w:vertAlign w:val="superscript"/>
              </w:rPr>
              <w:t>2</w:t>
            </w:r>
            <w:r>
              <w:rPr>
                <w:color w:val="auto"/>
                <w:kern w:val="21"/>
                <w:sz w:val="21"/>
                <w:szCs w:val="21"/>
              </w:rPr>
              <w:t>）</w:t>
            </w:r>
          </w:p>
        </w:tc>
        <w:tc>
          <w:tcPr>
            <w:tcW w:w="2175" w:type="dxa"/>
            <w:gridSpan w:val="2"/>
            <w:vAlign w:val="center"/>
          </w:tcPr>
          <w:p>
            <w:pPr>
              <w:pStyle w:val="23"/>
              <w:spacing w:after="0" w:line="240" w:lineRule="auto"/>
              <w:ind w:left="0" w:leftChars="0" w:firstLine="0" w:firstLineChars="0"/>
              <w:jc w:val="center"/>
              <w:rPr>
                <w:bCs/>
                <w:color w:val="auto"/>
                <w:kern w:val="21"/>
                <w:sz w:val="21"/>
                <w:szCs w:val="21"/>
              </w:rPr>
            </w:pPr>
            <w:r>
              <w:rPr>
                <w:bCs/>
                <w:color w:val="auto"/>
                <w:kern w:val="21"/>
                <w:sz w:val="21"/>
                <w:szCs w:val="21"/>
                <w:lang w:bidi="ar"/>
              </w:rPr>
              <w:t>NH</w:t>
            </w:r>
            <w:r>
              <w:rPr>
                <w:bCs/>
                <w:color w:val="auto"/>
                <w:kern w:val="21"/>
                <w:sz w:val="21"/>
                <w:szCs w:val="21"/>
                <w:vertAlign w:val="subscript"/>
                <w:lang w:bidi="ar"/>
              </w:rPr>
              <w:t>3</w:t>
            </w:r>
          </w:p>
        </w:tc>
        <w:tc>
          <w:tcPr>
            <w:tcW w:w="2275" w:type="dxa"/>
            <w:gridSpan w:val="2"/>
            <w:vAlign w:val="center"/>
          </w:tcPr>
          <w:p>
            <w:pPr>
              <w:pStyle w:val="23"/>
              <w:spacing w:after="0" w:line="240" w:lineRule="auto"/>
              <w:ind w:left="0" w:leftChars="0" w:firstLine="0" w:firstLineChars="0"/>
              <w:jc w:val="center"/>
              <w:rPr>
                <w:bCs/>
                <w:color w:val="auto"/>
                <w:kern w:val="21"/>
                <w:sz w:val="21"/>
                <w:szCs w:val="21"/>
              </w:rPr>
            </w:pPr>
            <w:r>
              <w:rPr>
                <w:bCs/>
                <w:color w:val="auto"/>
                <w:kern w:val="21"/>
                <w:sz w:val="21"/>
                <w:szCs w:val="21"/>
                <w:lang w:bidi="ar"/>
              </w:rPr>
              <w:t>H</w:t>
            </w:r>
            <w:r>
              <w:rPr>
                <w:bCs/>
                <w:color w:val="auto"/>
                <w:kern w:val="21"/>
                <w:sz w:val="21"/>
                <w:szCs w:val="21"/>
                <w:vertAlign w:val="subscript"/>
                <w:lang w:bidi="ar"/>
              </w:rPr>
              <w:t>2</w:t>
            </w:r>
            <w:r>
              <w:rPr>
                <w:bCs/>
                <w:color w:val="auto"/>
                <w:kern w:val="21"/>
                <w:sz w:val="21"/>
                <w:szCs w:val="21"/>
                <w:lang w:bidi="ar"/>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Merge w:val="continue"/>
            <w:vAlign w:val="center"/>
          </w:tcPr>
          <w:p>
            <w:pPr>
              <w:pStyle w:val="23"/>
              <w:spacing w:after="0" w:line="240" w:lineRule="auto"/>
              <w:ind w:left="0" w:leftChars="0" w:firstLine="0" w:firstLineChars="0"/>
              <w:jc w:val="center"/>
              <w:rPr>
                <w:color w:val="auto"/>
                <w:kern w:val="21"/>
                <w:sz w:val="21"/>
                <w:szCs w:val="21"/>
              </w:rPr>
            </w:pPr>
          </w:p>
        </w:tc>
        <w:tc>
          <w:tcPr>
            <w:tcW w:w="2041"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50"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209"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产生强度</w:t>
            </w:r>
          </w:p>
          <w:p>
            <w:pPr>
              <w:widowControl/>
              <w:spacing w:line="240" w:lineRule="auto"/>
              <w:ind w:firstLine="0" w:firstLineChars="0"/>
              <w:jc w:val="center"/>
              <w:rPr>
                <w:color w:val="auto"/>
                <w:kern w:val="21"/>
                <w:sz w:val="21"/>
                <w:szCs w:val="21"/>
              </w:rPr>
            </w:pPr>
            <w:r>
              <w:rPr>
                <w:color w:val="auto"/>
                <w:kern w:val="21"/>
                <w:sz w:val="21"/>
                <w:szCs w:val="21"/>
                <w:lang w:bidi="ar"/>
              </w:rPr>
              <w:t>mg/（s·m</w:t>
            </w:r>
            <w:r>
              <w:rPr>
                <w:color w:val="auto"/>
                <w:kern w:val="21"/>
                <w:sz w:val="21"/>
                <w:szCs w:val="21"/>
                <w:vertAlign w:val="superscript"/>
                <w:lang w:bidi="ar"/>
              </w:rPr>
              <w:t>2</w:t>
            </w:r>
            <w:r>
              <w:rPr>
                <w:color w:val="auto"/>
                <w:kern w:val="21"/>
                <w:sz w:val="21"/>
                <w:szCs w:val="21"/>
                <w:lang w:bidi="ar"/>
              </w:rPr>
              <w:t>）</w:t>
            </w:r>
          </w:p>
        </w:tc>
        <w:tc>
          <w:tcPr>
            <w:tcW w:w="96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产生速率（g/</w:t>
            </w:r>
            <w:r>
              <w:rPr>
                <w:rFonts w:hint="eastAsia"/>
                <w:color w:val="auto"/>
                <w:kern w:val="21"/>
                <w:sz w:val="21"/>
                <w:szCs w:val="21"/>
              </w:rPr>
              <w:t>s</w:t>
            </w:r>
            <w:r>
              <w:rPr>
                <w:color w:val="auto"/>
                <w:kern w:val="21"/>
                <w:sz w:val="21"/>
                <w:szCs w:val="21"/>
              </w:rPr>
              <w:t>）</w:t>
            </w:r>
          </w:p>
        </w:tc>
        <w:tc>
          <w:tcPr>
            <w:tcW w:w="1192"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产生强度</w:t>
            </w:r>
          </w:p>
          <w:p>
            <w:pPr>
              <w:widowControl/>
              <w:spacing w:line="240" w:lineRule="auto"/>
              <w:ind w:firstLine="0" w:firstLineChars="0"/>
              <w:jc w:val="center"/>
              <w:rPr>
                <w:color w:val="auto"/>
                <w:kern w:val="21"/>
                <w:sz w:val="21"/>
                <w:szCs w:val="21"/>
              </w:rPr>
            </w:pPr>
            <w:r>
              <w:rPr>
                <w:color w:val="auto"/>
                <w:kern w:val="21"/>
                <w:sz w:val="21"/>
                <w:szCs w:val="21"/>
                <w:lang w:bidi="ar"/>
              </w:rPr>
              <w:t>mg/（s·m</w:t>
            </w:r>
            <w:r>
              <w:rPr>
                <w:color w:val="auto"/>
                <w:kern w:val="21"/>
                <w:sz w:val="21"/>
                <w:szCs w:val="21"/>
                <w:vertAlign w:val="superscript"/>
                <w:lang w:bidi="ar"/>
              </w:rPr>
              <w:t>2</w:t>
            </w:r>
            <w:r>
              <w:rPr>
                <w:color w:val="auto"/>
                <w:kern w:val="21"/>
                <w:sz w:val="21"/>
                <w:szCs w:val="21"/>
                <w:lang w:bidi="ar"/>
              </w:rPr>
              <w:t>）</w:t>
            </w:r>
          </w:p>
        </w:tc>
        <w:tc>
          <w:tcPr>
            <w:tcW w:w="1083"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产生速率（g/</w:t>
            </w:r>
            <w:r>
              <w:rPr>
                <w:rFonts w:hint="eastAsia"/>
                <w:color w:val="auto"/>
                <w:kern w:val="21"/>
                <w:sz w:val="21"/>
                <w:szCs w:val="21"/>
              </w:rPr>
              <w:t>s</w:t>
            </w: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1</w:t>
            </w:r>
          </w:p>
        </w:tc>
        <w:tc>
          <w:tcPr>
            <w:tcW w:w="204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粗格栅及进水泵房</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89.89 </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0.6100 </w:t>
            </w:r>
          </w:p>
        </w:tc>
        <w:tc>
          <w:tcPr>
            <w:tcW w:w="9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0.0548 </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0.0011 </w:t>
            </w:r>
          </w:p>
        </w:tc>
        <w:tc>
          <w:tcPr>
            <w:tcW w:w="10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2</w:t>
            </w:r>
          </w:p>
        </w:tc>
        <w:tc>
          <w:tcPr>
            <w:tcW w:w="204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细格栅及调节池</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321.36 </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0.5200 </w:t>
            </w:r>
          </w:p>
        </w:tc>
        <w:tc>
          <w:tcPr>
            <w:tcW w:w="9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0.1671 </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0.0011 </w:t>
            </w:r>
          </w:p>
        </w:tc>
        <w:tc>
          <w:tcPr>
            <w:tcW w:w="10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3</w:t>
            </w:r>
          </w:p>
        </w:tc>
        <w:tc>
          <w:tcPr>
            <w:tcW w:w="204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混凝沉淀池</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461.47 </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0.5200 </w:t>
            </w:r>
          </w:p>
        </w:tc>
        <w:tc>
          <w:tcPr>
            <w:tcW w:w="9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0.2400 </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0.0011 </w:t>
            </w:r>
          </w:p>
        </w:tc>
        <w:tc>
          <w:tcPr>
            <w:tcW w:w="10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23"/>
              <w:spacing w:after="0" w:line="240" w:lineRule="auto"/>
              <w:ind w:left="0" w:leftChars="0" w:firstLine="0" w:firstLineChars="0"/>
              <w:jc w:val="center"/>
              <w:rPr>
                <w:rFonts w:hint="eastAsia" w:eastAsia="宋体"/>
                <w:color w:val="auto"/>
                <w:kern w:val="21"/>
                <w:sz w:val="21"/>
                <w:szCs w:val="21"/>
                <w:lang w:val="en-US" w:eastAsia="zh-CN"/>
              </w:rPr>
            </w:pPr>
            <w:r>
              <w:rPr>
                <w:rFonts w:hint="eastAsia"/>
                <w:color w:val="auto"/>
                <w:kern w:val="21"/>
                <w:sz w:val="21"/>
                <w:szCs w:val="21"/>
                <w:lang w:val="en-US" w:eastAsia="zh-CN"/>
              </w:rPr>
              <w:t>4</w:t>
            </w:r>
          </w:p>
        </w:tc>
        <w:tc>
          <w:tcPr>
            <w:tcW w:w="2041"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水解酸化池</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339.36</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0.5200 </w:t>
            </w:r>
          </w:p>
        </w:tc>
        <w:tc>
          <w:tcPr>
            <w:tcW w:w="9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0.1765 </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0.0011 </w:t>
            </w:r>
          </w:p>
        </w:tc>
        <w:tc>
          <w:tcPr>
            <w:tcW w:w="10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5</w:t>
            </w:r>
          </w:p>
        </w:tc>
        <w:tc>
          <w:tcPr>
            <w:tcW w:w="2041" w:type="dxa"/>
            <w:vAlign w:val="center"/>
          </w:tcPr>
          <w:p>
            <w:pPr>
              <w:pStyle w:val="23"/>
              <w:spacing w:after="0" w:line="240" w:lineRule="auto"/>
              <w:ind w:left="0" w:leftChars="0" w:firstLine="0" w:firstLineChars="0"/>
              <w:jc w:val="center"/>
              <w:rPr>
                <w:color w:val="auto"/>
                <w:kern w:val="21"/>
                <w:sz w:val="21"/>
                <w:szCs w:val="21"/>
              </w:rPr>
            </w:pPr>
            <w:r>
              <w:rPr>
                <w:rFonts w:hint="eastAsia"/>
                <w:i w:val="0"/>
                <w:iCs/>
                <w:color w:val="auto"/>
                <w:kern w:val="21"/>
                <w:sz w:val="21"/>
                <w:szCs w:val="21"/>
              </w:rPr>
              <w:t>A</w:t>
            </w:r>
            <w:r>
              <w:rPr>
                <w:rFonts w:hint="eastAsia"/>
                <w:i w:val="0"/>
                <w:iCs/>
                <w:color w:val="auto"/>
                <w:kern w:val="21"/>
                <w:sz w:val="21"/>
                <w:szCs w:val="21"/>
                <w:vertAlign w:val="superscript"/>
              </w:rPr>
              <w:t>2</w:t>
            </w:r>
            <w:r>
              <w:rPr>
                <w:rFonts w:hint="eastAsia"/>
                <w:color w:val="auto"/>
                <w:kern w:val="21"/>
                <w:sz w:val="21"/>
                <w:szCs w:val="21"/>
              </w:rPr>
              <w:t>/O生化池</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758.64 </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0.0049 </w:t>
            </w:r>
          </w:p>
        </w:tc>
        <w:tc>
          <w:tcPr>
            <w:tcW w:w="9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0.0037 </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10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6</w:t>
            </w:r>
          </w:p>
        </w:tc>
        <w:tc>
          <w:tcPr>
            <w:tcW w:w="204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MBR膜池</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612.95 </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0.0049 </w:t>
            </w:r>
          </w:p>
        </w:tc>
        <w:tc>
          <w:tcPr>
            <w:tcW w:w="9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0.0030 </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10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7</w:t>
            </w:r>
          </w:p>
        </w:tc>
        <w:tc>
          <w:tcPr>
            <w:tcW w:w="204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污泥脱水车间</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377.59 </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0.1030 </w:t>
            </w:r>
          </w:p>
        </w:tc>
        <w:tc>
          <w:tcPr>
            <w:tcW w:w="9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0.0389 </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0.0000</w:t>
            </w: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0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8</w:t>
            </w:r>
          </w:p>
        </w:tc>
        <w:tc>
          <w:tcPr>
            <w:tcW w:w="2041"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color w:val="auto"/>
                <w:kern w:val="21"/>
                <w:sz w:val="21"/>
                <w:szCs w:val="21"/>
              </w:rPr>
              <w:t>污泥</w:t>
            </w:r>
            <w:r>
              <w:rPr>
                <w:rFonts w:hint="eastAsia"/>
                <w:color w:val="auto"/>
                <w:kern w:val="21"/>
                <w:sz w:val="21"/>
                <w:szCs w:val="21"/>
                <w:lang w:eastAsia="zh-CN"/>
              </w:rPr>
              <w:t>浓缩池</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eastAsia" w:cs="Times New Roman"/>
                <w:i w:val="0"/>
                <w:iCs w:val="0"/>
                <w:color w:val="auto"/>
                <w:kern w:val="0"/>
                <w:sz w:val="21"/>
                <w:szCs w:val="21"/>
                <w:u w:val="none"/>
                <w:lang w:val="en-US" w:eastAsia="zh-CN" w:bidi="ar"/>
              </w:rPr>
              <w:t>50.27</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0.1030 </w:t>
            </w:r>
          </w:p>
        </w:tc>
        <w:tc>
          <w:tcPr>
            <w:tcW w:w="9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0.0052 </w:t>
            </w:r>
          </w:p>
        </w:tc>
        <w:tc>
          <w:tcPr>
            <w:tcW w:w="11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0.00003</w:t>
            </w:r>
          </w:p>
        </w:tc>
        <w:tc>
          <w:tcPr>
            <w:tcW w:w="10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0.000002 </w:t>
            </w:r>
          </w:p>
        </w:tc>
      </w:tr>
    </w:tbl>
    <w:p>
      <w:pPr>
        <w:keepNext w:val="0"/>
        <w:keepLines w:val="0"/>
        <w:pageBreakBefore w:val="0"/>
        <w:widowControl/>
        <w:suppressLineNumbers w:val="0"/>
        <w:kinsoku/>
        <w:wordWrap/>
        <w:overflowPunct/>
        <w:topLinePunct w:val="0"/>
        <w:autoSpaceDE/>
        <w:autoSpaceDN/>
        <w:bidi w:val="0"/>
        <w:adjustRightInd/>
        <w:snapToGrid/>
        <w:spacing w:before="0" w:beforeLines="50"/>
        <w:jc w:val="left"/>
        <w:textAlignment w:val="auto"/>
        <w:rPr>
          <w:rFonts w:hint="default" w:eastAsia="宋体"/>
          <w:color w:val="auto"/>
          <w:kern w:val="21"/>
          <w:lang w:val="en-US" w:eastAsia="zh-CN"/>
        </w:rPr>
      </w:pPr>
      <w:r>
        <w:rPr>
          <w:rFonts w:hint="eastAsia"/>
          <w:color w:val="auto"/>
          <w:kern w:val="21"/>
          <w:lang w:eastAsia="zh-CN"/>
        </w:rPr>
        <w:t>本项目现状未设置除臭措施，因此，现状排放源强等于产生源强。本项目大气评价等级为一级，将该源强带入进一步预测模型（</w:t>
      </w:r>
      <w:r>
        <w:rPr>
          <w:rFonts w:hint="eastAsia"/>
          <w:color w:val="auto"/>
          <w:kern w:val="21"/>
          <w:lang w:val="en-US" w:eastAsia="zh-CN"/>
        </w:rPr>
        <w:t>Aermod</w:t>
      </w:r>
      <w:r>
        <w:rPr>
          <w:rFonts w:hint="eastAsia"/>
          <w:color w:val="auto"/>
          <w:kern w:val="21"/>
          <w:lang w:eastAsia="zh-CN"/>
        </w:rPr>
        <w:t>）中进行预测时发现，项目恶臭对大气环境保护目标的影响不大，项目</w:t>
      </w:r>
      <w:r>
        <w:rPr>
          <w:rFonts w:hint="eastAsia"/>
          <w:color w:val="auto"/>
          <w:kern w:val="21"/>
          <w:lang w:val="en-US" w:eastAsia="zh-CN"/>
        </w:rPr>
        <w:t>NH</w:t>
      </w:r>
      <w:r>
        <w:rPr>
          <w:rFonts w:hint="eastAsia"/>
          <w:color w:val="auto"/>
          <w:kern w:val="21"/>
          <w:vertAlign w:val="subscript"/>
          <w:lang w:val="en-US" w:eastAsia="zh-CN"/>
        </w:rPr>
        <w:t>3</w:t>
      </w:r>
      <w:r>
        <w:rPr>
          <w:rFonts w:hint="eastAsia"/>
          <w:color w:val="auto"/>
          <w:kern w:val="21"/>
          <w:lang w:eastAsia="zh-CN"/>
        </w:rPr>
        <w:t>贡献值叠加背景值后在大气环境保护目标处的最大预测值为</w:t>
      </w:r>
      <w:r>
        <w:rPr>
          <w:rFonts w:hint="eastAsia"/>
          <w:color w:val="auto"/>
          <w:kern w:val="21"/>
          <w:lang w:val="en-US" w:eastAsia="zh-CN"/>
        </w:rPr>
        <w:t>137.74ug/m</w:t>
      </w:r>
      <w:r>
        <w:rPr>
          <w:rFonts w:hint="eastAsia"/>
          <w:color w:val="auto"/>
          <w:kern w:val="21"/>
          <w:vertAlign w:val="superscript"/>
          <w:lang w:val="en-US" w:eastAsia="zh-CN"/>
        </w:rPr>
        <w:t>3</w:t>
      </w:r>
      <w:r>
        <w:rPr>
          <w:rFonts w:hint="eastAsia"/>
          <w:color w:val="auto"/>
          <w:kern w:val="21"/>
          <w:vertAlign w:val="baseline"/>
          <w:lang w:val="en-US" w:eastAsia="zh-CN"/>
        </w:rPr>
        <w:t>，未超过200</w:t>
      </w:r>
      <w:r>
        <w:rPr>
          <w:rFonts w:hint="eastAsia"/>
          <w:color w:val="auto"/>
          <w:kern w:val="21"/>
          <w:lang w:val="en-US" w:eastAsia="zh-CN"/>
        </w:rPr>
        <w:t>u</w:t>
      </w:r>
      <w:r>
        <w:rPr>
          <w:rFonts w:hint="eastAsia"/>
          <w:color w:val="auto"/>
          <w:kern w:val="21"/>
          <w:vertAlign w:val="baseline"/>
          <w:lang w:val="en-US" w:eastAsia="zh-CN"/>
        </w:rPr>
        <w:t>g/m</w:t>
      </w:r>
      <w:r>
        <w:rPr>
          <w:rFonts w:hint="eastAsia"/>
          <w:color w:val="auto"/>
          <w:kern w:val="21"/>
          <w:vertAlign w:val="superscript"/>
          <w:lang w:val="en-US" w:eastAsia="zh-CN"/>
        </w:rPr>
        <w:t>3</w:t>
      </w:r>
      <w:r>
        <w:rPr>
          <w:rFonts w:hint="eastAsia"/>
          <w:color w:val="auto"/>
          <w:kern w:val="21"/>
          <w:vertAlign w:val="baseline"/>
          <w:lang w:val="en-US" w:eastAsia="zh-CN"/>
        </w:rPr>
        <w:t>的环境质量标准限值，但是设置的12个厂界无组织预测点中有4个点位的NH</w:t>
      </w:r>
      <w:r>
        <w:rPr>
          <w:rFonts w:hint="eastAsia"/>
          <w:color w:val="auto"/>
          <w:kern w:val="21"/>
          <w:vertAlign w:val="subscript"/>
          <w:lang w:val="en-US" w:eastAsia="zh-CN"/>
        </w:rPr>
        <w:t>3</w:t>
      </w:r>
      <w:r>
        <w:rPr>
          <w:rFonts w:hint="eastAsia"/>
          <w:color w:val="auto"/>
          <w:kern w:val="21"/>
          <w:lang w:eastAsia="zh-CN"/>
        </w:rPr>
        <w:t>厂界浓度超过《</w:t>
      </w:r>
      <w:r>
        <w:rPr>
          <w:color w:val="auto"/>
          <w:kern w:val="21"/>
          <w:lang w:bidi="ar"/>
        </w:rPr>
        <w:t>城镇污水处理厂污染物排放标准</w:t>
      </w:r>
      <w:r>
        <w:rPr>
          <w:rFonts w:hint="eastAsia"/>
          <w:color w:val="auto"/>
          <w:kern w:val="21"/>
          <w:lang w:eastAsia="zh-CN"/>
        </w:rPr>
        <w:t>》</w:t>
      </w:r>
      <w:r>
        <w:rPr>
          <w:color w:val="auto"/>
          <w:kern w:val="21"/>
          <w:lang w:bidi="ar"/>
        </w:rPr>
        <w:t>（GB18918-2002）及其修改单表4中二级标准</w:t>
      </w:r>
      <w:r>
        <w:rPr>
          <w:rFonts w:hint="eastAsia"/>
          <w:color w:val="auto"/>
          <w:kern w:val="21"/>
          <w:lang w:eastAsia="zh-CN" w:bidi="ar"/>
        </w:rPr>
        <w:t>（</w:t>
      </w:r>
      <w:r>
        <w:rPr>
          <w:rFonts w:hint="eastAsia"/>
          <w:color w:val="auto"/>
          <w:kern w:val="21"/>
          <w:lang w:val="en-US" w:eastAsia="zh-CN" w:bidi="ar"/>
        </w:rPr>
        <w:t>NH</w:t>
      </w:r>
      <w:r>
        <w:rPr>
          <w:rFonts w:hint="eastAsia"/>
          <w:color w:val="auto"/>
          <w:kern w:val="21"/>
          <w:vertAlign w:val="subscript"/>
          <w:lang w:val="en-US" w:eastAsia="zh-CN" w:bidi="ar"/>
        </w:rPr>
        <w:t>3</w:t>
      </w:r>
      <w:r>
        <w:rPr>
          <w:rFonts w:hint="eastAsia"/>
          <w:color w:val="auto"/>
          <w:kern w:val="21"/>
          <w:vertAlign w:val="baseline"/>
          <w:lang w:val="en-US" w:eastAsia="zh-CN" w:bidi="ar"/>
        </w:rPr>
        <w:t xml:space="preserve"> 1500ug/m</w:t>
      </w:r>
      <w:r>
        <w:rPr>
          <w:rFonts w:hint="eastAsia"/>
          <w:color w:val="auto"/>
          <w:kern w:val="21"/>
          <w:vertAlign w:val="superscript"/>
          <w:lang w:val="en-US" w:eastAsia="zh-CN" w:bidi="ar"/>
        </w:rPr>
        <w:t>3</w:t>
      </w:r>
      <w:r>
        <w:rPr>
          <w:rFonts w:hint="eastAsia"/>
          <w:color w:val="auto"/>
          <w:kern w:val="21"/>
          <w:lang w:eastAsia="zh-CN" w:bidi="ar"/>
        </w:rPr>
        <w:t>）</w:t>
      </w:r>
      <w:r>
        <w:rPr>
          <w:rFonts w:hint="eastAsia"/>
          <w:color w:val="auto"/>
          <w:kern w:val="21"/>
          <w:lang w:eastAsia="zh-CN"/>
        </w:rPr>
        <w:t>限值的要求。根据《环境影响技术导则</w:t>
      </w:r>
      <w:r>
        <w:rPr>
          <w:rFonts w:hint="eastAsia"/>
          <w:color w:val="auto"/>
          <w:kern w:val="21"/>
          <w:lang w:val="en-US" w:eastAsia="zh-CN"/>
        </w:rPr>
        <w:t xml:space="preserve"> 大气环境</w:t>
      </w:r>
      <w:r>
        <w:rPr>
          <w:rFonts w:hint="eastAsia"/>
          <w:color w:val="auto"/>
          <w:kern w:val="21"/>
          <w:lang w:eastAsia="zh-CN"/>
        </w:rPr>
        <w:t>》（</w:t>
      </w:r>
      <w:r>
        <w:rPr>
          <w:rFonts w:hint="eastAsia"/>
          <w:color w:val="auto"/>
          <w:kern w:val="21"/>
          <w:lang w:val="en-US" w:eastAsia="zh-CN"/>
        </w:rPr>
        <w:t>HJ2.2-2018</w:t>
      </w:r>
      <w:r>
        <w:rPr>
          <w:rFonts w:hint="eastAsia"/>
          <w:color w:val="auto"/>
          <w:kern w:val="21"/>
          <w:lang w:eastAsia="zh-CN"/>
        </w:rPr>
        <w:t>）的要求：</w:t>
      </w:r>
      <w:r>
        <w:rPr>
          <w:rFonts w:hint="eastAsia"/>
          <w:color w:val="auto"/>
          <w:kern w:val="21"/>
          <w:lang w:val="en-US" w:eastAsia="zh-CN"/>
        </w:rPr>
        <w:t>项目厂界浓度超过大气污染物厂界浓度限值的，应要求削减排放源强或调整工程布局。本项目已建成运营，无法调整工程布局，因此，本环评要求建设单位在粗格栅及进水泵房、</w:t>
      </w:r>
      <w:r>
        <w:rPr>
          <w:rFonts w:hint="eastAsia"/>
          <w:color w:val="auto"/>
          <w:kern w:val="21"/>
          <w:lang w:eastAsia="zh-CN" w:bidi="ar"/>
        </w:rPr>
        <w:t>细格栅及调节池、混凝沉淀池、</w:t>
      </w:r>
      <w:r>
        <w:rPr>
          <w:color w:val="auto"/>
          <w:kern w:val="21"/>
          <w:lang w:bidi="ar"/>
        </w:rPr>
        <w:t>污泥脱水车间</w:t>
      </w:r>
      <w:r>
        <w:rPr>
          <w:rFonts w:hint="eastAsia"/>
          <w:color w:val="auto"/>
          <w:kern w:val="21"/>
          <w:lang w:eastAsia="zh-CN" w:bidi="ar"/>
        </w:rPr>
        <w:t>等</w:t>
      </w:r>
      <w:r>
        <w:rPr>
          <w:rFonts w:hint="eastAsia"/>
          <w:color w:val="auto"/>
          <w:kern w:val="21"/>
          <w:lang w:val="en-US" w:eastAsia="zh-CN" w:bidi="ar"/>
        </w:rPr>
        <w:t>4个主要恶臭产生源进行密闭并设置除臭措施，进一步削减排放源强。</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eastAsia="宋体"/>
          <w:b/>
          <w:bCs/>
          <w:color w:val="auto"/>
          <w:kern w:val="21"/>
          <w:vertAlign w:val="baseline"/>
          <w:lang w:val="en-US" w:eastAsia="zh-CN"/>
        </w:rPr>
      </w:pPr>
      <w:r>
        <w:rPr>
          <w:rFonts w:hint="eastAsia"/>
          <w:b/>
          <w:bCs/>
          <w:color w:val="auto"/>
          <w:kern w:val="21"/>
          <w:lang w:val="en-US" w:eastAsia="zh-CN"/>
        </w:rPr>
        <w:t>NH</w:t>
      </w:r>
      <w:r>
        <w:rPr>
          <w:rFonts w:hint="eastAsia"/>
          <w:b/>
          <w:bCs/>
          <w:color w:val="auto"/>
          <w:kern w:val="21"/>
          <w:vertAlign w:val="subscript"/>
          <w:lang w:val="en-US" w:eastAsia="zh-CN"/>
        </w:rPr>
        <w:t>3</w:t>
      </w:r>
      <w:r>
        <w:rPr>
          <w:rFonts w:hint="eastAsia"/>
          <w:b/>
          <w:bCs/>
          <w:color w:val="auto"/>
          <w:kern w:val="21"/>
          <w:vertAlign w:val="baseline"/>
          <w:lang w:val="en-US" w:eastAsia="zh-CN"/>
        </w:rPr>
        <w:t>厂界浓度预测值</w:t>
      </w:r>
    </w:p>
    <w:tbl>
      <w:tblPr>
        <w:tblStyle w:val="51"/>
        <w:tblW w:w="90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2"/>
        <w:gridCol w:w="838"/>
        <w:gridCol w:w="913"/>
        <w:gridCol w:w="988"/>
        <w:gridCol w:w="675"/>
        <w:gridCol w:w="644"/>
        <w:gridCol w:w="1212"/>
        <w:gridCol w:w="1125"/>
        <w:gridCol w:w="925"/>
        <w:gridCol w:w="8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预测点</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X坐标(m)</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Y坐标(m)</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Z坐标(m)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平均时间</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排序</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出现时刻</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eastAsia" w:ascii="Times New Roman" w:hAnsi="Times New Roman" w:eastAsia="Tahoma" w:cs="Times New Roman"/>
                <w:i w:val="0"/>
                <w:iCs w:val="0"/>
                <w:color w:val="auto"/>
                <w:kern w:val="0"/>
                <w:sz w:val="21"/>
                <w:szCs w:val="21"/>
                <w:u w:val="none"/>
                <w:lang w:val="en-US" w:eastAsia="zh-CN" w:bidi="ar"/>
              </w:rPr>
              <w:t>厂界预测</w:t>
            </w:r>
            <w:r>
              <w:rPr>
                <w:rFonts w:hint="default" w:ascii="Times New Roman" w:hAnsi="Times New Roman" w:eastAsia="Tahoma" w:cs="Times New Roman"/>
                <w:i w:val="0"/>
                <w:iCs w:val="0"/>
                <w:color w:val="auto"/>
                <w:kern w:val="0"/>
                <w:sz w:val="21"/>
                <w:szCs w:val="21"/>
                <w:u w:val="none"/>
                <w:lang w:val="en-US" w:eastAsia="zh-CN" w:bidi="ar"/>
              </w:rPr>
              <w:t>浓度(μg/m</w:t>
            </w:r>
            <w:r>
              <w:rPr>
                <w:rFonts w:hint="default" w:ascii="Times New Roman" w:hAnsi="Times New Roman" w:eastAsia="Tahoma" w:cs="Times New Roman"/>
                <w:i w:val="0"/>
                <w:iCs w:val="0"/>
                <w:color w:val="auto"/>
                <w:kern w:val="0"/>
                <w:sz w:val="21"/>
                <w:szCs w:val="21"/>
                <w:u w:val="none"/>
                <w:vertAlign w:val="superscript"/>
                <w:lang w:val="en-US" w:eastAsia="zh-CN" w:bidi="ar"/>
              </w:rPr>
              <w:t>3</w:t>
            </w:r>
            <w:r>
              <w:rPr>
                <w:rFonts w:hint="default" w:ascii="Times New Roman" w:hAnsi="Times New Roman" w:eastAsia="Tahoma" w:cs="Times New Roman"/>
                <w:i w:val="0"/>
                <w:iCs w:val="0"/>
                <w:color w:val="auto"/>
                <w:kern w:val="0"/>
                <w:sz w:val="21"/>
                <w:szCs w:val="21"/>
                <w:u w:val="none"/>
                <w:lang w:val="en-US" w:eastAsia="zh-CN" w:bidi="ar"/>
              </w:rPr>
              <w:t>)</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标准值(μg/m</w:t>
            </w:r>
            <w:r>
              <w:rPr>
                <w:rFonts w:hint="default" w:ascii="Times New Roman" w:hAnsi="Times New Roman" w:eastAsia="Tahoma" w:cs="Times New Roman"/>
                <w:i w:val="0"/>
                <w:iCs w:val="0"/>
                <w:color w:val="auto"/>
                <w:kern w:val="0"/>
                <w:sz w:val="21"/>
                <w:szCs w:val="21"/>
                <w:u w:val="none"/>
                <w:vertAlign w:val="superscript"/>
                <w:lang w:val="en-US" w:eastAsia="zh-CN" w:bidi="ar"/>
              </w:rPr>
              <w:t>3</w:t>
            </w:r>
            <w:r>
              <w:rPr>
                <w:rFonts w:hint="default" w:ascii="Times New Roman" w:hAnsi="Times New Roman" w:eastAsia="Tahoma" w:cs="Times New Roman"/>
                <w:i w:val="0"/>
                <w:iCs w:val="0"/>
                <w:color w:val="auto"/>
                <w:kern w:val="0"/>
                <w:sz w:val="21"/>
                <w:szCs w:val="21"/>
                <w:u w:val="none"/>
                <w:lang w:val="en-US" w:eastAsia="zh-CN" w:bidi="ar"/>
              </w:rPr>
              <w:t>)</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占标率(%)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厂界预测点1</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-29.66</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105.34</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1817.02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2020/10/31 22:00:00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1391.61</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92.77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厂界预测点2</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4.57</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68.76</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1817.64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2020/10/28 6:00:00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922.66</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61.51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厂界预测点3</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38.11</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31.71</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1818.19</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2020/1/9 3:00:00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758.43</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50.56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厂界预测点4</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65.36</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-9.33</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1819.18</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2020/7/1 4:00:00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2377.49</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158.50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厂界预测点5</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82.82</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-56.1</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1820.73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2020/1/22 4:00:00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2843.15</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189.54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厂界预测点6</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72.08</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-96.43</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1822.09</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2020/10/23 4:00:00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121.05</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厂界预测点7</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28.04</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-95.95</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1826.77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2020/9/19 2:00:00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661.04</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44.07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厂界预测点8</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18.02</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-47.82</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1823.82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2020/9/6 5:00:00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1135.46</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75.70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厂界预测点9</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-13.61</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-9.74</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1823.74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2020/12/14 6:00:00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666.90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44.46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厂界预测点10</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-53.28</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20.65</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1825.49</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2020/11/23 6:00:00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1263.20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i w:val="0"/>
                <w:iCs w:val="0"/>
                <w:color w:val="auto"/>
                <w:sz w:val="21"/>
                <w:szCs w:val="21"/>
                <w:u w:val="none"/>
              </w:rPr>
            </w:pPr>
            <w:r>
              <w:rPr>
                <w:rFonts w:hint="default" w:ascii="Times New Roman" w:hAnsi="Times New Roman" w:eastAsia="Tahoma" w:cs="Times New Roman"/>
                <w:i w:val="0"/>
                <w:iCs w:val="0"/>
                <w:color w:val="auto"/>
                <w:kern w:val="0"/>
                <w:sz w:val="21"/>
                <w:szCs w:val="21"/>
                <w:u w:val="none"/>
                <w:lang w:val="en-US" w:eastAsia="zh-CN" w:bidi="ar"/>
              </w:rPr>
              <w:t>84.21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厂界预测点11</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-88.11</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56.44</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1825.99</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2020/9/6 5:00:00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1664.18</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110.95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厂界预测点12</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-52.65</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87.39</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1817.87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1时</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第1大</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2020/9/1 23:00:00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1731.61</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ahoma" w:cs="Times New Roman"/>
                <w:b/>
                <w:bCs/>
                <w:i w:val="0"/>
                <w:iCs w:val="0"/>
                <w:color w:val="auto"/>
                <w:sz w:val="21"/>
                <w:szCs w:val="21"/>
                <w:u w:val="none"/>
              </w:rPr>
            </w:pPr>
            <w:r>
              <w:rPr>
                <w:rFonts w:hint="default" w:ascii="Times New Roman" w:hAnsi="Times New Roman" w:eastAsia="Tahoma" w:cs="Times New Roman"/>
                <w:b/>
                <w:bCs/>
                <w:i w:val="0"/>
                <w:iCs w:val="0"/>
                <w:color w:val="auto"/>
                <w:kern w:val="0"/>
                <w:sz w:val="21"/>
                <w:szCs w:val="21"/>
                <w:u w:val="none"/>
                <w:lang w:val="en-US" w:eastAsia="zh-CN" w:bidi="ar"/>
              </w:rPr>
              <w:t>115.44</w:t>
            </w:r>
          </w:p>
        </w:tc>
      </w:tr>
    </w:tbl>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color w:val="auto"/>
        </w:rPr>
      </w:pP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color w:val="auto"/>
          <w:kern w:val="21"/>
          <w:lang w:eastAsia="zh-CN"/>
        </w:rPr>
      </w:pPr>
      <w:r>
        <w:rPr>
          <w:color w:val="auto"/>
        </w:rPr>
        <w:drawing>
          <wp:inline distT="0" distB="0" distL="114300" distR="114300">
            <wp:extent cx="5086350" cy="4848225"/>
            <wp:effectExtent l="0" t="0" r="0" b="952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3"/>
                    <a:stretch>
                      <a:fillRect/>
                    </a:stretch>
                  </pic:blipFill>
                  <pic:spPr>
                    <a:xfrm>
                      <a:off x="0" y="0"/>
                      <a:ext cx="5086350" cy="4848225"/>
                    </a:xfrm>
                    <a:prstGeom prst="rect">
                      <a:avLst/>
                    </a:prstGeom>
                    <a:noFill/>
                    <a:ln>
                      <a:noFill/>
                    </a:ln>
                  </pic:spPr>
                </pic:pic>
              </a:graphicData>
            </a:graphic>
          </wp:inline>
        </w:drawing>
      </w:r>
    </w:p>
    <w:p>
      <w:pPr>
        <w:keepNext w:val="0"/>
        <w:keepLines w:val="0"/>
        <w:pageBreakBefore w:val="0"/>
        <w:widowControl/>
        <w:numPr>
          <w:ilvl w:val="0"/>
          <w:numId w:val="6"/>
        </w:numPr>
        <w:kinsoku/>
        <w:wordWrap/>
        <w:overflowPunct/>
        <w:topLinePunct w:val="0"/>
        <w:autoSpaceDE/>
        <w:autoSpaceDN/>
        <w:bidi w:val="0"/>
        <w:adjustRightInd/>
        <w:snapToGrid/>
        <w:ind w:left="0" w:leftChars="0" w:firstLine="0" w:firstLineChars="0"/>
        <w:jc w:val="center"/>
        <w:textAlignment w:val="auto"/>
        <w:rPr>
          <w:rFonts w:hint="default" w:eastAsia="宋体"/>
          <w:color w:val="auto"/>
          <w:kern w:val="21"/>
          <w:vertAlign w:val="baseline"/>
          <w:lang w:val="en-US" w:eastAsia="zh-CN"/>
        </w:rPr>
      </w:pPr>
      <w:r>
        <w:rPr>
          <w:rFonts w:hint="eastAsia"/>
          <w:b/>
          <w:bCs/>
          <w:color w:val="auto"/>
          <w:kern w:val="21"/>
          <w:vertAlign w:val="baseline"/>
          <w:lang w:val="en-US" w:eastAsia="zh-CN"/>
        </w:rPr>
        <w:t>厂界预测点示意图</w:t>
      </w:r>
    </w:p>
    <w:p>
      <w:pPr>
        <w:pStyle w:val="23"/>
        <w:spacing w:after="0" w:line="360" w:lineRule="auto"/>
        <w:ind w:left="0" w:leftChars="0" w:firstLine="480"/>
        <w:rPr>
          <w:rFonts w:hint="eastAsia"/>
          <w:color w:val="auto"/>
          <w:kern w:val="21"/>
          <w:lang w:val="en-US" w:eastAsia="zh-CN" w:bidi="ar"/>
        </w:rPr>
      </w:pPr>
      <w:r>
        <w:rPr>
          <w:rFonts w:hint="eastAsia"/>
          <w:color w:val="auto"/>
          <w:kern w:val="21"/>
          <w:lang w:val="en-US" w:eastAsia="zh-CN"/>
        </w:rPr>
        <w:t>环评要求建设单位对首先对</w:t>
      </w:r>
      <w:r>
        <w:rPr>
          <w:rFonts w:hint="eastAsia"/>
          <w:color w:val="auto"/>
          <w:kern w:val="21"/>
          <w:lang w:eastAsia="zh-CN" w:bidi="ar"/>
        </w:rPr>
        <w:t>粗格栅及进水泵房、细格栅及调节池、混凝沉淀池、</w:t>
      </w:r>
      <w:r>
        <w:rPr>
          <w:color w:val="auto"/>
          <w:kern w:val="21"/>
          <w:lang w:bidi="ar"/>
        </w:rPr>
        <w:t>污泥脱水车间</w:t>
      </w:r>
      <w:r>
        <w:rPr>
          <w:rFonts w:hint="eastAsia"/>
          <w:color w:val="auto"/>
          <w:kern w:val="21"/>
          <w:lang w:eastAsia="zh-CN" w:bidi="ar"/>
        </w:rPr>
        <w:t>进行密闭，然后通过引风机（引风量</w:t>
      </w:r>
      <w:r>
        <w:rPr>
          <w:rFonts w:hint="eastAsia"/>
          <w:color w:val="auto"/>
          <w:kern w:val="21"/>
          <w:lang w:val="en-US" w:eastAsia="zh-CN" w:bidi="ar"/>
        </w:rPr>
        <w:t>5000m</w:t>
      </w:r>
      <w:r>
        <w:rPr>
          <w:rFonts w:hint="eastAsia"/>
          <w:color w:val="auto"/>
          <w:kern w:val="21"/>
          <w:vertAlign w:val="superscript"/>
          <w:lang w:val="en-US" w:eastAsia="zh-CN" w:bidi="ar"/>
        </w:rPr>
        <w:t>3</w:t>
      </w:r>
      <w:r>
        <w:rPr>
          <w:rFonts w:hint="eastAsia"/>
          <w:color w:val="auto"/>
          <w:kern w:val="21"/>
          <w:vertAlign w:val="baseline"/>
          <w:lang w:val="en-US" w:eastAsia="zh-CN" w:bidi="ar"/>
        </w:rPr>
        <w:t>/h</w:t>
      </w:r>
      <w:r>
        <w:rPr>
          <w:rFonts w:hint="eastAsia"/>
          <w:color w:val="auto"/>
          <w:kern w:val="21"/>
          <w:lang w:eastAsia="zh-CN" w:bidi="ar"/>
        </w:rPr>
        <w:t>）收集各池体、设施产生的恶臭气体（收集效率按</w:t>
      </w:r>
      <w:r>
        <w:rPr>
          <w:rFonts w:hint="eastAsia"/>
          <w:color w:val="auto"/>
          <w:kern w:val="21"/>
          <w:lang w:val="en-US" w:eastAsia="zh-CN" w:bidi="ar"/>
        </w:rPr>
        <w:t>85%计</w:t>
      </w:r>
      <w:r>
        <w:rPr>
          <w:rFonts w:hint="eastAsia"/>
          <w:color w:val="auto"/>
          <w:kern w:val="21"/>
          <w:lang w:eastAsia="zh-CN" w:bidi="ar"/>
        </w:rPr>
        <w:t>）进入活性炭吸附塔治理后（治理效率按</w:t>
      </w:r>
      <w:r>
        <w:rPr>
          <w:rFonts w:hint="eastAsia"/>
          <w:color w:val="auto"/>
          <w:kern w:val="21"/>
          <w:lang w:val="en-US" w:eastAsia="zh-CN" w:bidi="ar"/>
        </w:rPr>
        <w:t>60%计</w:t>
      </w:r>
      <w:r>
        <w:rPr>
          <w:rFonts w:hint="eastAsia"/>
          <w:color w:val="auto"/>
          <w:kern w:val="21"/>
          <w:lang w:eastAsia="zh-CN" w:bidi="ar"/>
        </w:rPr>
        <w:t>）集中通过</w:t>
      </w:r>
      <w:r>
        <w:rPr>
          <w:rFonts w:hint="eastAsia"/>
          <w:color w:val="auto"/>
          <w:kern w:val="21"/>
          <w:lang w:val="en-US" w:eastAsia="zh-CN" w:bidi="ar"/>
        </w:rPr>
        <w:t>15m排气筒排放。</w:t>
      </w:r>
    </w:p>
    <w:p>
      <w:pPr>
        <w:pStyle w:val="23"/>
        <w:spacing w:after="0" w:line="360" w:lineRule="auto"/>
        <w:ind w:left="0" w:leftChars="0" w:firstLine="480"/>
        <w:rPr>
          <w:rFonts w:hint="default" w:eastAsia="宋体"/>
          <w:color w:val="auto"/>
          <w:kern w:val="21"/>
          <w:lang w:val="en-US" w:eastAsia="zh-CN" w:bidi="ar"/>
        </w:rPr>
      </w:pPr>
      <w:r>
        <w:rPr>
          <w:rFonts w:hint="eastAsia"/>
          <w:color w:val="auto"/>
          <w:kern w:val="21"/>
          <w:lang w:val="en-US" w:eastAsia="zh-CN" w:bidi="ar"/>
        </w:rPr>
        <w:t>活性炭吸附塔收集的废气来自于</w:t>
      </w:r>
      <w:r>
        <w:rPr>
          <w:rFonts w:hint="eastAsia"/>
          <w:color w:val="auto"/>
          <w:kern w:val="21"/>
          <w:lang w:eastAsia="zh-CN" w:bidi="ar"/>
        </w:rPr>
        <w:t>粗格栅及进水泵房、细格栅及调节池、混凝沉淀池、水解酸化池、</w:t>
      </w:r>
      <w:r>
        <w:rPr>
          <w:color w:val="auto"/>
          <w:kern w:val="21"/>
          <w:lang w:bidi="ar"/>
        </w:rPr>
        <w:t>污泥脱水车间</w:t>
      </w:r>
      <w:r>
        <w:rPr>
          <w:rFonts w:hint="eastAsia"/>
          <w:color w:val="auto"/>
          <w:kern w:val="21"/>
          <w:lang w:eastAsia="zh-CN" w:bidi="ar"/>
        </w:rPr>
        <w:t>、污泥浓缩池。</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val="en-US" w:eastAsia="zh-CN" w:bidi="ar"/>
        </w:rPr>
        <w:t>/O生化池、MBR膜池恶臭产生源强较小，不进行封闭收集。</w:t>
      </w:r>
    </w:p>
    <w:p>
      <w:pPr>
        <w:pStyle w:val="23"/>
        <w:spacing w:after="0" w:line="360" w:lineRule="auto"/>
        <w:ind w:left="0" w:leftChars="0" w:firstLine="480"/>
        <w:rPr>
          <w:rFonts w:hint="eastAsia" w:eastAsia="宋体"/>
          <w:color w:val="auto"/>
          <w:kern w:val="21"/>
          <w:lang w:eastAsia="zh-CN"/>
        </w:rPr>
      </w:pPr>
      <w:r>
        <w:rPr>
          <w:rFonts w:hint="eastAsia"/>
          <w:color w:val="auto"/>
          <w:kern w:val="21"/>
          <w:lang w:eastAsia="zh-CN"/>
        </w:rPr>
        <w:t>项目废气排放源强如下表所示。</w:t>
      </w:r>
    </w:p>
    <w:p>
      <w:pPr>
        <w:pStyle w:val="23"/>
        <w:spacing w:after="0" w:line="360" w:lineRule="auto"/>
        <w:ind w:left="0" w:leftChars="0" w:firstLine="480"/>
        <w:rPr>
          <w:rFonts w:hint="eastAsia"/>
          <w:color w:val="auto"/>
          <w:kern w:val="21"/>
        </w:rPr>
      </w:pPr>
    </w:p>
    <w:p>
      <w:pPr>
        <w:pStyle w:val="152"/>
        <w:keepNext w:val="0"/>
        <w:keepLines w:val="0"/>
        <w:pageBreakBefore w:val="0"/>
        <w:widowControl w:val="0"/>
        <w:numPr>
          <w:ilvl w:val="0"/>
          <w:numId w:val="7"/>
        </w:numPr>
        <w:kinsoku/>
        <w:wordWrap/>
        <w:overflowPunct/>
        <w:topLinePunct w:val="0"/>
        <w:autoSpaceDE/>
        <w:autoSpaceDN/>
        <w:bidi w:val="0"/>
        <w:spacing w:line="240" w:lineRule="auto"/>
        <w:ind w:left="420" w:firstLine="0" w:firstLineChars="0"/>
        <w:jc w:val="center"/>
        <w:textAlignment w:val="auto"/>
        <w:rPr>
          <w:b/>
          <w:bCs/>
          <w:color w:val="auto"/>
        </w:rPr>
        <w:sectPr>
          <w:footerReference r:id="rId14" w:type="default"/>
          <w:pgSz w:w="11910" w:h="16840"/>
          <w:pgMar w:top="1440" w:right="1803" w:bottom="1440" w:left="1803" w:header="392" w:footer="997" w:gutter="0"/>
          <w:pgNumType w:start="1"/>
          <w:cols w:space="720" w:num="1"/>
        </w:sectPr>
      </w:pP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rPr>
      </w:pPr>
      <w:r>
        <w:rPr>
          <w:rFonts w:hint="eastAsia"/>
          <w:b/>
          <w:bCs/>
          <w:color w:val="auto"/>
          <w:kern w:val="21"/>
        </w:rPr>
        <w:t>项目废气</w:t>
      </w:r>
      <w:r>
        <w:rPr>
          <w:rFonts w:hint="eastAsia"/>
          <w:b/>
          <w:bCs/>
          <w:color w:val="auto"/>
          <w:kern w:val="21"/>
          <w:lang w:val="en-US" w:eastAsia="zh-CN"/>
        </w:rPr>
        <w:t>产生</w:t>
      </w:r>
      <w:r>
        <w:rPr>
          <w:rFonts w:hint="eastAsia"/>
          <w:b/>
          <w:bCs/>
          <w:color w:val="auto"/>
          <w:kern w:val="21"/>
        </w:rPr>
        <w:t>及排放情况统计表</w:t>
      </w:r>
    </w:p>
    <w:tbl>
      <w:tblPr>
        <w:tblStyle w:val="51"/>
        <w:tblW w:w="13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669"/>
        <w:gridCol w:w="821"/>
        <w:gridCol w:w="759"/>
        <w:gridCol w:w="1050"/>
        <w:gridCol w:w="1332"/>
        <w:gridCol w:w="1006"/>
        <w:gridCol w:w="1129"/>
        <w:gridCol w:w="1059"/>
        <w:gridCol w:w="750"/>
        <w:gridCol w:w="644"/>
        <w:gridCol w:w="627"/>
        <w:gridCol w:w="785"/>
        <w:gridCol w:w="794"/>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废气种类</w:t>
            </w:r>
          </w:p>
        </w:tc>
        <w:tc>
          <w:tcPr>
            <w:tcW w:w="3299" w:type="dxa"/>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color w:val="auto"/>
                <w:sz w:val="18"/>
                <w:szCs w:val="18"/>
              </w:rPr>
              <w:t>产生量</w:t>
            </w:r>
          </w:p>
        </w:tc>
        <w:tc>
          <w:tcPr>
            <w:tcW w:w="1332"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color w:val="auto"/>
                <w:sz w:val="18"/>
                <w:szCs w:val="18"/>
              </w:rPr>
              <w:t>治理措施及效率</w:t>
            </w:r>
          </w:p>
        </w:tc>
        <w:tc>
          <w:tcPr>
            <w:tcW w:w="3194"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color w:val="auto"/>
                <w:sz w:val="18"/>
                <w:szCs w:val="18"/>
              </w:rPr>
              <w:t>排放量（Nm</w:t>
            </w:r>
            <w:r>
              <w:rPr>
                <w:color w:val="auto"/>
                <w:sz w:val="18"/>
                <w:szCs w:val="18"/>
                <w:vertAlign w:val="superscript"/>
              </w:rPr>
              <w:t>3</w:t>
            </w:r>
            <w:r>
              <w:rPr>
                <w:color w:val="auto"/>
                <w:sz w:val="18"/>
                <w:szCs w:val="18"/>
              </w:rPr>
              <w:t>/h）</w:t>
            </w:r>
          </w:p>
        </w:tc>
        <w:tc>
          <w:tcPr>
            <w:tcW w:w="750"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color w:val="auto"/>
                <w:sz w:val="18"/>
                <w:szCs w:val="18"/>
              </w:rPr>
              <w:t>排气温度</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color w:val="auto"/>
                <w:sz w:val="18"/>
                <w:szCs w:val="18"/>
              </w:rPr>
              <w:t>（℃）</w:t>
            </w:r>
          </w:p>
        </w:tc>
        <w:tc>
          <w:tcPr>
            <w:tcW w:w="1271" w:type="dxa"/>
            <w:gridSpan w:val="2"/>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color w:val="auto"/>
                <w:sz w:val="18"/>
                <w:szCs w:val="18"/>
              </w:rPr>
              <w:t>排气筒</w:t>
            </w:r>
          </w:p>
        </w:tc>
        <w:tc>
          <w:tcPr>
            <w:tcW w:w="785"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color w:val="auto"/>
                <w:sz w:val="18"/>
                <w:szCs w:val="18"/>
              </w:rPr>
              <w:t>排放规律</w:t>
            </w:r>
          </w:p>
        </w:tc>
        <w:tc>
          <w:tcPr>
            <w:tcW w:w="79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color w:val="auto"/>
                <w:sz w:val="18"/>
                <w:szCs w:val="18"/>
              </w:rPr>
              <w:t>时间（h）</w:t>
            </w:r>
          </w:p>
        </w:tc>
        <w:tc>
          <w:tcPr>
            <w:tcW w:w="9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color w:val="auto"/>
                <w:sz w:val="18"/>
                <w:szCs w:val="18"/>
              </w:rPr>
              <w:t>核算方法</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rPr>
              <w:t>组成或主要污染物</w:t>
            </w:r>
          </w:p>
        </w:tc>
        <w:tc>
          <w:tcPr>
            <w:tcW w:w="7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rPr>
              <w:t>浓度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lang w:val="pt-BR"/>
              </w:rPr>
              <w:t>mg/m</w:t>
            </w:r>
            <w:r>
              <w:rPr>
                <w:color w:val="auto"/>
                <w:sz w:val="18"/>
                <w:szCs w:val="18"/>
                <w:vertAlign w:val="superscript"/>
                <w:lang w:val="pt-BR"/>
              </w:rPr>
              <w:t>3</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rPr>
              <w:t>速率</w:t>
            </w:r>
            <w:r>
              <w:rPr>
                <w:color w:val="auto"/>
                <w:sz w:val="18"/>
                <w:szCs w:val="18"/>
                <w:lang w:val="pt-BR"/>
              </w:rPr>
              <w:t>kg/h</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rPr>
              <w:t>浓度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lang w:val="pt-BR"/>
              </w:rPr>
              <w:t>mg/m</w:t>
            </w:r>
            <w:r>
              <w:rPr>
                <w:color w:val="auto"/>
                <w:sz w:val="18"/>
                <w:szCs w:val="18"/>
                <w:vertAlign w:val="superscript"/>
                <w:lang w:val="pt-BR"/>
              </w:rPr>
              <w:t>3</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rPr>
              <w:t>排放速率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lang w:val="pt-BR"/>
              </w:rPr>
              <w:t>kg/h</w:t>
            </w:r>
          </w:p>
        </w:tc>
        <w:tc>
          <w:tcPr>
            <w:tcW w:w="10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rPr>
              <w:t>排放量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rPr>
              <w:t>t</w:t>
            </w:r>
            <w:r>
              <w:rPr>
                <w:color w:val="auto"/>
                <w:sz w:val="18"/>
                <w:szCs w:val="18"/>
                <w:lang w:val="pt-BR"/>
              </w:rPr>
              <w:t>/</w:t>
            </w:r>
            <w:r>
              <w:rPr>
                <w:color w:val="auto"/>
                <w:sz w:val="18"/>
                <w:szCs w:val="18"/>
              </w:rPr>
              <w:t>a</w:t>
            </w:r>
          </w:p>
        </w:tc>
        <w:tc>
          <w:tcPr>
            <w:tcW w:w="75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c>
          <w:tcPr>
            <w:tcW w:w="6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rPr>
              <w:t>直径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hint="eastAsia"/>
                <w:color w:val="auto"/>
                <w:sz w:val="18"/>
                <w:szCs w:val="18"/>
              </w:rPr>
              <w:t>/</w:t>
            </w:r>
            <w:r>
              <w:rPr>
                <w:color w:val="auto"/>
                <w:sz w:val="18"/>
                <w:szCs w:val="18"/>
              </w:rPr>
              <w:t>mm</w:t>
            </w:r>
          </w:p>
        </w:tc>
        <w:tc>
          <w:tcPr>
            <w:tcW w:w="6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color w:val="auto"/>
                <w:sz w:val="18"/>
                <w:szCs w:val="18"/>
              </w:rPr>
              <w:t>高度</w:t>
            </w:r>
            <w:r>
              <w:rPr>
                <w:rFonts w:hint="eastAsia"/>
                <w:color w:val="auto"/>
                <w:sz w:val="18"/>
                <w:szCs w:val="18"/>
              </w:rPr>
              <w:t>/</w:t>
            </w:r>
            <w:r>
              <w:rPr>
                <w:color w:val="auto"/>
                <w:sz w:val="18"/>
                <w:szCs w:val="18"/>
              </w:rPr>
              <w:t>m</w:t>
            </w: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eastAsia="宋体"/>
                <w:color w:val="auto"/>
                <w:sz w:val="18"/>
                <w:szCs w:val="18"/>
                <w:lang w:eastAsia="zh-CN"/>
              </w:rPr>
              <w:t>粗格栅及进水泵房</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0.0152</w:t>
            </w:r>
          </w:p>
        </w:tc>
        <w:tc>
          <w:tcPr>
            <w:tcW w:w="1332"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18"/>
                <w:szCs w:val="18"/>
                <w:lang w:val="en-US"/>
              </w:rPr>
            </w:pPr>
            <w:r>
              <w:rPr>
                <w:rFonts w:hint="eastAsia"/>
                <w:color w:val="auto"/>
                <w:sz w:val="18"/>
                <w:szCs w:val="18"/>
                <w:lang w:eastAsia="zh-CN"/>
              </w:rPr>
              <w:t>加盖密闭后通过引风机（风量</w:t>
            </w:r>
            <w:r>
              <w:rPr>
                <w:rFonts w:hint="eastAsia"/>
                <w:color w:val="auto"/>
                <w:sz w:val="18"/>
                <w:szCs w:val="18"/>
                <w:lang w:val="en-US" w:eastAsia="zh-CN"/>
              </w:rPr>
              <w:t>5000m</w:t>
            </w:r>
            <w:r>
              <w:rPr>
                <w:rFonts w:hint="eastAsia"/>
                <w:color w:val="auto"/>
                <w:sz w:val="18"/>
                <w:szCs w:val="18"/>
                <w:vertAlign w:val="superscript"/>
                <w:lang w:val="en-US" w:eastAsia="zh-CN"/>
              </w:rPr>
              <w:t>3</w:t>
            </w:r>
            <w:r>
              <w:rPr>
                <w:rFonts w:hint="eastAsia"/>
                <w:color w:val="auto"/>
                <w:sz w:val="18"/>
                <w:szCs w:val="18"/>
                <w:vertAlign w:val="baseline"/>
                <w:lang w:val="en-US" w:eastAsia="zh-CN"/>
              </w:rPr>
              <w:t>/h</w:t>
            </w:r>
            <w:r>
              <w:rPr>
                <w:rFonts w:hint="eastAsia"/>
                <w:color w:val="auto"/>
                <w:sz w:val="18"/>
                <w:szCs w:val="18"/>
                <w:lang w:eastAsia="zh-CN"/>
              </w:rPr>
              <w:t>）将废气收集（收集效率</w:t>
            </w:r>
            <w:r>
              <w:rPr>
                <w:rFonts w:hint="eastAsia"/>
                <w:color w:val="auto"/>
                <w:sz w:val="18"/>
                <w:szCs w:val="18"/>
                <w:lang w:val="en-US" w:eastAsia="zh-CN"/>
              </w:rPr>
              <w:t>85%</w:t>
            </w:r>
            <w:r>
              <w:rPr>
                <w:rFonts w:hint="eastAsia"/>
                <w:color w:val="auto"/>
                <w:sz w:val="18"/>
                <w:szCs w:val="18"/>
                <w:lang w:eastAsia="zh-CN"/>
              </w:rPr>
              <w:t>）至活性炭吸附塔治理后（治理效率</w:t>
            </w:r>
            <w:r>
              <w:rPr>
                <w:rFonts w:hint="eastAsia"/>
                <w:color w:val="auto"/>
                <w:sz w:val="18"/>
                <w:szCs w:val="18"/>
                <w:lang w:val="en-US" w:eastAsia="zh-CN"/>
              </w:rPr>
              <w:t>60%</w:t>
            </w:r>
            <w:r>
              <w:rPr>
                <w:rFonts w:hint="eastAsia"/>
                <w:color w:val="auto"/>
                <w:sz w:val="18"/>
                <w:szCs w:val="18"/>
                <w:lang w:eastAsia="zh-CN"/>
              </w:rPr>
              <w:t>）通过</w:t>
            </w:r>
            <w:r>
              <w:rPr>
                <w:rFonts w:hint="eastAsia"/>
                <w:color w:val="auto"/>
                <w:sz w:val="18"/>
                <w:szCs w:val="18"/>
                <w:lang w:val="en-US" w:eastAsia="zh-CN"/>
              </w:rPr>
              <w:t>15m排气筒DA001排放</w:t>
            </w:r>
          </w:p>
        </w:tc>
        <w:tc>
          <w:tcPr>
            <w:tcW w:w="10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r>
              <w:rPr>
                <w:rFonts w:hint="eastAsia"/>
                <w:color w:val="auto"/>
                <w:sz w:val="18"/>
                <w:szCs w:val="18"/>
                <w:lang w:val="en-US" w:eastAsia="zh-CN"/>
              </w:rPr>
              <w:t>:12.89</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lang w:val="en-US" w:eastAsia="zh-CN"/>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vertAlign w:val="baseline"/>
                <w:lang w:val="en-US" w:eastAsia="zh-CN"/>
              </w:rPr>
              <w:t>S</w:t>
            </w:r>
            <w:r>
              <w:rPr>
                <w:rFonts w:hint="eastAsia"/>
                <w:color w:val="auto"/>
                <w:sz w:val="18"/>
                <w:szCs w:val="18"/>
                <w:lang w:val="en-US" w:eastAsia="zh-CN"/>
              </w:rPr>
              <w:t>:0.025</w:t>
            </w:r>
          </w:p>
        </w:tc>
        <w:tc>
          <w:tcPr>
            <w:tcW w:w="112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r>
              <w:rPr>
                <w:rFonts w:hint="eastAsia"/>
                <w:color w:val="auto"/>
                <w:sz w:val="18"/>
                <w:szCs w:val="18"/>
                <w:lang w:val="en-US" w:eastAsia="zh-CN"/>
              </w:rPr>
              <w:t>:0.0645</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vertAlign w:val="baseline"/>
                <w:lang w:val="en-US" w:eastAsia="zh-CN"/>
              </w:rPr>
              <w:t>S</w:t>
            </w:r>
            <w:r>
              <w:rPr>
                <w:rFonts w:hint="eastAsia"/>
                <w:color w:val="auto"/>
                <w:sz w:val="18"/>
                <w:szCs w:val="18"/>
                <w:lang w:val="en-US" w:eastAsia="zh-CN"/>
              </w:rPr>
              <w:t>:0.0001</w:t>
            </w:r>
          </w:p>
        </w:tc>
        <w:tc>
          <w:tcPr>
            <w:tcW w:w="105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r>
              <w:rPr>
                <w:rFonts w:hint="eastAsia"/>
                <w:color w:val="auto"/>
                <w:sz w:val="18"/>
                <w:szCs w:val="18"/>
                <w:lang w:val="en-US" w:eastAsia="zh-CN"/>
              </w:rPr>
              <w:t>:0.56</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vertAlign w:val="baseline"/>
                <w:lang w:val="en-US" w:eastAsia="zh-CN"/>
              </w:rPr>
              <w:t>S</w:t>
            </w:r>
            <w:r>
              <w:rPr>
                <w:rFonts w:hint="eastAsia"/>
                <w:color w:val="auto"/>
                <w:sz w:val="18"/>
                <w:szCs w:val="18"/>
                <w:lang w:val="en-US" w:eastAsia="zh-CN"/>
              </w:rPr>
              <w:t>:0.0011</w:t>
            </w:r>
          </w:p>
        </w:tc>
        <w:tc>
          <w:tcPr>
            <w:tcW w:w="750"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20</w:t>
            </w:r>
          </w:p>
        </w:tc>
        <w:tc>
          <w:tcPr>
            <w:tcW w:w="64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300</w:t>
            </w:r>
          </w:p>
        </w:tc>
        <w:tc>
          <w:tcPr>
            <w:tcW w:w="627"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15</w:t>
            </w:r>
          </w:p>
        </w:tc>
        <w:tc>
          <w:tcPr>
            <w:tcW w:w="785"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连续</w:t>
            </w:r>
          </w:p>
        </w:tc>
        <w:tc>
          <w:tcPr>
            <w:tcW w:w="79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8760</w:t>
            </w:r>
          </w:p>
        </w:tc>
        <w:tc>
          <w:tcPr>
            <w:tcW w:w="9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0.00003</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eastAsia="宋体"/>
                <w:color w:val="auto"/>
                <w:sz w:val="18"/>
                <w:szCs w:val="18"/>
                <w:lang w:eastAsia="zh-CN"/>
              </w:rPr>
              <w:t>细格栅及调节池</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0.0464</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0.00010</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eastAsia="宋体"/>
                <w:color w:val="auto"/>
                <w:sz w:val="18"/>
                <w:szCs w:val="18"/>
                <w:lang w:eastAsia="zh-CN"/>
              </w:rPr>
              <w:t>混凝沉淀池</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0.0667</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0.00014</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eastAsia="宋体"/>
                <w:color w:val="auto"/>
                <w:sz w:val="18"/>
                <w:szCs w:val="18"/>
                <w:lang w:eastAsia="zh-CN"/>
              </w:rPr>
              <w:t>水解酸化池</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0.0490</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0.00010</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eastAsia="宋体"/>
                <w:color w:val="auto"/>
                <w:sz w:val="18"/>
                <w:szCs w:val="18"/>
                <w:lang w:eastAsia="zh-CN"/>
              </w:rPr>
              <w:t>污泥脱水车间</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0.0108</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0.000003</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污泥浓缩池</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0.0014</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0.0000004</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12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105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eastAsia="宋体"/>
                <w:color w:val="auto"/>
                <w:sz w:val="18"/>
                <w:szCs w:val="18"/>
                <w:lang w:eastAsia="zh-CN"/>
              </w:rPr>
              <w:t>粗格栅及进水泵房</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0.0023</w:t>
            </w:r>
          </w:p>
        </w:tc>
        <w:tc>
          <w:tcPr>
            <w:tcW w:w="1332"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散逸</w:t>
            </w: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0.0023</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0.020</w:t>
            </w:r>
          </w:p>
        </w:tc>
        <w:tc>
          <w:tcPr>
            <w:tcW w:w="750"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c>
          <w:tcPr>
            <w:tcW w:w="64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c>
          <w:tcPr>
            <w:tcW w:w="627"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c>
          <w:tcPr>
            <w:tcW w:w="785"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连续</w:t>
            </w:r>
          </w:p>
        </w:tc>
        <w:tc>
          <w:tcPr>
            <w:tcW w:w="79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8760</w:t>
            </w:r>
          </w:p>
        </w:tc>
        <w:tc>
          <w:tcPr>
            <w:tcW w:w="9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0.000004</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0.000004</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0.000035</w:t>
            </w: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eastAsia="宋体"/>
                <w:color w:val="auto"/>
                <w:sz w:val="18"/>
                <w:szCs w:val="18"/>
                <w:lang w:eastAsia="zh-CN"/>
              </w:rPr>
              <w:t>细格栅及调节池</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0.0070</w:t>
            </w:r>
          </w:p>
        </w:tc>
        <w:tc>
          <w:tcPr>
            <w:tcW w:w="1332"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散逸</w:t>
            </w: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0.0070</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0.061</w:t>
            </w:r>
          </w:p>
        </w:tc>
        <w:tc>
          <w:tcPr>
            <w:tcW w:w="750"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4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27"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785"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连续</w:t>
            </w:r>
          </w:p>
        </w:tc>
        <w:tc>
          <w:tcPr>
            <w:tcW w:w="79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8760</w:t>
            </w:r>
          </w:p>
        </w:tc>
        <w:tc>
          <w:tcPr>
            <w:tcW w:w="9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0.000015</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0.000015</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0.000128</w:t>
            </w: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eastAsia="宋体"/>
                <w:color w:val="auto"/>
                <w:sz w:val="18"/>
                <w:szCs w:val="18"/>
                <w:lang w:eastAsia="zh-CN"/>
              </w:rPr>
              <w:t>混凝沉淀池</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0.0100</w:t>
            </w:r>
          </w:p>
        </w:tc>
        <w:tc>
          <w:tcPr>
            <w:tcW w:w="1332"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散逸</w:t>
            </w: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0.0100</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0.088</w:t>
            </w:r>
          </w:p>
        </w:tc>
        <w:tc>
          <w:tcPr>
            <w:tcW w:w="750"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4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27"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785"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连续</w:t>
            </w:r>
          </w:p>
        </w:tc>
        <w:tc>
          <w:tcPr>
            <w:tcW w:w="79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8760</w:t>
            </w:r>
          </w:p>
        </w:tc>
        <w:tc>
          <w:tcPr>
            <w:tcW w:w="9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0.000021</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0.000021</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0.000184</w:t>
            </w: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eastAsia="宋体"/>
                <w:color w:val="auto"/>
                <w:sz w:val="18"/>
                <w:szCs w:val="18"/>
                <w:lang w:eastAsia="zh-CN"/>
              </w:rPr>
              <w:t>水解酸化池</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0.0074</w:t>
            </w:r>
          </w:p>
        </w:tc>
        <w:tc>
          <w:tcPr>
            <w:tcW w:w="1332"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散逸</w:t>
            </w: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0.0074</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0.064</w:t>
            </w:r>
          </w:p>
        </w:tc>
        <w:tc>
          <w:tcPr>
            <w:tcW w:w="750"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4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27"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785"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连续</w:t>
            </w:r>
          </w:p>
        </w:tc>
        <w:tc>
          <w:tcPr>
            <w:tcW w:w="79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8760</w:t>
            </w:r>
          </w:p>
        </w:tc>
        <w:tc>
          <w:tcPr>
            <w:tcW w:w="9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0.000015</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0.000015</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0.000135</w:t>
            </w: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eastAsia="宋体"/>
                <w:color w:val="auto"/>
                <w:sz w:val="18"/>
                <w:szCs w:val="18"/>
                <w:lang w:eastAsia="zh-CN"/>
              </w:rPr>
              <w:t>污泥脱水车间</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0.0016</w:t>
            </w:r>
          </w:p>
        </w:tc>
        <w:tc>
          <w:tcPr>
            <w:tcW w:w="1332"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散逸</w:t>
            </w: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0.0016</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0.014</w:t>
            </w:r>
          </w:p>
        </w:tc>
        <w:tc>
          <w:tcPr>
            <w:tcW w:w="750"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val="en-US" w:eastAsia="zh-CN"/>
              </w:rPr>
              <w:t>/</w:t>
            </w:r>
          </w:p>
        </w:tc>
        <w:tc>
          <w:tcPr>
            <w:tcW w:w="64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27"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785"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连续</w:t>
            </w:r>
          </w:p>
        </w:tc>
        <w:tc>
          <w:tcPr>
            <w:tcW w:w="79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8760</w:t>
            </w:r>
          </w:p>
        </w:tc>
        <w:tc>
          <w:tcPr>
            <w:tcW w:w="9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0.0000005</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0.0000005</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0.000004</w:t>
            </w: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污泥浓缩池</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0.0002</w:t>
            </w:r>
          </w:p>
        </w:tc>
        <w:tc>
          <w:tcPr>
            <w:tcW w:w="1332"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散逸</w:t>
            </w: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0.0002</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0.002</w:t>
            </w:r>
          </w:p>
        </w:tc>
        <w:tc>
          <w:tcPr>
            <w:tcW w:w="750"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4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27"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785"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连续</w:t>
            </w:r>
          </w:p>
        </w:tc>
        <w:tc>
          <w:tcPr>
            <w:tcW w:w="79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8760</w:t>
            </w:r>
          </w:p>
        </w:tc>
        <w:tc>
          <w:tcPr>
            <w:tcW w:w="9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kern w:val="0"/>
                <w:sz w:val="18"/>
                <w:szCs w:val="18"/>
                <w:lang w:val="en-US"/>
              </w:rPr>
            </w:pPr>
            <w:r>
              <w:rPr>
                <w:rFonts w:hint="eastAsia"/>
                <w:color w:val="auto"/>
                <w:kern w:val="0"/>
                <w:sz w:val="18"/>
                <w:szCs w:val="18"/>
                <w:lang w:val="en-US" w:eastAsia="zh-CN"/>
              </w:rPr>
              <w:t>0.0000001</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0.0000001</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0.000001</w:t>
            </w: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i w:val="0"/>
                <w:iCs/>
                <w:color w:val="auto"/>
                <w:kern w:val="21"/>
                <w:sz w:val="18"/>
                <w:szCs w:val="18"/>
              </w:rPr>
              <w:t>A</w:t>
            </w:r>
            <w:r>
              <w:rPr>
                <w:rFonts w:hint="eastAsia"/>
                <w:i w:val="0"/>
                <w:iCs/>
                <w:color w:val="auto"/>
                <w:kern w:val="21"/>
                <w:sz w:val="18"/>
                <w:szCs w:val="18"/>
                <w:vertAlign w:val="superscript"/>
              </w:rPr>
              <w:t>2</w:t>
            </w:r>
            <w:r>
              <w:rPr>
                <w:rFonts w:hint="eastAsia"/>
                <w:color w:val="auto"/>
                <w:sz w:val="18"/>
                <w:szCs w:val="18"/>
              </w:rPr>
              <w:t>/O生化池</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0.0010</w:t>
            </w:r>
          </w:p>
        </w:tc>
        <w:tc>
          <w:tcPr>
            <w:tcW w:w="1332"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散逸</w:t>
            </w: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0.0010</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0.009</w:t>
            </w:r>
          </w:p>
        </w:tc>
        <w:tc>
          <w:tcPr>
            <w:tcW w:w="750"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4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27"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785"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连续</w:t>
            </w:r>
          </w:p>
        </w:tc>
        <w:tc>
          <w:tcPr>
            <w:tcW w:w="79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8760</w:t>
            </w:r>
          </w:p>
        </w:tc>
        <w:tc>
          <w:tcPr>
            <w:tcW w:w="9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0.000055</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0.000055</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0.000480</w:t>
            </w: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rPr>
              <w:t>MBR膜池</w:t>
            </w:r>
          </w:p>
        </w:tc>
        <w:tc>
          <w:tcPr>
            <w:tcW w:w="669"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系数法</w:t>
            </w: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NH</w:t>
            </w:r>
            <w:r>
              <w:rPr>
                <w:rFonts w:hint="eastAsia"/>
                <w:color w:val="auto"/>
                <w:sz w:val="18"/>
                <w:szCs w:val="18"/>
                <w:vertAlign w:val="subscript"/>
                <w:lang w:val="en-US" w:eastAsia="zh-CN"/>
              </w:rPr>
              <w:t>3</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0.0008</w:t>
            </w:r>
          </w:p>
        </w:tc>
        <w:tc>
          <w:tcPr>
            <w:tcW w:w="1332"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散逸</w:t>
            </w: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0.0008</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0.007</w:t>
            </w:r>
          </w:p>
        </w:tc>
        <w:tc>
          <w:tcPr>
            <w:tcW w:w="750"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4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627"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785"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连续</w:t>
            </w:r>
          </w:p>
        </w:tc>
        <w:tc>
          <w:tcPr>
            <w:tcW w:w="794"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8760</w:t>
            </w:r>
          </w:p>
        </w:tc>
        <w:tc>
          <w:tcPr>
            <w:tcW w:w="90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1"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69"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8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H</w:t>
            </w:r>
            <w:r>
              <w:rPr>
                <w:rFonts w:hint="eastAsia"/>
                <w:color w:val="auto"/>
                <w:sz w:val="18"/>
                <w:szCs w:val="18"/>
                <w:vertAlign w:val="subscript"/>
                <w:lang w:val="en-US" w:eastAsia="zh-CN"/>
              </w:rPr>
              <w:t>2</w:t>
            </w:r>
            <w:r>
              <w:rPr>
                <w:rFonts w:hint="eastAsia"/>
                <w:color w:val="auto"/>
                <w:sz w:val="18"/>
                <w:szCs w:val="18"/>
                <w:lang w:val="en-US" w:eastAsia="zh-CN"/>
              </w:rPr>
              <w:t>S</w:t>
            </w:r>
          </w:p>
        </w:tc>
        <w:tc>
          <w:tcPr>
            <w:tcW w:w="7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050"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0.000044</w:t>
            </w:r>
          </w:p>
        </w:tc>
        <w:tc>
          <w:tcPr>
            <w:tcW w:w="1332"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1006"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r>
              <w:rPr>
                <w:rFonts w:hint="eastAsia"/>
                <w:color w:val="auto"/>
                <w:sz w:val="18"/>
                <w:szCs w:val="18"/>
                <w:lang w:val="en-US" w:eastAsia="zh-CN"/>
              </w:rPr>
              <w:t>/</w:t>
            </w:r>
          </w:p>
        </w:tc>
        <w:tc>
          <w:tcPr>
            <w:tcW w:w="112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0.000044</w:t>
            </w:r>
          </w:p>
        </w:tc>
        <w:tc>
          <w:tcPr>
            <w:tcW w:w="105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0.000388</w:t>
            </w:r>
          </w:p>
        </w:tc>
        <w:tc>
          <w:tcPr>
            <w:tcW w:w="750"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4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627"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85"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794"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c>
          <w:tcPr>
            <w:tcW w:w="90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18"/>
                <w:szCs w:val="18"/>
              </w:rPr>
            </w:pPr>
          </w:p>
        </w:tc>
      </w:tr>
    </w:tbl>
    <w:p>
      <w:pPr>
        <w:pStyle w:val="23"/>
        <w:spacing w:after="0" w:line="360" w:lineRule="auto"/>
        <w:ind w:left="0" w:leftChars="0" w:firstLine="480"/>
        <w:rPr>
          <w:rFonts w:hint="eastAsia"/>
          <w:color w:val="auto"/>
          <w:kern w:val="21"/>
        </w:rPr>
        <w:sectPr>
          <w:pgSz w:w="16840" w:h="11910" w:orient="landscape"/>
          <w:pgMar w:top="1803" w:right="1440" w:bottom="1803" w:left="1440" w:header="392" w:footer="998" w:gutter="0"/>
          <w:cols w:space="0" w:num="1"/>
          <w:rtlGutter w:val="0"/>
          <w:docGrid w:linePitch="0" w:charSpace="0"/>
        </w:sectPr>
      </w:pPr>
    </w:p>
    <w:p>
      <w:pPr>
        <w:pStyle w:val="23"/>
        <w:spacing w:after="0" w:line="360" w:lineRule="auto"/>
        <w:ind w:left="0" w:leftChars="0" w:firstLine="480"/>
        <w:rPr>
          <w:rFonts w:hint="default" w:eastAsia="宋体"/>
          <w:color w:val="auto"/>
          <w:kern w:val="21"/>
          <w:lang w:val="en-US" w:eastAsia="zh-CN"/>
        </w:rPr>
      </w:pPr>
      <w:r>
        <w:rPr>
          <w:rFonts w:hint="eastAsia"/>
          <w:color w:val="auto"/>
          <w:kern w:val="21"/>
          <w:lang w:eastAsia="zh-CN"/>
        </w:rPr>
        <w:t>根据上表结果得知，项目恶臭气体经活性炭吸附塔治理后通过</w:t>
      </w:r>
      <w:r>
        <w:rPr>
          <w:rFonts w:hint="eastAsia"/>
          <w:color w:val="auto"/>
          <w:kern w:val="21"/>
          <w:lang w:val="en-US" w:eastAsia="zh-CN"/>
        </w:rPr>
        <w:t>排气筒排放可以满足《恶臭污染物排放标准》（GB14554-1993）中表2排放速率的限值要求。</w:t>
      </w:r>
    </w:p>
    <w:p>
      <w:pPr>
        <w:widowControl/>
        <w:ind w:firstLine="482"/>
        <w:jc w:val="left"/>
        <w:rPr>
          <w:b w:val="0"/>
          <w:bCs/>
          <w:color w:val="auto"/>
          <w:kern w:val="21"/>
        </w:rPr>
      </w:pPr>
      <w:r>
        <w:rPr>
          <w:rFonts w:hint="eastAsia"/>
          <w:b w:val="0"/>
          <w:bCs/>
          <w:color w:val="auto"/>
          <w:kern w:val="21"/>
          <w:lang w:val="en-US" w:eastAsia="zh-CN" w:bidi="ar"/>
        </w:rPr>
        <w:t>2、</w:t>
      </w:r>
      <w:r>
        <w:rPr>
          <w:rFonts w:hint="eastAsia"/>
          <w:b w:val="0"/>
          <w:bCs/>
          <w:color w:val="auto"/>
          <w:kern w:val="21"/>
          <w:lang w:bidi="ar"/>
        </w:rPr>
        <w:t>食堂油烟</w:t>
      </w:r>
    </w:p>
    <w:p>
      <w:pPr>
        <w:widowControl/>
        <w:ind w:firstLine="480"/>
        <w:jc w:val="left"/>
        <w:rPr>
          <w:color w:val="auto"/>
          <w:kern w:val="21"/>
          <w:lang w:bidi="ar"/>
        </w:rPr>
      </w:pPr>
      <w:r>
        <w:rPr>
          <w:color w:val="auto"/>
          <w:kern w:val="21"/>
          <w:lang w:bidi="ar"/>
        </w:rPr>
        <w:t>项目</w:t>
      </w:r>
      <w:r>
        <w:rPr>
          <w:rFonts w:hint="eastAsia"/>
          <w:color w:val="auto"/>
          <w:kern w:val="21"/>
          <w:lang w:bidi="ar"/>
        </w:rPr>
        <w:t>设置</w:t>
      </w:r>
      <w:r>
        <w:rPr>
          <w:color w:val="auto"/>
          <w:kern w:val="21"/>
          <w:lang w:bidi="ar"/>
        </w:rPr>
        <w:t>员工食堂，设置一个灶，</w:t>
      </w:r>
      <w:r>
        <w:rPr>
          <w:rFonts w:hint="eastAsia"/>
          <w:color w:val="auto"/>
          <w:kern w:val="21"/>
          <w:lang w:bidi="ar"/>
        </w:rPr>
        <w:t>使用清洁能源</w:t>
      </w:r>
      <w:r>
        <w:rPr>
          <w:color w:val="auto"/>
          <w:kern w:val="21"/>
          <w:lang w:bidi="ar"/>
        </w:rPr>
        <w:t>，产生的主要污染物为</w:t>
      </w:r>
      <w:r>
        <w:rPr>
          <w:rFonts w:hint="eastAsia"/>
          <w:color w:val="auto"/>
          <w:kern w:val="21"/>
          <w:lang w:bidi="ar"/>
        </w:rPr>
        <w:t>食堂油烟</w:t>
      </w:r>
      <w:r>
        <w:rPr>
          <w:color w:val="auto"/>
          <w:kern w:val="21"/>
          <w:lang w:bidi="ar"/>
        </w:rPr>
        <w:t>，安装一台</w:t>
      </w:r>
      <w:r>
        <w:rPr>
          <w:rFonts w:hint="eastAsia"/>
          <w:color w:val="auto"/>
          <w:kern w:val="21"/>
          <w:lang w:eastAsia="zh-CN" w:bidi="ar"/>
        </w:rPr>
        <w:t>油烟净化器</w:t>
      </w:r>
      <w:r>
        <w:rPr>
          <w:color w:val="auto"/>
          <w:kern w:val="21"/>
          <w:lang w:bidi="ar"/>
        </w:rPr>
        <w:t>对其进行净化，</w:t>
      </w:r>
      <w:r>
        <w:rPr>
          <w:rFonts w:hint="eastAsia"/>
          <w:color w:val="auto"/>
          <w:kern w:val="21"/>
          <w:lang w:bidi="ar"/>
        </w:rPr>
        <w:t>净化</w:t>
      </w:r>
      <w:r>
        <w:rPr>
          <w:color w:val="auto"/>
          <w:kern w:val="21"/>
          <w:lang w:bidi="ar"/>
        </w:rPr>
        <w:t>效率不低于60%，油烟净化后经综合楼顶上方1.5m高的排气筒排放。油烟排放浓度达到</w:t>
      </w:r>
      <w:r>
        <w:rPr>
          <w:color w:val="auto"/>
          <w:kern w:val="21"/>
        </w:rPr>
        <w:t>《饮食业油烟排放标准》</w:t>
      </w:r>
      <w:r>
        <w:rPr>
          <w:rFonts w:hint="eastAsia"/>
          <w:color w:val="auto"/>
          <w:kern w:val="21"/>
        </w:rPr>
        <w:t>（</w:t>
      </w:r>
      <w:r>
        <w:rPr>
          <w:color w:val="auto"/>
          <w:kern w:val="21"/>
        </w:rPr>
        <w:t>GB18483—2001</w:t>
      </w:r>
      <w:r>
        <w:rPr>
          <w:rFonts w:hint="eastAsia"/>
          <w:color w:val="auto"/>
          <w:kern w:val="21"/>
        </w:rPr>
        <w:t>）</w:t>
      </w:r>
      <w:r>
        <w:rPr>
          <w:color w:val="auto"/>
          <w:kern w:val="21"/>
        </w:rPr>
        <w:t>中规模为小型的饮食业单位的油烟最高允许排放浓度</w:t>
      </w:r>
      <w:r>
        <w:rPr>
          <w:color w:val="auto"/>
          <w:kern w:val="21"/>
          <w:lang w:bidi="ar"/>
        </w:rPr>
        <w:t>低于2mg/m</w:t>
      </w:r>
      <w:r>
        <w:rPr>
          <w:color w:val="auto"/>
          <w:kern w:val="21"/>
          <w:vertAlign w:val="superscript"/>
          <w:lang w:bidi="ar"/>
        </w:rPr>
        <w:t>3</w:t>
      </w:r>
      <w:r>
        <w:rPr>
          <w:color w:val="auto"/>
          <w:kern w:val="21"/>
          <w:lang w:bidi="ar"/>
        </w:rPr>
        <w:t>的要求。</w:t>
      </w:r>
    </w:p>
    <w:p>
      <w:pPr>
        <w:pStyle w:val="151"/>
        <w:spacing w:line="360" w:lineRule="auto"/>
        <w:ind w:firstLine="480" w:firstLineChars="200"/>
        <w:jc w:val="both"/>
        <w:rPr>
          <w:rFonts w:ascii="Times New Roman" w:hAnsi="Times New Roman" w:eastAsia="宋体" w:cs="Times New Roman"/>
          <w:color w:val="auto"/>
        </w:rPr>
      </w:pPr>
      <w:r>
        <w:rPr>
          <w:rFonts w:hint="eastAsia" w:ascii="Times New Roman" w:hAnsi="Times New Roman" w:eastAsia="宋体" w:cs="Times New Roman"/>
          <w:color w:val="auto"/>
        </w:rPr>
        <w:t>根据《排污许可证申请与核发技术规范 水处理</w:t>
      </w:r>
      <w:r>
        <w:rPr>
          <w:rFonts w:hint="eastAsia" w:ascii="Times New Roman" w:hAnsi="Times New Roman" w:eastAsia="宋体" w:cs="Times New Roman"/>
          <w:color w:val="auto"/>
          <w:lang w:eastAsia="zh-CN"/>
        </w:rPr>
        <w:t>（试行）</w:t>
      </w:r>
      <w:r>
        <w:rPr>
          <w:rFonts w:hint="eastAsia" w:ascii="Times New Roman" w:hAnsi="Times New Roman" w:eastAsia="宋体" w:cs="Times New Roman"/>
          <w:color w:val="auto"/>
        </w:rPr>
        <w:t>》（HJ</w:t>
      </w:r>
      <w:r>
        <w:rPr>
          <w:rFonts w:hint="eastAsia" w:ascii="Times New Roman" w:hAnsi="Times New Roman" w:eastAsia="宋体" w:cs="Times New Roman"/>
          <w:color w:val="auto"/>
          <w:lang w:val="en-US" w:eastAsia="zh-CN"/>
        </w:rPr>
        <w:t>978</w:t>
      </w:r>
      <w:r>
        <w:rPr>
          <w:rFonts w:hint="eastAsia" w:ascii="Times New Roman" w:hAnsi="Times New Roman" w:eastAsia="宋体" w:cs="Times New Roman"/>
          <w:color w:val="auto"/>
        </w:rPr>
        <w:t>—20</w:t>
      </w:r>
      <w:r>
        <w:rPr>
          <w:rFonts w:hint="eastAsia" w:ascii="Times New Roman" w:hAnsi="Times New Roman" w:eastAsia="宋体" w:cs="Times New Roman"/>
          <w:color w:val="auto"/>
          <w:lang w:val="en-US" w:eastAsia="zh-CN"/>
        </w:rPr>
        <w:t>18</w:t>
      </w:r>
      <w:r>
        <w:rPr>
          <w:rFonts w:hint="eastAsia" w:ascii="Times New Roman" w:hAnsi="Times New Roman" w:eastAsia="宋体" w:cs="Times New Roman"/>
          <w:color w:val="auto"/>
        </w:rPr>
        <w:t>）中相关规定，对生产工艺、大气污染物产生环节、污染物种类等进行识别，本项目废气排放口</w:t>
      </w:r>
      <w:r>
        <w:rPr>
          <w:rFonts w:hint="eastAsia" w:ascii="Times New Roman" w:hAnsi="Times New Roman" w:eastAsia="宋体" w:cs="Times New Roman"/>
          <w:color w:val="auto"/>
          <w:lang w:eastAsia="zh-CN"/>
        </w:rPr>
        <w:t>为一般排放口</w:t>
      </w:r>
      <w:r>
        <w:rPr>
          <w:rFonts w:hint="eastAsia" w:ascii="Times New Roman" w:hAnsi="Times New Roman" w:eastAsia="宋体" w:cs="Times New Roman"/>
          <w:color w:val="auto"/>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rPr>
      </w:pPr>
      <w:r>
        <w:rPr>
          <w:b/>
          <w:bCs/>
          <w:color w:val="auto"/>
        </w:rPr>
        <w:t>大气污染物有组织排放量核算表</w:t>
      </w:r>
    </w:p>
    <w:tbl>
      <w:tblPr>
        <w:tblStyle w:val="51"/>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913"/>
        <w:gridCol w:w="2350"/>
        <w:gridCol w:w="2187"/>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排放口编号</w:t>
            </w:r>
          </w:p>
        </w:tc>
        <w:tc>
          <w:tcPr>
            <w:tcW w:w="913"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w:t>
            </w:r>
          </w:p>
        </w:tc>
        <w:tc>
          <w:tcPr>
            <w:tcW w:w="2350"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核算排放浓度（mg/m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2187"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核算排放速率（kg/h）</w:t>
            </w:r>
          </w:p>
        </w:tc>
        <w:tc>
          <w:tcPr>
            <w:tcW w:w="1937"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5" w:type="dxa"/>
            <w:gridSpan w:val="5"/>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一般</w:t>
            </w:r>
            <w:r>
              <w:rPr>
                <w:rFonts w:hint="eastAsia" w:ascii="Times New Roman" w:hAnsi="Times New Roman" w:eastAsia="宋体" w:cs="Times New Roman"/>
                <w:color w:val="auto"/>
                <w:sz w:val="21"/>
                <w:szCs w:val="21"/>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328" w:type="dxa"/>
            <w:vMerge w:val="restart"/>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排气筒DA001</w:t>
            </w:r>
          </w:p>
        </w:tc>
        <w:tc>
          <w:tcPr>
            <w:tcW w:w="913"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2350" w:type="dxa"/>
            <w:vAlign w:val="center"/>
          </w:tcPr>
          <w:p>
            <w:pPr>
              <w:keepNext w:val="0"/>
              <w:keepLines w:val="0"/>
              <w:pageBreakBefore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12.89</w:t>
            </w:r>
          </w:p>
        </w:tc>
        <w:tc>
          <w:tcPr>
            <w:tcW w:w="2187" w:type="dxa"/>
            <w:vAlign w:val="center"/>
          </w:tcPr>
          <w:p>
            <w:pPr>
              <w:keepNext w:val="0"/>
              <w:keepLines w:val="0"/>
              <w:pageBreakBefore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0.0645</w:t>
            </w:r>
          </w:p>
        </w:tc>
        <w:tc>
          <w:tcPr>
            <w:tcW w:w="1937" w:type="dxa"/>
            <w:vAlign w:val="center"/>
          </w:tcPr>
          <w:p>
            <w:pPr>
              <w:keepNext w:val="0"/>
              <w:keepLines w:val="0"/>
              <w:pageBreakBefore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913"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2350" w:type="dxa"/>
            <w:vAlign w:val="center"/>
          </w:tcPr>
          <w:p>
            <w:pPr>
              <w:keepNext w:val="0"/>
              <w:keepLines w:val="0"/>
              <w:pageBreakBefore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0.025</w:t>
            </w:r>
          </w:p>
        </w:tc>
        <w:tc>
          <w:tcPr>
            <w:tcW w:w="2187" w:type="dxa"/>
            <w:vAlign w:val="center"/>
          </w:tcPr>
          <w:p>
            <w:pPr>
              <w:keepNext w:val="0"/>
              <w:keepLines w:val="0"/>
              <w:pageBreakBefore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0001</w:t>
            </w:r>
          </w:p>
        </w:tc>
        <w:tc>
          <w:tcPr>
            <w:tcW w:w="1937" w:type="dxa"/>
            <w:vAlign w:val="center"/>
          </w:tcPr>
          <w:p>
            <w:pPr>
              <w:keepNext w:val="0"/>
              <w:keepLines w:val="0"/>
              <w:pageBreakBefore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restart"/>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有组织排放合计</w:t>
            </w:r>
          </w:p>
        </w:tc>
        <w:tc>
          <w:tcPr>
            <w:tcW w:w="5450" w:type="dxa"/>
            <w:gridSpan w:val="3"/>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937" w:type="dxa"/>
            <w:vAlign w:val="center"/>
          </w:tcPr>
          <w:p>
            <w:pPr>
              <w:keepNext w:val="0"/>
              <w:keepLines w:val="0"/>
              <w:pageBreakBefore w:val="0"/>
              <w:kinsoku/>
              <w:wordWrap/>
              <w:overflowPunct/>
              <w:topLinePunct w:val="0"/>
              <w:bidi w:val="0"/>
              <w:snapToGrid/>
              <w:spacing w:line="240" w:lineRule="auto"/>
              <w:ind w:firstLine="0" w:firstLineChars="0"/>
              <w:jc w:val="center"/>
              <w:textAlignment w:val="auto"/>
              <w:rPr>
                <w:color w:val="auto"/>
                <w:sz w:val="21"/>
                <w:szCs w:val="21"/>
              </w:rPr>
            </w:pPr>
            <w:r>
              <w:rPr>
                <w:rFonts w:hint="eastAsia"/>
                <w:color w:val="auto"/>
                <w:sz w:val="21"/>
                <w:szCs w:val="21"/>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5450" w:type="dxa"/>
            <w:gridSpan w:val="3"/>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937" w:type="dxa"/>
            <w:vAlign w:val="center"/>
          </w:tcPr>
          <w:p>
            <w:pPr>
              <w:keepNext w:val="0"/>
              <w:keepLines w:val="0"/>
              <w:pageBreakBefore w:val="0"/>
              <w:kinsoku/>
              <w:wordWrap/>
              <w:overflowPunct/>
              <w:topLinePunct w:val="0"/>
              <w:bidi w:val="0"/>
              <w:snapToGrid/>
              <w:spacing w:line="240" w:lineRule="auto"/>
              <w:ind w:firstLine="0" w:firstLineChars="0"/>
              <w:jc w:val="center"/>
              <w:textAlignment w:val="auto"/>
              <w:rPr>
                <w:color w:val="auto"/>
                <w:sz w:val="21"/>
                <w:szCs w:val="21"/>
              </w:rPr>
            </w:pPr>
            <w:r>
              <w:rPr>
                <w:rFonts w:hint="eastAsia"/>
                <w:color w:val="auto"/>
                <w:sz w:val="21"/>
                <w:szCs w:val="21"/>
                <w:lang w:val="en-US" w:eastAsia="zh-CN"/>
              </w:rPr>
              <w:t>0.0011</w:t>
            </w:r>
          </w:p>
        </w:tc>
      </w:tr>
    </w:tbl>
    <w:p>
      <w:pPr>
        <w:pStyle w:val="23"/>
        <w:keepNext w:val="0"/>
        <w:keepLines w:val="0"/>
        <w:pageBreakBefore w:val="0"/>
        <w:widowControl w:val="0"/>
        <w:numPr>
          <w:ilvl w:val="0"/>
          <w:numId w:val="5"/>
        </w:numPr>
        <w:kinsoku/>
        <w:wordWrap/>
        <w:overflowPunct/>
        <w:topLinePunct w:val="0"/>
        <w:autoSpaceDE/>
        <w:autoSpaceDN/>
        <w:bidi w:val="0"/>
        <w:adjustRightInd/>
        <w:snapToGrid/>
        <w:spacing w:before="0" w:beforeLines="50" w:after="0" w:line="360" w:lineRule="auto"/>
        <w:ind w:left="0" w:leftChars="0" w:firstLine="0" w:firstLineChars="0"/>
        <w:jc w:val="center"/>
        <w:textAlignment w:val="auto"/>
        <w:rPr>
          <w:b/>
          <w:bCs/>
          <w:color w:val="auto"/>
        </w:rPr>
      </w:pPr>
      <w:r>
        <w:rPr>
          <w:b/>
          <w:bCs/>
          <w:color w:val="auto"/>
        </w:rPr>
        <w:t>大气污染物</w:t>
      </w:r>
      <w:r>
        <w:rPr>
          <w:rFonts w:hint="eastAsia"/>
          <w:b/>
          <w:bCs/>
          <w:color w:val="auto"/>
        </w:rPr>
        <w:t>无</w:t>
      </w:r>
      <w:r>
        <w:rPr>
          <w:b/>
          <w:bCs/>
          <w:color w:val="auto"/>
        </w:rPr>
        <w:t>组织排放量核算表</w:t>
      </w:r>
    </w:p>
    <w:tbl>
      <w:tblPr>
        <w:tblStyle w:val="51"/>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739"/>
        <w:gridCol w:w="756"/>
        <w:gridCol w:w="1241"/>
        <w:gridCol w:w="1511"/>
        <w:gridCol w:w="2413"/>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restart"/>
            <w:vAlign w:val="center"/>
          </w:tcPr>
          <w:p>
            <w:pPr>
              <w:pStyle w:val="151"/>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排放口编号</w:t>
            </w:r>
          </w:p>
        </w:tc>
        <w:tc>
          <w:tcPr>
            <w:tcW w:w="739" w:type="dxa"/>
            <w:vMerge w:val="restart"/>
            <w:vAlign w:val="center"/>
          </w:tcPr>
          <w:p>
            <w:pPr>
              <w:pStyle w:val="151"/>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产污环节</w:t>
            </w:r>
          </w:p>
        </w:tc>
        <w:tc>
          <w:tcPr>
            <w:tcW w:w="756" w:type="dxa"/>
            <w:vMerge w:val="restart"/>
            <w:vAlign w:val="center"/>
          </w:tcPr>
          <w:p>
            <w:pPr>
              <w:pStyle w:val="151"/>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w:t>
            </w:r>
          </w:p>
        </w:tc>
        <w:tc>
          <w:tcPr>
            <w:tcW w:w="1241" w:type="dxa"/>
            <w:vMerge w:val="restart"/>
            <w:vAlign w:val="center"/>
          </w:tcPr>
          <w:p>
            <w:pPr>
              <w:pStyle w:val="151"/>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主要污染防治措施</w:t>
            </w:r>
          </w:p>
        </w:tc>
        <w:tc>
          <w:tcPr>
            <w:tcW w:w="3924" w:type="dxa"/>
            <w:gridSpan w:val="2"/>
            <w:vAlign w:val="center"/>
          </w:tcPr>
          <w:p>
            <w:pPr>
              <w:pStyle w:val="151"/>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国家或地方污染物排放标准</w:t>
            </w:r>
          </w:p>
        </w:tc>
        <w:tc>
          <w:tcPr>
            <w:tcW w:w="1070" w:type="dxa"/>
            <w:vMerge w:val="restart"/>
            <w:vAlign w:val="center"/>
          </w:tcPr>
          <w:p>
            <w:pPr>
              <w:pStyle w:val="151"/>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continue"/>
            <w:vAlign w:val="center"/>
          </w:tcPr>
          <w:p>
            <w:pPr>
              <w:pStyle w:val="151"/>
              <w:jc w:val="center"/>
              <w:rPr>
                <w:rFonts w:ascii="Times New Roman" w:hAnsi="Times New Roman" w:eastAsia="宋体" w:cs="Times New Roman"/>
                <w:color w:val="auto"/>
                <w:sz w:val="21"/>
                <w:szCs w:val="21"/>
              </w:rPr>
            </w:pPr>
          </w:p>
        </w:tc>
        <w:tc>
          <w:tcPr>
            <w:tcW w:w="739" w:type="dxa"/>
            <w:vMerge w:val="continue"/>
            <w:vAlign w:val="center"/>
          </w:tcPr>
          <w:p>
            <w:pPr>
              <w:pStyle w:val="151"/>
              <w:jc w:val="center"/>
              <w:rPr>
                <w:rFonts w:ascii="Times New Roman" w:hAnsi="Times New Roman" w:eastAsia="宋体" w:cs="Times New Roman"/>
                <w:color w:val="auto"/>
                <w:sz w:val="21"/>
                <w:szCs w:val="21"/>
              </w:rPr>
            </w:pPr>
          </w:p>
        </w:tc>
        <w:tc>
          <w:tcPr>
            <w:tcW w:w="756" w:type="dxa"/>
            <w:vMerge w:val="continue"/>
            <w:vAlign w:val="center"/>
          </w:tcPr>
          <w:p>
            <w:pPr>
              <w:pStyle w:val="151"/>
              <w:jc w:val="center"/>
              <w:rPr>
                <w:rFonts w:ascii="Times New Roman" w:hAnsi="Times New Roman" w:eastAsia="宋体" w:cs="Times New Roman"/>
                <w:color w:val="auto"/>
                <w:sz w:val="21"/>
                <w:szCs w:val="21"/>
              </w:rPr>
            </w:pPr>
          </w:p>
        </w:tc>
        <w:tc>
          <w:tcPr>
            <w:tcW w:w="1241" w:type="dxa"/>
            <w:vMerge w:val="continue"/>
            <w:vAlign w:val="center"/>
          </w:tcPr>
          <w:p>
            <w:pPr>
              <w:pStyle w:val="151"/>
              <w:jc w:val="center"/>
              <w:rPr>
                <w:rFonts w:ascii="Times New Roman" w:hAnsi="Times New Roman" w:eastAsia="宋体" w:cs="Times New Roman"/>
                <w:color w:val="auto"/>
                <w:sz w:val="21"/>
                <w:szCs w:val="21"/>
              </w:rPr>
            </w:pPr>
          </w:p>
        </w:tc>
        <w:tc>
          <w:tcPr>
            <w:tcW w:w="1511" w:type="dxa"/>
            <w:vAlign w:val="center"/>
          </w:tcPr>
          <w:p>
            <w:pPr>
              <w:pStyle w:val="151"/>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标准名称</w:t>
            </w:r>
          </w:p>
        </w:tc>
        <w:tc>
          <w:tcPr>
            <w:tcW w:w="2413" w:type="dxa"/>
            <w:vAlign w:val="center"/>
          </w:tcPr>
          <w:p>
            <w:pPr>
              <w:pStyle w:val="151"/>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厂界</w:t>
            </w:r>
            <w:r>
              <w:rPr>
                <w:rFonts w:hint="eastAsia" w:ascii="Times New Roman" w:hAnsi="Times New Roman" w:eastAsia="宋体" w:cs="Times New Roman"/>
                <w:color w:val="auto"/>
                <w:sz w:val="21"/>
                <w:szCs w:val="21"/>
              </w:rPr>
              <w:t>浓度限值（ug/m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w:t>
            </w:r>
          </w:p>
        </w:tc>
        <w:tc>
          <w:tcPr>
            <w:tcW w:w="1070" w:type="dxa"/>
            <w:vMerge w:val="continue"/>
            <w:vAlign w:val="center"/>
          </w:tcPr>
          <w:p>
            <w:pPr>
              <w:pStyle w:val="151"/>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sz w:val="21"/>
                <w:szCs w:val="21"/>
              </w:rPr>
            </w:pPr>
            <w:r>
              <w:rPr>
                <w:rFonts w:hint="eastAsia" w:eastAsia="宋体"/>
                <w:color w:val="auto"/>
                <w:sz w:val="18"/>
                <w:szCs w:val="18"/>
                <w:lang w:eastAsia="zh-CN"/>
              </w:rPr>
              <w:t>粗格栅及进水泵房</w:t>
            </w:r>
          </w:p>
        </w:tc>
        <w:tc>
          <w:tcPr>
            <w:tcW w:w="739" w:type="dxa"/>
            <w:vMerge w:val="restart"/>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污水处理过程</w:t>
            </w: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241" w:type="dxa"/>
            <w:vMerge w:val="restart"/>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加盖密闭后通过引风机（风量</w:t>
            </w:r>
            <w:r>
              <w:rPr>
                <w:rFonts w:hint="default" w:ascii="Times New Roman" w:hAnsi="Times New Roman" w:eastAsia="宋体" w:cs="Times New Roman"/>
                <w:color w:val="auto"/>
                <w:sz w:val="21"/>
                <w:szCs w:val="21"/>
                <w:lang w:val="en-US" w:eastAsia="zh-CN"/>
              </w:rPr>
              <w:t>5000m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r>
              <w:rPr>
                <w:rFonts w:hint="default" w:ascii="Times New Roman" w:hAnsi="Times New Roman" w:eastAsia="宋体" w:cs="Times New Roman"/>
                <w:color w:val="auto"/>
                <w:sz w:val="21"/>
                <w:szCs w:val="21"/>
                <w:lang w:eastAsia="zh-CN"/>
              </w:rPr>
              <w:t>）将废气收集（收集效率</w:t>
            </w:r>
            <w:r>
              <w:rPr>
                <w:rFonts w:hint="default" w:ascii="Times New Roman" w:hAnsi="Times New Roman" w:eastAsia="宋体" w:cs="Times New Roman"/>
                <w:color w:val="auto"/>
                <w:sz w:val="21"/>
                <w:szCs w:val="21"/>
                <w:lang w:val="en-US" w:eastAsia="zh-CN"/>
              </w:rPr>
              <w:t>85%</w:t>
            </w:r>
            <w:r>
              <w:rPr>
                <w:rFonts w:hint="default" w:ascii="Times New Roman" w:hAnsi="Times New Roman" w:eastAsia="宋体" w:cs="Times New Roman"/>
                <w:color w:val="auto"/>
                <w:sz w:val="21"/>
                <w:szCs w:val="21"/>
                <w:lang w:eastAsia="zh-CN"/>
              </w:rPr>
              <w:t>）至活性炭吸附塔治理</w:t>
            </w:r>
            <w:r>
              <w:rPr>
                <w:rFonts w:hint="eastAsia" w:ascii="Times New Roman" w:eastAsia="宋体" w:cs="Times New Roman"/>
                <w:color w:val="auto"/>
                <w:sz w:val="21"/>
                <w:szCs w:val="21"/>
                <w:lang w:eastAsia="zh-CN"/>
              </w:rPr>
              <w:t>，剩余</w:t>
            </w:r>
            <w:r>
              <w:rPr>
                <w:rFonts w:hint="eastAsia" w:ascii="Times New Roman" w:eastAsia="宋体" w:cs="Times New Roman"/>
                <w:color w:val="auto"/>
                <w:sz w:val="21"/>
                <w:szCs w:val="21"/>
                <w:lang w:val="en-US" w:eastAsia="zh-CN"/>
              </w:rPr>
              <w:t>15%的废气无组织排放</w:t>
            </w:r>
          </w:p>
        </w:tc>
        <w:tc>
          <w:tcPr>
            <w:tcW w:w="1511" w:type="dxa"/>
            <w:vMerge w:val="restart"/>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《城镇污水处理厂污染物排放标准》（GB18918-2002）及其修改单表4中二级标准</w:t>
            </w: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sz w:val="21"/>
                <w:szCs w:val="21"/>
              </w:rPr>
            </w:pPr>
            <w:r>
              <w:rPr>
                <w:rFonts w:hint="eastAsia" w:eastAsia="宋体"/>
                <w:color w:val="auto"/>
                <w:sz w:val="18"/>
                <w:szCs w:val="18"/>
                <w:lang w:eastAsia="zh-CN"/>
              </w:rPr>
              <w:t>细格栅及调节池</w:t>
            </w: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1500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sz w:val="21"/>
                <w:szCs w:val="21"/>
              </w:rPr>
            </w:pP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eastAsia="宋体"/>
                <w:color w:val="auto"/>
                <w:sz w:val="18"/>
                <w:szCs w:val="18"/>
                <w:lang w:eastAsia="zh-CN"/>
              </w:rPr>
              <w:t>混凝沉淀池</w:t>
            </w: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1500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eastAsia="宋体"/>
                <w:color w:val="auto"/>
                <w:sz w:val="18"/>
                <w:szCs w:val="18"/>
                <w:lang w:eastAsia="zh-CN"/>
              </w:rPr>
              <w:t>水解酸化池</w:t>
            </w: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1500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eastAsia="宋体"/>
                <w:color w:val="auto"/>
                <w:sz w:val="18"/>
                <w:szCs w:val="18"/>
                <w:lang w:eastAsia="zh-CN"/>
              </w:rPr>
              <w:t>污泥脱水车间</w:t>
            </w: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1500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18"/>
                <w:szCs w:val="18"/>
                <w:lang w:eastAsia="zh-CN"/>
              </w:rPr>
              <w:t>污泥浓缩池</w:t>
            </w: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1500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i w:val="0"/>
                <w:iCs/>
                <w:color w:val="auto"/>
                <w:kern w:val="21"/>
                <w:sz w:val="18"/>
                <w:szCs w:val="18"/>
              </w:rPr>
              <w:t>A</w:t>
            </w:r>
            <w:r>
              <w:rPr>
                <w:rFonts w:hint="eastAsia"/>
                <w:i w:val="0"/>
                <w:iCs/>
                <w:color w:val="auto"/>
                <w:kern w:val="21"/>
                <w:sz w:val="18"/>
                <w:szCs w:val="18"/>
                <w:vertAlign w:val="superscript"/>
              </w:rPr>
              <w:t>2</w:t>
            </w:r>
            <w:r>
              <w:rPr>
                <w:rFonts w:hint="eastAsia"/>
                <w:color w:val="auto"/>
                <w:sz w:val="18"/>
                <w:szCs w:val="18"/>
              </w:rPr>
              <w:t>/O生化池</w:t>
            </w: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1500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18"/>
                <w:szCs w:val="18"/>
              </w:rPr>
              <w:t>MBR膜池</w:t>
            </w: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1500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6" w:type="dxa"/>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39"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756" w:type="dxa"/>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24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511" w:type="dxa"/>
            <w:vMerge w:val="continue"/>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413"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1070" w:type="dxa"/>
            <w:vAlign w:val="center"/>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856" w:type="dxa"/>
            <w:gridSpan w:val="7"/>
            <w:vAlign w:val="center"/>
          </w:tcPr>
          <w:p>
            <w:pPr>
              <w:pStyle w:val="151"/>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62" w:type="dxa"/>
            <w:gridSpan w:val="4"/>
            <w:vMerge w:val="restart"/>
            <w:vAlign w:val="center"/>
          </w:tcPr>
          <w:p>
            <w:pPr>
              <w:pStyle w:val="151"/>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无组织排放总计</w:t>
            </w:r>
          </w:p>
        </w:tc>
        <w:tc>
          <w:tcPr>
            <w:tcW w:w="3924" w:type="dxa"/>
            <w:gridSpan w:val="2"/>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070" w:type="dxa"/>
            <w:vAlign w:val="bottom"/>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62" w:type="dxa"/>
            <w:gridSpan w:val="4"/>
            <w:vMerge w:val="continue"/>
            <w:vAlign w:val="center"/>
          </w:tcPr>
          <w:p>
            <w:pPr>
              <w:pStyle w:val="151"/>
              <w:jc w:val="center"/>
              <w:rPr>
                <w:rFonts w:ascii="Times New Roman" w:hAnsi="Times New Roman" w:eastAsia="宋体" w:cs="Times New Roman"/>
                <w:color w:val="auto"/>
                <w:sz w:val="21"/>
                <w:szCs w:val="21"/>
              </w:rPr>
            </w:pPr>
          </w:p>
        </w:tc>
        <w:tc>
          <w:tcPr>
            <w:tcW w:w="3924" w:type="dxa"/>
            <w:gridSpan w:val="2"/>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070" w:type="dxa"/>
            <w:vAlign w:val="bottom"/>
          </w:tcPr>
          <w:p>
            <w:pPr>
              <w:pStyle w:val="15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0.001355</w:t>
            </w:r>
          </w:p>
        </w:tc>
      </w:tr>
    </w:tbl>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rPr>
      </w:pPr>
      <w:r>
        <w:rPr>
          <w:rFonts w:hint="eastAsia"/>
          <w:b/>
          <w:bCs/>
          <w:color w:val="auto"/>
        </w:rPr>
        <w:t>项目大气污染物年排放量核算表</w:t>
      </w:r>
    </w:p>
    <w:tbl>
      <w:tblPr>
        <w:tblStyle w:val="51"/>
        <w:tblW w:w="4102" w:type="pct"/>
        <w:jc w:val="center"/>
        <w:tblLayout w:type="autofit"/>
        <w:tblCellMar>
          <w:top w:w="0" w:type="dxa"/>
          <w:left w:w="108" w:type="dxa"/>
          <w:bottom w:w="0" w:type="dxa"/>
          <w:right w:w="108" w:type="dxa"/>
        </w:tblCellMar>
      </w:tblPr>
      <w:tblGrid>
        <w:gridCol w:w="1041"/>
        <w:gridCol w:w="2419"/>
        <w:gridCol w:w="3530"/>
      </w:tblGrid>
      <w:tr>
        <w:tblPrEx>
          <w:tblCellMar>
            <w:top w:w="0" w:type="dxa"/>
            <w:left w:w="108" w:type="dxa"/>
            <w:bottom w:w="0" w:type="dxa"/>
            <w:right w:w="108" w:type="dxa"/>
          </w:tblCellMar>
        </w:tblPrEx>
        <w:trPr>
          <w:trHeight w:val="284" w:hRule="atLeast"/>
          <w:jc w:val="center"/>
        </w:trPr>
        <w:tc>
          <w:tcPr>
            <w:tcW w:w="74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color w:val="auto"/>
                <w:kern w:val="0"/>
                <w:sz w:val="21"/>
                <w:szCs w:val="21"/>
              </w:rPr>
            </w:pPr>
            <w:r>
              <w:rPr>
                <w:color w:val="auto"/>
                <w:kern w:val="0"/>
                <w:sz w:val="21"/>
                <w:szCs w:val="21"/>
              </w:rPr>
              <w:t>序号</w:t>
            </w:r>
          </w:p>
        </w:tc>
        <w:tc>
          <w:tcPr>
            <w:tcW w:w="172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color w:val="auto"/>
                <w:kern w:val="0"/>
                <w:sz w:val="21"/>
                <w:szCs w:val="21"/>
              </w:rPr>
            </w:pPr>
            <w:r>
              <w:rPr>
                <w:color w:val="auto"/>
                <w:kern w:val="0"/>
                <w:sz w:val="21"/>
                <w:szCs w:val="21"/>
              </w:rPr>
              <w:t>污染物</w:t>
            </w:r>
          </w:p>
        </w:tc>
        <w:tc>
          <w:tcPr>
            <w:tcW w:w="2526"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color w:val="auto"/>
                <w:kern w:val="0"/>
                <w:sz w:val="21"/>
                <w:szCs w:val="21"/>
              </w:rPr>
            </w:pPr>
            <w:r>
              <w:rPr>
                <w:color w:val="auto"/>
                <w:kern w:val="0"/>
                <w:sz w:val="21"/>
                <w:szCs w:val="21"/>
              </w:rPr>
              <w:t>核算年排放量（t/a）</w:t>
            </w:r>
          </w:p>
        </w:tc>
      </w:tr>
      <w:tr>
        <w:tblPrEx>
          <w:tblCellMar>
            <w:top w:w="0" w:type="dxa"/>
            <w:left w:w="108" w:type="dxa"/>
            <w:bottom w:w="0" w:type="dxa"/>
            <w:right w:w="108" w:type="dxa"/>
          </w:tblCellMar>
        </w:tblPrEx>
        <w:trPr>
          <w:trHeight w:val="284" w:hRule="atLeast"/>
          <w:jc w:val="center"/>
        </w:trPr>
        <w:tc>
          <w:tcPr>
            <w:tcW w:w="745" w:type="pct"/>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color w:val="auto"/>
                <w:kern w:val="0"/>
                <w:sz w:val="21"/>
                <w:szCs w:val="21"/>
              </w:rPr>
            </w:pPr>
            <w:r>
              <w:rPr>
                <w:color w:val="auto"/>
                <w:kern w:val="0"/>
                <w:sz w:val="21"/>
                <w:szCs w:val="21"/>
              </w:rPr>
              <w:t>1</w:t>
            </w:r>
          </w:p>
        </w:tc>
        <w:tc>
          <w:tcPr>
            <w:tcW w:w="2419" w:type="dxa"/>
            <w:tcBorders>
              <w:top w:val="nil"/>
              <w:left w:val="nil"/>
              <w:bottom w:val="single" w:color="auto" w:sz="4" w:space="0"/>
              <w:right w:val="single" w:color="auto" w:sz="4" w:space="0"/>
            </w:tcBorders>
            <w:noWrap/>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2526" w:type="pct"/>
            <w:tcBorders>
              <w:top w:val="nil"/>
              <w:left w:val="nil"/>
              <w:bottom w:val="single" w:color="auto" w:sz="4" w:space="0"/>
              <w:right w:val="single" w:color="auto" w:sz="4" w:space="0"/>
            </w:tcBorders>
            <w:noWrap/>
            <w:vAlign w:val="center"/>
          </w:tcPr>
          <w:p>
            <w:pPr>
              <w:keepNext w:val="0"/>
              <w:keepLines w:val="0"/>
              <w:pageBreakBefore w:val="0"/>
              <w:kinsoku/>
              <w:wordWrap/>
              <w:overflowPunct/>
              <w:topLinePunct w:val="0"/>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0.825</w:t>
            </w:r>
          </w:p>
        </w:tc>
      </w:tr>
      <w:tr>
        <w:tblPrEx>
          <w:tblCellMar>
            <w:top w:w="0" w:type="dxa"/>
            <w:left w:w="108" w:type="dxa"/>
            <w:bottom w:w="0" w:type="dxa"/>
            <w:right w:w="108" w:type="dxa"/>
          </w:tblCellMar>
        </w:tblPrEx>
        <w:trPr>
          <w:trHeight w:val="284" w:hRule="atLeast"/>
          <w:jc w:val="center"/>
        </w:trPr>
        <w:tc>
          <w:tcPr>
            <w:tcW w:w="745" w:type="pct"/>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color w:val="auto"/>
                <w:kern w:val="0"/>
                <w:sz w:val="21"/>
                <w:szCs w:val="21"/>
              </w:rPr>
            </w:pPr>
            <w:r>
              <w:rPr>
                <w:rFonts w:hint="eastAsia"/>
                <w:color w:val="auto"/>
                <w:kern w:val="0"/>
                <w:sz w:val="21"/>
                <w:szCs w:val="21"/>
              </w:rPr>
              <w:t>2</w:t>
            </w:r>
          </w:p>
        </w:tc>
        <w:tc>
          <w:tcPr>
            <w:tcW w:w="2419" w:type="dxa"/>
            <w:tcBorders>
              <w:top w:val="nil"/>
              <w:left w:val="nil"/>
              <w:bottom w:val="single" w:color="auto" w:sz="4" w:space="0"/>
              <w:right w:val="single" w:color="auto" w:sz="4" w:space="0"/>
            </w:tcBorders>
            <w:noWrap/>
            <w:vAlign w:val="center"/>
          </w:tcPr>
          <w:p>
            <w:pPr>
              <w:pStyle w:val="151"/>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2526" w:type="pct"/>
            <w:tcBorders>
              <w:top w:val="nil"/>
              <w:left w:val="nil"/>
              <w:bottom w:val="single" w:color="auto" w:sz="4" w:space="0"/>
              <w:right w:val="single" w:color="auto" w:sz="4" w:space="0"/>
            </w:tcBorders>
            <w:noWrap/>
            <w:vAlign w:val="center"/>
          </w:tcPr>
          <w:p>
            <w:pPr>
              <w:keepNext w:val="0"/>
              <w:keepLines w:val="0"/>
              <w:pageBreakBefore w:val="0"/>
              <w:kinsoku/>
              <w:wordWrap/>
              <w:overflowPunct/>
              <w:topLinePunct w:val="0"/>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0.002455</w:t>
            </w:r>
          </w:p>
        </w:tc>
      </w:tr>
    </w:tbl>
    <w:p>
      <w:pPr>
        <w:pStyle w:val="8"/>
        <w:keepNext/>
        <w:keepLines/>
        <w:pageBreakBefore w:val="0"/>
        <w:widowControl w:val="0"/>
        <w:kinsoku/>
        <w:wordWrap/>
        <w:overflowPunct/>
        <w:topLinePunct w:val="0"/>
        <w:autoSpaceDE/>
        <w:autoSpaceDN/>
        <w:bidi w:val="0"/>
        <w:adjustRightInd/>
        <w:snapToGrid/>
        <w:spacing w:before="0" w:beforeLines="50" w:after="0" w:line="360" w:lineRule="auto"/>
        <w:ind w:firstLine="0" w:firstLineChars="0"/>
        <w:textAlignment w:val="auto"/>
        <w:rPr>
          <w:rFonts w:ascii="Times New Roman" w:hAnsi="Times New Roman" w:eastAsia="宋体"/>
          <w:color w:val="auto"/>
          <w:kern w:val="21"/>
          <w:sz w:val="24"/>
          <w:szCs w:val="24"/>
        </w:rPr>
      </w:pPr>
      <w:bookmarkStart w:id="97" w:name="_Toc228855624"/>
      <w:bookmarkStart w:id="98" w:name="_Toc228694420"/>
      <w:bookmarkStart w:id="99" w:name="_Toc228612810"/>
      <w:bookmarkStart w:id="100" w:name="_Toc211853612"/>
      <w:bookmarkStart w:id="101" w:name="_Toc217712041"/>
      <w:bookmarkStart w:id="102" w:name="_Toc228609334"/>
      <w:bookmarkStart w:id="103" w:name="_Toc228616226"/>
      <w:bookmarkStart w:id="104" w:name="_Toc246933102"/>
      <w:r>
        <w:rPr>
          <w:rFonts w:ascii="Times New Roman" w:hAnsi="Times New Roman" w:eastAsia="宋体"/>
          <w:color w:val="auto"/>
          <w:kern w:val="21"/>
          <w:sz w:val="24"/>
          <w:szCs w:val="24"/>
        </w:rPr>
        <w:t>3.</w:t>
      </w:r>
      <w:r>
        <w:rPr>
          <w:rFonts w:hint="eastAsia" w:ascii="Times New Roman" w:hAnsi="Times New Roman" w:eastAsia="宋体"/>
          <w:color w:val="auto"/>
          <w:kern w:val="21"/>
          <w:sz w:val="24"/>
          <w:szCs w:val="24"/>
          <w:lang w:val="en-US" w:eastAsia="zh-CN"/>
        </w:rPr>
        <w:t>2</w:t>
      </w:r>
      <w:r>
        <w:rPr>
          <w:rFonts w:ascii="Times New Roman" w:hAnsi="Times New Roman" w:eastAsia="宋体"/>
          <w:color w:val="auto"/>
          <w:kern w:val="21"/>
          <w:sz w:val="24"/>
          <w:szCs w:val="24"/>
        </w:rPr>
        <w:t>.2.</w:t>
      </w:r>
      <w:r>
        <w:rPr>
          <w:rFonts w:hint="eastAsia" w:ascii="Times New Roman" w:hAnsi="Times New Roman" w:eastAsia="宋体"/>
          <w:color w:val="auto"/>
          <w:kern w:val="21"/>
          <w:sz w:val="24"/>
          <w:szCs w:val="24"/>
        </w:rPr>
        <w:t>3</w:t>
      </w:r>
      <w:r>
        <w:rPr>
          <w:rFonts w:ascii="Times New Roman" w:hAnsi="Times New Roman" w:eastAsia="宋体"/>
          <w:color w:val="auto"/>
          <w:kern w:val="21"/>
          <w:sz w:val="24"/>
          <w:szCs w:val="24"/>
        </w:rPr>
        <w:t>水污染</w:t>
      </w:r>
      <w:r>
        <w:rPr>
          <w:rFonts w:hint="eastAsia" w:ascii="Times New Roman" w:hAnsi="Times New Roman" w:eastAsia="宋体"/>
          <w:color w:val="auto"/>
          <w:kern w:val="21"/>
          <w:sz w:val="24"/>
          <w:szCs w:val="24"/>
          <w:lang w:eastAsia="zh-CN"/>
        </w:rPr>
        <w:t>物</w:t>
      </w:r>
      <w:r>
        <w:rPr>
          <w:rFonts w:ascii="Times New Roman" w:hAnsi="Times New Roman" w:eastAsia="宋体"/>
          <w:color w:val="auto"/>
          <w:kern w:val="21"/>
          <w:sz w:val="24"/>
          <w:szCs w:val="24"/>
        </w:rPr>
        <w:t>源</w:t>
      </w:r>
      <w:r>
        <w:rPr>
          <w:rFonts w:hint="eastAsia" w:ascii="Times New Roman" w:hAnsi="Times New Roman" w:eastAsia="宋体"/>
          <w:color w:val="auto"/>
          <w:kern w:val="21"/>
          <w:sz w:val="24"/>
          <w:szCs w:val="24"/>
        </w:rPr>
        <w:t>强</w:t>
      </w:r>
    </w:p>
    <w:p>
      <w:pPr>
        <w:widowControl/>
        <w:ind w:firstLine="482"/>
        <w:jc w:val="left"/>
        <w:rPr>
          <w:rFonts w:hint="eastAsia" w:eastAsia="宋体"/>
          <w:b/>
          <w:color w:val="auto"/>
          <w:kern w:val="21"/>
          <w:lang w:val="en-US" w:eastAsia="zh-CN" w:bidi="ar"/>
        </w:rPr>
      </w:pPr>
      <w:r>
        <w:rPr>
          <w:rFonts w:hint="eastAsia"/>
          <w:b/>
          <w:color w:val="auto"/>
          <w:kern w:val="21"/>
          <w:lang w:val="en-US" w:eastAsia="zh-CN" w:bidi="ar"/>
        </w:rPr>
        <w:t>1、废水来源及污染物组成</w:t>
      </w:r>
    </w:p>
    <w:p>
      <w:pPr>
        <w:widowControl/>
        <w:ind w:firstLine="482"/>
        <w:jc w:val="left"/>
        <w:rPr>
          <w:rFonts w:hint="default" w:eastAsia="宋体"/>
          <w:b w:val="0"/>
          <w:bCs/>
          <w:color w:val="auto"/>
          <w:kern w:val="21"/>
          <w:lang w:val="en-US" w:eastAsia="zh-CN" w:bidi="ar"/>
        </w:rPr>
      </w:pPr>
      <w:r>
        <w:rPr>
          <w:rFonts w:hint="eastAsia"/>
          <w:b w:val="0"/>
          <w:bCs/>
          <w:color w:val="auto"/>
          <w:kern w:val="21"/>
          <w:lang w:eastAsia="zh-CN" w:bidi="ar"/>
        </w:rPr>
        <w:t>本项目处理的废水分为两大类，一类为富民片区服务的</w:t>
      </w:r>
      <w:r>
        <w:rPr>
          <w:rFonts w:hint="eastAsia"/>
          <w:b w:val="0"/>
          <w:bCs/>
          <w:color w:val="auto"/>
          <w:kern w:val="21"/>
          <w:lang w:val="en-US" w:eastAsia="zh-CN" w:bidi="ar"/>
        </w:rPr>
        <w:t>5家企业产生的工业废水，另一类为项目自身运营过程中产生的废水。</w:t>
      </w:r>
    </w:p>
    <w:p>
      <w:pPr>
        <w:widowControl/>
        <w:ind w:firstLine="482"/>
        <w:jc w:val="left"/>
        <w:rPr>
          <w:rFonts w:hint="default" w:eastAsia="宋体"/>
          <w:b/>
          <w:color w:val="auto"/>
          <w:kern w:val="21"/>
          <w:lang w:val="en-US" w:eastAsia="zh-CN" w:bidi="ar"/>
        </w:rPr>
      </w:pPr>
      <w:r>
        <w:rPr>
          <w:rFonts w:hint="eastAsia"/>
          <w:b/>
          <w:color w:val="auto"/>
          <w:kern w:val="21"/>
          <w:lang w:eastAsia="zh-CN" w:bidi="ar"/>
        </w:rPr>
        <w:t>（</w:t>
      </w:r>
      <w:r>
        <w:rPr>
          <w:rFonts w:hint="eastAsia"/>
          <w:b/>
          <w:color w:val="auto"/>
          <w:kern w:val="21"/>
          <w:lang w:val="en-US" w:eastAsia="zh-CN" w:bidi="ar"/>
        </w:rPr>
        <w:t>1</w:t>
      </w:r>
      <w:r>
        <w:rPr>
          <w:rFonts w:hint="eastAsia"/>
          <w:b/>
          <w:color w:val="auto"/>
          <w:kern w:val="21"/>
          <w:lang w:eastAsia="zh-CN" w:bidi="ar"/>
        </w:rPr>
        <w:t>）</w:t>
      </w:r>
      <w:r>
        <w:rPr>
          <w:rFonts w:hint="eastAsia"/>
          <w:b/>
          <w:color w:val="auto"/>
          <w:kern w:val="21"/>
          <w:lang w:val="en-US" w:eastAsia="zh-CN" w:bidi="ar"/>
        </w:rPr>
        <w:t>5家企业产生的工业废水排放情况</w:t>
      </w:r>
    </w:p>
    <w:p>
      <w:pPr>
        <w:widowControl/>
        <w:ind w:firstLine="482"/>
        <w:jc w:val="left"/>
        <w:rPr>
          <w:rFonts w:hint="eastAsia"/>
          <w:b w:val="0"/>
          <w:bCs/>
          <w:color w:val="auto"/>
          <w:kern w:val="21"/>
          <w:lang w:val="en-US" w:eastAsia="zh-CN" w:bidi="ar"/>
        </w:rPr>
      </w:pPr>
      <w:r>
        <w:rPr>
          <w:rFonts w:hint="eastAsia"/>
          <w:b w:val="0"/>
          <w:bCs/>
          <w:color w:val="auto"/>
          <w:kern w:val="21"/>
          <w:lang w:eastAsia="zh-CN" w:bidi="ar"/>
        </w:rPr>
        <w:t>本项目服务的</w:t>
      </w:r>
      <w:r>
        <w:rPr>
          <w:rFonts w:hint="eastAsia"/>
          <w:b w:val="0"/>
          <w:bCs/>
          <w:color w:val="auto"/>
          <w:kern w:val="21"/>
          <w:lang w:val="en-US" w:eastAsia="zh-CN" w:bidi="ar"/>
        </w:rPr>
        <w:t>5家企业为</w:t>
      </w:r>
      <w:r>
        <w:rPr>
          <w:rFonts w:hint="eastAsia"/>
          <w:color w:val="auto"/>
          <w:kern w:val="21"/>
          <w:lang w:val="en-US" w:eastAsia="zh-CN"/>
        </w:rPr>
        <w:t>“晶科能源（楚雄）有限公司年产20吉瓦高效太阳能电池片生产线建设项目（一期）”（晶科能源（楚雄）有限公司）、“宇泽半导体（云南）有限公司年产5GW单晶硅拉棒及3GW切片项目、年产5GW单晶硅拉棒及2GW切片项目”（宇泽半导体（云南）有限公司）、“云南麻叶生物科技有限公司工业大麻加工建设项目”（云南麻叶生物科技有限公司）、“云南赛维汉普500吨花叶加工提取大麻二酚项目”（</w:t>
      </w:r>
      <w:r>
        <w:rPr>
          <w:rFonts w:hint="default"/>
          <w:color w:val="auto"/>
          <w:kern w:val="21"/>
          <w:lang w:val="en-US" w:eastAsia="zh-CN"/>
        </w:rPr>
        <w:fldChar w:fldCharType="begin"/>
      </w:r>
      <w:r>
        <w:rPr>
          <w:rFonts w:hint="default"/>
          <w:color w:val="auto"/>
          <w:kern w:val="21"/>
          <w:lang w:val="en-US" w:eastAsia="zh-CN"/>
        </w:rPr>
        <w:instrText xml:space="preserve"> HYPERLINK "https://www.so.com/link?m=bJ+82hqSEXCnhUK88ehDzCBf+qUH2pCFNFcsnc3fDTI1i2isszS7DH7oXx3Luoqb0DmjhS0j9jqW64xCjGy7j7Et7kHOjxq/crOesEq2g5Qtsu8wuAn0jvuHXSzgUSsAsE5/sjTQMnOAEruDed/EM5QQnmarPjKG9Z2PBaRgo/8C6DN29i5TClSYTj6+sXenk" \t "https://www.so.com/_blank" </w:instrText>
      </w:r>
      <w:r>
        <w:rPr>
          <w:rFonts w:hint="default"/>
          <w:color w:val="auto"/>
          <w:kern w:val="21"/>
          <w:lang w:val="en-US" w:eastAsia="zh-CN"/>
        </w:rPr>
        <w:fldChar w:fldCharType="separate"/>
      </w:r>
      <w:r>
        <w:rPr>
          <w:rFonts w:hint="default"/>
          <w:color w:val="auto"/>
          <w:kern w:val="21"/>
          <w:lang w:val="en-US" w:eastAsia="zh-CN"/>
        </w:rPr>
        <w:t>云南赛维汉普科技有限公司</w:t>
      </w:r>
      <w:r>
        <w:rPr>
          <w:rFonts w:hint="default"/>
          <w:color w:val="auto"/>
          <w:kern w:val="21"/>
          <w:lang w:val="en-US" w:eastAsia="zh-CN"/>
        </w:rPr>
        <w:fldChar w:fldCharType="end"/>
      </w:r>
      <w:r>
        <w:rPr>
          <w:rFonts w:hint="eastAsia"/>
          <w:color w:val="auto"/>
          <w:kern w:val="21"/>
          <w:lang w:val="en-US" w:eastAsia="zh-CN"/>
        </w:rPr>
        <w:t>）、“湖南方盛制药股份有限公司工业大麻加工基地建设项目”（云南芙雅生物科技有限公司）</w:t>
      </w:r>
      <w:r>
        <w:rPr>
          <w:rFonts w:hint="eastAsia"/>
          <w:b w:val="0"/>
          <w:bCs/>
          <w:color w:val="auto"/>
          <w:kern w:val="21"/>
          <w:lang w:val="en-US" w:eastAsia="zh-CN" w:bidi="ar"/>
        </w:rPr>
        <w:t>。</w:t>
      </w:r>
    </w:p>
    <w:p>
      <w:pPr>
        <w:widowControl/>
        <w:ind w:firstLine="482"/>
        <w:jc w:val="left"/>
        <w:rPr>
          <w:rFonts w:hint="default"/>
          <w:b w:val="0"/>
          <w:bCs/>
          <w:color w:val="auto"/>
          <w:kern w:val="21"/>
          <w:lang w:val="en-US" w:eastAsia="zh-CN" w:bidi="ar"/>
        </w:rPr>
      </w:pPr>
      <w:r>
        <w:rPr>
          <w:rFonts w:hint="eastAsia"/>
          <w:color w:val="auto"/>
          <w:kern w:val="21"/>
          <w:lang w:val="en-US" w:eastAsia="zh-CN"/>
        </w:rPr>
        <w:t>根据调查，“晶科能源（楚雄）有限公司年产20吉瓦高效太阳能电池片生产线建设项目（一期）”现状排放废水仅为M2车间生产废水及生活污水，废水排放量约为1362.73m</w:t>
      </w:r>
      <w:r>
        <w:rPr>
          <w:rFonts w:hint="eastAsia"/>
          <w:color w:val="auto"/>
          <w:kern w:val="21"/>
          <w:vertAlign w:val="superscript"/>
          <w:lang w:val="en-US" w:eastAsia="zh-CN"/>
        </w:rPr>
        <w:t>3</w:t>
      </w:r>
      <w:r>
        <w:rPr>
          <w:rFonts w:hint="eastAsia"/>
          <w:color w:val="auto"/>
          <w:kern w:val="21"/>
          <w:vertAlign w:val="baseline"/>
          <w:lang w:val="en-US" w:eastAsia="zh-CN"/>
        </w:rPr>
        <w:t>/d，废水中主要污染物为COD、BOD、SS、氨氮、总氮、总磷、氟化物</w:t>
      </w:r>
      <w:r>
        <w:rPr>
          <w:rFonts w:hint="eastAsia"/>
          <w:color w:val="auto"/>
          <w:kern w:val="21"/>
          <w:lang w:val="en-US" w:eastAsia="zh-CN"/>
        </w:rPr>
        <w:t>；</w:t>
      </w:r>
    </w:p>
    <w:p>
      <w:pPr>
        <w:widowControl/>
        <w:ind w:firstLine="482"/>
        <w:jc w:val="left"/>
        <w:rPr>
          <w:rFonts w:hint="default"/>
          <w:b w:val="0"/>
          <w:bCs/>
          <w:color w:val="auto"/>
          <w:kern w:val="21"/>
          <w:lang w:val="en-US" w:eastAsia="zh-CN" w:bidi="ar"/>
        </w:rPr>
      </w:pPr>
      <w:r>
        <w:rPr>
          <w:rFonts w:hint="eastAsia"/>
          <w:color w:val="auto"/>
          <w:kern w:val="21"/>
          <w:lang w:val="en-US" w:eastAsia="zh-CN"/>
        </w:rPr>
        <w:t>“宇泽半导体（云南）有限公司年产5GW单晶硅拉棒及3GW切片项目、年产5GW单晶硅拉棒及2GW切片项目”现状共建成7GW单晶硅拉棒，切片生产线尚未建成，排放废水为单晶硅拉棒生产线的生产废水和生活污水，废水排放量约为3376.79m</w:t>
      </w:r>
      <w:r>
        <w:rPr>
          <w:rFonts w:hint="eastAsia"/>
          <w:color w:val="auto"/>
          <w:kern w:val="21"/>
          <w:vertAlign w:val="superscript"/>
          <w:lang w:val="en-US" w:eastAsia="zh-CN"/>
        </w:rPr>
        <w:t>3</w:t>
      </w:r>
      <w:r>
        <w:rPr>
          <w:rFonts w:hint="eastAsia"/>
          <w:color w:val="auto"/>
          <w:kern w:val="21"/>
          <w:vertAlign w:val="baseline"/>
          <w:lang w:val="en-US" w:eastAsia="zh-CN"/>
        </w:rPr>
        <w:t>/d，废水中主要污染物为COD、BOD、SS、氨氮、总氮、总磷、氟化物</w:t>
      </w:r>
      <w:r>
        <w:rPr>
          <w:rFonts w:hint="eastAsia"/>
          <w:color w:val="auto"/>
          <w:kern w:val="21"/>
          <w:lang w:val="en-US" w:eastAsia="zh-CN"/>
        </w:rPr>
        <w:t>；</w:t>
      </w:r>
    </w:p>
    <w:p>
      <w:pPr>
        <w:widowControl/>
        <w:ind w:firstLine="482"/>
        <w:jc w:val="left"/>
        <w:rPr>
          <w:rFonts w:hint="eastAsia"/>
          <w:b w:val="0"/>
          <w:bCs/>
          <w:color w:val="auto"/>
          <w:kern w:val="21"/>
          <w:lang w:val="en-US" w:eastAsia="zh-CN" w:bidi="ar"/>
        </w:rPr>
      </w:pPr>
      <w:r>
        <w:rPr>
          <w:rFonts w:hint="eastAsia"/>
          <w:color w:val="auto"/>
          <w:kern w:val="21"/>
          <w:lang w:val="en-US" w:eastAsia="zh-CN"/>
        </w:rPr>
        <w:t>“云南麻叶生物科技有限公司工业大麻加工建设项目”已建设完成，排放废水为生产废水和生活污水，废水排放量约为22.15m</w:t>
      </w:r>
      <w:r>
        <w:rPr>
          <w:rFonts w:hint="eastAsia"/>
          <w:color w:val="auto"/>
          <w:kern w:val="21"/>
          <w:vertAlign w:val="superscript"/>
          <w:lang w:val="en-US" w:eastAsia="zh-CN"/>
        </w:rPr>
        <w:t>3</w:t>
      </w:r>
      <w:r>
        <w:rPr>
          <w:rFonts w:hint="eastAsia"/>
          <w:color w:val="auto"/>
          <w:kern w:val="21"/>
          <w:vertAlign w:val="baseline"/>
          <w:lang w:val="en-US" w:eastAsia="zh-CN"/>
        </w:rPr>
        <w:t>/d，废水中主要污染物为COD、BOD、SS、氨氮、总氮、总磷</w:t>
      </w:r>
      <w:r>
        <w:rPr>
          <w:rFonts w:hint="eastAsia"/>
          <w:color w:val="auto"/>
          <w:kern w:val="21"/>
          <w:lang w:val="en-US" w:eastAsia="zh-CN"/>
        </w:rPr>
        <w:t>；</w:t>
      </w:r>
    </w:p>
    <w:p>
      <w:pPr>
        <w:widowControl/>
        <w:ind w:firstLine="482"/>
        <w:jc w:val="left"/>
        <w:rPr>
          <w:rFonts w:hint="eastAsia"/>
          <w:color w:val="auto"/>
          <w:kern w:val="21"/>
          <w:lang w:val="en-US" w:eastAsia="zh-CN"/>
        </w:rPr>
      </w:pPr>
      <w:r>
        <w:rPr>
          <w:rFonts w:hint="eastAsia"/>
          <w:color w:val="auto"/>
          <w:kern w:val="21"/>
          <w:lang w:val="en-US" w:eastAsia="zh-CN"/>
        </w:rPr>
        <w:t>“云南赛维汉普500吨花叶加工提取大麻二酚项目”已建设完成，排放废水为生产废水和生活污水，废水排放量约为5.15m</w:t>
      </w:r>
      <w:r>
        <w:rPr>
          <w:rFonts w:hint="eastAsia"/>
          <w:color w:val="auto"/>
          <w:kern w:val="21"/>
          <w:vertAlign w:val="superscript"/>
          <w:lang w:val="en-US" w:eastAsia="zh-CN"/>
        </w:rPr>
        <w:t>3</w:t>
      </w:r>
      <w:r>
        <w:rPr>
          <w:rFonts w:hint="eastAsia"/>
          <w:color w:val="auto"/>
          <w:kern w:val="21"/>
          <w:vertAlign w:val="baseline"/>
          <w:lang w:val="en-US" w:eastAsia="zh-CN"/>
        </w:rPr>
        <w:t>/d，废水中主要污染物为COD、BOD、SS、氨氮、总氮、总磷</w:t>
      </w:r>
      <w:r>
        <w:rPr>
          <w:rFonts w:hint="eastAsia"/>
          <w:color w:val="auto"/>
          <w:kern w:val="21"/>
          <w:lang w:val="en-US" w:eastAsia="zh-CN"/>
        </w:rPr>
        <w:t>；</w:t>
      </w:r>
    </w:p>
    <w:p>
      <w:pPr>
        <w:widowControl/>
        <w:ind w:firstLine="482"/>
        <w:jc w:val="left"/>
        <w:rPr>
          <w:rFonts w:hint="eastAsia"/>
          <w:b w:val="0"/>
          <w:bCs/>
          <w:color w:val="auto"/>
          <w:kern w:val="21"/>
          <w:lang w:val="en-US" w:eastAsia="zh-CN" w:bidi="ar"/>
        </w:rPr>
      </w:pPr>
      <w:r>
        <w:rPr>
          <w:rFonts w:hint="eastAsia"/>
          <w:color w:val="auto"/>
          <w:kern w:val="21"/>
          <w:lang w:val="en-US" w:eastAsia="zh-CN"/>
        </w:rPr>
        <w:t>“湖南方盛制药股份有限公司工业大麻加工基地建设项目”已建设完成，排放废水为生产废水和生活污水，废水排放量约为31.87m</w:t>
      </w:r>
      <w:r>
        <w:rPr>
          <w:rFonts w:hint="eastAsia"/>
          <w:color w:val="auto"/>
          <w:kern w:val="21"/>
          <w:vertAlign w:val="superscript"/>
          <w:lang w:val="en-US" w:eastAsia="zh-CN"/>
        </w:rPr>
        <w:t>3</w:t>
      </w:r>
      <w:r>
        <w:rPr>
          <w:rFonts w:hint="eastAsia"/>
          <w:color w:val="auto"/>
          <w:kern w:val="21"/>
          <w:vertAlign w:val="baseline"/>
          <w:lang w:val="en-US" w:eastAsia="zh-CN"/>
        </w:rPr>
        <w:t>/d，废水中主要污染物为COD、BOD、SS、氨氮、总氮、总磷</w:t>
      </w:r>
      <w:r>
        <w:rPr>
          <w:rFonts w:hint="eastAsia"/>
          <w:color w:val="auto"/>
          <w:kern w:val="21"/>
          <w:lang w:val="en-US" w:eastAsia="zh-CN"/>
        </w:rPr>
        <w:t>。</w:t>
      </w:r>
    </w:p>
    <w:p>
      <w:pPr>
        <w:widowControl/>
        <w:ind w:firstLine="480"/>
        <w:jc w:val="left"/>
        <w:rPr>
          <w:bCs/>
          <w:color w:val="auto"/>
          <w:kern w:val="21"/>
          <w:lang w:bidi="ar"/>
        </w:rPr>
      </w:pPr>
      <w:r>
        <w:rPr>
          <w:rFonts w:hint="eastAsia"/>
          <w:b w:val="0"/>
          <w:bCs/>
          <w:color w:val="auto"/>
          <w:kern w:val="21"/>
          <w:lang w:val="en-US" w:eastAsia="zh-CN" w:bidi="ar"/>
        </w:rPr>
        <w:t>各企业废水排放量及主要污染物排放浓度见下表。</w:t>
      </w:r>
    </w:p>
    <w:p>
      <w:pPr>
        <w:widowControl/>
        <w:ind w:firstLine="482"/>
        <w:jc w:val="left"/>
        <w:rPr>
          <w:b/>
          <w:color w:val="auto"/>
          <w:kern w:val="21"/>
          <w:lang w:bidi="ar"/>
        </w:rPr>
        <w:sectPr>
          <w:pgSz w:w="11910" w:h="16840"/>
          <w:pgMar w:top="1440" w:right="1803" w:bottom="1440" w:left="1803" w:header="392" w:footer="997" w:gutter="0"/>
          <w:cols w:space="720" w:num="1"/>
        </w:sectPr>
      </w:pP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eastAsia="宋体"/>
          <w:color w:val="auto"/>
          <w:kern w:val="21"/>
          <w:lang w:eastAsia="zh-CN"/>
        </w:rPr>
      </w:pPr>
      <w:r>
        <w:rPr>
          <w:b/>
          <w:bCs/>
          <w:color w:val="auto"/>
          <w:kern w:val="21"/>
        </w:rPr>
        <w:t>项目</w:t>
      </w:r>
      <w:r>
        <w:rPr>
          <w:rFonts w:hint="eastAsia"/>
          <w:b/>
          <w:bCs/>
          <w:color w:val="auto"/>
          <w:kern w:val="21"/>
          <w:lang w:eastAsia="zh-CN"/>
        </w:rPr>
        <w:t>服务企业废水排放情况一览表</w:t>
      </w:r>
    </w:p>
    <w:tbl>
      <w:tblPr>
        <w:tblStyle w:val="51"/>
        <w:tblW w:w="13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750"/>
        <w:gridCol w:w="3426"/>
        <w:gridCol w:w="1162"/>
        <w:gridCol w:w="963"/>
        <w:gridCol w:w="975"/>
        <w:gridCol w:w="953"/>
        <w:gridCol w:w="953"/>
        <w:gridCol w:w="953"/>
        <w:gridCol w:w="953"/>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61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color w:val="auto"/>
                <w:kern w:val="21"/>
                <w:sz w:val="21"/>
                <w:szCs w:val="21"/>
                <w:lang w:bidi="ar"/>
              </w:rPr>
              <w:t>序号</w:t>
            </w:r>
          </w:p>
        </w:tc>
        <w:tc>
          <w:tcPr>
            <w:tcW w:w="1750"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企业名称</w:t>
            </w:r>
          </w:p>
        </w:tc>
        <w:tc>
          <w:tcPr>
            <w:tcW w:w="342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eastAsia="zh-CN" w:bidi="ar"/>
              </w:rPr>
              <w:t>项目</w:t>
            </w:r>
            <w:r>
              <w:rPr>
                <w:color w:val="auto"/>
                <w:kern w:val="21"/>
                <w:sz w:val="21"/>
                <w:szCs w:val="21"/>
                <w:lang w:bidi="ar"/>
              </w:rPr>
              <w:t>名称</w:t>
            </w:r>
          </w:p>
        </w:tc>
        <w:tc>
          <w:tcPr>
            <w:tcW w:w="11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vertAlign w:val="baseline"/>
                <w:lang w:val="en-US" w:eastAsia="zh-CN" w:bidi="ar"/>
              </w:rPr>
            </w:pPr>
            <w:r>
              <w:rPr>
                <w:rFonts w:hint="eastAsia"/>
                <w:color w:val="auto"/>
                <w:kern w:val="21"/>
                <w:sz w:val="21"/>
                <w:szCs w:val="21"/>
                <w:lang w:eastAsia="zh-CN" w:bidi="ar"/>
              </w:rPr>
              <w:t>废水排放量</w:t>
            </w:r>
            <w:r>
              <w:rPr>
                <w:rFonts w:hint="eastAsia"/>
                <w:color w:val="auto"/>
                <w:kern w:val="21"/>
                <w:sz w:val="21"/>
                <w:szCs w:val="21"/>
                <w:lang w:val="en-US" w:eastAsia="zh-CN" w:bidi="ar"/>
              </w:rPr>
              <w:t>m</w:t>
            </w:r>
            <w:r>
              <w:rPr>
                <w:rFonts w:hint="eastAsia"/>
                <w:color w:val="auto"/>
                <w:kern w:val="21"/>
                <w:sz w:val="21"/>
                <w:szCs w:val="21"/>
                <w:vertAlign w:val="superscript"/>
                <w:lang w:val="en-US" w:eastAsia="zh-CN" w:bidi="ar"/>
              </w:rPr>
              <w:t>3</w:t>
            </w:r>
            <w:r>
              <w:rPr>
                <w:rFonts w:hint="eastAsia"/>
                <w:color w:val="auto"/>
                <w:kern w:val="21"/>
                <w:sz w:val="21"/>
                <w:szCs w:val="21"/>
                <w:vertAlign w:val="baseline"/>
                <w:lang w:val="en-US" w:eastAsia="zh-CN" w:bidi="ar"/>
              </w:rPr>
              <w:t>/d</w:t>
            </w:r>
          </w:p>
        </w:tc>
        <w:tc>
          <w:tcPr>
            <w:tcW w:w="96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val="en-US" w:eastAsia="zh-CN" w:bidi="ar"/>
              </w:rPr>
              <w:t>COD</w:t>
            </w:r>
          </w:p>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mg/L</w:t>
            </w:r>
          </w:p>
        </w:tc>
        <w:tc>
          <w:tcPr>
            <w:tcW w:w="975"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val="en-US" w:eastAsia="zh-CN" w:bidi="ar"/>
              </w:rPr>
              <w:t>BOD</w:t>
            </w:r>
            <w:r>
              <w:rPr>
                <w:rFonts w:hint="eastAsia"/>
                <w:color w:val="auto"/>
                <w:kern w:val="21"/>
                <w:sz w:val="21"/>
                <w:szCs w:val="21"/>
                <w:vertAlign w:val="subscript"/>
                <w:lang w:val="en-US" w:eastAsia="zh-CN" w:bidi="ar"/>
              </w:rPr>
              <w:t>5</w:t>
            </w:r>
          </w:p>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mg/L</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eastAsia="zh-CN" w:bidi="ar"/>
              </w:rPr>
              <w:t>氨氮</w:t>
            </w:r>
          </w:p>
          <w:p>
            <w:pPr>
              <w:pStyle w:val="23"/>
              <w:adjustRightInd w:val="0"/>
              <w:snapToGrid w:val="0"/>
              <w:spacing w:after="0" w:line="240" w:lineRule="auto"/>
              <w:ind w:left="0" w:leftChars="0" w:firstLine="0" w:firstLineChars="0"/>
              <w:jc w:val="center"/>
              <w:rPr>
                <w:rFonts w:hint="eastAsia" w:eastAsia="宋体"/>
                <w:color w:val="auto"/>
                <w:kern w:val="21"/>
                <w:sz w:val="21"/>
                <w:szCs w:val="21"/>
                <w:lang w:eastAsia="zh-CN" w:bidi="ar"/>
              </w:rPr>
            </w:pPr>
            <w:r>
              <w:rPr>
                <w:rFonts w:hint="eastAsia"/>
                <w:color w:val="auto"/>
                <w:kern w:val="21"/>
                <w:sz w:val="21"/>
                <w:szCs w:val="21"/>
                <w:lang w:val="en-US" w:eastAsia="zh-CN" w:bidi="ar"/>
              </w:rPr>
              <w:t>mg/L</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val="en-US" w:eastAsia="zh-CN" w:bidi="ar"/>
              </w:rPr>
              <w:t>SS</w:t>
            </w:r>
          </w:p>
          <w:p>
            <w:pPr>
              <w:pStyle w:val="23"/>
              <w:adjustRightInd w:val="0"/>
              <w:snapToGrid w:val="0"/>
              <w:spacing w:after="0" w:line="240" w:lineRule="auto"/>
              <w:ind w:left="0" w:leftChars="0" w:firstLine="0" w:firstLineChars="0"/>
              <w:jc w:val="center"/>
              <w:rPr>
                <w:rFonts w:hint="default"/>
                <w:color w:val="auto"/>
                <w:kern w:val="21"/>
                <w:sz w:val="21"/>
                <w:szCs w:val="21"/>
                <w:lang w:val="en-US" w:eastAsia="zh-CN" w:bidi="ar"/>
              </w:rPr>
            </w:pPr>
            <w:r>
              <w:rPr>
                <w:rFonts w:hint="eastAsia"/>
                <w:color w:val="auto"/>
                <w:kern w:val="21"/>
                <w:sz w:val="21"/>
                <w:szCs w:val="21"/>
                <w:lang w:val="en-US" w:eastAsia="zh-CN" w:bidi="ar"/>
              </w:rPr>
              <w:t>mg/L</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eastAsia="zh-CN" w:bidi="ar"/>
              </w:rPr>
              <w:t>总磷</w:t>
            </w:r>
          </w:p>
          <w:p>
            <w:pPr>
              <w:pStyle w:val="23"/>
              <w:adjustRightInd w:val="0"/>
              <w:snapToGrid w:val="0"/>
              <w:spacing w:after="0" w:line="240" w:lineRule="auto"/>
              <w:ind w:left="0" w:leftChars="0" w:firstLine="0" w:firstLineChars="0"/>
              <w:jc w:val="center"/>
              <w:rPr>
                <w:rFonts w:hint="eastAsia"/>
                <w:color w:val="auto"/>
                <w:kern w:val="21"/>
                <w:sz w:val="21"/>
                <w:szCs w:val="21"/>
                <w:lang w:eastAsia="zh-CN" w:bidi="ar"/>
              </w:rPr>
            </w:pPr>
            <w:r>
              <w:rPr>
                <w:rFonts w:hint="eastAsia"/>
                <w:color w:val="auto"/>
                <w:kern w:val="21"/>
                <w:sz w:val="21"/>
                <w:szCs w:val="21"/>
                <w:lang w:val="en-US" w:eastAsia="zh-CN" w:bidi="ar"/>
              </w:rPr>
              <w:t>mg/L</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eastAsia="zh-CN" w:bidi="ar"/>
              </w:rPr>
              <w:t>总氮</w:t>
            </w:r>
          </w:p>
          <w:p>
            <w:pPr>
              <w:pStyle w:val="23"/>
              <w:adjustRightInd w:val="0"/>
              <w:snapToGrid w:val="0"/>
              <w:spacing w:after="0" w:line="240" w:lineRule="auto"/>
              <w:ind w:left="0" w:leftChars="0" w:firstLine="0" w:firstLineChars="0"/>
              <w:jc w:val="center"/>
              <w:rPr>
                <w:rFonts w:hint="eastAsia"/>
                <w:color w:val="auto"/>
                <w:kern w:val="21"/>
                <w:sz w:val="21"/>
                <w:szCs w:val="21"/>
                <w:lang w:eastAsia="zh-CN" w:bidi="ar"/>
              </w:rPr>
            </w:pPr>
            <w:r>
              <w:rPr>
                <w:rFonts w:hint="eastAsia"/>
                <w:color w:val="auto"/>
                <w:kern w:val="21"/>
                <w:sz w:val="21"/>
                <w:szCs w:val="21"/>
                <w:lang w:val="en-US" w:eastAsia="zh-CN" w:bidi="ar"/>
              </w:rPr>
              <w:t>mg/L</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eastAsia="zh-CN" w:bidi="ar"/>
              </w:rPr>
              <w:t>氟化物</w:t>
            </w:r>
          </w:p>
          <w:p>
            <w:pPr>
              <w:pStyle w:val="23"/>
              <w:adjustRightInd w:val="0"/>
              <w:snapToGrid w:val="0"/>
              <w:spacing w:after="0" w:line="240" w:lineRule="auto"/>
              <w:ind w:left="0" w:leftChars="0" w:firstLine="0" w:firstLineChars="0"/>
              <w:jc w:val="center"/>
              <w:rPr>
                <w:rFonts w:hint="eastAsia"/>
                <w:color w:val="auto"/>
                <w:kern w:val="21"/>
                <w:sz w:val="21"/>
                <w:szCs w:val="21"/>
                <w:lang w:eastAsia="zh-CN" w:bidi="ar"/>
              </w:rPr>
            </w:pPr>
            <w:r>
              <w:rPr>
                <w:rFonts w:hint="eastAsia"/>
                <w:color w:val="auto"/>
                <w:kern w:val="21"/>
                <w:sz w:val="21"/>
                <w:szCs w:val="21"/>
                <w:lang w:val="en-US" w:eastAsia="zh-CN"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color w:val="auto"/>
                <w:kern w:val="21"/>
                <w:sz w:val="21"/>
                <w:szCs w:val="21"/>
                <w:lang w:bidi="ar"/>
              </w:rPr>
              <w:t>1</w:t>
            </w:r>
          </w:p>
        </w:tc>
        <w:tc>
          <w:tcPr>
            <w:tcW w:w="1750"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sz w:val="21"/>
                <w:szCs w:val="21"/>
                <w:shd w:val="clear" w:color="auto" w:fill="FFFFFF"/>
              </w:rPr>
            </w:pPr>
            <w:r>
              <w:rPr>
                <w:color w:val="auto"/>
                <w:sz w:val="21"/>
                <w:szCs w:val="21"/>
                <w:shd w:val="clear" w:color="auto" w:fill="FFFFFF"/>
              </w:rPr>
              <w:t>晶科能源（楚雄）有限公司</w:t>
            </w:r>
          </w:p>
        </w:tc>
        <w:tc>
          <w:tcPr>
            <w:tcW w:w="342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color w:val="auto"/>
                <w:kern w:val="21"/>
                <w:sz w:val="21"/>
                <w:szCs w:val="21"/>
                <w:lang w:bidi="ar"/>
              </w:rPr>
              <w:t>晶科能源（楚雄）有限公司年产20吉瓦高效太阳能电池片生产线建设项目（一期）</w:t>
            </w:r>
          </w:p>
        </w:tc>
        <w:tc>
          <w:tcPr>
            <w:tcW w:w="11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1362.73</w:t>
            </w:r>
          </w:p>
        </w:tc>
        <w:tc>
          <w:tcPr>
            <w:tcW w:w="96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150</w:t>
            </w:r>
          </w:p>
        </w:tc>
        <w:tc>
          <w:tcPr>
            <w:tcW w:w="975"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350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30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140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2.0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40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17" w:type="dxa"/>
            <w:vMerge w:val="restart"/>
            <w:tcBorders>
              <w:top w:val="single" w:color="auto" w:sz="4" w:space="0"/>
              <w:left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color w:val="auto"/>
                <w:kern w:val="21"/>
                <w:sz w:val="21"/>
                <w:szCs w:val="21"/>
                <w:lang w:bidi="ar"/>
              </w:rPr>
              <w:t>2</w:t>
            </w:r>
          </w:p>
        </w:tc>
        <w:tc>
          <w:tcPr>
            <w:tcW w:w="1750" w:type="dxa"/>
            <w:vMerge w:val="restart"/>
            <w:tcBorders>
              <w:top w:val="single" w:color="auto" w:sz="4" w:space="0"/>
              <w:left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sz w:val="21"/>
                <w:szCs w:val="21"/>
                <w:shd w:val="clear" w:color="auto" w:fill="FFFFFF"/>
              </w:rPr>
            </w:pPr>
            <w:r>
              <w:rPr>
                <w:color w:val="auto"/>
                <w:sz w:val="21"/>
                <w:szCs w:val="21"/>
                <w:shd w:val="clear" w:color="auto" w:fill="FFFFFF"/>
              </w:rPr>
              <w:t>宇泽半导体（云南）有限公司</w:t>
            </w:r>
          </w:p>
        </w:tc>
        <w:tc>
          <w:tcPr>
            <w:tcW w:w="342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color w:val="auto"/>
                <w:sz w:val="21"/>
                <w:szCs w:val="21"/>
                <w:shd w:val="clear" w:color="auto" w:fill="FFFFFF"/>
              </w:rPr>
              <w:t>宇泽半导体（云南）有限公司年产5GW单晶硅拉棒及</w:t>
            </w:r>
            <w:r>
              <w:rPr>
                <w:rFonts w:hint="eastAsia"/>
                <w:color w:val="auto"/>
                <w:sz w:val="21"/>
                <w:szCs w:val="21"/>
                <w:shd w:val="clear" w:color="auto" w:fill="FFFFFF"/>
                <w:lang w:val="en-US" w:eastAsia="zh-CN"/>
              </w:rPr>
              <w:t>3</w:t>
            </w:r>
            <w:r>
              <w:rPr>
                <w:color w:val="auto"/>
                <w:sz w:val="21"/>
                <w:szCs w:val="21"/>
                <w:shd w:val="clear" w:color="auto" w:fill="FFFFFF"/>
              </w:rPr>
              <w:t>GW切片项目</w:t>
            </w:r>
          </w:p>
        </w:tc>
        <w:tc>
          <w:tcPr>
            <w:tcW w:w="11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default"/>
                <w:color w:val="auto"/>
                <w:kern w:val="21"/>
                <w:sz w:val="21"/>
                <w:szCs w:val="21"/>
                <w:lang w:val="en-US" w:eastAsia="zh-CN" w:bidi="ar"/>
              </w:rPr>
              <w:t xml:space="preserve">1447.20 </w:t>
            </w:r>
          </w:p>
        </w:tc>
        <w:tc>
          <w:tcPr>
            <w:tcW w:w="96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500</w:t>
            </w:r>
          </w:p>
        </w:tc>
        <w:tc>
          <w:tcPr>
            <w:tcW w:w="975"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300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45</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400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eastAsia="宋体"/>
                <w:color w:val="auto"/>
                <w:kern w:val="21"/>
                <w:sz w:val="21"/>
                <w:szCs w:val="21"/>
                <w:lang w:val="en-US" w:eastAsia="zh-CN" w:bidi="ar"/>
              </w:rPr>
            </w:pPr>
            <w:r>
              <w:rPr>
                <w:rFonts w:hint="eastAsia"/>
                <w:color w:val="auto"/>
                <w:kern w:val="21"/>
                <w:sz w:val="21"/>
                <w:szCs w:val="21"/>
                <w:lang w:val="en-US" w:eastAsia="zh-CN" w:bidi="ar"/>
              </w:rPr>
              <w:t>8</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70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17" w:type="dxa"/>
            <w:vMerge w:val="continue"/>
            <w:tcBorders>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p>
        </w:tc>
        <w:tc>
          <w:tcPr>
            <w:tcW w:w="1750" w:type="dxa"/>
            <w:vMerge w:val="continue"/>
            <w:tcBorders>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sz w:val="21"/>
                <w:szCs w:val="21"/>
                <w:shd w:val="clear" w:color="auto" w:fill="FFFFFF"/>
              </w:rPr>
            </w:pPr>
          </w:p>
        </w:tc>
        <w:tc>
          <w:tcPr>
            <w:tcW w:w="342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sz w:val="21"/>
                <w:szCs w:val="21"/>
                <w:shd w:val="clear" w:color="auto" w:fill="FFFFFF"/>
              </w:rPr>
            </w:pPr>
            <w:r>
              <w:rPr>
                <w:color w:val="auto"/>
                <w:sz w:val="21"/>
                <w:szCs w:val="21"/>
                <w:shd w:val="clear" w:color="auto" w:fill="FFFFFF"/>
              </w:rPr>
              <w:t>年产5GW单晶硅拉棒及</w:t>
            </w:r>
            <w:r>
              <w:rPr>
                <w:rFonts w:hint="eastAsia"/>
                <w:color w:val="auto"/>
                <w:sz w:val="21"/>
                <w:szCs w:val="21"/>
                <w:shd w:val="clear" w:color="auto" w:fill="FFFFFF"/>
                <w:lang w:val="en-US" w:eastAsia="zh-CN"/>
              </w:rPr>
              <w:t>2</w:t>
            </w:r>
            <w:r>
              <w:rPr>
                <w:color w:val="auto"/>
                <w:sz w:val="21"/>
                <w:szCs w:val="21"/>
                <w:shd w:val="clear" w:color="auto" w:fill="FFFFFF"/>
              </w:rPr>
              <w:t>GW切片项目</w:t>
            </w:r>
          </w:p>
        </w:tc>
        <w:tc>
          <w:tcPr>
            <w:tcW w:w="11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default"/>
                <w:color w:val="auto"/>
                <w:kern w:val="21"/>
                <w:sz w:val="21"/>
                <w:szCs w:val="21"/>
                <w:lang w:val="en-US" w:eastAsia="zh-CN" w:bidi="ar"/>
              </w:rPr>
              <w:t xml:space="preserve">1929.60 </w:t>
            </w:r>
          </w:p>
        </w:tc>
        <w:tc>
          <w:tcPr>
            <w:tcW w:w="96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val="en-US" w:eastAsia="zh-CN" w:bidi="ar"/>
              </w:rPr>
              <w:t>500</w:t>
            </w:r>
          </w:p>
        </w:tc>
        <w:tc>
          <w:tcPr>
            <w:tcW w:w="975"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val="en-US" w:eastAsia="zh-CN" w:bidi="ar"/>
              </w:rPr>
              <w:t>300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val="en-US" w:eastAsia="zh-CN" w:bidi="ar"/>
              </w:rPr>
              <w:t>45</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val="en-US" w:eastAsia="zh-CN" w:bidi="ar"/>
              </w:rPr>
              <w:t>400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val="en-US" w:eastAsia="zh-CN" w:bidi="ar"/>
              </w:rPr>
              <w:t>8</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val="en-US" w:eastAsia="zh-CN" w:bidi="ar"/>
              </w:rPr>
              <w:t>70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1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lang w:bidi="ar"/>
              </w:rPr>
            </w:pPr>
            <w:r>
              <w:rPr>
                <w:color w:val="auto"/>
                <w:kern w:val="21"/>
                <w:sz w:val="21"/>
                <w:szCs w:val="21"/>
                <w:lang w:bidi="ar"/>
              </w:rPr>
              <w:t>3</w:t>
            </w:r>
          </w:p>
        </w:tc>
        <w:tc>
          <w:tcPr>
            <w:tcW w:w="1750"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sz w:val="21"/>
                <w:szCs w:val="21"/>
                <w:shd w:val="clear" w:color="auto" w:fill="FFFFFF"/>
              </w:rPr>
            </w:pPr>
            <w:r>
              <w:rPr>
                <w:color w:val="auto"/>
                <w:sz w:val="21"/>
                <w:szCs w:val="21"/>
                <w:shd w:val="clear" w:color="auto" w:fill="FFFFFF"/>
              </w:rPr>
              <w:t>云南麻叶生物科技有限公司</w:t>
            </w:r>
          </w:p>
        </w:tc>
        <w:tc>
          <w:tcPr>
            <w:tcW w:w="342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sz w:val="21"/>
                <w:szCs w:val="21"/>
                <w:shd w:val="clear" w:color="auto" w:fill="FFFFFF"/>
              </w:rPr>
              <w:t>云南麻叶生物科技有限公司工业大麻加工建设项目</w:t>
            </w:r>
          </w:p>
        </w:tc>
        <w:tc>
          <w:tcPr>
            <w:tcW w:w="11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default"/>
                <w:color w:val="auto"/>
                <w:kern w:val="21"/>
                <w:sz w:val="21"/>
                <w:szCs w:val="21"/>
                <w:lang w:val="en-US" w:eastAsia="zh-CN" w:bidi="ar"/>
              </w:rPr>
              <w:t xml:space="preserve">22.15 </w:t>
            </w:r>
          </w:p>
        </w:tc>
        <w:tc>
          <w:tcPr>
            <w:tcW w:w="96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500</w:t>
            </w:r>
          </w:p>
        </w:tc>
        <w:tc>
          <w:tcPr>
            <w:tcW w:w="975"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300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45</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400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eastAsia="宋体"/>
                <w:color w:val="auto"/>
                <w:kern w:val="21"/>
                <w:sz w:val="21"/>
                <w:szCs w:val="21"/>
                <w:lang w:val="en-US" w:eastAsia="zh-CN" w:bidi="ar"/>
              </w:rPr>
            </w:pPr>
            <w:r>
              <w:rPr>
                <w:rFonts w:hint="eastAsia"/>
                <w:color w:val="auto"/>
                <w:kern w:val="21"/>
                <w:sz w:val="21"/>
                <w:szCs w:val="21"/>
                <w:lang w:val="en-US" w:eastAsia="zh-CN" w:bidi="ar"/>
              </w:rPr>
              <w:t>8</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70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eastAsia="宋体"/>
                <w:color w:val="auto"/>
                <w:kern w:val="21"/>
                <w:sz w:val="21"/>
                <w:szCs w:val="21"/>
                <w:lang w:val="en-US" w:eastAsia="zh-CN" w:bidi="ar"/>
              </w:rPr>
            </w:pPr>
            <w:r>
              <w:rPr>
                <w:rFonts w:hint="eastAsia"/>
                <w:color w:val="auto"/>
                <w:kern w:val="21"/>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1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
              </w:rPr>
            </w:pPr>
            <w:r>
              <w:rPr>
                <w:color w:val="auto"/>
                <w:kern w:val="21"/>
                <w:sz w:val="21"/>
                <w:szCs w:val="21"/>
                <w:lang w:bidi="ar"/>
              </w:rPr>
              <w:t>4</w:t>
            </w:r>
          </w:p>
        </w:tc>
        <w:tc>
          <w:tcPr>
            <w:tcW w:w="1750"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sz w:val="21"/>
                <w:szCs w:val="21"/>
                <w:shd w:val="clear" w:color="auto" w:fill="FFFFFF"/>
              </w:rPr>
            </w:pPr>
            <w:r>
              <w:rPr>
                <w:rFonts w:hint="default"/>
                <w:color w:val="auto"/>
                <w:sz w:val="21"/>
                <w:szCs w:val="21"/>
                <w:shd w:val="clear" w:color="auto" w:fill="FFFFFF"/>
              </w:rPr>
              <w:fldChar w:fldCharType="begin"/>
            </w:r>
            <w:r>
              <w:rPr>
                <w:rFonts w:hint="default"/>
                <w:color w:val="auto"/>
                <w:sz w:val="21"/>
                <w:szCs w:val="21"/>
                <w:shd w:val="clear" w:color="auto" w:fill="FFFFFF"/>
              </w:rPr>
              <w:instrText xml:space="preserve"> HYPERLINK "https://www.so.com/link?m=bJ+82hqSEXCnhUK88ehDzCBf+qUH2pCFNFcsnc3fDTI1i2isszS7DH7oXx3Luoqb0DmjhS0j9jqW64xCjGy7j7Et7kHOjxq/crOesEq2g5Qtsu8wuAn0jvuHXSzgUSsAsE5/sjTQMnOAEruDed/EM5QQnmarPjKG9Z2PBaRgo/8C6DN29i5TClSYTj6+sXenk" \t "https://www.so.com/_blank" </w:instrText>
            </w:r>
            <w:r>
              <w:rPr>
                <w:rFonts w:hint="default"/>
                <w:color w:val="auto"/>
                <w:sz w:val="21"/>
                <w:szCs w:val="21"/>
                <w:shd w:val="clear" w:color="auto" w:fill="FFFFFF"/>
              </w:rPr>
              <w:fldChar w:fldCharType="separate"/>
            </w:r>
            <w:r>
              <w:rPr>
                <w:rFonts w:hint="default"/>
                <w:color w:val="auto"/>
                <w:sz w:val="21"/>
                <w:szCs w:val="21"/>
                <w:shd w:val="clear" w:color="auto" w:fill="FFFFFF"/>
              </w:rPr>
              <w:t>云南赛维汉普科技有限公司</w:t>
            </w:r>
            <w:r>
              <w:rPr>
                <w:rFonts w:hint="default"/>
                <w:color w:val="auto"/>
                <w:sz w:val="21"/>
                <w:szCs w:val="21"/>
                <w:shd w:val="clear" w:color="auto" w:fill="FFFFFF"/>
              </w:rPr>
              <w:fldChar w:fldCharType="end"/>
            </w:r>
          </w:p>
        </w:tc>
        <w:tc>
          <w:tcPr>
            <w:tcW w:w="342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SA"/>
              </w:rPr>
            </w:pPr>
            <w:r>
              <w:rPr>
                <w:color w:val="auto"/>
                <w:sz w:val="21"/>
                <w:szCs w:val="21"/>
                <w:shd w:val="clear" w:color="auto" w:fill="FFFFFF"/>
              </w:rPr>
              <w:t>云南赛维汉普500吨花叶加工提取大麻二酚项目</w:t>
            </w:r>
          </w:p>
        </w:tc>
        <w:tc>
          <w:tcPr>
            <w:tcW w:w="11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default"/>
                <w:color w:val="auto"/>
                <w:kern w:val="21"/>
                <w:sz w:val="21"/>
                <w:szCs w:val="21"/>
                <w:lang w:val="en-US" w:eastAsia="zh-CN" w:bidi="ar"/>
              </w:rPr>
              <w:t xml:space="preserve">5.15 </w:t>
            </w:r>
          </w:p>
        </w:tc>
        <w:tc>
          <w:tcPr>
            <w:tcW w:w="96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500</w:t>
            </w:r>
          </w:p>
        </w:tc>
        <w:tc>
          <w:tcPr>
            <w:tcW w:w="975"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300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45</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400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8</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70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1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eastAsia="宋体"/>
                <w:color w:val="auto"/>
                <w:kern w:val="21"/>
                <w:sz w:val="21"/>
                <w:szCs w:val="21"/>
                <w:lang w:val="en-US" w:eastAsia="zh-CN" w:bidi="ar"/>
              </w:rPr>
            </w:pPr>
            <w:r>
              <w:rPr>
                <w:rFonts w:hint="eastAsia"/>
                <w:color w:val="auto"/>
                <w:kern w:val="21"/>
                <w:sz w:val="21"/>
                <w:szCs w:val="21"/>
                <w:lang w:val="en-US" w:eastAsia="zh-CN" w:bidi="ar"/>
              </w:rPr>
              <w:t>5</w:t>
            </w:r>
          </w:p>
        </w:tc>
        <w:tc>
          <w:tcPr>
            <w:tcW w:w="1750"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sz w:val="21"/>
                <w:szCs w:val="21"/>
                <w:shd w:val="clear" w:color="auto" w:fill="FFFFFF"/>
              </w:rPr>
            </w:pPr>
            <w:r>
              <w:rPr>
                <w:color w:val="auto"/>
                <w:sz w:val="21"/>
                <w:szCs w:val="21"/>
                <w:shd w:val="clear" w:color="auto" w:fill="FFFFFF"/>
              </w:rPr>
              <w:t>云南芙雅生物科技有限公司</w:t>
            </w:r>
          </w:p>
        </w:tc>
        <w:tc>
          <w:tcPr>
            <w:tcW w:w="342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sz w:val="21"/>
                <w:szCs w:val="21"/>
                <w:shd w:val="clear" w:color="auto" w:fill="FFFFFF"/>
              </w:rPr>
              <w:t>湖南方盛制药股份有限公司工业大麻加工基地建设项目</w:t>
            </w:r>
          </w:p>
        </w:tc>
        <w:tc>
          <w:tcPr>
            <w:tcW w:w="11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color w:val="auto"/>
                <w:kern w:val="21"/>
                <w:sz w:val="21"/>
                <w:szCs w:val="21"/>
                <w:lang w:val="en-US" w:eastAsia="zh-CN" w:bidi="ar"/>
              </w:rPr>
            </w:pPr>
            <w:r>
              <w:rPr>
                <w:rFonts w:hint="default"/>
                <w:color w:val="auto"/>
                <w:kern w:val="21"/>
                <w:sz w:val="21"/>
                <w:szCs w:val="21"/>
                <w:lang w:val="en-US" w:eastAsia="zh-CN" w:bidi="ar"/>
              </w:rPr>
              <w:t xml:space="preserve">31.87 </w:t>
            </w:r>
          </w:p>
        </w:tc>
        <w:tc>
          <w:tcPr>
            <w:tcW w:w="96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500</w:t>
            </w:r>
          </w:p>
        </w:tc>
        <w:tc>
          <w:tcPr>
            <w:tcW w:w="975"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300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45</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400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8</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70</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3658" w:type="dxa"/>
            <w:gridSpan w:val="11"/>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以上废水在市政污水管网内混合后进入项目进行处理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1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6</w:t>
            </w:r>
          </w:p>
        </w:tc>
        <w:tc>
          <w:tcPr>
            <w:tcW w:w="5176" w:type="dxa"/>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混合废水</w:t>
            </w:r>
          </w:p>
        </w:tc>
        <w:tc>
          <w:tcPr>
            <w:tcW w:w="1162"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color w:val="auto"/>
                <w:kern w:val="21"/>
                <w:sz w:val="21"/>
                <w:szCs w:val="21"/>
                <w:lang w:val="en-US" w:eastAsia="zh-CN" w:bidi="ar"/>
              </w:rPr>
            </w:pPr>
            <w:r>
              <w:rPr>
                <w:rFonts w:hint="eastAsia"/>
                <w:color w:val="auto"/>
                <w:kern w:val="21"/>
                <w:sz w:val="21"/>
                <w:szCs w:val="21"/>
                <w:lang w:val="en-US" w:eastAsia="zh-CN" w:bidi="ar"/>
              </w:rPr>
              <w:t>4799.09</w:t>
            </w:r>
          </w:p>
        </w:tc>
        <w:tc>
          <w:tcPr>
            <w:tcW w:w="96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color w:val="auto"/>
                <w:kern w:val="21"/>
                <w:sz w:val="21"/>
                <w:szCs w:val="21"/>
                <w:lang w:val="en-US" w:eastAsia="zh-CN" w:bidi="ar"/>
              </w:rPr>
            </w:pPr>
            <w:r>
              <w:rPr>
                <w:rFonts w:hint="eastAsia"/>
                <w:color w:val="auto"/>
                <w:kern w:val="21"/>
                <w:sz w:val="21"/>
                <w:szCs w:val="21"/>
                <w:lang w:val="en-US" w:eastAsia="zh-CN" w:bidi="ar"/>
              </w:rPr>
              <w:t xml:space="preserve">400.61 </w:t>
            </w:r>
          </w:p>
        </w:tc>
        <w:tc>
          <w:tcPr>
            <w:tcW w:w="975"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default"/>
                <w:color w:val="auto"/>
                <w:kern w:val="21"/>
                <w:sz w:val="21"/>
                <w:szCs w:val="21"/>
                <w:lang w:val="en-US" w:eastAsia="zh-CN" w:bidi="ar"/>
              </w:rPr>
            </w:pPr>
            <w:r>
              <w:rPr>
                <w:rFonts w:hint="eastAsia"/>
                <w:color w:val="auto"/>
                <w:kern w:val="21"/>
                <w:sz w:val="21"/>
                <w:szCs w:val="21"/>
                <w:lang w:val="en-US" w:eastAsia="zh-CN" w:bidi="ar"/>
              </w:rPr>
              <w:t xml:space="preserve">314.20 </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val="en-US" w:eastAsia="zh-CN" w:bidi="ar"/>
              </w:rPr>
              <w:t xml:space="preserve">40.74 </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val="en-US" w:eastAsia="zh-CN" w:bidi="ar"/>
              </w:rPr>
              <w:t xml:space="preserve">326.17 </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val="en-US" w:eastAsia="zh-CN" w:bidi="ar"/>
              </w:rPr>
              <w:t xml:space="preserve">6.30 </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val="en-US" w:eastAsia="zh-CN" w:bidi="ar"/>
              </w:rPr>
              <w:t xml:space="preserve">61.48 </w:t>
            </w:r>
          </w:p>
        </w:tc>
        <w:tc>
          <w:tcPr>
            <w:tcW w:w="95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after="0" w:line="240" w:lineRule="auto"/>
              <w:ind w:left="0" w:leftChars="0" w:firstLine="0" w:firstLineChars="0"/>
              <w:jc w:val="center"/>
              <w:rPr>
                <w:rFonts w:hint="eastAsia"/>
                <w:color w:val="auto"/>
                <w:kern w:val="21"/>
                <w:sz w:val="21"/>
                <w:szCs w:val="21"/>
                <w:lang w:val="en-US" w:eastAsia="zh-CN" w:bidi="ar"/>
              </w:rPr>
            </w:pPr>
            <w:r>
              <w:rPr>
                <w:rFonts w:hint="eastAsia"/>
                <w:color w:val="auto"/>
                <w:kern w:val="21"/>
                <w:sz w:val="21"/>
                <w:szCs w:val="21"/>
                <w:lang w:val="en-US" w:eastAsia="zh-CN" w:bidi="ar"/>
              </w:rPr>
              <w:t xml:space="preserve">16.35 </w:t>
            </w:r>
          </w:p>
        </w:tc>
      </w:tr>
    </w:tbl>
    <w:p>
      <w:pPr>
        <w:pStyle w:val="23"/>
        <w:rPr>
          <w:color w:val="auto"/>
        </w:rPr>
      </w:pPr>
    </w:p>
    <w:p>
      <w:pPr>
        <w:widowControl/>
        <w:ind w:firstLine="482"/>
        <w:jc w:val="left"/>
        <w:rPr>
          <w:b/>
          <w:color w:val="auto"/>
          <w:kern w:val="21"/>
          <w:lang w:bidi="ar"/>
        </w:rPr>
        <w:sectPr>
          <w:pgSz w:w="16840" w:h="11910" w:orient="landscape"/>
          <w:pgMar w:top="1803" w:right="1440" w:bottom="1803" w:left="1440" w:header="392" w:footer="998" w:gutter="0"/>
          <w:cols w:space="0" w:num="1"/>
          <w:rtlGutter w:val="0"/>
          <w:docGrid w:linePitch="0" w:charSpace="0"/>
        </w:sectPr>
      </w:pPr>
    </w:p>
    <w:p>
      <w:pPr>
        <w:widowControl/>
        <w:ind w:firstLine="482"/>
        <w:jc w:val="left"/>
        <w:rPr>
          <w:rFonts w:hint="eastAsia" w:eastAsia="宋体"/>
          <w:b/>
          <w:color w:val="auto"/>
          <w:kern w:val="21"/>
          <w:lang w:eastAsia="zh-CN" w:bidi="ar"/>
        </w:rPr>
      </w:pPr>
      <w:r>
        <w:rPr>
          <w:b/>
          <w:color w:val="auto"/>
          <w:kern w:val="21"/>
          <w:lang w:bidi="ar"/>
        </w:rPr>
        <w:t>（</w:t>
      </w:r>
      <w:r>
        <w:rPr>
          <w:rFonts w:hint="eastAsia"/>
          <w:b/>
          <w:color w:val="auto"/>
          <w:kern w:val="21"/>
          <w:lang w:bidi="ar"/>
        </w:rPr>
        <w:t>2</w:t>
      </w:r>
      <w:r>
        <w:rPr>
          <w:b/>
          <w:color w:val="auto"/>
          <w:kern w:val="21"/>
          <w:lang w:bidi="ar"/>
        </w:rPr>
        <w:t>）</w:t>
      </w:r>
      <w:r>
        <w:rPr>
          <w:rFonts w:hint="eastAsia"/>
          <w:b/>
          <w:color w:val="auto"/>
          <w:kern w:val="21"/>
          <w:lang w:eastAsia="zh-CN" w:bidi="ar"/>
        </w:rPr>
        <w:t>项目运营过程中产生的废水</w:t>
      </w:r>
    </w:p>
    <w:p>
      <w:pPr>
        <w:widowControl/>
        <w:ind w:firstLine="482"/>
        <w:jc w:val="left"/>
        <w:rPr>
          <w:rFonts w:hint="eastAsia" w:eastAsia="宋体"/>
          <w:b w:val="0"/>
          <w:bCs/>
          <w:color w:val="auto"/>
          <w:kern w:val="21"/>
          <w:lang w:eastAsia="zh-CN" w:bidi="ar"/>
        </w:rPr>
      </w:pPr>
      <w:r>
        <w:rPr>
          <w:rFonts w:hint="eastAsia"/>
          <w:b w:val="0"/>
          <w:bCs/>
          <w:color w:val="auto"/>
          <w:kern w:val="21"/>
          <w:lang w:eastAsia="zh-CN" w:bidi="ar"/>
        </w:rPr>
        <w:t>项目运营过程中产生的废水包括</w:t>
      </w:r>
      <w:r>
        <w:rPr>
          <w:b w:val="0"/>
          <w:bCs/>
          <w:color w:val="auto"/>
          <w:kern w:val="21"/>
          <w:lang w:bidi="ar"/>
        </w:rPr>
        <w:t>MBR膜清洗废水</w:t>
      </w:r>
      <w:r>
        <w:rPr>
          <w:rFonts w:hint="eastAsia"/>
          <w:b w:val="0"/>
          <w:bCs/>
          <w:color w:val="auto"/>
          <w:kern w:val="21"/>
          <w:lang w:eastAsia="zh-CN" w:bidi="ar"/>
        </w:rPr>
        <w:t>、污泥脱水废水、办公生活污水。</w:t>
      </w:r>
    </w:p>
    <w:p>
      <w:pPr>
        <w:widowControl/>
        <w:ind w:firstLine="482"/>
        <w:jc w:val="left"/>
        <w:rPr>
          <w:color w:val="auto"/>
          <w:kern w:val="21"/>
        </w:rPr>
      </w:pPr>
      <w:r>
        <w:rPr>
          <w:rFonts w:hint="eastAsia"/>
          <w:b/>
          <w:color w:val="auto"/>
          <w:kern w:val="21"/>
          <w:lang w:eastAsia="zh-CN" w:bidi="ar"/>
        </w:rPr>
        <w:t>①</w:t>
      </w:r>
      <w:r>
        <w:rPr>
          <w:b/>
          <w:color w:val="auto"/>
          <w:kern w:val="21"/>
          <w:lang w:bidi="ar"/>
        </w:rPr>
        <w:t>MBR膜清洗废水（循环用水量）</w:t>
      </w:r>
    </w:p>
    <w:p>
      <w:pPr>
        <w:widowControl/>
        <w:ind w:firstLine="480"/>
        <w:jc w:val="left"/>
        <w:rPr>
          <w:color w:val="auto"/>
          <w:kern w:val="21"/>
          <w:lang w:bidi="ar"/>
        </w:rPr>
      </w:pPr>
      <w:r>
        <w:rPr>
          <w:rFonts w:hint="eastAsia"/>
          <w:color w:val="auto"/>
          <w:kern w:val="21"/>
          <w:lang w:bidi="ar"/>
        </w:rPr>
        <w:t>本项目</w:t>
      </w:r>
      <w:r>
        <w:rPr>
          <w:color w:val="auto"/>
          <w:kern w:val="21"/>
          <w:lang w:bidi="ar"/>
        </w:rPr>
        <w:t>膜清洗用水</w:t>
      </w:r>
      <w:r>
        <w:rPr>
          <w:rFonts w:hint="eastAsia"/>
          <w:color w:val="auto"/>
          <w:kern w:val="21"/>
          <w:lang w:bidi="ar"/>
        </w:rPr>
        <w:t>以处理后的中水</w:t>
      </w:r>
      <w:r>
        <w:rPr>
          <w:color w:val="auto"/>
          <w:kern w:val="21"/>
          <w:lang w:bidi="ar"/>
        </w:rPr>
        <w:t>进行清洗，清洗后产生的废水，</w:t>
      </w:r>
      <w:r>
        <w:rPr>
          <w:rFonts w:hint="eastAsia"/>
          <w:color w:val="auto"/>
          <w:kern w:val="21"/>
          <w:lang w:bidi="ar"/>
        </w:rPr>
        <w:t>返回</w:t>
      </w:r>
      <w:r>
        <w:rPr>
          <w:color w:val="auto"/>
          <w:kern w:val="21"/>
          <w:lang w:bidi="ar"/>
        </w:rPr>
        <w:t>污水处理系统</w:t>
      </w:r>
      <w:r>
        <w:rPr>
          <w:rFonts w:hint="eastAsia"/>
          <w:color w:val="auto"/>
          <w:kern w:val="21"/>
          <w:lang w:bidi="ar"/>
        </w:rPr>
        <w:t>继续</w:t>
      </w:r>
      <w:r>
        <w:rPr>
          <w:color w:val="auto"/>
          <w:kern w:val="21"/>
          <w:lang w:bidi="ar"/>
        </w:rPr>
        <w:t>处理。</w:t>
      </w:r>
      <w:r>
        <w:rPr>
          <w:rFonts w:hint="eastAsia"/>
          <w:color w:val="auto"/>
          <w:kern w:val="21"/>
          <w:lang w:bidi="ar"/>
        </w:rPr>
        <w:t>本项目MBR超滤膜由海南立昇净水科技实业有限公司提供，</w:t>
      </w:r>
      <w:r>
        <w:rPr>
          <w:color w:val="auto"/>
          <w:kern w:val="21"/>
          <w:lang w:bidi="ar"/>
        </w:rPr>
        <w:t>生物反应器设中空纤维超滤膜组件6组</w:t>
      </w:r>
      <w:r>
        <w:rPr>
          <w:rFonts w:hint="eastAsia"/>
          <w:color w:val="auto"/>
          <w:kern w:val="21"/>
          <w:lang w:bidi="ar"/>
        </w:rPr>
        <w:t>，每组膜面积2100m</w:t>
      </w:r>
      <w:r>
        <w:rPr>
          <w:rFonts w:hint="eastAsia"/>
          <w:color w:val="auto"/>
          <w:kern w:val="21"/>
          <w:vertAlign w:val="superscript"/>
          <w:lang w:bidi="ar"/>
        </w:rPr>
        <w:t>2</w:t>
      </w:r>
      <w:r>
        <w:rPr>
          <w:rFonts w:hint="eastAsia"/>
          <w:color w:val="auto"/>
          <w:kern w:val="21"/>
          <w:lang w:bidi="ar"/>
        </w:rPr>
        <w:t>，根据其运行维护管理手册，MBR膜清洗频率</w:t>
      </w:r>
      <w:r>
        <w:rPr>
          <w:color w:val="auto"/>
          <w:kern w:val="21"/>
          <w:lang w:bidi="ar"/>
        </w:rPr>
        <w:t>周期</w:t>
      </w:r>
      <w:r>
        <w:rPr>
          <w:rFonts w:hint="eastAsia"/>
          <w:color w:val="auto"/>
          <w:kern w:val="21"/>
          <w:lang w:bidi="ar"/>
        </w:rPr>
        <w:t>约</w:t>
      </w:r>
      <w:r>
        <w:rPr>
          <w:color w:val="auto"/>
          <w:kern w:val="21"/>
          <w:lang w:bidi="ar"/>
        </w:rPr>
        <w:t>为</w:t>
      </w:r>
      <w:r>
        <w:rPr>
          <w:rFonts w:hint="eastAsia"/>
          <w:color w:val="auto"/>
          <w:kern w:val="21"/>
          <w:lang w:bidi="ar"/>
        </w:rPr>
        <w:t>3月/次，车间设置酸洗池、碱洗池及清水池</w:t>
      </w:r>
      <w:r>
        <w:rPr>
          <w:color w:val="auto"/>
          <w:kern w:val="21"/>
          <w:lang w:bidi="ar"/>
        </w:rPr>
        <w:t>，采用药剂为次氯酸钠、柠檬酸。</w:t>
      </w:r>
      <w:r>
        <w:rPr>
          <w:rFonts w:hint="eastAsia"/>
          <w:color w:val="auto"/>
          <w:kern w:val="21"/>
          <w:lang w:bidi="ar"/>
        </w:rPr>
        <w:t>本项目采用离线化学清洗，膜从膜池中移除，放入到专用的化学清洗池中完成清洗操作。化学清洗结束，采用清水冲洗膜滤池以及膜组件以去除膜组件和管路中残留的化学清洗药剂，每次清洗</w:t>
      </w:r>
      <w:r>
        <w:rPr>
          <w:color w:val="auto"/>
          <w:kern w:val="21"/>
          <w:lang w:bidi="ar"/>
        </w:rPr>
        <w:t>次氯酸钠、柠檬酸</w:t>
      </w:r>
      <w:r>
        <w:rPr>
          <w:rFonts w:hint="eastAsia"/>
          <w:color w:val="auto"/>
          <w:kern w:val="21"/>
          <w:lang w:bidi="ar"/>
        </w:rPr>
        <w:t>用量约为3.5m</w:t>
      </w:r>
      <w:r>
        <w:rPr>
          <w:rFonts w:hint="eastAsia"/>
          <w:color w:val="auto"/>
          <w:kern w:val="21"/>
          <w:vertAlign w:val="superscript"/>
          <w:lang w:bidi="ar"/>
        </w:rPr>
        <w:t>3</w:t>
      </w:r>
      <w:r>
        <w:rPr>
          <w:rFonts w:hint="eastAsia"/>
          <w:color w:val="auto"/>
          <w:kern w:val="21"/>
          <w:lang w:bidi="ar"/>
        </w:rPr>
        <w:t>，</w:t>
      </w:r>
      <w:r>
        <w:rPr>
          <w:color w:val="auto"/>
          <w:kern w:val="21"/>
          <w:lang w:bidi="ar"/>
        </w:rPr>
        <w:t>每次清洗生物膜</w:t>
      </w:r>
      <w:r>
        <w:rPr>
          <w:rFonts w:hint="eastAsia"/>
          <w:color w:val="auto"/>
          <w:kern w:val="21"/>
          <w:lang w:bidi="ar"/>
        </w:rPr>
        <w:t>冲洗水量</w:t>
      </w:r>
      <w:r>
        <w:rPr>
          <w:color w:val="auto"/>
          <w:kern w:val="21"/>
          <w:lang w:bidi="ar"/>
        </w:rPr>
        <w:t>约</w:t>
      </w:r>
      <w:r>
        <w:rPr>
          <w:rFonts w:hint="eastAsia"/>
          <w:color w:val="auto"/>
          <w:kern w:val="21"/>
          <w:lang w:bidi="ar"/>
        </w:rPr>
        <w:t>200</w:t>
      </w:r>
      <w:r>
        <w:rPr>
          <w:color w:val="auto"/>
          <w:kern w:val="21"/>
          <w:lang w:bidi="ar"/>
        </w:rPr>
        <w:t>m</w:t>
      </w:r>
      <w:r>
        <w:rPr>
          <w:color w:val="auto"/>
          <w:kern w:val="21"/>
          <w:vertAlign w:val="superscript"/>
          <w:lang w:bidi="ar"/>
        </w:rPr>
        <w:t>3</w:t>
      </w:r>
      <w:r>
        <w:rPr>
          <w:color w:val="auto"/>
          <w:kern w:val="21"/>
          <w:lang w:bidi="ar"/>
        </w:rPr>
        <w:t>，</w:t>
      </w:r>
      <w:r>
        <w:rPr>
          <w:rFonts w:hint="eastAsia"/>
          <w:color w:val="auto"/>
          <w:kern w:val="21"/>
          <w:lang w:bidi="ar"/>
        </w:rPr>
        <w:t>年产生废水量约826.2m</w:t>
      </w:r>
      <w:r>
        <w:rPr>
          <w:rFonts w:hint="eastAsia"/>
          <w:color w:val="auto"/>
          <w:kern w:val="21"/>
          <w:vertAlign w:val="superscript"/>
          <w:lang w:bidi="ar"/>
        </w:rPr>
        <w:t>3</w:t>
      </w:r>
      <w:r>
        <w:rPr>
          <w:rFonts w:hint="eastAsia"/>
          <w:color w:val="auto"/>
          <w:kern w:val="21"/>
          <w:lang w:bidi="ar"/>
        </w:rPr>
        <w:t>/a，</w:t>
      </w:r>
      <w:r>
        <w:rPr>
          <w:color w:val="auto"/>
          <w:kern w:val="21"/>
          <w:lang w:bidi="ar"/>
        </w:rPr>
        <w:t>平均用水量为</w:t>
      </w:r>
      <w:r>
        <w:rPr>
          <w:rFonts w:hint="eastAsia"/>
          <w:color w:val="auto"/>
          <w:kern w:val="21"/>
          <w:lang w:bidi="ar"/>
        </w:rPr>
        <w:t>2.26</w:t>
      </w:r>
      <w:r>
        <w:rPr>
          <w:color w:val="auto"/>
          <w:kern w:val="21"/>
          <w:lang w:bidi="ar"/>
        </w:rPr>
        <w:t>m</w:t>
      </w:r>
      <w:r>
        <w:rPr>
          <w:color w:val="auto"/>
          <w:kern w:val="21"/>
          <w:vertAlign w:val="superscript"/>
          <w:lang w:bidi="ar"/>
        </w:rPr>
        <w:t>3</w:t>
      </w:r>
      <w:r>
        <w:rPr>
          <w:color w:val="auto"/>
          <w:kern w:val="21"/>
          <w:lang w:bidi="ar"/>
        </w:rPr>
        <w:t>/d。</w:t>
      </w:r>
    </w:p>
    <w:p>
      <w:pPr>
        <w:widowControl/>
        <w:ind w:firstLine="482"/>
        <w:jc w:val="left"/>
        <w:rPr>
          <w:color w:val="auto"/>
          <w:kern w:val="21"/>
        </w:rPr>
      </w:pPr>
      <w:r>
        <w:rPr>
          <w:rFonts w:hint="eastAsia"/>
          <w:b/>
          <w:color w:val="auto"/>
          <w:kern w:val="21"/>
          <w:lang w:eastAsia="zh-CN" w:bidi="ar"/>
        </w:rPr>
        <w:t>②</w:t>
      </w:r>
      <w:r>
        <w:rPr>
          <w:b/>
          <w:color w:val="auto"/>
          <w:kern w:val="21"/>
          <w:lang w:bidi="ar"/>
        </w:rPr>
        <w:t>污泥脱水废水</w:t>
      </w:r>
    </w:p>
    <w:p>
      <w:pPr>
        <w:widowControl/>
        <w:ind w:firstLine="480"/>
        <w:jc w:val="left"/>
        <w:rPr>
          <w:color w:val="auto"/>
          <w:kern w:val="21"/>
          <w:lang w:bidi="ar"/>
        </w:rPr>
      </w:pPr>
      <w:r>
        <w:rPr>
          <w:color w:val="auto"/>
          <w:kern w:val="21"/>
          <w:lang w:bidi="ar"/>
        </w:rPr>
        <w:t>污泥产生主要来源于微生物消耗水中好氧物质后产生的剩余污泥和悬浮性物质产生的污泥。根据项目可研，污泥日产生量为200m</w:t>
      </w:r>
      <w:r>
        <w:rPr>
          <w:rFonts w:hint="eastAsia"/>
          <w:color w:val="auto"/>
          <w:kern w:val="21"/>
          <w:vertAlign w:val="superscript"/>
          <w:lang w:bidi="ar"/>
        </w:rPr>
        <w:t>3</w:t>
      </w:r>
      <w:r>
        <w:rPr>
          <w:color w:val="auto"/>
          <w:kern w:val="21"/>
          <w:lang w:bidi="ar"/>
        </w:rPr>
        <w:t>，含水率99.5%，污泥含水量为199m</w:t>
      </w:r>
      <w:r>
        <w:rPr>
          <w:color w:val="auto"/>
          <w:kern w:val="21"/>
        </w:rPr>
        <w:t>³/d，</w:t>
      </w:r>
      <w:r>
        <w:rPr>
          <w:color w:val="auto"/>
          <w:kern w:val="21"/>
          <w:lang w:bidi="ar"/>
        </w:rPr>
        <w:t>脱水后污泥量含水率50%，污泥带走水量约1m</w:t>
      </w:r>
      <w:r>
        <w:rPr>
          <w:color w:val="auto"/>
          <w:kern w:val="21"/>
          <w:vertAlign w:val="superscript"/>
          <w:lang w:bidi="ar"/>
        </w:rPr>
        <w:t>3</w:t>
      </w:r>
      <w:r>
        <w:rPr>
          <w:color w:val="auto"/>
          <w:kern w:val="21"/>
          <w:lang w:bidi="ar"/>
        </w:rPr>
        <w:t>/d，污泥脱水产生的废水为198m</w:t>
      </w:r>
      <w:r>
        <w:rPr>
          <w:color w:val="auto"/>
          <w:kern w:val="21"/>
          <w:vertAlign w:val="superscript"/>
          <w:lang w:bidi="ar"/>
        </w:rPr>
        <w:t>3</w:t>
      </w:r>
      <w:r>
        <w:rPr>
          <w:color w:val="auto"/>
          <w:kern w:val="21"/>
          <w:lang w:bidi="ar"/>
        </w:rPr>
        <w:t>/d，该部分废水统一返回污水处理系统处理。</w:t>
      </w:r>
    </w:p>
    <w:p>
      <w:pPr>
        <w:widowControl/>
        <w:ind w:firstLine="482"/>
        <w:jc w:val="left"/>
        <w:rPr>
          <w:color w:val="auto"/>
          <w:kern w:val="21"/>
        </w:rPr>
      </w:pPr>
      <w:r>
        <w:rPr>
          <w:rFonts w:hint="eastAsia"/>
          <w:b/>
          <w:color w:val="auto"/>
          <w:kern w:val="21"/>
          <w:lang w:eastAsia="zh-CN" w:bidi="ar"/>
        </w:rPr>
        <w:t>③</w:t>
      </w:r>
      <w:r>
        <w:rPr>
          <w:b/>
          <w:color w:val="auto"/>
          <w:kern w:val="21"/>
          <w:lang w:bidi="ar"/>
        </w:rPr>
        <w:t>办公生活污水</w:t>
      </w:r>
    </w:p>
    <w:p>
      <w:pPr>
        <w:widowControl/>
        <w:ind w:firstLine="480"/>
        <w:jc w:val="left"/>
        <w:rPr>
          <w:color w:val="auto"/>
          <w:kern w:val="21"/>
        </w:rPr>
      </w:pPr>
      <w:r>
        <w:rPr>
          <w:color w:val="auto"/>
          <w:kern w:val="21"/>
          <w:lang w:bidi="ar"/>
        </w:rPr>
        <w:t>本项目劳动定员共18人，分“双班制”及“单班制”，在厂内食宿的为值班人员，一般在厂内值班的人员为9人。</w:t>
      </w:r>
      <w:r>
        <w:rPr>
          <w:color w:val="auto"/>
          <w:kern w:val="21"/>
        </w:rPr>
        <w:t>根据《云南省地方标准（用水定额）》（DB53/T168-2019），项目所在地属于亚热带区（Ⅱ区），生活用水按90L/d•人计（含餐饮、办公清洁卫生及生活用水），每天需水量0.81m</w:t>
      </w:r>
      <w:r>
        <w:rPr>
          <w:color w:val="auto"/>
          <w:kern w:val="21"/>
          <w:vertAlign w:val="superscript"/>
        </w:rPr>
        <w:t>3</w:t>
      </w:r>
      <w:r>
        <w:rPr>
          <w:color w:val="auto"/>
          <w:kern w:val="21"/>
        </w:rPr>
        <w:t>，生活污水量按需水量的80％计，生活污水产生量为0.65m</w:t>
      </w:r>
      <w:r>
        <w:rPr>
          <w:color w:val="auto"/>
          <w:kern w:val="21"/>
          <w:vertAlign w:val="superscript"/>
        </w:rPr>
        <w:t>3</w:t>
      </w:r>
      <w:r>
        <w:rPr>
          <w:color w:val="auto"/>
          <w:kern w:val="21"/>
        </w:rPr>
        <w:t>/d，主要污染物为SS、COD</w:t>
      </w:r>
      <w:r>
        <w:rPr>
          <w:color w:val="auto"/>
          <w:kern w:val="21"/>
          <w:vertAlign w:val="subscript"/>
        </w:rPr>
        <w:t>Cr</w:t>
      </w:r>
      <w:r>
        <w:rPr>
          <w:color w:val="auto"/>
          <w:kern w:val="21"/>
        </w:rPr>
        <w:t>、氨氮等。根据同类经验类比，生活污水主要污染物浓度：BOD</w:t>
      </w:r>
      <w:r>
        <w:rPr>
          <w:color w:val="auto"/>
          <w:kern w:val="21"/>
          <w:vertAlign w:val="subscript"/>
        </w:rPr>
        <w:t>5</w:t>
      </w:r>
      <w:r>
        <w:rPr>
          <w:color w:val="auto"/>
          <w:kern w:val="21"/>
        </w:rPr>
        <w:t>：46mg/L，COD：201mg/L，SS：136mg/L，氨氮：3.2mg/L。</w:t>
      </w:r>
    </w:p>
    <w:p>
      <w:pPr>
        <w:widowControl/>
        <w:ind w:firstLine="480"/>
        <w:jc w:val="left"/>
        <w:rPr>
          <w:color w:val="auto"/>
          <w:kern w:val="21"/>
        </w:rPr>
      </w:pPr>
      <w:r>
        <w:rPr>
          <w:color w:val="auto"/>
          <w:kern w:val="21"/>
        </w:rPr>
        <w:t>生活污水包括2部分，一部分为</w:t>
      </w:r>
      <w:r>
        <w:rPr>
          <w:rFonts w:hint="eastAsia"/>
          <w:color w:val="auto"/>
          <w:kern w:val="21"/>
        </w:rPr>
        <w:t>食堂</w:t>
      </w:r>
      <w:r>
        <w:rPr>
          <w:color w:val="auto"/>
          <w:kern w:val="21"/>
        </w:rPr>
        <w:t>污水，</w:t>
      </w:r>
      <w:r>
        <w:rPr>
          <w:rFonts w:hint="eastAsia"/>
          <w:color w:val="auto"/>
          <w:kern w:val="21"/>
        </w:rPr>
        <w:t>一部分</w:t>
      </w:r>
      <w:r>
        <w:rPr>
          <w:color w:val="auto"/>
          <w:kern w:val="21"/>
        </w:rPr>
        <w:t>为洗手、办公室等产生的污水。</w:t>
      </w:r>
      <w:r>
        <w:rPr>
          <w:rFonts w:hint="eastAsia"/>
          <w:color w:val="auto"/>
          <w:kern w:val="21"/>
        </w:rPr>
        <w:t>食堂</w:t>
      </w:r>
      <w:r>
        <w:rPr>
          <w:color w:val="auto"/>
          <w:kern w:val="21"/>
        </w:rPr>
        <w:t>污水按污水量的40%计算，</w:t>
      </w:r>
      <w:r>
        <w:rPr>
          <w:rFonts w:hint="eastAsia"/>
          <w:color w:val="auto"/>
          <w:kern w:val="21"/>
        </w:rPr>
        <w:t>食堂</w:t>
      </w:r>
      <w:r>
        <w:rPr>
          <w:color w:val="auto"/>
          <w:kern w:val="21"/>
        </w:rPr>
        <w:t>污水产生量为0.26m</w:t>
      </w:r>
      <w:r>
        <w:rPr>
          <w:color w:val="auto"/>
          <w:kern w:val="21"/>
          <w:vertAlign w:val="superscript"/>
        </w:rPr>
        <w:t>3</w:t>
      </w:r>
      <w:r>
        <w:rPr>
          <w:color w:val="auto"/>
          <w:kern w:val="21"/>
        </w:rPr>
        <w:t>/d</w:t>
      </w:r>
      <w:r>
        <w:rPr>
          <w:rFonts w:hint="eastAsia"/>
          <w:color w:val="auto"/>
          <w:kern w:val="21"/>
        </w:rPr>
        <w:t>。</w:t>
      </w:r>
      <w:r>
        <w:rPr>
          <w:color w:val="auto"/>
          <w:kern w:val="21"/>
          <w:lang w:bidi="ar"/>
        </w:rPr>
        <w:t>其他生活污水</w:t>
      </w:r>
      <w:r>
        <w:rPr>
          <w:color w:val="auto"/>
          <w:kern w:val="21"/>
        </w:rPr>
        <w:t>按污水量的60%计算，其他生活污水产生量为0.39m</w:t>
      </w:r>
      <w:r>
        <w:rPr>
          <w:color w:val="auto"/>
          <w:kern w:val="21"/>
          <w:vertAlign w:val="superscript"/>
        </w:rPr>
        <w:t>3</w:t>
      </w:r>
      <w:r>
        <w:rPr>
          <w:color w:val="auto"/>
          <w:kern w:val="21"/>
        </w:rPr>
        <w:t>/d</w:t>
      </w:r>
      <w:r>
        <w:rPr>
          <w:rFonts w:hint="eastAsia"/>
          <w:color w:val="auto"/>
          <w:kern w:val="21"/>
        </w:rPr>
        <w:t>。项目办公生活废水全部</w:t>
      </w:r>
      <w:r>
        <w:rPr>
          <w:color w:val="auto"/>
          <w:kern w:val="21"/>
          <w:lang w:bidi="ar"/>
        </w:rPr>
        <w:t>排入污水处理厂调节池与其他污水一同处理。</w:t>
      </w:r>
    </w:p>
    <w:p>
      <w:pPr>
        <w:widowControl/>
        <w:ind w:firstLine="482"/>
        <w:jc w:val="left"/>
        <w:rPr>
          <w:b/>
          <w:bCs/>
          <w:color w:val="auto"/>
          <w:kern w:val="21"/>
        </w:rPr>
      </w:pPr>
      <w:r>
        <w:rPr>
          <w:b/>
          <w:bCs/>
          <w:color w:val="auto"/>
          <w:kern w:val="21"/>
        </w:rPr>
        <w:t>（</w:t>
      </w:r>
      <w:r>
        <w:rPr>
          <w:rFonts w:hint="eastAsia"/>
          <w:b/>
          <w:bCs/>
          <w:color w:val="auto"/>
          <w:kern w:val="21"/>
          <w:lang w:val="en-US" w:eastAsia="zh-CN"/>
        </w:rPr>
        <w:t>3</w:t>
      </w:r>
      <w:r>
        <w:rPr>
          <w:b/>
          <w:bCs/>
          <w:color w:val="auto"/>
          <w:kern w:val="21"/>
        </w:rPr>
        <w:t>）厂区绿化用水</w:t>
      </w:r>
    </w:p>
    <w:p>
      <w:pPr>
        <w:ind w:firstLine="480"/>
        <w:rPr>
          <w:color w:val="auto"/>
          <w:kern w:val="21"/>
          <w:lang w:bidi="ar"/>
        </w:rPr>
      </w:pPr>
      <w:r>
        <w:rPr>
          <w:color w:val="auto"/>
          <w:kern w:val="21"/>
        </w:rPr>
        <w:t>项目建成后绿化面积约</w:t>
      </w:r>
      <w:r>
        <w:rPr>
          <w:rFonts w:hint="eastAsia"/>
          <w:color w:val="auto"/>
          <w:kern w:val="21"/>
        </w:rPr>
        <w:t>2719.09m</w:t>
      </w:r>
      <w:r>
        <w:rPr>
          <w:rFonts w:hint="eastAsia"/>
          <w:color w:val="auto"/>
          <w:kern w:val="21"/>
          <w:vertAlign w:val="superscript"/>
        </w:rPr>
        <w:t>2</w:t>
      </w:r>
      <w:r>
        <w:rPr>
          <w:color w:val="auto"/>
          <w:kern w:val="21"/>
        </w:rPr>
        <w:t>，晴天天气干燥，项目所在地蒸发量较大，每m</w:t>
      </w:r>
      <w:r>
        <w:rPr>
          <w:color w:val="auto"/>
          <w:kern w:val="21"/>
          <w:vertAlign w:val="superscript"/>
        </w:rPr>
        <w:t>2</w:t>
      </w:r>
      <w:r>
        <w:rPr>
          <w:color w:val="auto"/>
          <w:kern w:val="21"/>
        </w:rPr>
        <w:t>每次绿化洒水按3L计算，每天1次，则每天洒水</w:t>
      </w:r>
      <w:r>
        <w:rPr>
          <w:rFonts w:hint="eastAsia"/>
          <w:color w:val="auto"/>
          <w:kern w:val="21"/>
        </w:rPr>
        <w:t>8.16</w:t>
      </w:r>
      <w:r>
        <w:rPr>
          <w:color w:val="auto"/>
          <w:kern w:val="21"/>
        </w:rPr>
        <w:t>m</w:t>
      </w:r>
      <w:r>
        <w:rPr>
          <w:color w:val="auto"/>
          <w:kern w:val="21"/>
          <w:vertAlign w:val="superscript"/>
        </w:rPr>
        <w:t>3</w:t>
      </w:r>
      <w:r>
        <w:rPr>
          <w:color w:val="auto"/>
          <w:kern w:val="21"/>
        </w:rPr>
        <w:t>，</w:t>
      </w:r>
      <w:r>
        <w:rPr>
          <w:color w:val="auto"/>
          <w:kern w:val="21"/>
          <w:lang w:bidi="ar"/>
        </w:rPr>
        <w:t>经查阅项目所在地的气象资料，晴天按照每年</w:t>
      </w:r>
      <w:r>
        <w:rPr>
          <w:rFonts w:hint="eastAsia"/>
          <w:color w:val="auto"/>
          <w:kern w:val="21"/>
          <w:lang w:bidi="ar"/>
        </w:rPr>
        <w:t>200</w:t>
      </w:r>
      <w:r>
        <w:rPr>
          <w:color w:val="auto"/>
          <w:kern w:val="21"/>
          <w:lang w:bidi="ar"/>
        </w:rPr>
        <w:t>d</w:t>
      </w:r>
      <w:r>
        <w:rPr>
          <w:rFonts w:hint="eastAsia"/>
          <w:color w:val="auto"/>
          <w:kern w:val="21"/>
          <w:lang w:bidi="ar"/>
        </w:rPr>
        <w:t>计，则项目绿化用水量为1632</w:t>
      </w:r>
      <w:r>
        <w:rPr>
          <w:color w:val="auto"/>
          <w:kern w:val="21"/>
        </w:rPr>
        <w:t>m</w:t>
      </w:r>
      <w:r>
        <w:rPr>
          <w:color w:val="auto"/>
          <w:kern w:val="21"/>
          <w:vertAlign w:val="superscript"/>
        </w:rPr>
        <w:t>3</w:t>
      </w:r>
      <w:r>
        <w:rPr>
          <w:rFonts w:hint="eastAsia"/>
          <w:color w:val="auto"/>
          <w:kern w:val="21"/>
          <w:lang w:bidi="ar"/>
        </w:rPr>
        <w:t>/a，</w:t>
      </w:r>
      <w:r>
        <w:rPr>
          <w:color w:val="auto"/>
          <w:kern w:val="21"/>
        </w:rPr>
        <w:t>绿化用水全部</w:t>
      </w:r>
      <w:r>
        <w:rPr>
          <w:rFonts w:hint="eastAsia"/>
          <w:color w:val="auto"/>
          <w:kern w:val="21"/>
        </w:rPr>
        <w:t>采用中水，</w:t>
      </w:r>
      <w:r>
        <w:rPr>
          <w:color w:val="auto"/>
          <w:kern w:val="21"/>
        </w:rPr>
        <w:t>蒸发</w:t>
      </w:r>
      <w:r>
        <w:rPr>
          <w:rFonts w:hint="eastAsia"/>
          <w:color w:val="auto"/>
          <w:kern w:val="21"/>
        </w:rPr>
        <w:t>损失</w:t>
      </w:r>
      <w:r>
        <w:rPr>
          <w:color w:val="auto"/>
          <w:kern w:val="21"/>
        </w:rPr>
        <w:t>。</w:t>
      </w:r>
    </w:p>
    <w:p>
      <w:pPr>
        <w:ind w:firstLine="480"/>
        <w:rPr>
          <w:color w:val="auto"/>
          <w:kern w:val="21"/>
          <w:lang w:bidi="ar"/>
        </w:rPr>
      </w:pPr>
      <w:r>
        <w:rPr>
          <w:color w:val="auto"/>
          <w:kern w:val="21"/>
          <w:lang w:bidi="ar"/>
        </w:rPr>
        <w:t>项目废水产生量为182</w:t>
      </w:r>
      <w:r>
        <w:rPr>
          <w:rFonts w:hint="eastAsia"/>
          <w:color w:val="auto"/>
          <w:kern w:val="21"/>
          <w:lang w:bidi="ar"/>
        </w:rPr>
        <w:t>.</w:t>
      </w:r>
      <w:r>
        <w:rPr>
          <w:color w:val="auto"/>
          <w:kern w:val="21"/>
          <w:lang w:bidi="ar"/>
        </w:rPr>
        <w:t>5</w:t>
      </w:r>
      <w:r>
        <w:rPr>
          <w:rFonts w:hint="eastAsia"/>
          <w:color w:val="auto"/>
          <w:kern w:val="21"/>
          <w:lang w:bidi="ar"/>
        </w:rPr>
        <w:t>万</w:t>
      </w:r>
      <w:r>
        <w:rPr>
          <w:color w:val="auto"/>
          <w:kern w:val="21"/>
          <w:lang w:bidi="ar"/>
        </w:rPr>
        <w:t>m</w:t>
      </w:r>
      <w:r>
        <w:rPr>
          <w:color w:val="auto"/>
          <w:kern w:val="21"/>
          <w:vertAlign w:val="superscript"/>
          <w:lang w:bidi="ar"/>
        </w:rPr>
        <w:t>3</w:t>
      </w:r>
      <w:r>
        <w:rPr>
          <w:color w:val="auto"/>
          <w:kern w:val="21"/>
          <w:lang w:bidi="ar"/>
        </w:rPr>
        <w:t>/a（5000m</w:t>
      </w:r>
      <w:r>
        <w:rPr>
          <w:color w:val="auto"/>
          <w:kern w:val="21"/>
          <w:vertAlign w:val="superscript"/>
          <w:lang w:bidi="ar"/>
        </w:rPr>
        <w:t>3</w:t>
      </w:r>
      <w:r>
        <w:rPr>
          <w:color w:val="auto"/>
          <w:kern w:val="21"/>
          <w:lang w:bidi="ar"/>
        </w:rPr>
        <w:t>/d），废水削减量</w:t>
      </w:r>
      <w:r>
        <w:rPr>
          <w:rFonts w:hint="eastAsia"/>
          <w:color w:val="auto"/>
          <w:kern w:val="21"/>
          <w:lang w:bidi="ar"/>
        </w:rPr>
        <w:t>1997</w:t>
      </w:r>
      <w:r>
        <w:rPr>
          <w:color w:val="auto"/>
          <w:kern w:val="21"/>
          <w:lang w:bidi="ar"/>
        </w:rPr>
        <w:t>m</w:t>
      </w:r>
      <w:r>
        <w:rPr>
          <w:color w:val="auto"/>
          <w:kern w:val="21"/>
          <w:vertAlign w:val="superscript"/>
          <w:lang w:bidi="ar"/>
        </w:rPr>
        <w:t>3</w:t>
      </w:r>
      <w:r>
        <w:rPr>
          <w:color w:val="auto"/>
          <w:kern w:val="21"/>
          <w:lang w:bidi="ar"/>
        </w:rPr>
        <w:t>/a（</w:t>
      </w:r>
      <w:r>
        <w:rPr>
          <w:rFonts w:hint="eastAsia"/>
          <w:color w:val="auto"/>
          <w:kern w:val="21"/>
          <w:lang w:eastAsia="zh-CN" w:bidi="ar"/>
        </w:rPr>
        <w:t>其中：</w:t>
      </w:r>
      <w:r>
        <w:rPr>
          <w:color w:val="auto"/>
          <w:kern w:val="21"/>
          <w:lang w:bidi="ar"/>
        </w:rPr>
        <w:t>厂区绿化用量为</w:t>
      </w:r>
      <w:r>
        <w:rPr>
          <w:rFonts w:hint="eastAsia"/>
          <w:color w:val="auto"/>
          <w:kern w:val="21"/>
          <w:lang w:bidi="ar"/>
        </w:rPr>
        <w:t>1632</w:t>
      </w:r>
      <w:r>
        <w:rPr>
          <w:color w:val="auto"/>
          <w:kern w:val="21"/>
          <w:lang w:bidi="ar"/>
        </w:rPr>
        <w:t>m</w:t>
      </w:r>
      <w:r>
        <w:rPr>
          <w:color w:val="auto"/>
          <w:kern w:val="21"/>
          <w:vertAlign w:val="superscript"/>
          <w:lang w:bidi="ar"/>
        </w:rPr>
        <w:t>3</w:t>
      </w:r>
      <w:r>
        <w:rPr>
          <w:color w:val="auto"/>
          <w:kern w:val="21"/>
          <w:lang w:bidi="ar"/>
        </w:rPr>
        <w:t>/a、污泥带走水量365m</w:t>
      </w:r>
      <w:r>
        <w:rPr>
          <w:color w:val="auto"/>
          <w:kern w:val="21"/>
          <w:vertAlign w:val="superscript"/>
          <w:lang w:bidi="ar"/>
        </w:rPr>
        <w:t>3</w:t>
      </w:r>
      <w:r>
        <w:rPr>
          <w:color w:val="auto"/>
          <w:kern w:val="21"/>
          <w:lang w:bidi="ar"/>
        </w:rPr>
        <w:t>/a），循环用水量</w:t>
      </w:r>
      <w:r>
        <w:rPr>
          <w:rFonts w:hint="eastAsia"/>
          <w:color w:val="auto"/>
          <w:kern w:val="21"/>
          <w:lang w:bidi="ar"/>
        </w:rPr>
        <w:t>73094.9</w:t>
      </w:r>
      <w:r>
        <w:rPr>
          <w:color w:val="auto"/>
          <w:kern w:val="21"/>
          <w:lang w:bidi="ar"/>
        </w:rPr>
        <w:t>m</w:t>
      </w:r>
      <w:r>
        <w:rPr>
          <w:color w:val="auto"/>
          <w:kern w:val="21"/>
          <w:vertAlign w:val="superscript"/>
          <w:lang w:bidi="ar"/>
        </w:rPr>
        <w:t>3</w:t>
      </w:r>
      <w:r>
        <w:rPr>
          <w:color w:val="auto"/>
          <w:kern w:val="21"/>
          <w:lang w:bidi="ar"/>
        </w:rPr>
        <w:t>/a，</w:t>
      </w:r>
      <w:r>
        <w:rPr>
          <w:rFonts w:hint="eastAsia"/>
          <w:color w:val="auto"/>
          <w:kern w:val="21"/>
          <w:lang w:bidi="ar"/>
        </w:rPr>
        <w:t>则</w:t>
      </w:r>
      <w:r>
        <w:rPr>
          <w:color w:val="auto"/>
          <w:kern w:val="21"/>
          <w:lang w:bidi="ar"/>
        </w:rPr>
        <w:t>废水排放量为</w:t>
      </w:r>
      <w:r>
        <w:rPr>
          <w:rFonts w:hint="eastAsia"/>
          <w:color w:val="auto"/>
          <w:kern w:val="21"/>
          <w:lang w:eastAsia="zh-CN" w:bidi="ar"/>
        </w:rPr>
        <w:t>1750646.1</w:t>
      </w:r>
      <w:r>
        <w:rPr>
          <w:color w:val="auto"/>
          <w:kern w:val="21"/>
          <w:lang w:bidi="ar"/>
        </w:rPr>
        <w:t>m</w:t>
      </w:r>
      <w:r>
        <w:rPr>
          <w:color w:val="auto"/>
          <w:kern w:val="21"/>
          <w:vertAlign w:val="superscript"/>
          <w:lang w:bidi="ar"/>
        </w:rPr>
        <w:t>3</w:t>
      </w:r>
      <w:r>
        <w:rPr>
          <w:color w:val="auto"/>
          <w:kern w:val="21"/>
          <w:lang w:bidi="ar"/>
        </w:rPr>
        <w:t>/a（</w:t>
      </w:r>
      <w:r>
        <w:rPr>
          <w:rFonts w:hint="eastAsia"/>
          <w:color w:val="auto"/>
          <w:kern w:val="21"/>
          <w:lang w:val="en-US" w:eastAsia="zh-CN" w:bidi="ar"/>
        </w:rPr>
        <w:t>4796.29</w:t>
      </w:r>
      <w:r>
        <w:rPr>
          <w:color w:val="auto"/>
          <w:kern w:val="21"/>
          <w:lang w:bidi="ar"/>
        </w:rPr>
        <w:t>m</w:t>
      </w:r>
      <w:r>
        <w:rPr>
          <w:color w:val="auto"/>
          <w:kern w:val="21"/>
          <w:vertAlign w:val="superscript"/>
          <w:lang w:bidi="ar"/>
        </w:rPr>
        <w:t>3</w:t>
      </w:r>
      <w:r>
        <w:rPr>
          <w:color w:val="auto"/>
          <w:kern w:val="21"/>
          <w:lang w:bidi="ar"/>
        </w:rPr>
        <w:t>/d）。项目水平衡图见</w:t>
      </w:r>
      <w:r>
        <w:rPr>
          <w:rFonts w:hint="eastAsia"/>
          <w:color w:val="auto"/>
          <w:kern w:val="21"/>
          <w:lang w:eastAsia="zh-CN" w:bidi="ar"/>
        </w:rPr>
        <w:t>下图</w:t>
      </w:r>
      <w:r>
        <w:rPr>
          <w:color w:val="auto"/>
          <w:kern w:val="21"/>
          <w:lang w:bidi="ar"/>
        </w:rPr>
        <w:t>。</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auto"/>
        </w:rPr>
      </w:pPr>
      <w:r>
        <w:rPr>
          <w:color w:val="auto"/>
        </w:rPr>
        <w:object>
          <v:shape id="_x0000_i1029" o:spt="75" type="#_x0000_t75" style="height:292.1pt;width:414.75pt;" o:ole="t" filled="f" o:preferrelative="t" stroked="f" coordsize="21600,21600">
            <v:path/>
            <v:fill on="f" focussize="0,0"/>
            <v:stroke on="f"/>
            <v:imagedata r:id="rId35" o:title=""/>
            <o:lock v:ext="edit" aspectratio="f"/>
            <w10:wrap type="none"/>
            <w10:anchorlock/>
          </v:shape>
          <o:OLEObject Type="Embed" ProgID="Visio.Drawing.15" ShapeID="_x0000_i1029" DrawAspect="Content" ObjectID="_1468075729" r:id="rId34">
            <o:LockedField>false</o:LockedField>
          </o:OLEObject>
        </w:object>
      </w:r>
    </w:p>
    <w:p>
      <w:pPr>
        <w:keepNext w:val="0"/>
        <w:keepLines w:val="0"/>
        <w:pageBreakBefore w:val="0"/>
        <w:widowControl/>
        <w:numPr>
          <w:ilvl w:val="0"/>
          <w:numId w:val="6"/>
        </w:numPr>
        <w:kinsoku/>
        <w:wordWrap/>
        <w:overflowPunct/>
        <w:topLinePunct w:val="0"/>
        <w:autoSpaceDE/>
        <w:autoSpaceDN/>
        <w:bidi w:val="0"/>
        <w:adjustRightInd/>
        <w:snapToGrid/>
        <w:ind w:left="0" w:leftChars="0" w:firstLine="0" w:firstLineChars="0"/>
        <w:jc w:val="center"/>
        <w:textAlignment w:val="auto"/>
        <w:rPr>
          <w:b/>
          <w:bCs/>
          <w:color w:val="auto"/>
          <w:kern w:val="21"/>
        </w:rPr>
      </w:pPr>
      <w:r>
        <w:rPr>
          <w:b/>
          <w:bCs/>
          <w:color w:val="auto"/>
          <w:kern w:val="21"/>
          <w:lang w:bidi="ar"/>
        </w:rPr>
        <w:t>项目水平衡图</w:t>
      </w:r>
      <w:r>
        <w:rPr>
          <w:rFonts w:hint="eastAsia"/>
          <w:b/>
          <w:bCs/>
          <w:color w:val="auto"/>
          <w:kern w:val="21"/>
          <w:lang w:val="en-US" w:eastAsia="zh-CN" w:bidi="ar"/>
        </w:rPr>
        <w:t xml:space="preserve">   </w:t>
      </w:r>
      <w:r>
        <w:rPr>
          <w:b/>
          <w:bCs/>
          <w:color w:val="auto"/>
          <w:kern w:val="21"/>
        </w:rPr>
        <w:t>单位：m</w:t>
      </w:r>
      <w:r>
        <w:rPr>
          <w:b/>
          <w:bCs/>
          <w:color w:val="auto"/>
          <w:kern w:val="21"/>
          <w:vertAlign w:val="superscript"/>
        </w:rPr>
        <w:t>3</w:t>
      </w:r>
      <w:r>
        <w:rPr>
          <w:b/>
          <w:bCs/>
          <w:color w:val="auto"/>
          <w:kern w:val="21"/>
        </w:rPr>
        <w:t>/d</w:t>
      </w:r>
    </w:p>
    <w:p>
      <w:pPr>
        <w:pStyle w:val="23"/>
        <w:spacing w:after="0" w:line="360" w:lineRule="auto"/>
        <w:ind w:left="0" w:leftChars="0" w:firstLine="480"/>
        <w:rPr>
          <w:color w:val="auto"/>
          <w:kern w:val="21"/>
        </w:rPr>
      </w:pPr>
      <w:r>
        <w:rPr>
          <w:rFonts w:hint="eastAsia"/>
          <w:color w:val="auto"/>
          <w:kern w:val="21"/>
          <w:lang w:val="en-US" w:eastAsia="zh-CN"/>
        </w:rPr>
        <w:t>2、</w:t>
      </w:r>
      <w:r>
        <w:rPr>
          <w:color w:val="auto"/>
          <w:kern w:val="21"/>
        </w:rPr>
        <w:t>项目水污染物排放量核算</w:t>
      </w:r>
    </w:p>
    <w:p>
      <w:pPr>
        <w:pStyle w:val="23"/>
        <w:spacing w:after="0" w:line="360" w:lineRule="auto"/>
        <w:ind w:left="0" w:leftChars="0" w:firstLine="480"/>
        <w:rPr>
          <w:color w:val="auto"/>
          <w:kern w:val="21"/>
          <w:lang w:bidi="ar"/>
        </w:rPr>
      </w:pPr>
      <w:r>
        <w:rPr>
          <w:color w:val="auto"/>
          <w:kern w:val="21"/>
        </w:rPr>
        <w:t>根据上述分析，项目正常状况下COD</w:t>
      </w:r>
      <w:r>
        <w:rPr>
          <w:color w:val="auto"/>
          <w:kern w:val="21"/>
          <w:sz w:val="21"/>
          <w:szCs w:val="21"/>
          <w:vertAlign w:val="subscript"/>
          <w:lang w:bidi="ar"/>
        </w:rPr>
        <w:t>Cr</w:t>
      </w:r>
      <w:r>
        <w:rPr>
          <w:color w:val="auto"/>
          <w:kern w:val="21"/>
        </w:rPr>
        <w:t>、BOD</w:t>
      </w:r>
      <w:r>
        <w:rPr>
          <w:color w:val="auto"/>
          <w:kern w:val="21"/>
          <w:vertAlign w:val="subscript"/>
        </w:rPr>
        <w:t>5</w:t>
      </w:r>
      <w:r>
        <w:rPr>
          <w:color w:val="auto"/>
          <w:kern w:val="21"/>
        </w:rPr>
        <w:t>、氨氮、总磷、</w:t>
      </w:r>
      <w:r>
        <w:rPr>
          <w:rFonts w:hint="eastAsia"/>
          <w:color w:val="auto"/>
          <w:kern w:val="21"/>
          <w:lang w:eastAsia="zh-CN"/>
        </w:rPr>
        <w:t>总氮、</w:t>
      </w:r>
      <w:r>
        <w:rPr>
          <w:color w:val="auto"/>
          <w:kern w:val="21"/>
        </w:rPr>
        <w:t>SS</w:t>
      </w:r>
      <w:r>
        <w:rPr>
          <w:rFonts w:hint="eastAsia"/>
          <w:color w:val="auto"/>
          <w:kern w:val="21"/>
          <w:lang w:eastAsia="zh-CN"/>
        </w:rPr>
        <w:t>、氟化物</w:t>
      </w:r>
      <w:r>
        <w:rPr>
          <w:color w:val="auto"/>
          <w:kern w:val="21"/>
        </w:rPr>
        <w:t>排放浓度按照</w:t>
      </w:r>
      <w:r>
        <w:rPr>
          <w:rFonts w:hint="eastAsia"/>
          <w:color w:val="auto"/>
          <w:kern w:val="21"/>
          <w:lang w:eastAsia="zh-CN"/>
        </w:rPr>
        <w:t>表2-23</w:t>
      </w:r>
      <w:r>
        <w:rPr>
          <w:rFonts w:hint="eastAsia"/>
          <w:color w:val="auto"/>
          <w:kern w:val="21"/>
          <w:lang w:val="en-US" w:eastAsia="zh-CN"/>
        </w:rPr>
        <w:t>执行</w:t>
      </w:r>
      <w:r>
        <w:rPr>
          <w:color w:val="auto"/>
          <w:kern w:val="21"/>
        </w:rPr>
        <w:t>，分别为</w:t>
      </w:r>
      <w:r>
        <w:rPr>
          <w:rFonts w:hint="eastAsia"/>
          <w:color w:val="auto"/>
          <w:kern w:val="21"/>
        </w:rPr>
        <w:t>3</w:t>
      </w:r>
      <w:r>
        <w:rPr>
          <w:color w:val="auto"/>
          <w:kern w:val="21"/>
        </w:rPr>
        <w:t>0mg/L、10mg/L、</w:t>
      </w:r>
      <w:r>
        <w:rPr>
          <w:rFonts w:hint="eastAsia"/>
          <w:color w:val="auto"/>
          <w:kern w:val="21"/>
          <w:lang w:val="en-US" w:eastAsia="zh-CN"/>
        </w:rPr>
        <w:t>2.07</w:t>
      </w:r>
      <w:r>
        <w:rPr>
          <w:color w:val="auto"/>
          <w:kern w:val="21"/>
        </w:rPr>
        <w:t>mg/L、0.</w:t>
      </w:r>
      <w:r>
        <w:rPr>
          <w:rFonts w:hint="eastAsia"/>
          <w:color w:val="auto"/>
          <w:kern w:val="21"/>
        </w:rPr>
        <w:t>3</w:t>
      </w:r>
      <w:r>
        <w:rPr>
          <w:color w:val="auto"/>
          <w:kern w:val="21"/>
        </w:rPr>
        <w:t>mg/L、</w:t>
      </w:r>
      <w:r>
        <w:rPr>
          <w:rFonts w:hint="eastAsia"/>
          <w:color w:val="auto"/>
          <w:kern w:val="21"/>
          <w:lang w:val="en-US" w:eastAsia="zh-CN"/>
        </w:rPr>
        <w:t>15</w:t>
      </w:r>
      <w:r>
        <w:rPr>
          <w:color w:val="auto"/>
          <w:kern w:val="21"/>
        </w:rPr>
        <w:t>mg/L</w:t>
      </w:r>
      <w:r>
        <w:rPr>
          <w:rFonts w:hint="eastAsia"/>
          <w:color w:val="auto"/>
          <w:kern w:val="21"/>
          <w:lang w:eastAsia="zh-CN"/>
        </w:rPr>
        <w:t>、</w:t>
      </w:r>
      <w:r>
        <w:rPr>
          <w:color w:val="auto"/>
          <w:kern w:val="21"/>
        </w:rPr>
        <w:t>10mg/L、</w:t>
      </w:r>
      <w:r>
        <w:rPr>
          <w:rFonts w:hint="eastAsia"/>
          <w:color w:val="auto"/>
          <w:kern w:val="21"/>
          <w:lang w:val="en-US" w:eastAsia="zh-CN"/>
        </w:rPr>
        <w:t>2.31</w:t>
      </w:r>
      <w:r>
        <w:rPr>
          <w:color w:val="auto"/>
          <w:kern w:val="21"/>
        </w:rPr>
        <w:t>mg/L，排水量按照</w:t>
      </w:r>
      <w:r>
        <w:rPr>
          <w:rFonts w:hint="eastAsia"/>
          <w:color w:val="auto"/>
          <w:kern w:val="21"/>
          <w:lang w:eastAsia="zh-CN" w:bidi="ar"/>
        </w:rPr>
        <w:t>1750646.1</w:t>
      </w:r>
      <w:r>
        <w:rPr>
          <w:color w:val="auto"/>
          <w:kern w:val="21"/>
          <w:lang w:bidi="ar"/>
        </w:rPr>
        <w:t>m</w:t>
      </w:r>
      <w:r>
        <w:rPr>
          <w:color w:val="auto"/>
          <w:kern w:val="21"/>
          <w:vertAlign w:val="superscript"/>
          <w:lang w:bidi="ar"/>
        </w:rPr>
        <w:t>3</w:t>
      </w:r>
      <w:r>
        <w:rPr>
          <w:color w:val="auto"/>
          <w:kern w:val="21"/>
          <w:lang w:bidi="ar"/>
        </w:rPr>
        <w:t>/a计算</w:t>
      </w:r>
      <w:r>
        <w:rPr>
          <w:color w:val="auto"/>
          <w:kern w:val="21"/>
        </w:rPr>
        <w:t>；非正常状况为污水处理厂设备出现故障、停电等情况，废水未经处理直接排入青龙河，故非正常正常状况下COD</w:t>
      </w:r>
      <w:r>
        <w:rPr>
          <w:color w:val="auto"/>
          <w:kern w:val="21"/>
          <w:sz w:val="21"/>
          <w:szCs w:val="21"/>
          <w:vertAlign w:val="subscript"/>
          <w:lang w:bidi="ar"/>
        </w:rPr>
        <w:t>Cr</w:t>
      </w:r>
      <w:r>
        <w:rPr>
          <w:color w:val="auto"/>
          <w:kern w:val="21"/>
        </w:rPr>
        <w:t>、BOD</w:t>
      </w:r>
      <w:r>
        <w:rPr>
          <w:color w:val="auto"/>
          <w:kern w:val="21"/>
          <w:vertAlign w:val="subscript"/>
        </w:rPr>
        <w:t>5</w:t>
      </w:r>
      <w:r>
        <w:rPr>
          <w:color w:val="auto"/>
          <w:kern w:val="21"/>
        </w:rPr>
        <w:t>、氨氮、总磷、</w:t>
      </w:r>
      <w:r>
        <w:rPr>
          <w:rFonts w:hint="eastAsia"/>
          <w:color w:val="auto"/>
          <w:kern w:val="21"/>
          <w:lang w:eastAsia="zh-CN"/>
        </w:rPr>
        <w:t>总氮、</w:t>
      </w:r>
      <w:r>
        <w:rPr>
          <w:color w:val="auto"/>
          <w:kern w:val="21"/>
        </w:rPr>
        <w:t>SS</w:t>
      </w:r>
      <w:r>
        <w:rPr>
          <w:rFonts w:hint="eastAsia"/>
          <w:color w:val="auto"/>
          <w:kern w:val="21"/>
          <w:lang w:eastAsia="zh-CN"/>
        </w:rPr>
        <w:t>、氟化物</w:t>
      </w:r>
      <w:r>
        <w:rPr>
          <w:color w:val="auto"/>
          <w:kern w:val="21"/>
        </w:rPr>
        <w:t>排放浓度按照</w:t>
      </w:r>
      <w:r>
        <w:rPr>
          <w:rFonts w:hint="eastAsia"/>
          <w:color w:val="auto"/>
          <w:kern w:val="21"/>
          <w:lang w:eastAsia="zh-CN"/>
        </w:rPr>
        <w:t>混合废水</w:t>
      </w:r>
      <w:r>
        <w:rPr>
          <w:color w:val="auto"/>
          <w:kern w:val="21"/>
        </w:rPr>
        <w:t>计算，分别为</w:t>
      </w:r>
      <w:r>
        <w:rPr>
          <w:rFonts w:hint="eastAsia"/>
          <w:color w:val="auto"/>
          <w:kern w:val="21"/>
          <w:lang w:val="en-US" w:eastAsia="zh-CN"/>
        </w:rPr>
        <w:t>400.61</w:t>
      </w:r>
      <w:r>
        <w:rPr>
          <w:color w:val="auto"/>
          <w:kern w:val="21"/>
        </w:rPr>
        <w:t>mg/L、</w:t>
      </w:r>
      <w:r>
        <w:rPr>
          <w:rFonts w:hint="eastAsia"/>
          <w:color w:val="auto"/>
          <w:kern w:val="21"/>
          <w:lang w:val="en-US" w:eastAsia="zh-CN"/>
        </w:rPr>
        <w:t>314.20</w:t>
      </w:r>
      <w:r>
        <w:rPr>
          <w:color w:val="auto"/>
          <w:kern w:val="21"/>
        </w:rPr>
        <w:t>mg/L、</w:t>
      </w:r>
      <w:r>
        <w:rPr>
          <w:rFonts w:hint="eastAsia"/>
          <w:color w:val="auto"/>
          <w:kern w:val="21"/>
          <w:lang w:val="en-US" w:eastAsia="zh-CN"/>
        </w:rPr>
        <w:t>40.74</w:t>
      </w:r>
      <w:r>
        <w:rPr>
          <w:color w:val="auto"/>
          <w:kern w:val="21"/>
        </w:rPr>
        <w:t>mg/L、</w:t>
      </w:r>
      <w:r>
        <w:rPr>
          <w:rFonts w:hint="eastAsia"/>
          <w:color w:val="auto"/>
          <w:kern w:val="21"/>
          <w:lang w:val="en-US" w:eastAsia="zh-CN"/>
        </w:rPr>
        <w:t>6.30</w:t>
      </w:r>
      <w:r>
        <w:rPr>
          <w:color w:val="auto"/>
          <w:kern w:val="21"/>
        </w:rPr>
        <w:t>mg/L、</w:t>
      </w:r>
      <w:r>
        <w:rPr>
          <w:rFonts w:hint="eastAsia"/>
          <w:color w:val="auto"/>
          <w:kern w:val="21"/>
          <w:lang w:val="en-US" w:eastAsia="zh-CN"/>
        </w:rPr>
        <w:t>61.48</w:t>
      </w:r>
      <w:r>
        <w:rPr>
          <w:color w:val="auto"/>
          <w:kern w:val="21"/>
        </w:rPr>
        <w:t>mg/L、</w:t>
      </w:r>
      <w:r>
        <w:rPr>
          <w:rFonts w:hint="eastAsia"/>
          <w:color w:val="auto"/>
          <w:kern w:val="21"/>
          <w:lang w:val="en-US" w:eastAsia="zh-CN"/>
        </w:rPr>
        <w:t>326.17</w:t>
      </w:r>
      <w:r>
        <w:rPr>
          <w:color w:val="auto"/>
          <w:kern w:val="21"/>
        </w:rPr>
        <w:t>mg/L、</w:t>
      </w:r>
      <w:r>
        <w:rPr>
          <w:rFonts w:hint="eastAsia"/>
          <w:color w:val="auto"/>
          <w:kern w:val="21"/>
          <w:lang w:val="en-US" w:eastAsia="zh-CN"/>
        </w:rPr>
        <w:t>16.35</w:t>
      </w:r>
      <w:r>
        <w:rPr>
          <w:color w:val="auto"/>
          <w:kern w:val="21"/>
        </w:rPr>
        <w:t>mg/L，排水量按产生量</w:t>
      </w:r>
      <w:r>
        <w:rPr>
          <w:color w:val="auto"/>
          <w:kern w:val="21"/>
          <w:lang w:bidi="ar"/>
        </w:rPr>
        <w:t>182</w:t>
      </w:r>
      <w:r>
        <w:rPr>
          <w:rFonts w:hint="eastAsia"/>
          <w:color w:val="auto"/>
          <w:kern w:val="21"/>
          <w:lang w:bidi="ar"/>
        </w:rPr>
        <w:t>5</w:t>
      </w:r>
      <w:r>
        <w:rPr>
          <w:rFonts w:hint="eastAsia"/>
          <w:color w:val="auto"/>
          <w:kern w:val="21"/>
          <w:lang w:val="en-US" w:eastAsia="zh-CN" w:bidi="ar"/>
        </w:rPr>
        <w:t>000</w:t>
      </w:r>
      <w:r>
        <w:rPr>
          <w:color w:val="auto"/>
          <w:kern w:val="21"/>
          <w:lang w:bidi="ar"/>
        </w:rPr>
        <w:t>m</w:t>
      </w:r>
      <w:r>
        <w:rPr>
          <w:color w:val="auto"/>
          <w:kern w:val="21"/>
          <w:vertAlign w:val="superscript"/>
          <w:lang w:bidi="ar"/>
        </w:rPr>
        <w:t>3</w:t>
      </w:r>
      <w:r>
        <w:rPr>
          <w:color w:val="auto"/>
          <w:kern w:val="21"/>
          <w:lang w:bidi="ar"/>
        </w:rPr>
        <w:t>/a计算</w:t>
      </w:r>
      <w:r>
        <w:rPr>
          <w:rFonts w:hint="eastAsia"/>
          <w:color w:val="auto"/>
          <w:kern w:val="21"/>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rPr>
      </w:pPr>
      <w:r>
        <w:rPr>
          <w:b/>
          <w:bCs/>
          <w:color w:val="auto"/>
          <w:kern w:val="21"/>
          <w:lang w:bidi="ar"/>
        </w:rPr>
        <w:t>项目运营期正常状况水污染物产排表</w:t>
      </w:r>
    </w:p>
    <w:tbl>
      <w:tblPr>
        <w:tblStyle w:val="51"/>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81"/>
        <w:gridCol w:w="1060"/>
        <w:gridCol w:w="1229"/>
        <w:gridCol w:w="1139"/>
        <w:gridCol w:w="1492"/>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5" w:type="dxa"/>
            <w:gridSpan w:val="2"/>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污染物</w:t>
            </w:r>
          </w:p>
        </w:tc>
        <w:tc>
          <w:tcPr>
            <w:tcW w:w="106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产生浓度（mg/L）</w:t>
            </w:r>
          </w:p>
        </w:tc>
        <w:tc>
          <w:tcPr>
            <w:tcW w:w="1229"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产生量</w:t>
            </w:r>
            <w:r>
              <w:rPr>
                <w:rFonts w:hint="eastAsia"/>
                <w:color w:val="auto"/>
                <w:kern w:val="21"/>
                <w:sz w:val="21"/>
                <w:szCs w:val="21"/>
              </w:rPr>
              <w:t>（t/a）</w:t>
            </w:r>
          </w:p>
        </w:tc>
        <w:tc>
          <w:tcPr>
            <w:tcW w:w="1139"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排放浓度（mg/L）</w:t>
            </w:r>
          </w:p>
        </w:tc>
        <w:tc>
          <w:tcPr>
            <w:tcW w:w="1492"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排放量</w:t>
            </w:r>
            <w:r>
              <w:rPr>
                <w:rFonts w:hint="eastAsia"/>
                <w:color w:val="auto"/>
                <w:kern w:val="21"/>
                <w:sz w:val="21"/>
                <w:szCs w:val="21"/>
              </w:rPr>
              <w:t>（t/a）</w:t>
            </w:r>
          </w:p>
        </w:tc>
        <w:tc>
          <w:tcPr>
            <w:tcW w:w="1254"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削减量</w:t>
            </w:r>
            <w:r>
              <w:rPr>
                <w:rFonts w:hint="eastAsia"/>
                <w:color w:val="auto"/>
                <w:kern w:val="2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废水</w:t>
            </w:r>
          </w:p>
        </w:tc>
        <w:tc>
          <w:tcPr>
            <w:tcW w:w="1481" w:type="dxa"/>
            <w:vAlign w:val="center"/>
          </w:tcPr>
          <w:p>
            <w:pPr>
              <w:pStyle w:val="23"/>
              <w:spacing w:after="0" w:line="240" w:lineRule="auto"/>
              <w:ind w:left="0" w:leftChars="0" w:firstLine="0" w:firstLineChars="0"/>
              <w:rPr>
                <w:color w:val="auto"/>
                <w:kern w:val="21"/>
                <w:sz w:val="21"/>
                <w:szCs w:val="21"/>
              </w:rPr>
            </w:pPr>
            <w:r>
              <w:rPr>
                <w:color w:val="auto"/>
                <w:kern w:val="21"/>
                <w:sz w:val="21"/>
                <w:szCs w:val="21"/>
              </w:rPr>
              <w:t>废水量</w:t>
            </w:r>
            <w:r>
              <w:rPr>
                <w:rFonts w:hint="eastAsia"/>
                <w:color w:val="auto"/>
                <w:kern w:val="21"/>
                <w:sz w:val="21"/>
                <w:szCs w:val="21"/>
              </w:rPr>
              <w:t>（m</w:t>
            </w:r>
            <w:r>
              <w:rPr>
                <w:rFonts w:hint="eastAsia"/>
                <w:color w:val="auto"/>
                <w:kern w:val="21"/>
                <w:sz w:val="21"/>
                <w:szCs w:val="21"/>
                <w:vertAlign w:val="superscript"/>
              </w:rPr>
              <w:t>3</w:t>
            </w:r>
            <w:r>
              <w:rPr>
                <w:rFonts w:hint="eastAsia"/>
                <w:color w:val="auto"/>
                <w:kern w:val="21"/>
                <w:sz w:val="21"/>
                <w:szCs w:val="21"/>
              </w:rPr>
              <w:t>/a）</w:t>
            </w:r>
          </w:p>
        </w:tc>
        <w:tc>
          <w:tcPr>
            <w:tcW w:w="2289" w:type="dxa"/>
            <w:gridSpan w:val="2"/>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1825000</w:t>
            </w:r>
          </w:p>
        </w:tc>
        <w:tc>
          <w:tcPr>
            <w:tcW w:w="2631" w:type="dxa"/>
            <w:gridSpan w:val="2"/>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eastAsia="zh-CN" w:bidi="ar"/>
              </w:rPr>
              <w:t>1750646.1</w:t>
            </w:r>
          </w:p>
        </w:tc>
        <w:tc>
          <w:tcPr>
            <w:tcW w:w="125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kern w:val="21"/>
                <w:sz w:val="21"/>
                <w:szCs w:val="21"/>
              </w:rPr>
            </w:pPr>
            <w:r>
              <w:rPr>
                <w:rFonts w:hint="eastAsia" w:ascii="Times New Roman" w:hAnsi="Times New Roman" w:eastAsia="宋体" w:cs="Times New Roman"/>
                <w:color w:val="auto"/>
                <w:kern w:val="21"/>
                <w:sz w:val="21"/>
                <w:szCs w:val="21"/>
                <w:lang w:val="en-US" w:eastAsia="zh-CN" w:bidi="ar-SA"/>
              </w:rPr>
              <w:t>74353.9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lang w:bidi="ar"/>
              </w:rPr>
              <w:t>COD</w:t>
            </w:r>
            <w:r>
              <w:rPr>
                <w:color w:val="auto"/>
                <w:kern w:val="21"/>
                <w:sz w:val="21"/>
                <w:szCs w:val="21"/>
                <w:vertAlign w:val="subscript"/>
                <w:lang w:bidi="ar"/>
              </w:rPr>
              <w:t>Cr</w:t>
            </w:r>
          </w:p>
        </w:tc>
        <w:tc>
          <w:tcPr>
            <w:tcW w:w="1060"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400.61</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731.11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19.68</w:t>
            </w:r>
          </w:p>
        </w:tc>
        <w:tc>
          <w:tcPr>
            <w:tcW w:w="1492"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34.45 </w:t>
            </w:r>
          </w:p>
        </w:tc>
        <w:tc>
          <w:tcPr>
            <w:tcW w:w="1254"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696.66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lang w:bidi="ar"/>
              </w:rPr>
              <w:t>BOD</w:t>
            </w:r>
            <w:r>
              <w:rPr>
                <w:color w:val="auto"/>
                <w:kern w:val="21"/>
                <w:sz w:val="21"/>
                <w:szCs w:val="21"/>
                <w:vertAlign w:val="subscript"/>
                <w:lang w:bidi="ar"/>
              </w:rPr>
              <w:t>5</w:t>
            </w:r>
          </w:p>
        </w:tc>
        <w:tc>
          <w:tcPr>
            <w:tcW w:w="1060"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314.20</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573.42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10</w:t>
            </w:r>
          </w:p>
        </w:tc>
        <w:tc>
          <w:tcPr>
            <w:tcW w:w="1492"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17.51 </w:t>
            </w:r>
          </w:p>
        </w:tc>
        <w:tc>
          <w:tcPr>
            <w:tcW w:w="1254"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555.91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NH</w:t>
            </w:r>
            <w:r>
              <w:rPr>
                <w:color w:val="auto"/>
                <w:kern w:val="21"/>
                <w:sz w:val="21"/>
                <w:szCs w:val="21"/>
                <w:vertAlign w:val="subscript"/>
                <w:lang w:bidi="ar"/>
              </w:rPr>
              <w:t>3</w:t>
            </w:r>
            <w:r>
              <w:rPr>
                <w:color w:val="auto"/>
                <w:kern w:val="21"/>
                <w:sz w:val="21"/>
                <w:szCs w:val="21"/>
                <w:lang w:bidi="ar"/>
              </w:rPr>
              <w:t>-N</w:t>
            </w:r>
          </w:p>
        </w:tc>
        <w:tc>
          <w:tcPr>
            <w:tcW w:w="1060"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40.74</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74.35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2.07</w:t>
            </w:r>
          </w:p>
        </w:tc>
        <w:tc>
          <w:tcPr>
            <w:tcW w:w="1492"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3.62 </w:t>
            </w:r>
          </w:p>
        </w:tc>
        <w:tc>
          <w:tcPr>
            <w:tcW w:w="1254"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70.73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TP</w:t>
            </w:r>
          </w:p>
        </w:tc>
        <w:tc>
          <w:tcPr>
            <w:tcW w:w="1060"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6.30</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11.50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0.3</w:t>
            </w:r>
          </w:p>
        </w:tc>
        <w:tc>
          <w:tcPr>
            <w:tcW w:w="1492"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0.52 </w:t>
            </w:r>
          </w:p>
        </w:tc>
        <w:tc>
          <w:tcPr>
            <w:tcW w:w="1254"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10.98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TN</w:t>
            </w:r>
          </w:p>
        </w:tc>
        <w:tc>
          <w:tcPr>
            <w:tcW w:w="1481"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TN</w:t>
            </w:r>
          </w:p>
        </w:tc>
        <w:tc>
          <w:tcPr>
            <w:tcW w:w="1060"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61.48</w:t>
            </w:r>
          </w:p>
        </w:tc>
        <w:tc>
          <w:tcPr>
            <w:tcW w:w="122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112.20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15</w:t>
            </w:r>
          </w:p>
        </w:tc>
        <w:tc>
          <w:tcPr>
            <w:tcW w:w="1492"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26.26 </w:t>
            </w:r>
          </w:p>
        </w:tc>
        <w:tc>
          <w:tcPr>
            <w:tcW w:w="1254"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85.94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SS</w:t>
            </w:r>
          </w:p>
        </w:tc>
        <w:tc>
          <w:tcPr>
            <w:tcW w:w="1060"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326.17</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595.26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10</w:t>
            </w:r>
          </w:p>
        </w:tc>
        <w:tc>
          <w:tcPr>
            <w:tcW w:w="1492"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17.51 </w:t>
            </w:r>
          </w:p>
        </w:tc>
        <w:tc>
          <w:tcPr>
            <w:tcW w:w="1254"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577.75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bidi="ar"/>
              </w:rPr>
              <w:t>氟化物</w:t>
            </w:r>
          </w:p>
        </w:tc>
        <w:tc>
          <w:tcPr>
            <w:tcW w:w="1060"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16.35</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29.84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2.31</w:t>
            </w:r>
          </w:p>
        </w:tc>
        <w:tc>
          <w:tcPr>
            <w:tcW w:w="1492"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4.04 </w:t>
            </w:r>
          </w:p>
        </w:tc>
        <w:tc>
          <w:tcPr>
            <w:tcW w:w="1254"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25.80 </w:t>
            </w:r>
          </w:p>
        </w:tc>
      </w:tr>
    </w:tbl>
    <w:p>
      <w:pPr>
        <w:pStyle w:val="23"/>
        <w:keepNext w:val="0"/>
        <w:keepLines w:val="0"/>
        <w:pageBreakBefore w:val="0"/>
        <w:widowControl w:val="0"/>
        <w:numPr>
          <w:ilvl w:val="0"/>
          <w:numId w:val="5"/>
        </w:numPr>
        <w:kinsoku/>
        <w:wordWrap/>
        <w:overflowPunct/>
        <w:topLinePunct w:val="0"/>
        <w:autoSpaceDE/>
        <w:autoSpaceDN/>
        <w:bidi w:val="0"/>
        <w:adjustRightInd/>
        <w:snapToGrid/>
        <w:spacing w:before="0" w:beforeLines="50" w:after="0" w:line="360" w:lineRule="auto"/>
        <w:ind w:left="0" w:leftChars="0" w:firstLine="0" w:firstLineChars="0"/>
        <w:jc w:val="center"/>
        <w:textAlignment w:val="auto"/>
        <w:rPr>
          <w:b/>
          <w:bCs/>
          <w:color w:val="auto"/>
          <w:kern w:val="21"/>
        </w:rPr>
      </w:pPr>
      <w:r>
        <w:rPr>
          <w:b/>
          <w:bCs/>
          <w:color w:val="auto"/>
          <w:kern w:val="21"/>
          <w:lang w:bidi="ar"/>
        </w:rPr>
        <w:t>项目运营期非正常状况水污染物产排表</w:t>
      </w:r>
    </w:p>
    <w:tbl>
      <w:tblPr>
        <w:tblStyle w:val="51"/>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81"/>
        <w:gridCol w:w="1060"/>
        <w:gridCol w:w="1229"/>
        <w:gridCol w:w="1139"/>
        <w:gridCol w:w="1492"/>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5" w:type="dxa"/>
            <w:gridSpan w:val="2"/>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污染物</w:t>
            </w:r>
          </w:p>
        </w:tc>
        <w:tc>
          <w:tcPr>
            <w:tcW w:w="106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产生浓度（mg/L）</w:t>
            </w:r>
          </w:p>
        </w:tc>
        <w:tc>
          <w:tcPr>
            <w:tcW w:w="1229"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产生量</w:t>
            </w:r>
            <w:r>
              <w:rPr>
                <w:rFonts w:hint="eastAsia"/>
                <w:color w:val="auto"/>
                <w:kern w:val="21"/>
                <w:sz w:val="21"/>
                <w:szCs w:val="21"/>
              </w:rPr>
              <w:t>（t/a）</w:t>
            </w:r>
          </w:p>
        </w:tc>
        <w:tc>
          <w:tcPr>
            <w:tcW w:w="1139"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排放浓度（mg/L）</w:t>
            </w:r>
          </w:p>
        </w:tc>
        <w:tc>
          <w:tcPr>
            <w:tcW w:w="1492"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排放量</w:t>
            </w:r>
            <w:r>
              <w:rPr>
                <w:rFonts w:hint="eastAsia"/>
                <w:color w:val="auto"/>
                <w:kern w:val="21"/>
                <w:sz w:val="21"/>
                <w:szCs w:val="21"/>
              </w:rPr>
              <w:t>（t/a）</w:t>
            </w:r>
          </w:p>
        </w:tc>
        <w:tc>
          <w:tcPr>
            <w:tcW w:w="1254"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削减量</w:t>
            </w:r>
            <w:r>
              <w:rPr>
                <w:rFonts w:hint="eastAsia"/>
                <w:color w:val="auto"/>
                <w:kern w:val="2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废水</w:t>
            </w:r>
          </w:p>
        </w:tc>
        <w:tc>
          <w:tcPr>
            <w:tcW w:w="1481" w:type="dxa"/>
            <w:vAlign w:val="center"/>
          </w:tcPr>
          <w:p>
            <w:pPr>
              <w:pStyle w:val="23"/>
              <w:spacing w:after="0" w:line="240" w:lineRule="auto"/>
              <w:ind w:left="0" w:leftChars="0" w:firstLine="0" w:firstLineChars="0"/>
              <w:rPr>
                <w:color w:val="auto"/>
                <w:kern w:val="21"/>
                <w:sz w:val="21"/>
                <w:szCs w:val="21"/>
              </w:rPr>
            </w:pPr>
            <w:r>
              <w:rPr>
                <w:color w:val="auto"/>
                <w:kern w:val="21"/>
                <w:sz w:val="21"/>
                <w:szCs w:val="21"/>
              </w:rPr>
              <w:t>废水量</w:t>
            </w:r>
            <w:r>
              <w:rPr>
                <w:rFonts w:hint="eastAsia"/>
                <w:color w:val="auto"/>
                <w:kern w:val="21"/>
                <w:sz w:val="21"/>
                <w:szCs w:val="21"/>
              </w:rPr>
              <w:t>（m</w:t>
            </w:r>
            <w:r>
              <w:rPr>
                <w:rFonts w:hint="eastAsia"/>
                <w:color w:val="auto"/>
                <w:kern w:val="21"/>
                <w:sz w:val="21"/>
                <w:szCs w:val="21"/>
                <w:vertAlign w:val="superscript"/>
              </w:rPr>
              <w:t>3</w:t>
            </w:r>
            <w:r>
              <w:rPr>
                <w:rFonts w:hint="eastAsia"/>
                <w:color w:val="auto"/>
                <w:kern w:val="21"/>
                <w:sz w:val="21"/>
                <w:szCs w:val="21"/>
              </w:rPr>
              <w:t>/a）</w:t>
            </w:r>
          </w:p>
        </w:tc>
        <w:tc>
          <w:tcPr>
            <w:tcW w:w="2289" w:type="dxa"/>
            <w:gridSpan w:val="2"/>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1825000</w:t>
            </w:r>
          </w:p>
        </w:tc>
        <w:tc>
          <w:tcPr>
            <w:tcW w:w="2631" w:type="dxa"/>
            <w:gridSpan w:val="2"/>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1825000</w:t>
            </w:r>
          </w:p>
        </w:tc>
        <w:tc>
          <w:tcPr>
            <w:tcW w:w="1254"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lang w:bidi="ar"/>
              </w:rPr>
              <w:t>COD</w:t>
            </w:r>
            <w:r>
              <w:rPr>
                <w:color w:val="auto"/>
                <w:kern w:val="21"/>
                <w:sz w:val="21"/>
                <w:szCs w:val="21"/>
                <w:vertAlign w:val="subscript"/>
                <w:lang w:bidi="ar"/>
              </w:rPr>
              <w:t>Cr</w:t>
            </w:r>
          </w:p>
        </w:tc>
        <w:tc>
          <w:tcPr>
            <w:tcW w:w="1060"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400.61</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731.11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400.61</w:t>
            </w:r>
          </w:p>
        </w:tc>
        <w:tc>
          <w:tcPr>
            <w:tcW w:w="1492"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731.11 </w:t>
            </w:r>
          </w:p>
        </w:tc>
        <w:tc>
          <w:tcPr>
            <w:tcW w:w="1254"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lang w:bidi="ar"/>
              </w:rPr>
              <w:t>BOD</w:t>
            </w:r>
            <w:r>
              <w:rPr>
                <w:color w:val="auto"/>
                <w:kern w:val="21"/>
                <w:sz w:val="21"/>
                <w:szCs w:val="21"/>
                <w:vertAlign w:val="subscript"/>
                <w:lang w:bidi="ar"/>
              </w:rPr>
              <w:t>5</w:t>
            </w:r>
          </w:p>
        </w:tc>
        <w:tc>
          <w:tcPr>
            <w:tcW w:w="1060"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314.20</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573.42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
              </w:rPr>
              <w:t>314.20</w:t>
            </w:r>
          </w:p>
        </w:tc>
        <w:tc>
          <w:tcPr>
            <w:tcW w:w="1492"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573.42 </w:t>
            </w:r>
          </w:p>
        </w:tc>
        <w:tc>
          <w:tcPr>
            <w:tcW w:w="1254"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0</w:t>
            </w:r>
            <w:r>
              <w:rPr>
                <w:rFonts w:hint="default" w:cs="Times New Roman"/>
                <w:color w:val="auto"/>
                <w:kern w:val="21"/>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NH</w:t>
            </w:r>
            <w:r>
              <w:rPr>
                <w:color w:val="auto"/>
                <w:kern w:val="21"/>
                <w:sz w:val="21"/>
                <w:szCs w:val="21"/>
                <w:vertAlign w:val="subscript"/>
                <w:lang w:bidi="ar"/>
              </w:rPr>
              <w:t>3</w:t>
            </w:r>
            <w:r>
              <w:rPr>
                <w:color w:val="auto"/>
                <w:kern w:val="21"/>
                <w:sz w:val="21"/>
                <w:szCs w:val="21"/>
                <w:lang w:bidi="ar"/>
              </w:rPr>
              <w:t>-N</w:t>
            </w:r>
          </w:p>
        </w:tc>
        <w:tc>
          <w:tcPr>
            <w:tcW w:w="1060"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40.74</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74.35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olor w:val="auto"/>
                <w:kern w:val="21"/>
                <w:sz w:val="21"/>
                <w:szCs w:val="21"/>
                <w:lang w:val="en-US" w:eastAsia="zh-CN"/>
              </w:rPr>
              <w:t>40.74</w:t>
            </w:r>
          </w:p>
        </w:tc>
        <w:tc>
          <w:tcPr>
            <w:tcW w:w="1492"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74.35 </w:t>
            </w:r>
          </w:p>
        </w:tc>
        <w:tc>
          <w:tcPr>
            <w:tcW w:w="1254"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0</w:t>
            </w:r>
            <w:r>
              <w:rPr>
                <w:rFonts w:hint="default" w:cs="Times New Roman"/>
                <w:color w:val="auto"/>
                <w:kern w:val="21"/>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TP</w:t>
            </w:r>
          </w:p>
        </w:tc>
        <w:tc>
          <w:tcPr>
            <w:tcW w:w="1060"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6.30</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11.50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olor w:val="auto"/>
                <w:kern w:val="21"/>
                <w:sz w:val="21"/>
                <w:szCs w:val="21"/>
                <w:lang w:val="en-US" w:eastAsia="zh-CN"/>
              </w:rPr>
              <w:t>6.30</w:t>
            </w:r>
          </w:p>
        </w:tc>
        <w:tc>
          <w:tcPr>
            <w:tcW w:w="1492"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11.50 </w:t>
            </w:r>
          </w:p>
        </w:tc>
        <w:tc>
          <w:tcPr>
            <w:tcW w:w="1254"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0</w:t>
            </w:r>
            <w:r>
              <w:rPr>
                <w:rFonts w:hint="default" w:cs="Times New Roman"/>
                <w:color w:val="auto"/>
                <w:kern w:val="21"/>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TN</w:t>
            </w:r>
          </w:p>
        </w:tc>
        <w:tc>
          <w:tcPr>
            <w:tcW w:w="1481"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TN</w:t>
            </w:r>
          </w:p>
        </w:tc>
        <w:tc>
          <w:tcPr>
            <w:tcW w:w="1060"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61.48</w:t>
            </w:r>
          </w:p>
        </w:tc>
        <w:tc>
          <w:tcPr>
            <w:tcW w:w="122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112.20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olor w:val="auto"/>
                <w:kern w:val="21"/>
                <w:sz w:val="21"/>
                <w:szCs w:val="21"/>
                <w:lang w:val="en-US" w:eastAsia="zh-CN"/>
              </w:rPr>
              <w:t>61.48</w:t>
            </w:r>
          </w:p>
        </w:tc>
        <w:tc>
          <w:tcPr>
            <w:tcW w:w="1492"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112.20 </w:t>
            </w:r>
          </w:p>
        </w:tc>
        <w:tc>
          <w:tcPr>
            <w:tcW w:w="1254"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SS</w:t>
            </w:r>
          </w:p>
        </w:tc>
        <w:tc>
          <w:tcPr>
            <w:tcW w:w="1060"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326.17</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595.26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olor w:val="auto"/>
                <w:kern w:val="21"/>
                <w:sz w:val="21"/>
                <w:szCs w:val="21"/>
                <w:lang w:val="en-US" w:eastAsia="zh-CN"/>
              </w:rPr>
              <w:t>326.17</w:t>
            </w:r>
          </w:p>
        </w:tc>
        <w:tc>
          <w:tcPr>
            <w:tcW w:w="1492"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595.26 </w:t>
            </w:r>
          </w:p>
        </w:tc>
        <w:tc>
          <w:tcPr>
            <w:tcW w:w="1254"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eastAsia" w:cs="Times New Roman"/>
                <w:color w:val="auto"/>
                <w:kern w:val="21"/>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bidi="ar"/>
              </w:rPr>
              <w:t>氟化物</w:t>
            </w:r>
          </w:p>
        </w:tc>
        <w:tc>
          <w:tcPr>
            <w:tcW w:w="1060" w:type="dxa"/>
            <w:vAlign w:val="center"/>
          </w:tcPr>
          <w:p>
            <w:pPr>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16.35</w:t>
            </w:r>
          </w:p>
        </w:tc>
        <w:tc>
          <w:tcPr>
            <w:tcW w:w="1229"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29.84 </w:t>
            </w:r>
          </w:p>
        </w:tc>
        <w:tc>
          <w:tcPr>
            <w:tcW w:w="1139"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olor w:val="auto"/>
                <w:kern w:val="21"/>
                <w:sz w:val="21"/>
                <w:szCs w:val="21"/>
                <w:lang w:val="en-US" w:eastAsia="zh-CN"/>
              </w:rPr>
              <w:t>16.35</w:t>
            </w:r>
          </w:p>
        </w:tc>
        <w:tc>
          <w:tcPr>
            <w:tcW w:w="1492" w:type="dxa"/>
            <w:vAlign w:val="center"/>
          </w:tcPr>
          <w:p>
            <w:pPr>
              <w:spacing w:line="240" w:lineRule="auto"/>
              <w:ind w:firstLine="0" w:firstLineChars="0"/>
              <w:jc w:val="center"/>
              <w:rPr>
                <w:rFonts w:hint="eastAsia" w:cs="Times New Roman"/>
                <w:color w:val="auto"/>
                <w:kern w:val="21"/>
                <w:sz w:val="21"/>
                <w:szCs w:val="21"/>
                <w:lang w:val="en-US" w:eastAsia="zh-CN" w:bidi="ar-SA"/>
              </w:rPr>
            </w:pPr>
            <w:r>
              <w:rPr>
                <w:rFonts w:hint="default" w:cs="Times New Roman"/>
                <w:color w:val="auto"/>
                <w:kern w:val="21"/>
                <w:sz w:val="21"/>
                <w:szCs w:val="21"/>
                <w:lang w:val="en-US" w:eastAsia="zh-CN" w:bidi="ar-SA"/>
              </w:rPr>
              <w:t xml:space="preserve">29.84 </w:t>
            </w:r>
          </w:p>
        </w:tc>
        <w:tc>
          <w:tcPr>
            <w:tcW w:w="1254" w:type="dxa"/>
            <w:vAlign w:val="center"/>
          </w:tcPr>
          <w:p>
            <w:pPr>
              <w:spacing w:line="240" w:lineRule="auto"/>
              <w:ind w:firstLine="0" w:firstLineChars="0"/>
              <w:jc w:val="center"/>
              <w:rPr>
                <w:rFonts w:hint="default" w:cs="Times New Roman"/>
                <w:color w:val="auto"/>
                <w:kern w:val="21"/>
                <w:sz w:val="21"/>
                <w:szCs w:val="21"/>
                <w:lang w:val="en-US" w:eastAsia="zh-CN" w:bidi="ar-SA"/>
              </w:rPr>
            </w:pPr>
            <w:r>
              <w:rPr>
                <w:rFonts w:hint="eastAsia" w:cs="Times New Roman"/>
                <w:color w:val="auto"/>
                <w:kern w:val="21"/>
                <w:sz w:val="21"/>
                <w:szCs w:val="21"/>
                <w:lang w:val="en-US" w:eastAsia="zh-CN" w:bidi="ar-SA"/>
              </w:rPr>
              <w:t>0</w:t>
            </w:r>
          </w:p>
        </w:tc>
      </w:tr>
    </w:tbl>
    <w:p>
      <w:pPr>
        <w:pStyle w:val="23"/>
        <w:keepNext w:val="0"/>
        <w:keepLines w:val="0"/>
        <w:pageBreakBefore w:val="0"/>
        <w:widowControl w:val="0"/>
        <w:kinsoku/>
        <w:wordWrap/>
        <w:overflowPunct/>
        <w:topLinePunct w:val="0"/>
        <w:autoSpaceDE/>
        <w:autoSpaceDN/>
        <w:bidi w:val="0"/>
        <w:adjustRightInd/>
        <w:snapToGrid/>
        <w:spacing w:before="0" w:beforeLines="50" w:after="0" w:line="360" w:lineRule="auto"/>
        <w:ind w:left="0" w:leftChars="0" w:firstLine="480"/>
        <w:textAlignment w:val="auto"/>
        <w:rPr>
          <w:rFonts w:hint="eastAsia"/>
          <w:color w:val="auto"/>
          <w:kern w:val="21"/>
          <w:lang w:eastAsia="zh-CN"/>
        </w:rPr>
      </w:pPr>
      <w:r>
        <w:rPr>
          <w:rFonts w:hint="eastAsia"/>
          <w:color w:val="auto"/>
          <w:kern w:val="21"/>
          <w:lang w:val="en-US" w:eastAsia="zh-CN"/>
        </w:rPr>
        <w:t>3、</w:t>
      </w:r>
      <w:r>
        <w:rPr>
          <w:rFonts w:hint="eastAsia"/>
          <w:color w:val="auto"/>
          <w:kern w:val="21"/>
          <w:lang w:eastAsia="zh-CN"/>
        </w:rPr>
        <w:t>项目实际运行监测数据</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eastAsia"/>
          <w:b w:val="0"/>
          <w:bCs w:val="0"/>
          <w:color w:val="auto"/>
          <w:kern w:val="21"/>
          <w:sz w:val="24"/>
          <w:szCs w:val="24"/>
          <w:lang w:val="en-US" w:eastAsia="zh-CN"/>
        </w:rPr>
      </w:pPr>
      <w:r>
        <w:rPr>
          <w:rFonts w:hint="eastAsia" w:ascii="Times New Roman" w:hAnsi="Times New Roman" w:eastAsia="宋体"/>
          <w:b w:val="0"/>
          <w:bCs w:val="0"/>
          <w:color w:val="auto"/>
          <w:kern w:val="21"/>
          <w:sz w:val="24"/>
          <w:szCs w:val="24"/>
          <w:lang w:eastAsia="zh-CN"/>
        </w:rPr>
        <w:t>项目已建成运营，</w:t>
      </w:r>
      <w:r>
        <w:rPr>
          <w:rFonts w:hint="eastAsia"/>
          <w:b w:val="0"/>
          <w:bCs w:val="0"/>
          <w:color w:val="auto"/>
          <w:kern w:val="21"/>
          <w:sz w:val="24"/>
          <w:szCs w:val="24"/>
          <w:lang w:val="en-US" w:eastAsia="zh-CN"/>
        </w:rPr>
        <w:t>2022年7月12日~7月31日项目在线监测的进出水水质的检测数据如下所示。</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eastAsia"/>
          <w:b w:val="0"/>
          <w:bCs w:val="0"/>
          <w:color w:val="auto"/>
          <w:kern w:val="21"/>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eastAsia"/>
          <w:b w:val="0"/>
          <w:bCs w:val="0"/>
          <w:color w:val="auto"/>
          <w:kern w:val="21"/>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eastAsia"/>
          <w:b w:val="0"/>
          <w:bCs w:val="0"/>
          <w:color w:val="auto"/>
          <w:kern w:val="21"/>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eastAsia"/>
          <w:b w:val="0"/>
          <w:bCs w:val="0"/>
          <w:color w:val="auto"/>
          <w:kern w:val="21"/>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eastAsia"/>
          <w:b w:val="0"/>
          <w:bCs w:val="0"/>
          <w:color w:val="auto"/>
          <w:kern w:val="21"/>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eastAsia"/>
          <w:b w:val="0"/>
          <w:bCs w:val="0"/>
          <w:color w:val="auto"/>
          <w:kern w:val="21"/>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default"/>
          <w:b w:val="0"/>
          <w:bCs w:val="0"/>
          <w:color w:val="auto"/>
          <w:kern w:val="21"/>
          <w:sz w:val="24"/>
          <w:szCs w:val="24"/>
          <w:lang w:val="en-US" w:eastAsia="zh-CN"/>
        </w:rPr>
      </w:pP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rPr>
        <w:sectPr>
          <w:pgSz w:w="11910" w:h="16840"/>
          <w:pgMar w:top="1440" w:right="1803" w:bottom="1440" w:left="1803" w:header="392" w:footer="997" w:gutter="0"/>
          <w:cols w:space="720" w:num="1"/>
        </w:sectPr>
      </w:pP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rPr>
      </w:pPr>
      <w:r>
        <w:rPr>
          <w:b/>
          <w:bCs/>
          <w:color w:val="auto"/>
          <w:kern w:val="21"/>
          <w:lang w:bidi="ar"/>
        </w:rPr>
        <w:t>项目运营期</w:t>
      </w:r>
      <w:r>
        <w:rPr>
          <w:rFonts w:hint="eastAsia"/>
          <w:b/>
          <w:bCs/>
          <w:color w:val="auto"/>
          <w:kern w:val="21"/>
          <w:lang w:eastAsia="zh-CN" w:bidi="ar"/>
        </w:rPr>
        <w:t>实际</w:t>
      </w:r>
      <w:r>
        <w:rPr>
          <w:b/>
          <w:bCs/>
          <w:color w:val="auto"/>
          <w:kern w:val="21"/>
          <w:lang w:bidi="ar"/>
        </w:rPr>
        <w:t>产排表</w:t>
      </w:r>
      <w:r>
        <w:rPr>
          <w:rFonts w:hint="eastAsia"/>
          <w:b/>
          <w:bCs/>
          <w:color w:val="auto"/>
          <w:kern w:val="21"/>
          <w:lang w:val="en-US" w:eastAsia="zh-CN" w:bidi="ar"/>
        </w:rPr>
        <w:t xml:space="preserve">    单位：mg/L</w:t>
      </w:r>
    </w:p>
    <w:tbl>
      <w:tblPr>
        <w:tblStyle w:val="51"/>
        <w:tblW w:w="128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7"/>
        <w:gridCol w:w="859"/>
        <w:gridCol w:w="967"/>
        <w:gridCol w:w="850"/>
        <w:gridCol w:w="783"/>
        <w:gridCol w:w="760"/>
        <w:gridCol w:w="1570"/>
        <w:gridCol w:w="820"/>
        <w:gridCol w:w="772"/>
        <w:gridCol w:w="877"/>
        <w:gridCol w:w="831"/>
        <w:gridCol w:w="946"/>
        <w:gridCol w:w="17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年月</w:t>
            </w:r>
          </w:p>
        </w:tc>
        <w:tc>
          <w:tcPr>
            <w:tcW w:w="11823"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日</w:t>
            </w:r>
          </w:p>
        </w:tc>
        <w:tc>
          <w:tcPr>
            <w:tcW w:w="578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进水</w:t>
            </w:r>
          </w:p>
        </w:tc>
        <w:tc>
          <w:tcPr>
            <w:tcW w:w="603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出水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CODcr</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氟离子</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NH</w:t>
            </w:r>
            <w:r>
              <w:rPr>
                <w:rFonts w:hint="default" w:ascii="Times New Roman" w:hAnsi="Times New Roman" w:eastAsia="宋体" w:cs="Times New Roman"/>
                <w:i w:val="0"/>
                <w:iCs w:val="0"/>
                <w:color w:val="auto"/>
                <w:kern w:val="0"/>
                <w:sz w:val="18"/>
                <w:szCs w:val="18"/>
                <w:u w:val="none"/>
                <w:vertAlign w:val="subscript"/>
                <w:lang w:val="en-US" w:eastAsia="zh-CN" w:bidi="ar"/>
              </w:rPr>
              <w:t>3</w:t>
            </w:r>
            <w:r>
              <w:rPr>
                <w:rFonts w:hint="default" w:ascii="Times New Roman" w:hAnsi="Times New Roman" w:eastAsia="宋体" w:cs="Times New Roman"/>
                <w:i w:val="0"/>
                <w:iCs w:val="0"/>
                <w:color w:val="auto"/>
                <w:kern w:val="0"/>
                <w:sz w:val="18"/>
                <w:szCs w:val="18"/>
                <w:u w:val="none"/>
                <w:vertAlign w:val="baseli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N</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总磷</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总氮</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vertAlign w:val="superscript"/>
                <w:lang w:val="en-US"/>
              </w:rPr>
            </w:pPr>
            <w:r>
              <w:rPr>
                <w:rFonts w:hint="default" w:ascii="Times New Roman" w:hAnsi="Times New Roman" w:eastAsia="宋体" w:cs="Times New Roman"/>
                <w:i w:val="0"/>
                <w:iCs w:val="0"/>
                <w:color w:val="auto"/>
                <w:kern w:val="0"/>
                <w:sz w:val="18"/>
                <w:szCs w:val="18"/>
                <w:u w:val="none"/>
                <w:lang w:val="en-US" w:eastAsia="zh-CN" w:bidi="ar"/>
              </w:rPr>
              <w:t>进水累计流量</w:t>
            </w:r>
            <w:r>
              <w:rPr>
                <w:rFonts w:hint="eastAsia" w:ascii="Times New Roman" w:hAnsi="Times New Roman" w:cs="Times New Roman"/>
                <w:i w:val="0"/>
                <w:iCs w:val="0"/>
                <w:color w:val="auto"/>
                <w:kern w:val="0"/>
                <w:sz w:val="18"/>
                <w:szCs w:val="18"/>
                <w:u w:val="none"/>
                <w:lang w:val="en-US" w:eastAsia="zh-CN" w:bidi="ar"/>
              </w:rPr>
              <w:t>m</w:t>
            </w:r>
            <w:r>
              <w:rPr>
                <w:rFonts w:hint="eastAsia" w:ascii="Times New Roman" w:hAnsi="Times New Roman" w:cs="Times New Roman"/>
                <w:i w:val="0"/>
                <w:iCs w:val="0"/>
                <w:color w:val="auto"/>
                <w:kern w:val="0"/>
                <w:sz w:val="18"/>
                <w:szCs w:val="18"/>
                <w:u w:val="none"/>
                <w:vertAlign w:val="superscript"/>
                <w:lang w:val="en-US" w:eastAsia="zh-CN" w:bidi="ar"/>
              </w:rPr>
              <w:t>3</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CODcr</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氟离子</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NH</w:t>
            </w:r>
            <w:r>
              <w:rPr>
                <w:rFonts w:hint="default" w:ascii="Times New Roman" w:hAnsi="Times New Roman" w:eastAsia="宋体" w:cs="Times New Roman"/>
                <w:i w:val="0"/>
                <w:iCs w:val="0"/>
                <w:color w:val="auto"/>
                <w:kern w:val="0"/>
                <w:sz w:val="18"/>
                <w:szCs w:val="18"/>
                <w:u w:val="none"/>
                <w:vertAlign w:val="sub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-N</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总磷</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总氮</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出水累计流量</w:t>
            </w:r>
            <w:r>
              <w:rPr>
                <w:rFonts w:hint="eastAsia" w:ascii="Times New Roman" w:hAnsi="Times New Roman" w:cs="Times New Roman"/>
                <w:i w:val="0"/>
                <w:iCs w:val="0"/>
                <w:color w:val="auto"/>
                <w:kern w:val="0"/>
                <w:sz w:val="18"/>
                <w:szCs w:val="18"/>
                <w:u w:val="none"/>
                <w:lang w:val="en-US" w:eastAsia="zh-CN" w:bidi="ar"/>
              </w:rPr>
              <w:t>m</w:t>
            </w:r>
            <w:r>
              <w:rPr>
                <w:rFonts w:hint="eastAsia" w:ascii="Times New Roman" w:hAnsi="Times New Roman" w:cs="Times New Roman"/>
                <w:i w:val="0"/>
                <w:iCs w:val="0"/>
                <w:color w:val="auto"/>
                <w:kern w:val="0"/>
                <w:sz w:val="18"/>
                <w:szCs w:val="18"/>
                <w:u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29.71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8.62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2.12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0.39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18.27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4923.00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3.57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0.83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1.72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0.05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7.22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4494.00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53.12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8.60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5.39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0.30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18.54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4796.00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7.95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2.07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0.34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17.14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4898.00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78.47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8.59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6.83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0.28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20.72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4876.00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7.35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1.97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17.08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4627.00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78.33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8.58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6.23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0.29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22.31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5220.00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7.31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1.76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0.06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0.13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17.53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4960.00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71.30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8.58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6.84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13.85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5326.00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7.25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1.47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0.14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19.00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5067.00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74.58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8.61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5.30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14.92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5090.00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8.85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1.45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0.13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17.52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5148.00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76.00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8.66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5.39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0.20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14.62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5081.00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8.49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1.75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0.08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16.98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5015.00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48.16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8.69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6.01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0.38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12.43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4149.00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8.21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2.02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0.14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16.35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4578.00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43.43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9.10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6.56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0.61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13.04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2781.00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6.05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2.04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0.08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20.76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2667.00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67.86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9.32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5.68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0.52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8.31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5210.00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5.22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1.96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0.08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0.15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34.40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5097.00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63.81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9.17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5.11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0.39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10.06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4935.00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10.10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1.94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16.33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5022.00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70.71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8.65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5.84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0.54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9.17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4809.00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9.52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1.95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14.56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4883.00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39.85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7.47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6.67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0.51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9.24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4759.00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9.32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1.87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13.69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4784.00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34.58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6.27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8.32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0.50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9.51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4863.00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8.74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1.78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0.08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15.09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4730.00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45.61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5.72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7.69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0.44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8.63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4952.00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8.88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1.61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13.86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5130.00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66.85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6.53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13.12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0.54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12.21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5034.00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8.57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1.45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13.91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5349.00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27.33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7.09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14.67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0.51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14.57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5159.00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8.69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0.09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16.57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5334.00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31.22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7.31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9.27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0.41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13.37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5256.00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10.20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0.77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0.09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17.23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5232.00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29.57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7.37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8.12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0.42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14.59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5251.00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9.56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1.39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0.11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14.77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5293.00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49.96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7.58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7.38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0.45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12.30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5226.00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9.20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1.86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0.08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14.84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5271.00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最小值</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29.71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6.27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2.12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8.31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2781.00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3.57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0.83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0.06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0.05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7.22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2667.00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平均值</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54.02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8.02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7.13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0.39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13.53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4884.80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8.15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1.65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0.17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16.74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4878.95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最大值</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78.47 </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9.32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8.32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0.61 </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22.31 </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5326.00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10.10 </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2.07 </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1.72 </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34.40 </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5148.00 </w:t>
            </w:r>
          </w:p>
        </w:tc>
      </w:tr>
    </w:tbl>
    <w:p>
      <w:pPr>
        <w:pStyle w:val="23"/>
        <w:keepNext w:val="0"/>
        <w:keepLines w:val="0"/>
        <w:pageBreakBefore w:val="0"/>
        <w:widowControl w:val="0"/>
        <w:kinsoku/>
        <w:wordWrap/>
        <w:overflowPunct/>
        <w:topLinePunct w:val="0"/>
        <w:autoSpaceDE/>
        <w:autoSpaceDN/>
        <w:bidi w:val="0"/>
        <w:adjustRightInd/>
        <w:snapToGrid/>
        <w:spacing w:before="0" w:beforeLines="50" w:after="0" w:line="360" w:lineRule="auto"/>
        <w:ind w:left="0" w:leftChars="0" w:firstLine="480"/>
        <w:textAlignment w:val="auto"/>
        <w:rPr>
          <w:rFonts w:hint="eastAsia" w:ascii="Times New Roman" w:hAnsi="Times New Roman" w:eastAsia="宋体"/>
          <w:b w:val="0"/>
          <w:bCs w:val="0"/>
          <w:color w:val="auto"/>
          <w:kern w:val="21"/>
          <w:sz w:val="24"/>
          <w:szCs w:val="24"/>
          <w:lang w:eastAsia="zh-CN"/>
        </w:rPr>
        <w:sectPr>
          <w:pgSz w:w="16840" w:h="11910" w:orient="landscape"/>
          <w:pgMar w:top="1803" w:right="1440" w:bottom="1803" w:left="1440" w:header="392" w:footer="998" w:gutter="0"/>
          <w:cols w:space="0" w:num="1"/>
          <w:rtlGutter w:val="0"/>
          <w:docGrid w:linePitch="0" w:charSpace="0"/>
        </w:sectPr>
      </w:pPr>
    </w:p>
    <w:p>
      <w:pPr>
        <w:pStyle w:val="23"/>
        <w:keepNext w:val="0"/>
        <w:keepLines w:val="0"/>
        <w:pageBreakBefore w:val="0"/>
        <w:widowControl w:val="0"/>
        <w:kinsoku/>
        <w:wordWrap/>
        <w:overflowPunct/>
        <w:topLinePunct w:val="0"/>
        <w:autoSpaceDE/>
        <w:autoSpaceDN/>
        <w:bidi w:val="0"/>
        <w:adjustRightInd/>
        <w:snapToGrid/>
        <w:spacing w:before="0" w:beforeLines="50" w:after="0" w:line="360" w:lineRule="auto"/>
        <w:ind w:left="0" w:leftChars="0" w:firstLine="480"/>
        <w:textAlignment w:val="auto"/>
        <w:rPr>
          <w:rFonts w:hint="eastAsia"/>
          <w:b w:val="0"/>
          <w:bCs w:val="0"/>
          <w:color w:val="auto"/>
          <w:kern w:val="21"/>
          <w:sz w:val="24"/>
          <w:szCs w:val="24"/>
          <w:lang w:eastAsia="zh-CN"/>
        </w:rPr>
      </w:pPr>
      <w:r>
        <w:rPr>
          <w:rFonts w:hint="eastAsia"/>
          <w:b w:val="0"/>
          <w:bCs w:val="0"/>
          <w:color w:val="auto"/>
          <w:kern w:val="21"/>
          <w:sz w:val="24"/>
          <w:szCs w:val="24"/>
          <w:lang w:eastAsia="zh-CN"/>
        </w:rPr>
        <w:t>根据检测数据看，</w:t>
      </w:r>
      <w:r>
        <w:rPr>
          <w:rFonts w:hint="eastAsia"/>
          <w:b w:val="0"/>
          <w:bCs w:val="0"/>
          <w:color w:val="auto"/>
          <w:kern w:val="21"/>
          <w:sz w:val="24"/>
          <w:szCs w:val="24"/>
          <w:lang w:val="en-US" w:eastAsia="zh-CN"/>
        </w:rPr>
        <w:t>项目实际进出水数据远小于本次核算数据，各污染物的治理效率如下所示。</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rPr>
      </w:pPr>
      <w:r>
        <w:rPr>
          <w:b/>
          <w:bCs/>
          <w:color w:val="auto"/>
          <w:kern w:val="21"/>
          <w:lang w:bidi="ar"/>
        </w:rPr>
        <w:t>项目</w:t>
      </w:r>
      <w:r>
        <w:rPr>
          <w:rFonts w:hint="eastAsia"/>
          <w:b/>
          <w:bCs/>
          <w:color w:val="auto"/>
          <w:kern w:val="21"/>
          <w:lang w:eastAsia="zh-CN" w:bidi="ar"/>
        </w:rPr>
        <w:t>各污染物治理效率</w:t>
      </w:r>
    </w:p>
    <w:tbl>
      <w:tblPr>
        <w:tblStyle w:val="51"/>
        <w:tblW w:w="7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81"/>
        <w:gridCol w:w="1643"/>
        <w:gridCol w:w="1788"/>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5" w:type="dxa"/>
            <w:gridSpan w:val="2"/>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污染物</w:t>
            </w:r>
          </w:p>
        </w:tc>
        <w:tc>
          <w:tcPr>
            <w:tcW w:w="1643"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lang w:eastAsia="zh-CN"/>
              </w:rPr>
              <w:t>进水浓度</w:t>
            </w:r>
            <w:r>
              <w:rPr>
                <w:color w:val="auto"/>
                <w:kern w:val="21"/>
                <w:sz w:val="21"/>
                <w:szCs w:val="21"/>
              </w:rPr>
              <w:t>mg/L</w:t>
            </w:r>
          </w:p>
        </w:tc>
        <w:tc>
          <w:tcPr>
            <w:tcW w:w="1788"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lang w:eastAsia="zh-CN"/>
              </w:rPr>
              <w:t>出水浓度</w:t>
            </w:r>
            <w:r>
              <w:rPr>
                <w:color w:val="auto"/>
                <w:kern w:val="21"/>
                <w:sz w:val="21"/>
                <w:szCs w:val="21"/>
              </w:rPr>
              <w:t>mg/L</w:t>
            </w:r>
          </w:p>
        </w:tc>
        <w:tc>
          <w:tcPr>
            <w:tcW w:w="1684"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eastAsia="zh-CN"/>
              </w:rPr>
              <w:t>治理效率</w:t>
            </w:r>
            <w:r>
              <w:rPr>
                <w:rFonts w:hint="eastAsia"/>
                <w:color w:val="auto"/>
                <w:kern w:val="2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废水</w:t>
            </w:r>
          </w:p>
        </w:tc>
        <w:tc>
          <w:tcPr>
            <w:tcW w:w="1481"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lang w:bidi="ar"/>
              </w:rPr>
              <w:t>COD</w:t>
            </w:r>
            <w:r>
              <w:rPr>
                <w:color w:val="auto"/>
                <w:kern w:val="21"/>
                <w:sz w:val="21"/>
                <w:szCs w:val="21"/>
                <w:vertAlign w:val="subscript"/>
                <w:lang w:bidi="ar"/>
              </w:rPr>
              <w:t>Cr</w:t>
            </w:r>
          </w:p>
        </w:tc>
        <w:tc>
          <w:tcPr>
            <w:tcW w:w="1643"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54.02</w:t>
            </w:r>
          </w:p>
        </w:tc>
        <w:tc>
          <w:tcPr>
            <w:tcW w:w="1788"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8.15</w:t>
            </w:r>
          </w:p>
        </w:tc>
        <w:tc>
          <w:tcPr>
            <w:tcW w:w="16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
              </w:rPr>
            </w:pPr>
            <w:r>
              <w:rPr>
                <w:rFonts w:hint="eastAsia"/>
                <w:color w:val="auto"/>
                <w:kern w:val="21"/>
                <w:sz w:val="21"/>
                <w:szCs w:val="21"/>
                <w:lang w:bidi="ar"/>
              </w:rPr>
              <w:t>氟化物</w:t>
            </w:r>
          </w:p>
        </w:tc>
        <w:tc>
          <w:tcPr>
            <w:tcW w:w="1643"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8.02</w:t>
            </w:r>
          </w:p>
        </w:tc>
        <w:tc>
          <w:tcPr>
            <w:tcW w:w="1788"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1.65</w:t>
            </w:r>
          </w:p>
        </w:tc>
        <w:tc>
          <w:tcPr>
            <w:tcW w:w="16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lang w:bidi="ar"/>
              </w:rPr>
              <w:t>NH</w:t>
            </w:r>
            <w:r>
              <w:rPr>
                <w:color w:val="auto"/>
                <w:kern w:val="21"/>
                <w:sz w:val="21"/>
                <w:szCs w:val="21"/>
                <w:vertAlign w:val="subscript"/>
                <w:lang w:bidi="ar"/>
              </w:rPr>
              <w:t>3</w:t>
            </w:r>
            <w:r>
              <w:rPr>
                <w:color w:val="auto"/>
                <w:kern w:val="21"/>
                <w:sz w:val="21"/>
                <w:szCs w:val="21"/>
                <w:lang w:bidi="ar"/>
              </w:rPr>
              <w:t>-N</w:t>
            </w:r>
          </w:p>
        </w:tc>
        <w:tc>
          <w:tcPr>
            <w:tcW w:w="1643"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7.13</w:t>
            </w:r>
          </w:p>
        </w:tc>
        <w:tc>
          <w:tcPr>
            <w:tcW w:w="1788"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0.17</w:t>
            </w:r>
          </w:p>
        </w:tc>
        <w:tc>
          <w:tcPr>
            <w:tcW w:w="16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lang w:bidi="ar"/>
              </w:rPr>
              <w:t>TP</w:t>
            </w:r>
          </w:p>
        </w:tc>
        <w:tc>
          <w:tcPr>
            <w:tcW w:w="1643"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0.39</w:t>
            </w:r>
          </w:p>
        </w:tc>
        <w:tc>
          <w:tcPr>
            <w:tcW w:w="1788"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0.12</w:t>
            </w:r>
          </w:p>
        </w:tc>
        <w:tc>
          <w:tcPr>
            <w:tcW w:w="16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481" w:type="dxa"/>
            <w:vAlign w:val="center"/>
          </w:tcPr>
          <w:p>
            <w:pPr>
              <w:pStyle w:val="23"/>
              <w:spacing w:after="0" w:line="240" w:lineRule="auto"/>
              <w:ind w:left="0" w:leftChars="0"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color w:val="auto"/>
                <w:kern w:val="21"/>
                <w:sz w:val="21"/>
                <w:szCs w:val="21"/>
                <w:lang w:val="en-US" w:eastAsia="zh-CN" w:bidi="ar"/>
              </w:rPr>
              <w:t>TN</w:t>
            </w:r>
          </w:p>
        </w:tc>
        <w:tc>
          <w:tcPr>
            <w:tcW w:w="1643"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13.53</w:t>
            </w:r>
          </w:p>
        </w:tc>
        <w:tc>
          <w:tcPr>
            <w:tcW w:w="1788" w:type="dxa"/>
            <w:vAlign w:val="center"/>
          </w:tcPr>
          <w:p>
            <w:pPr>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16.74</w:t>
            </w:r>
          </w:p>
        </w:tc>
        <w:tc>
          <w:tcPr>
            <w:tcW w:w="16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1"/>
                <w:sz w:val="21"/>
                <w:szCs w:val="21"/>
                <w:lang w:val="en-US" w:eastAsia="zh-CN" w:bidi="ar-SA"/>
              </w:rPr>
            </w:pPr>
            <w:r>
              <w:rPr>
                <w:rFonts w:hint="eastAsia"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w:t>
            </w:r>
          </w:p>
        </w:tc>
      </w:tr>
    </w:tbl>
    <w:p>
      <w:pPr>
        <w:pStyle w:val="23"/>
        <w:keepNext w:val="0"/>
        <w:keepLines w:val="0"/>
        <w:pageBreakBefore w:val="0"/>
        <w:widowControl w:val="0"/>
        <w:kinsoku/>
        <w:wordWrap/>
        <w:overflowPunct/>
        <w:topLinePunct w:val="0"/>
        <w:autoSpaceDE/>
        <w:autoSpaceDN/>
        <w:bidi w:val="0"/>
        <w:adjustRightInd/>
        <w:snapToGrid/>
        <w:spacing w:before="0" w:beforeLines="50" w:after="0" w:line="360" w:lineRule="auto"/>
        <w:ind w:left="0" w:leftChars="0" w:firstLine="480"/>
        <w:textAlignment w:val="auto"/>
        <w:rPr>
          <w:rFonts w:hint="eastAsia"/>
          <w:b w:val="0"/>
          <w:bCs w:val="0"/>
          <w:color w:val="auto"/>
          <w:kern w:val="21"/>
          <w:sz w:val="24"/>
          <w:szCs w:val="24"/>
          <w:lang w:val="en-US" w:eastAsia="zh-CN"/>
        </w:rPr>
      </w:pPr>
      <w:r>
        <w:rPr>
          <w:rFonts w:hint="eastAsia"/>
          <w:b w:val="0"/>
          <w:bCs w:val="0"/>
          <w:color w:val="auto"/>
          <w:kern w:val="21"/>
          <w:sz w:val="24"/>
          <w:szCs w:val="24"/>
          <w:lang w:eastAsia="zh-CN"/>
        </w:rPr>
        <w:t>从上表可以看出，除总氮外的各指标能满足表</w:t>
      </w:r>
      <w:r>
        <w:rPr>
          <w:rFonts w:hint="eastAsia"/>
          <w:b w:val="0"/>
          <w:bCs w:val="0"/>
          <w:color w:val="auto"/>
          <w:kern w:val="21"/>
          <w:sz w:val="24"/>
          <w:szCs w:val="24"/>
          <w:lang w:val="en-US" w:eastAsia="zh-CN"/>
        </w:rPr>
        <w:t>2-23的排放限值要求；总氮</w:t>
      </w:r>
      <w:r>
        <w:rPr>
          <w:rFonts w:hint="eastAsia"/>
          <w:b w:val="0"/>
          <w:bCs w:val="0"/>
          <w:color w:val="auto"/>
          <w:kern w:val="21"/>
          <w:sz w:val="24"/>
          <w:szCs w:val="24"/>
          <w:lang w:eastAsia="zh-CN"/>
        </w:rPr>
        <w:t>在污水处理后浓度反而升高，且不能满足表</w:t>
      </w:r>
      <w:r>
        <w:rPr>
          <w:rFonts w:hint="eastAsia"/>
          <w:b w:val="0"/>
          <w:bCs w:val="0"/>
          <w:color w:val="auto"/>
          <w:kern w:val="21"/>
          <w:sz w:val="24"/>
          <w:szCs w:val="24"/>
          <w:lang w:val="en-US" w:eastAsia="zh-CN"/>
        </w:rPr>
        <w:t>2-23的排放限值要求。</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eastAsia"/>
          <w:b w:val="0"/>
          <w:bCs w:val="0"/>
          <w:color w:val="auto"/>
          <w:kern w:val="21"/>
          <w:sz w:val="24"/>
          <w:szCs w:val="24"/>
          <w:lang w:eastAsia="zh-CN"/>
        </w:rPr>
      </w:pPr>
      <w:r>
        <w:rPr>
          <w:rFonts w:hint="eastAsia"/>
          <w:b w:val="0"/>
          <w:bCs w:val="0"/>
          <w:color w:val="auto"/>
          <w:kern w:val="21"/>
          <w:sz w:val="24"/>
          <w:szCs w:val="24"/>
          <w:lang w:eastAsia="zh-CN"/>
        </w:rPr>
        <w:t>废水处理后总氮反而提高的原因可能：</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eastAsia"/>
          <w:b w:val="0"/>
          <w:bCs w:val="0"/>
          <w:color w:val="auto"/>
          <w:kern w:val="21"/>
          <w:sz w:val="24"/>
          <w:szCs w:val="24"/>
          <w:lang w:eastAsia="zh-CN"/>
        </w:rPr>
      </w:pPr>
      <w:r>
        <w:rPr>
          <w:rFonts w:hint="default"/>
          <w:b w:val="0"/>
          <w:bCs w:val="0"/>
          <w:color w:val="auto"/>
          <w:kern w:val="21"/>
          <w:sz w:val="24"/>
          <w:szCs w:val="24"/>
          <w:lang w:eastAsia="zh-CN"/>
        </w:rPr>
        <w:t>（1）污泥负荷与污泥龄</w:t>
      </w:r>
      <w:r>
        <w:rPr>
          <w:rFonts w:hint="eastAsia"/>
          <w:b w:val="0"/>
          <w:bCs w:val="0"/>
          <w:color w:val="auto"/>
          <w:kern w:val="21"/>
          <w:sz w:val="24"/>
          <w:szCs w:val="24"/>
          <w:lang w:eastAsia="zh-CN"/>
        </w:rPr>
        <w:t>：</w:t>
      </w:r>
      <w:r>
        <w:rPr>
          <w:rFonts w:hint="default"/>
          <w:b w:val="0"/>
          <w:bCs w:val="0"/>
          <w:color w:val="auto"/>
          <w:kern w:val="21"/>
          <w:sz w:val="24"/>
          <w:szCs w:val="24"/>
          <w:lang w:eastAsia="zh-CN"/>
        </w:rPr>
        <w:t>由于生物硝化是生物反硝化的前提，只有良好的硝化，才能获得而稳定的的反硝化。因此，脱氮系统也必须采用低负荷或超低负荷，并采用高污泥龄。</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default"/>
          <w:b w:val="0"/>
          <w:bCs w:val="0"/>
          <w:color w:val="auto"/>
          <w:kern w:val="21"/>
          <w:sz w:val="24"/>
          <w:szCs w:val="24"/>
          <w:lang w:eastAsia="zh-CN"/>
        </w:rPr>
      </w:pPr>
      <w:r>
        <w:rPr>
          <w:rFonts w:hint="default"/>
          <w:b w:val="0"/>
          <w:bCs w:val="0"/>
          <w:color w:val="auto"/>
          <w:kern w:val="21"/>
          <w:sz w:val="24"/>
          <w:szCs w:val="24"/>
          <w:lang w:eastAsia="zh-CN"/>
        </w:rPr>
        <w:t>（2）内、外回流比</w:t>
      </w:r>
      <w:r>
        <w:rPr>
          <w:rFonts w:hint="eastAsia"/>
          <w:b w:val="0"/>
          <w:bCs w:val="0"/>
          <w:color w:val="auto"/>
          <w:kern w:val="21"/>
          <w:sz w:val="24"/>
          <w:szCs w:val="24"/>
          <w:lang w:eastAsia="zh-CN"/>
        </w:rPr>
        <w:t>：</w:t>
      </w:r>
      <w:r>
        <w:rPr>
          <w:rFonts w:hint="default"/>
          <w:b w:val="0"/>
          <w:bCs w:val="0"/>
          <w:color w:val="auto"/>
          <w:kern w:val="21"/>
          <w:sz w:val="24"/>
          <w:szCs w:val="24"/>
          <w:lang w:eastAsia="zh-CN"/>
        </w:rPr>
        <w:t>生物反硝化系统外回流比较单纯生物硝化系统要小些，这主要是入流污水中氮绝大部分已被脱去，二沉池中NO</w:t>
      </w:r>
      <w:r>
        <w:rPr>
          <w:rFonts w:hint="default"/>
          <w:b w:val="0"/>
          <w:bCs w:val="0"/>
          <w:color w:val="auto"/>
          <w:kern w:val="21"/>
          <w:sz w:val="24"/>
          <w:szCs w:val="24"/>
          <w:vertAlign w:val="subscript"/>
          <w:lang w:eastAsia="zh-CN"/>
        </w:rPr>
        <w:t>3</w:t>
      </w:r>
      <w:r>
        <w:rPr>
          <w:rFonts w:hint="default"/>
          <w:b w:val="0"/>
          <w:bCs w:val="0"/>
          <w:color w:val="auto"/>
          <w:kern w:val="21"/>
          <w:sz w:val="24"/>
          <w:szCs w:val="24"/>
          <w:lang w:eastAsia="zh-CN"/>
        </w:rPr>
        <w:t>--N浓度不高。相对来说，二沉池由于反硝化导致污泥上浮的危险性已很小。另一方面，反硝化系统污泥沉速较快，在保证要求回流污泥浓度的前提下，可以降低回流比，以便延长污水在曝气池内的停留时间。运行良好的污水处理厂，外回流比可控制在50%以下。而内回流比一般控制在300～500%之间。 </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default"/>
          <w:b w:val="0"/>
          <w:bCs w:val="0"/>
          <w:color w:val="auto"/>
          <w:kern w:val="21"/>
          <w:sz w:val="24"/>
          <w:szCs w:val="24"/>
          <w:lang w:eastAsia="zh-CN"/>
        </w:rPr>
      </w:pPr>
      <w:r>
        <w:rPr>
          <w:rFonts w:hint="default"/>
          <w:b w:val="0"/>
          <w:bCs w:val="0"/>
          <w:color w:val="auto"/>
          <w:kern w:val="21"/>
          <w:sz w:val="24"/>
          <w:szCs w:val="24"/>
          <w:lang w:eastAsia="zh-CN"/>
        </w:rPr>
        <w:t> （3）反硝化速率</w:t>
      </w:r>
      <w:r>
        <w:rPr>
          <w:rFonts w:hint="eastAsia"/>
          <w:b w:val="0"/>
          <w:bCs w:val="0"/>
          <w:color w:val="auto"/>
          <w:kern w:val="21"/>
          <w:sz w:val="24"/>
          <w:szCs w:val="24"/>
          <w:lang w:eastAsia="zh-CN"/>
        </w:rPr>
        <w:t>：</w:t>
      </w:r>
      <w:r>
        <w:rPr>
          <w:rFonts w:hint="default"/>
          <w:b w:val="0"/>
          <w:bCs w:val="0"/>
          <w:color w:val="auto"/>
          <w:kern w:val="21"/>
          <w:sz w:val="24"/>
          <w:szCs w:val="24"/>
          <w:lang w:eastAsia="zh-CN"/>
        </w:rPr>
        <w:t>反硝化速率系指单位活性污泥每天反硝化的硝酸盐量。反硝化速率与温度等因素有关，典型值为0.06～0.07gNO</w:t>
      </w:r>
      <w:r>
        <w:rPr>
          <w:rFonts w:hint="default"/>
          <w:b w:val="0"/>
          <w:bCs w:val="0"/>
          <w:color w:val="auto"/>
          <w:kern w:val="21"/>
          <w:sz w:val="24"/>
          <w:szCs w:val="24"/>
          <w:vertAlign w:val="subscript"/>
          <w:lang w:eastAsia="zh-CN"/>
        </w:rPr>
        <w:t>3</w:t>
      </w:r>
      <w:r>
        <w:rPr>
          <w:rFonts w:hint="default"/>
          <w:b w:val="0"/>
          <w:bCs w:val="0"/>
          <w:color w:val="auto"/>
          <w:kern w:val="21"/>
          <w:sz w:val="24"/>
          <w:szCs w:val="24"/>
          <w:lang w:eastAsia="zh-CN"/>
        </w:rPr>
        <w:t>- -N/gMLVSSd。 </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default"/>
          <w:b w:val="0"/>
          <w:bCs w:val="0"/>
          <w:color w:val="auto"/>
          <w:kern w:val="21"/>
          <w:sz w:val="24"/>
          <w:szCs w:val="24"/>
          <w:lang w:eastAsia="zh-CN"/>
        </w:rPr>
      </w:pPr>
      <w:r>
        <w:rPr>
          <w:rFonts w:hint="default"/>
          <w:b w:val="0"/>
          <w:bCs w:val="0"/>
          <w:color w:val="auto"/>
          <w:kern w:val="21"/>
          <w:sz w:val="24"/>
          <w:szCs w:val="24"/>
          <w:lang w:eastAsia="zh-CN"/>
        </w:rPr>
        <w:t> （4）缺氧区溶解氧</w:t>
      </w:r>
      <w:r>
        <w:rPr>
          <w:rFonts w:hint="eastAsia"/>
          <w:b w:val="0"/>
          <w:bCs w:val="0"/>
          <w:color w:val="auto"/>
          <w:kern w:val="21"/>
          <w:sz w:val="24"/>
          <w:szCs w:val="24"/>
          <w:lang w:eastAsia="zh-CN"/>
        </w:rPr>
        <w:t>：</w:t>
      </w:r>
      <w:r>
        <w:rPr>
          <w:rFonts w:hint="default"/>
          <w:b w:val="0"/>
          <w:bCs w:val="0"/>
          <w:color w:val="auto"/>
          <w:kern w:val="21"/>
          <w:sz w:val="24"/>
          <w:szCs w:val="24"/>
          <w:lang w:eastAsia="zh-CN"/>
        </w:rPr>
        <w:t>对反硝化来说，希望DO尽量低，是零，这样反硝化细菌可以“全力”进行反硝化，提高脱氮效率。但从污水处理厂的实际运营情况来看，要把缺氧区的DO控制在0.5mg/L以下，还是有困难的，因此也就影响了生物反硝化的过程，进而影响出水总氮指标。 </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default"/>
          <w:b w:val="0"/>
          <w:bCs w:val="0"/>
          <w:color w:val="auto"/>
          <w:kern w:val="21"/>
          <w:sz w:val="24"/>
          <w:szCs w:val="24"/>
          <w:lang w:eastAsia="zh-CN"/>
        </w:rPr>
      </w:pPr>
      <w:r>
        <w:rPr>
          <w:rFonts w:hint="default"/>
          <w:b w:val="0"/>
          <w:bCs w:val="0"/>
          <w:color w:val="auto"/>
          <w:kern w:val="21"/>
          <w:sz w:val="24"/>
          <w:szCs w:val="24"/>
          <w:lang w:eastAsia="zh-CN"/>
        </w:rPr>
        <w:t> （5）BOD</w:t>
      </w:r>
      <w:r>
        <w:rPr>
          <w:rFonts w:hint="default"/>
          <w:b w:val="0"/>
          <w:bCs w:val="0"/>
          <w:color w:val="auto"/>
          <w:kern w:val="21"/>
          <w:sz w:val="24"/>
          <w:szCs w:val="24"/>
          <w:vertAlign w:val="subscript"/>
          <w:lang w:eastAsia="zh-CN"/>
        </w:rPr>
        <w:t>5</w:t>
      </w:r>
      <w:r>
        <w:rPr>
          <w:rFonts w:hint="default"/>
          <w:b w:val="0"/>
          <w:bCs w:val="0"/>
          <w:color w:val="auto"/>
          <w:kern w:val="21"/>
          <w:sz w:val="24"/>
          <w:szCs w:val="24"/>
          <w:lang w:eastAsia="zh-CN"/>
        </w:rPr>
        <w:t>/TKN</w:t>
      </w:r>
      <w:r>
        <w:rPr>
          <w:rFonts w:hint="eastAsia"/>
          <w:b w:val="0"/>
          <w:bCs w:val="0"/>
          <w:color w:val="auto"/>
          <w:kern w:val="21"/>
          <w:sz w:val="24"/>
          <w:szCs w:val="24"/>
          <w:lang w:eastAsia="zh-CN"/>
        </w:rPr>
        <w:t>：</w:t>
      </w:r>
      <w:r>
        <w:rPr>
          <w:rFonts w:hint="default"/>
          <w:b w:val="0"/>
          <w:bCs w:val="0"/>
          <w:color w:val="auto"/>
          <w:kern w:val="21"/>
          <w:sz w:val="24"/>
          <w:szCs w:val="24"/>
          <w:lang w:eastAsia="zh-CN"/>
        </w:rPr>
        <w:t>因为反硝化细菌是在分解有机物的过程中进行反硝化脱氮的，所以进入缺氧区的污水中必须有充足的有机物，才能保证反硝化的顺利进行。由于目前许多污水处理厂配套管网建设滞后，进厂BOD</w:t>
      </w:r>
      <w:r>
        <w:rPr>
          <w:rFonts w:hint="default"/>
          <w:b w:val="0"/>
          <w:bCs w:val="0"/>
          <w:color w:val="auto"/>
          <w:kern w:val="21"/>
          <w:sz w:val="24"/>
          <w:szCs w:val="24"/>
          <w:vertAlign w:val="subscript"/>
          <w:lang w:eastAsia="zh-CN"/>
        </w:rPr>
        <w:t>5</w:t>
      </w:r>
      <w:r>
        <w:rPr>
          <w:rFonts w:hint="default"/>
          <w:b w:val="0"/>
          <w:bCs w:val="0"/>
          <w:color w:val="auto"/>
          <w:kern w:val="21"/>
          <w:sz w:val="24"/>
          <w:szCs w:val="24"/>
          <w:lang w:eastAsia="zh-CN"/>
        </w:rPr>
        <w:t>低于设计值，而氮、磷等指标则相当于或高于设计值，使得进水碳源无法满足反硝化对碳源的需求，也导致了出水总氮超标的情况时有发生。 </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default"/>
          <w:b w:val="0"/>
          <w:bCs w:val="0"/>
          <w:color w:val="auto"/>
          <w:kern w:val="21"/>
          <w:sz w:val="24"/>
          <w:szCs w:val="24"/>
          <w:lang w:eastAsia="zh-CN"/>
        </w:rPr>
      </w:pPr>
      <w:r>
        <w:rPr>
          <w:rFonts w:hint="default"/>
          <w:b w:val="0"/>
          <w:bCs w:val="0"/>
          <w:color w:val="auto"/>
          <w:kern w:val="21"/>
          <w:sz w:val="24"/>
          <w:szCs w:val="24"/>
          <w:lang w:eastAsia="zh-CN"/>
        </w:rPr>
        <w:t> （6）pH</w:t>
      </w:r>
      <w:r>
        <w:rPr>
          <w:rFonts w:hint="eastAsia"/>
          <w:b w:val="0"/>
          <w:bCs w:val="0"/>
          <w:color w:val="auto"/>
          <w:kern w:val="21"/>
          <w:sz w:val="24"/>
          <w:szCs w:val="24"/>
          <w:lang w:eastAsia="zh-CN"/>
        </w:rPr>
        <w:t>：</w:t>
      </w:r>
      <w:r>
        <w:rPr>
          <w:rFonts w:hint="default"/>
          <w:b w:val="0"/>
          <w:bCs w:val="0"/>
          <w:color w:val="auto"/>
          <w:kern w:val="21"/>
          <w:sz w:val="24"/>
          <w:szCs w:val="24"/>
          <w:lang w:eastAsia="zh-CN"/>
        </w:rPr>
        <w:t>反硝化细菌对pH变化不如硝化细菌敏感，在pH为6～9的范围内，均能进行正常的生理代谢，但生物反硝化的有效pH范围为6.5～8.0。 </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eastAsia"/>
          <w:b w:val="0"/>
          <w:bCs w:val="0"/>
          <w:color w:val="auto"/>
          <w:kern w:val="21"/>
          <w:sz w:val="24"/>
          <w:szCs w:val="24"/>
          <w:lang w:eastAsia="zh-CN"/>
        </w:rPr>
      </w:pPr>
      <w:r>
        <w:rPr>
          <w:rFonts w:hint="default"/>
          <w:b w:val="0"/>
          <w:bCs w:val="0"/>
          <w:color w:val="auto"/>
          <w:kern w:val="21"/>
          <w:sz w:val="24"/>
          <w:szCs w:val="24"/>
          <w:lang w:eastAsia="zh-CN"/>
        </w:rPr>
        <w:t> （7）温度</w:t>
      </w:r>
      <w:r>
        <w:rPr>
          <w:rFonts w:hint="eastAsia"/>
          <w:b w:val="0"/>
          <w:bCs w:val="0"/>
          <w:color w:val="auto"/>
          <w:kern w:val="21"/>
          <w:sz w:val="24"/>
          <w:szCs w:val="24"/>
          <w:lang w:eastAsia="zh-CN"/>
        </w:rPr>
        <w:t>：</w:t>
      </w:r>
      <w:r>
        <w:rPr>
          <w:rFonts w:hint="default"/>
          <w:b w:val="0"/>
          <w:bCs w:val="0"/>
          <w:color w:val="auto"/>
          <w:kern w:val="21"/>
          <w:sz w:val="24"/>
          <w:szCs w:val="24"/>
          <w:lang w:eastAsia="zh-CN"/>
        </w:rPr>
        <w:t>反硝化细菌对温度变化虽不如硝化细菌那么敏感，但反硝化效果也会随温度变化而变化。温度越高，反硝化速率越高，在30～35℃时，反硝化速率增至</w:t>
      </w:r>
      <w:r>
        <w:rPr>
          <w:rFonts w:hint="eastAsia"/>
          <w:b w:val="0"/>
          <w:bCs w:val="0"/>
          <w:color w:val="auto"/>
          <w:kern w:val="21"/>
          <w:sz w:val="24"/>
          <w:szCs w:val="24"/>
          <w:lang w:eastAsia="zh-CN"/>
        </w:rPr>
        <w:t>最</w:t>
      </w:r>
      <w:r>
        <w:rPr>
          <w:rFonts w:hint="default"/>
          <w:b w:val="0"/>
          <w:bCs w:val="0"/>
          <w:color w:val="auto"/>
          <w:kern w:val="21"/>
          <w:sz w:val="24"/>
          <w:szCs w:val="24"/>
          <w:lang w:eastAsia="zh-CN"/>
        </w:rPr>
        <w:t>大。当低于15℃时，反硝化速率将明显降低，至5℃时，反硝化将趋于停止。因此，在冬季要保证脱氮效果，就必须增大SRT，提高污泥浓度或增加投运池数</w:t>
      </w:r>
      <w:r>
        <w:rPr>
          <w:rFonts w:hint="eastAsia"/>
          <w:b w:val="0"/>
          <w:bCs w:val="0"/>
          <w:color w:val="auto"/>
          <w:kern w:val="21"/>
          <w:sz w:val="24"/>
          <w:szCs w:val="24"/>
          <w:lang w:eastAsia="zh-CN"/>
        </w:rPr>
        <w:t>。</w:t>
      </w:r>
    </w:p>
    <w:p>
      <w:pPr>
        <w:pStyle w:val="2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textAlignment w:val="auto"/>
        <w:rPr>
          <w:rFonts w:hint="default" w:ascii="Times New Roman" w:hAnsi="Times New Roman" w:eastAsia="宋体"/>
          <w:b w:val="0"/>
          <w:bCs w:val="0"/>
          <w:color w:val="auto"/>
          <w:kern w:val="21"/>
          <w:sz w:val="24"/>
          <w:szCs w:val="24"/>
          <w:lang w:val="en-US" w:eastAsia="zh-CN"/>
        </w:rPr>
      </w:pPr>
      <w:r>
        <w:rPr>
          <w:rFonts w:hint="eastAsia"/>
          <w:b w:val="0"/>
          <w:bCs w:val="0"/>
          <w:color w:val="auto"/>
          <w:kern w:val="21"/>
          <w:sz w:val="24"/>
          <w:szCs w:val="24"/>
          <w:lang w:eastAsia="zh-CN"/>
        </w:rPr>
        <w:t>综上，环评要求建设单位根据上述原因检查污水处理导致总氮超标的环节，提高总氮去除效率，使之满足环评要求的排放限值，未达标废水不得外排</w:t>
      </w:r>
      <w:r>
        <w:rPr>
          <w:rFonts w:hint="eastAsia"/>
          <w:b w:val="0"/>
          <w:bCs w:val="0"/>
          <w:color w:val="auto"/>
          <w:kern w:val="21"/>
          <w:sz w:val="24"/>
          <w:szCs w:val="24"/>
          <w:lang w:val="en-US" w:eastAsia="zh-CN"/>
        </w:rPr>
        <w:t>。</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3.3.</w:t>
      </w:r>
      <w:r>
        <w:rPr>
          <w:rFonts w:hint="eastAsia" w:ascii="Times New Roman" w:hAnsi="Times New Roman" w:eastAsia="宋体"/>
          <w:color w:val="auto"/>
          <w:kern w:val="21"/>
          <w:sz w:val="24"/>
          <w:szCs w:val="24"/>
        </w:rPr>
        <w:t>2.4</w:t>
      </w:r>
      <w:r>
        <w:rPr>
          <w:rFonts w:ascii="Times New Roman" w:hAnsi="Times New Roman" w:eastAsia="宋体"/>
          <w:color w:val="auto"/>
          <w:kern w:val="21"/>
          <w:sz w:val="24"/>
          <w:szCs w:val="24"/>
        </w:rPr>
        <w:t>噪声污染源</w:t>
      </w:r>
      <w:bookmarkEnd w:id="97"/>
      <w:bookmarkEnd w:id="98"/>
      <w:bookmarkEnd w:id="99"/>
      <w:bookmarkEnd w:id="100"/>
      <w:bookmarkEnd w:id="101"/>
      <w:bookmarkEnd w:id="102"/>
      <w:bookmarkEnd w:id="103"/>
      <w:bookmarkEnd w:id="104"/>
      <w:r>
        <w:rPr>
          <w:rFonts w:hint="eastAsia" w:ascii="Times New Roman" w:hAnsi="Times New Roman" w:eastAsia="宋体"/>
          <w:color w:val="auto"/>
          <w:kern w:val="21"/>
          <w:sz w:val="24"/>
          <w:szCs w:val="24"/>
        </w:rPr>
        <w:t>强</w:t>
      </w:r>
    </w:p>
    <w:p>
      <w:pPr>
        <w:ind w:firstLine="480"/>
        <w:rPr>
          <w:color w:val="auto"/>
        </w:rPr>
      </w:pPr>
      <w:r>
        <w:rPr>
          <w:color w:val="auto"/>
          <w:kern w:val="21"/>
          <w:lang w:bidi="ar"/>
        </w:rPr>
        <w:t>项目噪声污染主要来源于各类水泵、</w:t>
      </w:r>
      <w:r>
        <w:rPr>
          <w:rFonts w:hint="eastAsia"/>
          <w:color w:val="auto"/>
          <w:kern w:val="21"/>
          <w:lang w:bidi="ar"/>
        </w:rPr>
        <w:t>空压机、风机</w:t>
      </w:r>
      <w:r>
        <w:rPr>
          <w:color w:val="auto"/>
          <w:kern w:val="21"/>
          <w:lang w:bidi="ar"/>
        </w:rPr>
        <w:t>等，源强为75-85dB（A），设备均位于厂房内。</w:t>
      </w:r>
      <w:r>
        <w:rPr>
          <w:rFonts w:hint="eastAsia"/>
          <w:color w:val="auto"/>
          <w:kern w:val="21"/>
        </w:rPr>
        <w:t>各设备经减振、墙体阻隔及绿化吸声等衰减量取15-25dB（A），</w:t>
      </w:r>
      <w:r>
        <w:rPr>
          <w:rFonts w:hint="eastAsia"/>
          <w:color w:val="auto"/>
        </w:rPr>
        <w:t>具体运行产噪设备的噪声源强见</w:t>
      </w:r>
      <w:r>
        <w:rPr>
          <w:rFonts w:hint="eastAsia"/>
          <w:color w:val="auto"/>
          <w:lang w:eastAsia="zh-CN"/>
        </w:rPr>
        <w:t>下表</w:t>
      </w:r>
      <w:r>
        <w:rPr>
          <w:rFonts w:hint="eastAsia"/>
          <w:color w:val="auto"/>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color w:val="auto"/>
          <w:kern w:val="21"/>
        </w:rPr>
      </w:pPr>
      <w:r>
        <w:rPr>
          <w:rFonts w:hint="eastAsia"/>
          <w:b/>
          <w:color w:val="auto"/>
          <w:kern w:val="21"/>
        </w:rPr>
        <w:t>项目运营期噪声源  单位：dB（A）</w:t>
      </w:r>
    </w:p>
    <w:tbl>
      <w:tblPr>
        <w:tblStyle w:val="51"/>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2798"/>
        <w:gridCol w:w="1055"/>
        <w:gridCol w:w="745"/>
        <w:gridCol w:w="756"/>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1" w:type="dxa"/>
            <w:vAlign w:val="center"/>
          </w:tcPr>
          <w:p>
            <w:pPr>
              <w:spacing w:line="240" w:lineRule="auto"/>
              <w:ind w:firstLine="0" w:firstLineChars="0"/>
              <w:jc w:val="center"/>
              <w:rPr>
                <w:color w:val="auto"/>
                <w:kern w:val="21"/>
                <w:sz w:val="21"/>
                <w:szCs w:val="21"/>
              </w:rPr>
            </w:pPr>
            <w:bookmarkStart w:id="105" w:name="_Toc228612812"/>
            <w:bookmarkStart w:id="106" w:name="_Toc217712043"/>
            <w:bookmarkStart w:id="107" w:name="_Toc228616228"/>
            <w:bookmarkStart w:id="108" w:name="_Toc211853614"/>
            <w:bookmarkStart w:id="109" w:name="_Toc228855626"/>
            <w:bookmarkStart w:id="110" w:name="_Toc246933104"/>
            <w:bookmarkStart w:id="111" w:name="_Toc228609336"/>
            <w:bookmarkStart w:id="112" w:name="_Toc228694422"/>
            <w:r>
              <w:rPr>
                <w:color w:val="auto"/>
                <w:kern w:val="21"/>
                <w:sz w:val="21"/>
                <w:szCs w:val="21"/>
              </w:rPr>
              <w:t>主要噪声源</w:t>
            </w:r>
          </w:p>
        </w:tc>
        <w:tc>
          <w:tcPr>
            <w:tcW w:w="2798" w:type="dxa"/>
            <w:vAlign w:val="center"/>
          </w:tcPr>
          <w:p>
            <w:pPr>
              <w:spacing w:line="240" w:lineRule="auto"/>
              <w:ind w:firstLine="0" w:firstLineChars="0"/>
              <w:jc w:val="center"/>
              <w:rPr>
                <w:color w:val="auto"/>
                <w:kern w:val="21"/>
                <w:sz w:val="21"/>
                <w:szCs w:val="21"/>
              </w:rPr>
            </w:pPr>
            <w:r>
              <w:rPr>
                <w:color w:val="auto"/>
                <w:kern w:val="21"/>
                <w:sz w:val="21"/>
                <w:szCs w:val="21"/>
              </w:rPr>
              <w:t>设备名称</w:t>
            </w:r>
          </w:p>
        </w:tc>
        <w:tc>
          <w:tcPr>
            <w:tcW w:w="1055" w:type="dxa"/>
            <w:vAlign w:val="center"/>
          </w:tcPr>
          <w:p>
            <w:pPr>
              <w:spacing w:line="240" w:lineRule="auto"/>
              <w:ind w:firstLine="0" w:firstLineChars="0"/>
              <w:jc w:val="center"/>
              <w:rPr>
                <w:color w:val="auto"/>
                <w:kern w:val="21"/>
                <w:sz w:val="21"/>
                <w:szCs w:val="21"/>
              </w:rPr>
            </w:pPr>
            <w:r>
              <w:rPr>
                <w:color w:val="auto"/>
                <w:kern w:val="21"/>
                <w:sz w:val="21"/>
                <w:szCs w:val="21"/>
              </w:rPr>
              <w:t>源强</w:t>
            </w:r>
          </w:p>
        </w:tc>
        <w:tc>
          <w:tcPr>
            <w:tcW w:w="74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运行</w:t>
            </w:r>
            <w:r>
              <w:rPr>
                <w:color w:val="auto"/>
                <w:kern w:val="21"/>
                <w:sz w:val="21"/>
                <w:szCs w:val="21"/>
              </w:rPr>
              <w:t>数量</w:t>
            </w:r>
          </w:p>
        </w:tc>
        <w:tc>
          <w:tcPr>
            <w:tcW w:w="756" w:type="dxa"/>
            <w:vAlign w:val="center"/>
          </w:tcPr>
          <w:p>
            <w:pPr>
              <w:spacing w:line="240" w:lineRule="auto"/>
              <w:ind w:firstLine="0" w:firstLineChars="0"/>
              <w:jc w:val="center"/>
              <w:rPr>
                <w:color w:val="auto"/>
                <w:kern w:val="21"/>
                <w:sz w:val="21"/>
                <w:szCs w:val="21"/>
              </w:rPr>
            </w:pPr>
            <w:r>
              <w:rPr>
                <w:color w:val="auto"/>
                <w:kern w:val="21"/>
                <w:sz w:val="21"/>
                <w:szCs w:val="21"/>
              </w:rPr>
              <w:t>降噪措施</w:t>
            </w:r>
          </w:p>
        </w:tc>
        <w:tc>
          <w:tcPr>
            <w:tcW w:w="1071" w:type="dxa"/>
            <w:vAlign w:val="center"/>
          </w:tcPr>
          <w:p>
            <w:pPr>
              <w:spacing w:line="240" w:lineRule="auto"/>
              <w:ind w:firstLine="0" w:firstLineChars="0"/>
              <w:jc w:val="center"/>
              <w:rPr>
                <w:color w:val="auto"/>
                <w:kern w:val="21"/>
                <w:sz w:val="21"/>
                <w:szCs w:val="21"/>
              </w:rPr>
            </w:pPr>
            <w:r>
              <w:rPr>
                <w:color w:val="auto"/>
                <w:kern w:val="21"/>
                <w:sz w:val="21"/>
                <w:szCs w:val="21"/>
              </w:rPr>
              <w:t>降噪后</w:t>
            </w:r>
            <w:r>
              <w:rPr>
                <w:rFonts w:hint="eastAsia"/>
                <w:color w:val="auto"/>
                <w:kern w:val="21"/>
                <w:sz w:val="21"/>
                <w:szCs w:val="21"/>
              </w:rPr>
              <w:t>叠加</w:t>
            </w:r>
            <w:r>
              <w:rPr>
                <w:color w:val="auto"/>
                <w:kern w:val="21"/>
                <w:sz w:val="21"/>
                <w:szCs w:val="21"/>
              </w:rPr>
              <w:t>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1" w:type="dxa"/>
            <w:vAlign w:val="center"/>
          </w:tcPr>
          <w:p>
            <w:pPr>
              <w:spacing w:line="240" w:lineRule="auto"/>
              <w:ind w:firstLine="0" w:firstLineChars="0"/>
              <w:jc w:val="center"/>
              <w:rPr>
                <w:color w:val="auto"/>
                <w:kern w:val="21"/>
                <w:sz w:val="21"/>
                <w:szCs w:val="21"/>
              </w:rPr>
            </w:pPr>
            <w:r>
              <w:rPr>
                <w:color w:val="auto"/>
                <w:kern w:val="21"/>
                <w:sz w:val="21"/>
                <w:szCs w:val="21"/>
              </w:rPr>
              <w:t>粗格栅及进水泵房</w:t>
            </w:r>
          </w:p>
        </w:tc>
        <w:tc>
          <w:tcPr>
            <w:tcW w:w="2798"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潜水离心泵</w:t>
            </w:r>
          </w:p>
        </w:tc>
        <w:tc>
          <w:tcPr>
            <w:tcW w:w="1055" w:type="dxa"/>
            <w:vAlign w:val="center"/>
          </w:tcPr>
          <w:p>
            <w:pPr>
              <w:spacing w:line="240" w:lineRule="auto"/>
              <w:ind w:firstLine="0" w:firstLineChars="0"/>
              <w:jc w:val="center"/>
              <w:rPr>
                <w:color w:val="auto"/>
                <w:kern w:val="21"/>
                <w:sz w:val="21"/>
                <w:szCs w:val="21"/>
              </w:rPr>
            </w:pPr>
            <w:r>
              <w:rPr>
                <w:color w:val="auto"/>
                <w:position w:val="1"/>
                <w:sz w:val="21"/>
                <w:szCs w:val="21"/>
              </w:rPr>
              <w:t>85~90</w:t>
            </w:r>
          </w:p>
        </w:tc>
        <w:tc>
          <w:tcPr>
            <w:tcW w:w="74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2</w:t>
            </w:r>
            <w:r>
              <w:rPr>
                <w:color w:val="auto"/>
                <w:kern w:val="21"/>
                <w:sz w:val="21"/>
                <w:szCs w:val="21"/>
              </w:rPr>
              <w:t>台</w:t>
            </w:r>
          </w:p>
        </w:tc>
        <w:tc>
          <w:tcPr>
            <w:tcW w:w="756" w:type="dxa"/>
            <w:vMerge w:val="restart"/>
            <w:vAlign w:val="center"/>
          </w:tcPr>
          <w:p>
            <w:pPr>
              <w:pStyle w:val="11"/>
              <w:ind w:firstLine="0" w:firstLineChars="0"/>
              <w:jc w:val="center"/>
              <w:rPr>
                <w:color w:val="auto"/>
                <w:kern w:val="21"/>
                <w:szCs w:val="21"/>
              </w:rPr>
            </w:pPr>
            <w:r>
              <w:rPr>
                <w:rFonts w:hint="eastAsia"/>
                <w:color w:val="auto"/>
                <w:kern w:val="21"/>
                <w:szCs w:val="21"/>
              </w:rPr>
              <w:t>选用低噪声设备、合理布局、隔声、减振、绿化吸声等。</w:t>
            </w:r>
          </w:p>
        </w:tc>
        <w:tc>
          <w:tcPr>
            <w:tcW w:w="1071"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141"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细格栅及调节池</w:t>
            </w:r>
          </w:p>
        </w:tc>
        <w:tc>
          <w:tcPr>
            <w:tcW w:w="2798" w:type="dxa"/>
            <w:vAlign w:val="center"/>
          </w:tcPr>
          <w:p>
            <w:pPr>
              <w:spacing w:line="240" w:lineRule="auto"/>
              <w:ind w:firstLine="0" w:firstLineChars="0"/>
              <w:jc w:val="center"/>
              <w:rPr>
                <w:color w:val="auto"/>
                <w:kern w:val="21"/>
                <w:sz w:val="21"/>
                <w:szCs w:val="21"/>
              </w:rPr>
            </w:pPr>
            <w:r>
              <w:rPr>
                <w:color w:val="auto"/>
                <w:kern w:val="21"/>
                <w:sz w:val="21"/>
                <w:szCs w:val="21"/>
                <w:lang w:bidi="ar"/>
              </w:rPr>
              <w:t>潜水离心泵</w:t>
            </w:r>
          </w:p>
        </w:tc>
        <w:tc>
          <w:tcPr>
            <w:tcW w:w="1055" w:type="dxa"/>
            <w:vAlign w:val="center"/>
          </w:tcPr>
          <w:p>
            <w:pPr>
              <w:spacing w:line="240" w:lineRule="auto"/>
              <w:ind w:firstLine="0" w:firstLineChars="0"/>
              <w:jc w:val="center"/>
              <w:rPr>
                <w:color w:val="auto"/>
                <w:kern w:val="21"/>
                <w:sz w:val="21"/>
                <w:szCs w:val="21"/>
              </w:rPr>
            </w:pPr>
            <w:r>
              <w:rPr>
                <w:color w:val="auto"/>
                <w:position w:val="1"/>
                <w:sz w:val="21"/>
                <w:szCs w:val="21"/>
              </w:rPr>
              <w:t>85~90</w:t>
            </w:r>
          </w:p>
        </w:tc>
        <w:tc>
          <w:tcPr>
            <w:tcW w:w="745" w:type="dxa"/>
            <w:vAlign w:val="center"/>
          </w:tcPr>
          <w:p>
            <w:pPr>
              <w:spacing w:line="240" w:lineRule="auto"/>
              <w:ind w:firstLine="0" w:firstLineChars="0"/>
              <w:jc w:val="center"/>
              <w:textAlignment w:val="baseline"/>
              <w:rPr>
                <w:color w:val="auto"/>
                <w:kern w:val="21"/>
                <w:sz w:val="21"/>
                <w:szCs w:val="21"/>
              </w:rPr>
            </w:pPr>
            <w:r>
              <w:rPr>
                <w:rFonts w:hint="eastAsia"/>
                <w:color w:val="auto"/>
                <w:kern w:val="21"/>
                <w:sz w:val="21"/>
                <w:szCs w:val="21"/>
              </w:rPr>
              <w:t>1</w:t>
            </w:r>
            <w:r>
              <w:rPr>
                <w:color w:val="auto"/>
                <w:kern w:val="21"/>
                <w:sz w:val="21"/>
                <w:szCs w:val="21"/>
              </w:rPr>
              <w:t>台</w:t>
            </w:r>
          </w:p>
        </w:tc>
        <w:tc>
          <w:tcPr>
            <w:tcW w:w="756" w:type="dxa"/>
            <w:vMerge w:val="continue"/>
            <w:vAlign w:val="center"/>
          </w:tcPr>
          <w:p>
            <w:pPr>
              <w:pStyle w:val="11"/>
              <w:ind w:firstLine="0" w:firstLineChars="0"/>
              <w:jc w:val="center"/>
              <w:rPr>
                <w:color w:val="auto"/>
                <w:kern w:val="21"/>
                <w:szCs w:val="21"/>
              </w:rPr>
            </w:pPr>
          </w:p>
        </w:tc>
        <w:tc>
          <w:tcPr>
            <w:tcW w:w="1071"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141" w:type="dxa"/>
            <w:vMerge w:val="continue"/>
            <w:vAlign w:val="center"/>
          </w:tcPr>
          <w:p>
            <w:pPr>
              <w:spacing w:line="240" w:lineRule="auto"/>
              <w:ind w:firstLine="0" w:firstLineChars="0"/>
              <w:jc w:val="center"/>
              <w:rPr>
                <w:color w:val="auto"/>
                <w:kern w:val="21"/>
                <w:sz w:val="21"/>
                <w:szCs w:val="21"/>
              </w:rPr>
            </w:pPr>
          </w:p>
        </w:tc>
        <w:tc>
          <w:tcPr>
            <w:tcW w:w="2798" w:type="dxa"/>
            <w:vAlign w:val="center"/>
          </w:tcPr>
          <w:p>
            <w:pPr>
              <w:spacing w:line="240" w:lineRule="auto"/>
              <w:ind w:firstLine="0" w:firstLineChars="0"/>
              <w:jc w:val="center"/>
              <w:rPr>
                <w:color w:val="auto"/>
                <w:kern w:val="21"/>
                <w:sz w:val="21"/>
                <w:szCs w:val="21"/>
              </w:rPr>
            </w:pPr>
            <w:r>
              <w:rPr>
                <w:color w:val="auto"/>
                <w:kern w:val="21"/>
                <w:sz w:val="21"/>
                <w:szCs w:val="21"/>
              </w:rPr>
              <w:t>潜水搅拌机</w:t>
            </w:r>
          </w:p>
        </w:tc>
        <w:tc>
          <w:tcPr>
            <w:tcW w:w="1055" w:type="dxa"/>
            <w:vAlign w:val="center"/>
          </w:tcPr>
          <w:p>
            <w:pPr>
              <w:spacing w:line="240" w:lineRule="auto"/>
              <w:ind w:firstLine="0" w:firstLineChars="0"/>
              <w:jc w:val="center"/>
              <w:rPr>
                <w:color w:val="auto"/>
                <w:kern w:val="21"/>
                <w:sz w:val="21"/>
                <w:szCs w:val="21"/>
              </w:rPr>
            </w:pPr>
            <w:r>
              <w:rPr>
                <w:color w:val="auto"/>
                <w:position w:val="1"/>
                <w:sz w:val="21"/>
                <w:szCs w:val="21"/>
              </w:rPr>
              <w:t>80~85</w:t>
            </w:r>
          </w:p>
        </w:tc>
        <w:tc>
          <w:tcPr>
            <w:tcW w:w="745" w:type="dxa"/>
            <w:vAlign w:val="center"/>
          </w:tcPr>
          <w:p>
            <w:pPr>
              <w:spacing w:line="240" w:lineRule="auto"/>
              <w:ind w:firstLine="0" w:firstLineChars="0"/>
              <w:jc w:val="center"/>
              <w:textAlignment w:val="baseline"/>
              <w:rPr>
                <w:color w:val="auto"/>
                <w:kern w:val="21"/>
                <w:sz w:val="21"/>
                <w:szCs w:val="21"/>
              </w:rPr>
            </w:pPr>
            <w:r>
              <w:rPr>
                <w:color w:val="auto"/>
                <w:kern w:val="21"/>
                <w:sz w:val="21"/>
                <w:szCs w:val="21"/>
              </w:rPr>
              <w:t>2套</w:t>
            </w:r>
          </w:p>
        </w:tc>
        <w:tc>
          <w:tcPr>
            <w:tcW w:w="756" w:type="dxa"/>
            <w:vMerge w:val="continue"/>
            <w:vAlign w:val="center"/>
          </w:tcPr>
          <w:p>
            <w:pPr>
              <w:pStyle w:val="11"/>
              <w:ind w:firstLine="0" w:firstLineChars="0"/>
              <w:jc w:val="center"/>
              <w:rPr>
                <w:color w:val="auto"/>
                <w:kern w:val="21"/>
                <w:szCs w:val="21"/>
              </w:rPr>
            </w:pPr>
          </w:p>
        </w:tc>
        <w:tc>
          <w:tcPr>
            <w:tcW w:w="1071"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141"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混凝沉淀池</w:t>
            </w:r>
          </w:p>
        </w:tc>
        <w:tc>
          <w:tcPr>
            <w:tcW w:w="2798" w:type="dxa"/>
            <w:vAlign w:val="center"/>
          </w:tcPr>
          <w:p>
            <w:pPr>
              <w:spacing w:line="240" w:lineRule="auto"/>
              <w:ind w:firstLine="0" w:firstLineChars="0"/>
              <w:jc w:val="center"/>
              <w:rPr>
                <w:color w:val="auto"/>
                <w:kern w:val="21"/>
                <w:sz w:val="21"/>
                <w:szCs w:val="21"/>
              </w:rPr>
            </w:pPr>
            <w:r>
              <w:rPr>
                <w:color w:val="auto"/>
                <w:kern w:val="21"/>
                <w:sz w:val="21"/>
                <w:szCs w:val="21"/>
              </w:rPr>
              <w:t>桁车式刮泥机</w:t>
            </w:r>
          </w:p>
        </w:tc>
        <w:tc>
          <w:tcPr>
            <w:tcW w:w="1055" w:type="dxa"/>
            <w:vAlign w:val="center"/>
          </w:tcPr>
          <w:p>
            <w:pPr>
              <w:spacing w:line="240" w:lineRule="auto"/>
              <w:ind w:firstLine="0" w:firstLineChars="0"/>
              <w:jc w:val="center"/>
              <w:rPr>
                <w:color w:val="auto"/>
                <w:kern w:val="21"/>
                <w:sz w:val="21"/>
                <w:szCs w:val="21"/>
              </w:rPr>
            </w:pPr>
            <w:r>
              <w:rPr>
                <w:color w:val="auto"/>
                <w:kern w:val="21"/>
                <w:sz w:val="21"/>
                <w:szCs w:val="21"/>
              </w:rPr>
              <w:t>75</w:t>
            </w:r>
          </w:p>
        </w:tc>
        <w:tc>
          <w:tcPr>
            <w:tcW w:w="745" w:type="dxa"/>
            <w:vAlign w:val="center"/>
          </w:tcPr>
          <w:p>
            <w:pPr>
              <w:spacing w:line="240" w:lineRule="auto"/>
              <w:ind w:firstLine="0" w:firstLineChars="0"/>
              <w:jc w:val="center"/>
              <w:textAlignment w:val="baseline"/>
              <w:rPr>
                <w:color w:val="auto"/>
                <w:kern w:val="21"/>
                <w:sz w:val="21"/>
                <w:szCs w:val="21"/>
              </w:rPr>
            </w:pPr>
            <w:r>
              <w:rPr>
                <w:color w:val="auto"/>
                <w:kern w:val="21"/>
                <w:sz w:val="21"/>
                <w:szCs w:val="21"/>
              </w:rPr>
              <w:t>1套</w:t>
            </w:r>
          </w:p>
        </w:tc>
        <w:tc>
          <w:tcPr>
            <w:tcW w:w="756" w:type="dxa"/>
            <w:vMerge w:val="continue"/>
            <w:vAlign w:val="center"/>
          </w:tcPr>
          <w:p>
            <w:pPr>
              <w:pStyle w:val="11"/>
              <w:ind w:firstLine="0" w:firstLineChars="0"/>
              <w:jc w:val="center"/>
              <w:rPr>
                <w:color w:val="auto"/>
                <w:kern w:val="21"/>
                <w:szCs w:val="21"/>
              </w:rPr>
            </w:pPr>
          </w:p>
        </w:tc>
        <w:tc>
          <w:tcPr>
            <w:tcW w:w="1071"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1" w:type="dxa"/>
            <w:vMerge w:val="continue"/>
            <w:vAlign w:val="center"/>
          </w:tcPr>
          <w:p>
            <w:pPr>
              <w:spacing w:line="240" w:lineRule="auto"/>
              <w:ind w:firstLine="0" w:firstLineChars="0"/>
              <w:jc w:val="center"/>
              <w:rPr>
                <w:color w:val="auto"/>
                <w:kern w:val="21"/>
                <w:sz w:val="21"/>
                <w:szCs w:val="21"/>
              </w:rPr>
            </w:pPr>
          </w:p>
        </w:tc>
        <w:tc>
          <w:tcPr>
            <w:tcW w:w="2798" w:type="dxa"/>
            <w:vAlign w:val="center"/>
          </w:tcPr>
          <w:p>
            <w:pPr>
              <w:spacing w:line="240" w:lineRule="auto"/>
              <w:ind w:firstLine="0" w:firstLineChars="0"/>
              <w:jc w:val="center"/>
              <w:rPr>
                <w:color w:val="auto"/>
                <w:kern w:val="21"/>
                <w:sz w:val="21"/>
                <w:szCs w:val="21"/>
              </w:rPr>
            </w:pPr>
            <w:r>
              <w:rPr>
                <w:color w:val="auto"/>
                <w:kern w:val="21"/>
                <w:sz w:val="21"/>
                <w:szCs w:val="21"/>
              </w:rPr>
              <w:t>排污泵</w:t>
            </w:r>
            <w:r>
              <w:rPr>
                <w:rFonts w:hint="eastAsia"/>
                <w:color w:val="auto"/>
                <w:kern w:val="21"/>
                <w:sz w:val="21"/>
                <w:szCs w:val="21"/>
              </w:rPr>
              <w:t>、回流泵、冲洗泵等</w:t>
            </w:r>
          </w:p>
        </w:tc>
        <w:tc>
          <w:tcPr>
            <w:tcW w:w="1055" w:type="dxa"/>
            <w:vAlign w:val="center"/>
          </w:tcPr>
          <w:p>
            <w:pPr>
              <w:spacing w:line="240" w:lineRule="auto"/>
              <w:ind w:firstLine="0" w:firstLineChars="0"/>
              <w:jc w:val="center"/>
              <w:rPr>
                <w:color w:val="auto"/>
                <w:kern w:val="21"/>
                <w:sz w:val="21"/>
                <w:szCs w:val="21"/>
              </w:rPr>
            </w:pPr>
            <w:r>
              <w:rPr>
                <w:color w:val="auto"/>
                <w:position w:val="1"/>
                <w:sz w:val="21"/>
                <w:szCs w:val="21"/>
              </w:rPr>
              <w:t>85~90</w:t>
            </w:r>
          </w:p>
        </w:tc>
        <w:tc>
          <w:tcPr>
            <w:tcW w:w="745" w:type="dxa"/>
            <w:vAlign w:val="center"/>
          </w:tcPr>
          <w:p>
            <w:pPr>
              <w:spacing w:line="240" w:lineRule="auto"/>
              <w:ind w:firstLine="0" w:firstLineChars="0"/>
              <w:jc w:val="center"/>
              <w:textAlignment w:val="baseline"/>
              <w:rPr>
                <w:color w:val="auto"/>
                <w:kern w:val="21"/>
                <w:sz w:val="21"/>
                <w:szCs w:val="21"/>
              </w:rPr>
            </w:pPr>
            <w:r>
              <w:rPr>
                <w:rFonts w:hint="eastAsia"/>
                <w:color w:val="auto"/>
                <w:kern w:val="21"/>
                <w:sz w:val="21"/>
                <w:szCs w:val="21"/>
              </w:rPr>
              <w:t>13</w:t>
            </w:r>
            <w:r>
              <w:rPr>
                <w:color w:val="auto"/>
                <w:kern w:val="21"/>
                <w:sz w:val="21"/>
                <w:szCs w:val="21"/>
              </w:rPr>
              <w:t>台</w:t>
            </w:r>
          </w:p>
        </w:tc>
        <w:tc>
          <w:tcPr>
            <w:tcW w:w="756" w:type="dxa"/>
            <w:vMerge w:val="continue"/>
            <w:vAlign w:val="center"/>
          </w:tcPr>
          <w:p>
            <w:pPr>
              <w:pStyle w:val="11"/>
              <w:ind w:firstLine="0" w:firstLineChars="0"/>
              <w:jc w:val="center"/>
              <w:rPr>
                <w:color w:val="auto"/>
                <w:kern w:val="21"/>
                <w:szCs w:val="21"/>
              </w:rPr>
            </w:pPr>
          </w:p>
        </w:tc>
        <w:tc>
          <w:tcPr>
            <w:tcW w:w="1071"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41"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MBR膜池及设备间</w:t>
            </w:r>
          </w:p>
          <w:p>
            <w:pPr>
              <w:spacing w:line="240" w:lineRule="auto"/>
              <w:ind w:firstLine="0" w:firstLineChars="0"/>
              <w:jc w:val="center"/>
              <w:rPr>
                <w:color w:val="auto"/>
                <w:kern w:val="21"/>
                <w:sz w:val="21"/>
                <w:szCs w:val="21"/>
              </w:rPr>
            </w:pPr>
          </w:p>
        </w:tc>
        <w:tc>
          <w:tcPr>
            <w:tcW w:w="2798"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lang w:bidi="ar"/>
              </w:rPr>
              <w:t>各</w:t>
            </w:r>
            <w:r>
              <w:rPr>
                <w:color w:val="auto"/>
                <w:kern w:val="21"/>
                <w:sz w:val="21"/>
                <w:szCs w:val="21"/>
                <w:lang w:bidi="ar"/>
              </w:rPr>
              <w:t>水泵</w:t>
            </w:r>
            <w:r>
              <w:rPr>
                <w:rFonts w:hint="eastAsia"/>
                <w:color w:val="auto"/>
                <w:kern w:val="21"/>
                <w:sz w:val="21"/>
                <w:szCs w:val="21"/>
                <w:lang w:bidi="ar"/>
              </w:rPr>
              <w:t>、真空泵、加压泵等</w:t>
            </w:r>
          </w:p>
        </w:tc>
        <w:tc>
          <w:tcPr>
            <w:tcW w:w="1055" w:type="dxa"/>
            <w:vAlign w:val="center"/>
          </w:tcPr>
          <w:p>
            <w:pPr>
              <w:spacing w:line="240" w:lineRule="auto"/>
              <w:ind w:firstLine="0" w:firstLineChars="0"/>
              <w:jc w:val="center"/>
              <w:rPr>
                <w:color w:val="auto"/>
                <w:kern w:val="21"/>
                <w:sz w:val="21"/>
                <w:szCs w:val="21"/>
              </w:rPr>
            </w:pPr>
            <w:r>
              <w:rPr>
                <w:color w:val="auto"/>
                <w:position w:val="1"/>
                <w:sz w:val="21"/>
                <w:szCs w:val="21"/>
              </w:rPr>
              <w:t>85~90</w:t>
            </w:r>
          </w:p>
        </w:tc>
        <w:tc>
          <w:tcPr>
            <w:tcW w:w="74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9</w:t>
            </w:r>
            <w:r>
              <w:rPr>
                <w:color w:val="auto"/>
                <w:kern w:val="21"/>
                <w:sz w:val="21"/>
                <w:szCs w:val="21"/>
              </w:rPr>
              <w:t>台</w:t>
            </w:r>
          </w:p>
        </w:tc>
        <w:tc>
          <w:tcPr>
            <w:tcW w:w="756" w:type="dxa"/>
            <w:vMerge w:val="continue"/>
            <w:vAlign w:val="center"/>
          </w:tcPr>
          <w:p>
            <w:pPr>
              <w:pStyle w:val="11"/>
              <w:ind w:firstLine="0" w:firstLineChars="0"/>
              <w:jc w:val="center"/>
              <w:rPr>
                <w:color w:val="auto"/>
                <w:kern w:val="21"/>
                <w:szCs w:val="21"/>
              </w:rPr>
            </w:pPr>
          </w:p>
        </w:tc>
        <w:tc>
          <w:tcPr>
            <w:tcW w:w="1071"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141" w:type="dxa"/>
            <w:vMerge w:val="continue"/>
            <w:vAlign w:val="center"/>
          </w:tcPr>
          <w:p>
            <w:pPr>
              <w:spacing w:line="240" w:lineRule="auto"/>
              <w:ind w:firstLine="0" w:firstLineChars="0"/>
              <w:jc w:val="center"/>
              <w:rPr>
                <w:color w:val="auto"/>
                <w:kern w:val="21"/>
                <w:sz w:val="21"/>
                <w:szCs w:val="21"/>
              </w:rPr>
            </w:pPr>
          </w:p>
        </w:tc>
        <w:tc>
          <w:tcPr>
            <w:tcW w:w="2798"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空压机</w:t>
            </w:r>
          </w:p>
        </w:tc>
        <w:tc>
          <w:tcPr>
            <w:tcW w:w="1055" w:type="dxa"/>
            <w:vAlign w:val="center"/>
          </w:tcPr>
          <w:p>
            <w:pPr>
              <w:spacing w:line="240" w:lineRule="auto"/>
              <w:ind w:firstLine="0" w:firstLineChars="0"/>
              <w:jc w:val="center"/>
              <w:rPr>
                <w:color w:val="auto"/>
                <w:kern w:val="21"/>
                <w:sz w:val="21"/>
                <w:szCs w:val="21"/>
              </w:rPr>
            </w:pPr>
            <w:r>
              <w:rPr>
                <w:color w:val="auto"/>
                <w:position w:val="1"/>
                <w:sz w:val="21"/>
                <w:szCs w:val="21"/>
              </w:rPr>
              <w:t>85</w:t>
            </w:r>
          </w:p>
        </w:tc>
        <w:tc>
          <w:tcPr>
            <w:tcW w:w="74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1</w:t>
            </w:r>
            <w:r>
              <w:rPr>
                <w:color w:val="auto"/>
                <w:kern w:val="21"/>
                <w:sz w:val="21"/>
                <w:szCs w:val="21"/>
              </w:rPr>
              <w:t>台</w:t>
            </w:r>
          </w:p>
        </w:tc>
        <w:tc>
          <w:tcPr>
            <w:tcW w:w="756" w:type="dxa"/>
            <w:vMerge w:val="continue"/>
            <w:vAlign w:val="center"/>
          </w:tcPr>
          <w:p>
            <w:pPr>
              <w:pStyle w:val="11"/>
              <w:ind w:firstLine="0" w:firstLineChars="0"/>
              <w:jc w:val="center"/>
              <w:rPr>
                <w:color w:val="auto"/>
                <w:kern w:val="21"/>
                <w:szCs w:val="21"/>
              </w:rPr>
            </w:pPr>
          </w:p>
        </w:tc>
        <w:tc>
          <w:tcPr>
            <w:tcW w:w="1071"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141" w:type="dxa"/>
            <w:vMerge w:val="continue"/>
            <w:vAlign w:val="center"/>
          </w:tcPr>
          <w:p>
            <w:pPr>
              <w:spacing w:line="240" w:lineRule="auto"/>
              <w:ind w:firstLine="0" w:firstLineChars="0"/>
              <w:jc w:val="center"/>
              <w:rPr>
                <w:color w:val="auto"/>
                <w:kern w:val="21"/>
                <w:sz w:val="21"/>
                <w:szCs w:val="21"/>
              </w:rPr>
            </w:pPr>
          </w:p>
        </w:tc>
        <w:tc>
          <w:tcPr>
            <w:tcW w:w="2798" w:type="dxa"/>
            <w:vAlign w:val="center"/>
          </w:tcPr>
          <w:p>
            <w:pPr>
              <w:spacing w:line="240" w:lineRule="auto"/>
              <w:ind w:firstLine="0" w:firstLineChars="0"/>
              <w:jc w:val="center"/>
              <w:rPr>
                <w:color w:val="auto"/>
                <w:kern w:val="21"/>
                <w:sz w:val="21"/>
                <w:szCs w:val="21"/>
              </w:rPr>
            </w:pPr>
            <w:r>
              <w:rPr>
                <w:color w:val="auto"/>
                <w:kern w:val="21"/>
                <w:sz w:val="21"/>
                <w:szCs w:val="21"/>
              </w:rPr>
              <w:t>MBR池鼓风机</w:t>
            </w:r>
          </w:p>
        </w:tc>
        <w:tc>
          <w:tcPr>
            <w:tcW w:w="1055"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85</w:t>
            </w:r>
          </w:p>
        </w:tc>
        <w:tc>
          <w:tcPr>
            <w:tcW w:w="745"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bidi="ar"/>
              </w:rPr>
              <w:t>3</w:t>
            </w:r>
            <w:r>
              <w:rPr>
                <w:color w:val="auto"/>
                <w:kern w:val="21"/>
                <w:sz w:val="21"/>
                <w:szCs w:val="21"/>
                <w:lang w:bidi="ar"/>
              </w:rPr>
              <w:t>台</w:t>
            </w:r>
          </w:p>
        </w:tc>
        <w:tc>
          <w:tcPr>
            <w:tcW w:w="756" w:type="dxa"/>
            <w:vMerge w:val="continue"/>
            <w:vAlign w:val="center"/>
          </w:tcPr>
          <w:p>
            <w:pPr>
              <w:pStyle w:val="11"/>
              <w:ind w:firstLine="0" w:firstLineChars="0"/>
              <w:jc w:val="center"/>
              <w:rPr>
                <w:color w:val="auto"/>
                <w:kern w:val="21"/>
                <w:szCs w:val="21"/>
              </w:rPr>
            </w:pPr>
          </w:p>
        </w:tc>
        <w:tc>
          <w:tcPr>
            <w:tcW w:w="1071"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141"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污泥脱水车间</w:t>
            </w:r>
          </w:p>
        </w:tc>
        <w:tc>
          <w:tcPr>
            <w:tcW w:w="279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板框压滤机</w:t>
            </w:r>
          </w:p>
        </w:tc>
        <w:tc>
          <w:tcPr>
            <w:tcW w:w="1055" w:type="dxa"/>
            <w:vAlign w:val="center"/>
          </w:tcPr>
          <w:p>
            <w:pPr>
              <w:spacing w:line="240" w:lineRule="auto"/>
              <w:ind w:firstLine="0" w:firstLineChars="0"/>
              <w:jc w:val="center"/>
              <w:rPr>
                <w:color w:val="auto"/>
                <w:kern w:val="21"/>
                <w:sz w:val="21"/>
                <w:szCs w:val="21"/>
              </w:rPr>
            </w:pPr>
            <w:r>
              <w:rPr>
                <w:color w:val="auto"/>
                <w:kern w:val="21"/>
                <w:sz w:val="21"/>
                <w:szCs w:val="21"/>
              </w:rPr>
              <w:t>80</w:t>
            </w:r>
          </w:p>
        </w:tc>
        <w:tc>
          <w:tcPr>
            <w:tcW w:w="745" w:type="dxa"/>
            <w:vAlign w:val="center"/>
          </w:tcPr>
          <w:p>
            <w:pPr>
              <w:spacing w:line="240" w:lineRule="auto"/>
              <w:ind w:firstLine="0" w:firstLineChars="0"/>
              <w:jc w:val="center"/>
              <w:rPr>
                <w:color w:val="auto"/>
                <w:kern w:val="21"/>
                <w:sz w:val="21"/>
                <w:szCs w:val="21"/>
                <w:lang w:bidi="ar"/>
              </w:rPr>
            </w:pPr>
            <w:r>
              <w:rPr>
                <w:rFonts w:hint="eastAsia"/>
                <w:color w:val="auto"/>
                <w:kern w:val="21"/>
                <w:sz w:val="21"/>
                <w:szCs w:val="21"/>
                <w:lang w:bidi="ar"/>
              </w:rPr>
              <w:t>2</w:t>
            </w:r>
            <w:r>
              <w:rPr>
                <w:color w:val="auto"/>
                <w:kern w:val="21"/>
                <w:sz w:val="21"/>
                <w:szCs w:val="21"/>
                <w:lang w:bidi="ar"/>
              </w:rPr>
              <w:t>台</w:t>
            </w:r>
          </w:p>
        </w:tc>
        <w:tc>
          <w:tcPr>
            <w:tcW w:w="756" w:type="dxa"/>
            <w:vMerge w:val="continue"/>
            <w:vAlign w:val="center"/>
          </w:tcPr>
          <w:p>
            <w:pPr>
              <w:pStyle w:val="11"/>
              <w:ind w:firstLine="0" w:firstLineChars="0"/>
              <w:jc w:val="center"/>
              <w:rPr>
                <w:color w:val="auto"/>
                <w:kern w:val="21"/>
                <w:szCs w:val="21"/>
              </w:rPr>
            </w:pPr>
          </w:p>
        </w:tc>
        <w:tc>
          <w:tcPr>
            <w:tcW w:w="1071"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2141" w:type="dxa"/>
            <w:vMerge w:val="continue"/>
            <w:vAlign w:val="center"/>
          </w:tcPr>
          <w:p>
            <w:pPr>
              <w:spacing w:line="240" w:lineRule="auto"/>
              <w:ind w:firstLine="0" w:firstLineChars="0"/>
              <w:jc w:val="center"/>
              <w:rPr>
                <w:color w:val="auto"/>
                <w:kern w:val="21"/>
                <w:sz w:val="21"/>
                <w:szCs w:val="21"/>
              </w:rPr>
            </w:pPr>
          </w:p>
        </w:tc>
        <w:tc>
          <w:tcPr>
            <w:tcW w:w="2798" w:type="dxa"/>
            <w:vAlign w:val="center"/>
          </w:tcPr>
          <w:p>
            <w:pPr>
              <w:spacing w:line="240" w:lineRule="auto"/>
              <w:ind w:firstLine="0" w:firstLineChars="0"/>
              <w:jc w:val="center"/>
              <w:rPr>
                <w:color w:val="auto"/>
                <w:kern w:val="21"/>
                <w:sz w:val="21"/>
                <w:szCs w:val="21"/>
              </w:rPr>
            </w:pPr>
            <w:r>
              <w:rPr>
                <w:color w:val="auto"/>
                <w:kern w:val="21"/>
                <w:sz w:val="21"/>
                <w:szCs w:val="21"/>
              </w:rPr>
              <w:t>离心泵</w:t>
            </w:r>
          </w:p>
        </w:tc>
        <w:tc>
          <w:tcPr>
            <w:tcW w:w="1055" w:type="dxa"/>
            <w:vAlign w:val="center"/>
          </w:tcPr>
          <w:p>
            <w:pPr>
              <w:spacing w:line="240" w:lineRule="auto"/>
              <w:ind w:firstLine="0" w:firstLineChars="0"/>
              <w:jc w:val="center"/>
              <w:rPr>
                <w:color w:val="auto"/>
                <w:kern w:val="21"/>
                <w:sz w:val="21"/>
                <w:szCs w:val="21"/>
              </w:rPr>
            </w:pPr>
            <w:r>
              <w:rPr>
                <w:color w:val="auto"/>
                <w:position w:val="1"/>
                <w:sz w:val="21"/>
                <w:szCs w:val="21"/>
              </w:rPr>
              <w:t>85~90</w:t>
            </w:r>
          </w:p>
        </w:tc>
        <w:tc>
          <w:tcPr>
            <w:tcW w:w="745" w:type="dxa"/>
            <w:vAlign w:val="center"/>
          </w:tcPr>
          <w:p>
            <w:pPr>
              <w:spacing w:line="240" w:lineRule="auto"/>
              <w:ind w:firstLine="0" w:firstLineChars="0"/>
              <w:jc w:val="center"/>
              <w:rPr>
                <w:color w:val="auto"/>
                <w:kern w:val="21"/>
                <w:sz w:val="21"/>
                <w:szCs w:val="21"/>
                <w:lang w:bidi="ar"/>
              </w:rPr>
            </w:pPr>
            <w:r>
              <w:rPr>
                <w:rFonts w:hint="eastAsia"/>
                <w:color w:val="auto"/>
                <w:kern w:val="21"/>
                <w:sz w:val="21"/>
                <w:szCs w:val="21"/>
                <w:lang w:bidi="ar"/>
              </w:rPr>
              <w:t>5</w:t>
            </w:r>
            <w:r>
              <w:rPr>
                <w:color w:val="auto"/>
                <w:kern w:val="21"/>
                <w:sz w:val="21"/>
                <w:szCs w:val="21"/>
                <w:lang w:bidi="ar"/>
              </w:rPr>
              <w:t>台</w:t>
            </w:r>
          </w:p>
        </w:tc>
        <w:tc>
          <w:tcPr>
            <w:tcW w:w="756" w:type="dxa"/>
            <w:vMerge w:val="continue"/>
            <w:vAlign w:val="center"/>
          </w:tcPr>
          <w:p>
            <w:pPr>
              <w:pStyle w:val="11"/>
              <w:ind w:firstLine="0" w:firstLineChars="0"/>
              <w:jc w:val="center"/>
              <w:rPr>
                <w:color w:val="auto"/>
                <w:kern w:val="21"/>
                <w:szCs w:val="21"/>
              </w:rPr>
            </w:pPr>
          </w:p>
        </w:tc>
        <w:tc>
          <w:tcPr>
            <w:tcW w:w="1071"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72</w:t>
            </w:r>
          </w:p>
        </w:tc>
      </w:tr>
    </w:tbl>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3.3</w:t>
      </w:r>
      <w:r>
        <w:rPr>
          <w:rFonts w:hint="eastAsia" w:ascii="Times New Roman" w:hAnsi="Times New Roman" w:eastAsia="宋体"/>
          <w:color w:val="auto"/>
          <w:kern w:val="21"/>
          <w:sz w:val="24"/>
          <w:szCs w:val="24"/>
        </w:rPr>
        <w:t>.2.5</w:t>
      </w:r>
      <w:r>
        <w:rPr>
          <w:rFonts w:ascii="Times New Roman" w:hAnsi="Times New Roman" w:eastAsia="宋体"/>
          <w:color w:val="auto"/>
          <w:kern w:val="21"/>
          <w:sz w:val="24"/>
          <w:szCs w:val="24"/>
        </w:rPr>
        <w:t>固体废物</w:t>
      </w:r>
      <w:bookmarkEnd w:id="105"/>
      <w:bookmarkEnd w:id="106"/>
      <w:bookmarkEnd w:id="107"/>
      <w:bookmarkEnd w:id="108"/>
      <w:bookmarkEnd w:id="109"/>
      <w:bookmarkEnd w:id="110"/>
      <w:bookmarkEnd w:id="111"/>
      <w:bookmarkEnd w:id="112"/>
      <w:r>
        <w:rPr>
          <w:rFonts w:hint="eastAsia" w:ascii="Times New Roman" w:hAnsi="Times New Roman" w:eastAsia="宋体"/>
          <w:color w:val="auto"/>
          <w:kern w:val="21"/>
          <w:sz w:val="24"/>
          <w:szCs w:val="24"/>
        </w:rPr>
        <w:t>源强</w:t>
      </w:r>
    </w:p>
    <w:p>
      <w:pPr>
        <w:ind w:firstLine="480"/>
        <w:rPr>
          <w:color w:val="auto"/>
          <w:kern w:val="21"/>
        </w:rPr>
      </w:pPr>
      <w:r>
        <w:rPr>
          <w:color w:val="auto"/>
          <w:kern w:val="21"/>
        </w:rPr>
        <w:t>本项目产生的固体废物主要有污水处理过程中产生的栅渣、污泥</w:t>
      </w:r>
      <w:r>
        <w:rPr>
          <w:rFonts w:hint="eastAsia"/>
          <w:color w:val="auto"/>
          <w:kern w:val="21"/>
        </w:rPr>
        <w:t>、</w:t>
      </w:r>
      <w:r>
        <w:rPr>
          <w:color w:val="auto"/>
          <w:kern w:val="21"/>
        </w:rPr>
        <w:t>职工的生活垃圾</w:t>
      </w:r>
      <w:r>
        <w:rPr>
          <w:rFonts w:hint="eastAsia"/>
          <w:color w:val="auto"/>
          <w:kern w:val="21"/>
        </w:rPr>
        <w:t>、废机油</w:t>
      </w:r>
      <w:r>
        <w:rPr>
          <w:rFonts w:hint="eastAsia"/>
          <w:color w:val="auto"/>
          <w:kern w:val="21"/>
          <w:lang w:eastAsia="zh-CN"/>
        </w:rPr>
        <w:t>、</w:t>
      </w:r>
      <w:r>
        <w:rPr>
          <w:rFonts w:hint="eastAsia"/>
          <w:color w:val="auto"/>
          <w:kern w:val="21"/>
        </w:rPr>
        <w:t>废弃紫外光灯管</w:t>
      </w:r>
      <w:r>
        <w:rPr>
          <w:rFonts w:hint="eastAsia"/>
          <w:color w:val="auto"/>
          <w:kern w:val="21"/>
          <w:lang w:eastAsia="zh-CN"/>
        </w:rPr>
        <w:t>、废活性炭、在线监测设备废液</w:t>
      </w:r>
      <w:r>
        <w:rPr>
          <w:color w:val="auto"/>
          <w:kern w:val="21"/>
        </w:rPr>
        <w:t>。</w:t>
      </w:r>
    </w:p>
    <w:p>
      <w:pPr>
        <w:ind w:firstLine="480"/>
        <w:rPr>
          <w:color w:val="auto"/>
          <w:kern w:val="21"/>
        </w:rPr>
      </w:pPr>
      <w:r>
        <w:rPr>
          <w:color w:val="auto"/>
          <w:kern w:val="21"/>
        </w:rPr>
        <w:t>（1）栅渣</w:t>
      </w:r>
    </w:p>
    <w:p>
      <w:pPr>
        <w:ind w:firstLine="480"/>
        <w:rPr>
          <w:color w:val="auto"/>
          <w:kern w:val="21"/>
        </w:rPr>
      </w:pPr>
      <w:r>
        <w:rPr>
          <w:color w:val="auto"/>
          <w:kern w:val="21"/>
        </w:rPr>
        <w:t>项目排渣系数按每1000m</w:t>
      </w:r>
      <w:r>
        <w:rPr>
          <w:color w:val="auto"/>
          <w:kern w:val="21"/>
          <w:vertAlign w:val="superscript"/>
        </w:rPr>
        <w:t>3</w:t>
      </w:r>
      <w:r>
        <w:rPr>
          <w:color w:val="auto"/>
          <w:kern w:val="21"/>
        </w:rPr>
        <w:t>污水产生0.04m</w:t>
      </w:r>
      <w:r>
        <w:rPr>
          <w:color w:val="auto"/>
          <w:kern w:val="21"/>
          <w:vertAlign w:val="superscript"/>
        </w:rPr>
        <w:t>3</w:t>
      </w:r>
      <w:r>
        <w:rPr>
          <w:color w:val="auto"/>
          <w:kern w:val="21"/>
        </w:rPr>
        <w:t>栅渣计算，则栅渣产生量约为0.2m</w:t>
      </w:r>
      <w:r>
        <w:rPr>
          <w:color w:val="auto"/>
          <w:kern w:val="21"/>
          <w:vertAlign w:val="superscript"/>
        </w:rPr>
        <w:t>3</w:t>
      </w:r>
      <w:r>
        <w:rPr>
          <w:color w:val="auto"/>
          <w:kern w:val="21"/>
        </w:rPr>
        <w:t>/d，栅渣的含水率约为70%，容重为960kg/m</w:t>
      </w:r>
      <w:r>
        <w:rPr>
          <w:color w:val="auto"/>
          <w:kern w:val="21"/>
          <w:vertAlign w:val="superscript"/>
        </w:rPr>
        <w:t>3</w:t>
      </w:r>
      <w:r>
        <w:rPr>
          <w:rFonts w:hint="eastAsia"/>
          <w:color w:val="auto"/>
          <w:kern w:val="21"/>
        </w:rPr>
        <w:t>，</w:t>
      </w:r>
      <w:r>
        <w:rPr>
          <w:color w:val="auto"/>
          <w:kern w:val="21"/>
        </w:rPr>
        <w:t>故本项目产生的栅渣量为0.2t/d，全年产生量为73t，压榨后含水率为50%-60%，属于一般工业固废，</w:t>
      </w:r>
      <w:r>
        <w:rPr>
          <w:rFonts w:hint="eastAsia"/>
          <w:color w:val="auto"/>
          <w:kern w:val="21"/>
        </w:rPr>
        <w:t>集中收集至厂区垃圾箱内，由当地环卫部门清运处置</w:t>
      </w:r>
      <w:r>
        <w:rPr>
          <w:color w:val="auto"/>
          <w:kern w:val="21"/>
        </w:rPr>
        <w:t>。</w:t>
      </w:r>
    </w:p>
    <w:p>
      <w:pPr>
        <w:ind w:firstLine="480"/>
        <w:rPr>
          <w:color w:val="auto"/>
          <w:kern w:val="21"/>
        </w:rPr>
      </w:pPr>
      <w:r>
        <w:rPr>
          <w:color w:val="auto"/>
          <w:kern w:val="21"/>
        </w:rPr>
        <w:t>（2）污泥</w:t>
      </w:r>
    </w:p>
    <w:p>
      <w:pPr>
        <w:widowControl/>
        <w:ind w:firstLine="480"/>
        <w:jc w:val="left"/>
        <w:rPr>
          <w:color w:val="auto"/>
          <w:kern w:val="21"/>
        </w:rPr>
      </w:pPr>
      <w:r>
        <w:rPr>
          <w:color w:val="auto"/>
          <w:kern w:val="21"/>
          <w:lang w:bidi="ar"/>
        </w:rPr>
        <w:t>根据项目可研，项目运行期混凝沉淀池、</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生化池、MBR膜池产生的污泥经污泥脱水车间脱水处理后会产生污泥（含水率</w:t>
      </w:r>
      <w:r>
        <w:rPr>
          <w:rFonts w:hint="eastAsia"/>
          <w:color w:val="auto"/>
          <w:kern w:val="21"/>
          <w:lang w:bidi="ar"/>
        </w:rPr>
        <w:t>6</w:t>
      </w:r>
      <w:r>
        <w:rPr>
          <w:color w:val="auto"/>
          <w:kern w:val="21"/>
          <w:lang w:bidi="ar"/>
        </w:rPr>
        <w:t>0%），干污泥量约2t/d，一年以365天计，则污泥年产生量为730t。</w:t>
      </w:r>
    </w:p>
    <w:p>
      <w:pPr>
        <w:widowControl/>
        <w:ind w:firstLine="480"/>
        <w:jc w:val="left"/>
        <w:rPr>
          <w:color w:val="auto"/>
          <w:kern w:val="21"/>
        </w:rPr>
      </w:pPr>
      <w:r>
        <w:rPr>
          <w:color w:val="auto"/>
          <w:kern w:val="21"/>
          <w:lang w:bidi="ar"/>
        </w:rPr>
        <w:t>根据</w:t>
      </w:r>
      <w:r>
        <w:rPr>
          <w:rFonts w:hint="eastAsia"/>
          <w:color w:val="auto"/>
          <w:kern w:val="21"/>
          <w:lang w:bidi="ar"/>
        </w:rPr>
        <w:t>《</w:t>
      </w:r>
      <w:r>
        <w:rPr>
          <w:color w:val="auto"/>
          <w:kern w:val="21"/>
          <w:lang w:bidi="ar"/>
        </w:rPr>
        <w:t>关于污（废）水处理设施产生污泥危险特性鉴别有关意见的函</w:t>
      </w:r>
      <w:r>
        <w:rPr>
          <w:rFonts w:hint="eastAsia"/>
          <w:color w:val="auto"/>
          <w:kern w:val="21"/>
          <w:lang w:bidi="ar"/>
        </w:rPr>
        <w:t>》</w:t>
      </w:r>
      <w:r>
        <w:rPr>
          <w:color w:val="auto"/>
          <w:kern w:val="21"/>
          <w:lang w:bidi="ar"/>
        </w:rPr>
        <w:t>（环境保护部，环函</w:t>
      </w:r>
      <w:r>
        <w:rPr>
          <w:rFonts w:hint="eastAsia"/>
          <w:color w:val="auto"/>
          <w:kern w:val="21"/>
          <w:lang w:bidi="ar"/>
        </w:rPr>
        <w:t>[</w:t>
      </w:r>
      <w:r>
        <w:rPr>
          <w:color w:val="auto"/>
          <w:kern w:val="21"/>
          <w:lang w:bidi="ar"/>
        </w:rPr>
        <w:t>2010</w:t>
      </w:r>
      <w:r>
        <w:rPr>
          <w:rFonts w:hint="eastAsia"/>
          <w:color w:val="auto"/>
          <w:kern w:val="21"/>
          <w:lang w:bidi="ar"/>
        </w:rPr>
        <w:t>]</w:t>
      </w:r>
      <w:r>
        <w:rPr>
          <w:color w:val="auto"/>
          <w:kern w:val="21"/>
          <w:lang w:bidi="ar"/>
        </w:rPr>
        <w:t>129号），“专门处理工业废水（或同时处理少量生活污水）的处理设施产生的污泥，可能具有危险特性，应按《国家危险废物名录》、国家环境保护标准《危险废物鉴别技术规范》（HJ/T298-2007）和危险废物鉴别标准的规定，对污泥进行危险特性鉴别。经鉴别污泥属性如果属于危险废物，则委托有资质的单位处置；如果不属于危险废物</w:t>
      </w:r>
      <w:r>
        <w:rPr>
          <w:rFonts w:hint="eastAsia"/>
          <w:color w:val="auto"/>
          <w:kern w:val="21"/>
          <w:lang w:bidi="ar"/>
        </w:rPr>
        <w:t>，由建设单位送至楚雄市生活垃圾焚烧发电厂进行焚烧（处置协议见附件）。</w:t>
      </w:r>
    </w:p>
    <w:p>
      <w:pPr>
        <w:pStyle w:val="23"/>
        <w:spacing w:after="0" w:line="360" w:lineRule="auto"/>
        <w:ind w:left="0" w:leftChars="0" w:firstLine="480"/>
        <w:rPr>
          <w:color w:val="auto"/>
          <w:kern w:val="21"/>
        </w:rPr>
      </w:pPr>
      <w:r>
        <w:rPr>
          <w:color w:val="auto"/>
          <w:kern w:val="21"/>
        </w:rPr>
        <w:t>本项目为新建项目，</w:t>
      </w:r>
      <w:r>
        <w:rPr>
          <w:rFonts w:hint="eastAsia"/>
          <w:color w:val="auto"/>
          <w:kern w:val="21"/>
        </w:rPr>
        <w:t>根据建设单位提供的污泥检测报告，现阶段污泥属于一般固废，污泥通过泥斗卸落到污泥运输汽车车箱内，再运输至楚雄市生活垃圾焚烧发电厂进行焚烧。</w:t>
      </w:r>
      <w:r>
        <w:rPr>
          <w:rFonts w:hint="eastAsia"/>
          <w:color w:val="auto"/>
          <w:kern w:val="21"/>
          <w:highlight w:val="none"/>
        </w:rPr>
        <w:t>如后期进厂污水发生较大变化时，应重新进行检测鉴定，</w:t>
      </w:r>
      <w:r>
        <w:rPr>
          <w:rFonts w:hint="eastAsia"/>
          <w:color w:val="auto"/>
          <w:kern w:val="21"/>
          <w:lang w:bidi="ar"/>
        </w:rPr>
        <w:t>若是危废则</w:t>
      </w:r>
      <w:r>
        <w:rPr>
          <w:rFonts w:hint="eastAsia"/>
          <w:color w:val="auto"/>
          <w:kern w:val="21"/>
          <w:lang w:eastAsia="zh-CN" w:bidi="ar"/>
        </w:rPr>
        <w:t>暂存</w:t>
      </w:r>
      <w:r>
        <w:rPr>
          <w:rFonts w:hint="eastAsia"/>
          <w:color w:val="auto"/>
          <w:kern w:val="21"/>
          <w:lang w:bidi="ar"/>
        </w:rPr>
        <w:t>危废暂存间，并委托资质单位处置。</w:t>
      </w:r>
      <w:r>
        <w:rPr>
          <w:rFonts w:hint="eastAsia"/>
          <w:color w:val="auto"/>
          <w:lang w:eastAsia="zh-CN"/>
        </w:rPr>
        <w:t>本项目拟将加药间北区设置为</w:t>
      </w:r>
      <w:r>
        <w:rPr>
          <w:rFonts w:hint="eastAsia"/>
          <w:color w:val="auto"/>
          <w:kern w:val="21"/>
          <w:lang w:bidi="ar"/>
        </w:rPr>
        <w:t>危废暂存间</w:t>
      </w:r>
      <w:r>
        <w:rPr>
          <w:rFonts w:hint="eastAsia"/>
          <w:color w:val="auto"/>
          <w:kern w:val="21"/>
          <w:lang w:eastAsia="zh-CN" w:bidi="ar"/>
        </w:rPr>
        <w:t>，</w:t>
      </w:r>
      <w:r>
        <w:rPr>
          <w:rFonts w:hint="eastAsia"/>
          <w:color w:val="auto"/>
          <w:kern w:val="21"/>
          <w:lang w:bidi="ar"/>
        </w:rPr>
        <w:t>占地面积25m</w:t>
      </w:r>
      <w:r>
        <w:rPr>
          <w:rFonts w:hint="eastAsia"/>
          <w:color w:val="auto"/>
          <w:kern w:val="21"/>
          <w:vertAlign w:val="superscript"/>
          <w:lang w:bidi="ar"/>
        </w:rPr>
        <w:t>2</w:t>
      </w:r>
      <w:r>
        <w:rPr>
          <w:rFonts w:hint="eastAsia"/>
          <w:color w:val="auto"/>
          <w:kern w:val="21"/>
          <w:lang w:bidi="ar"/>
        </w:rPr>
        <w:t>，容积约100m</w:t>
      </w:r>
      <w:r>
        <w:rPr>
          <w:rFonts w:hint="eastAsia"/>
          <w:color w:val="auto"/>
          <w:kern w:val="21"/>
          <w:vertAlign w:val="superscript"/>
          <w:lang w:bidi="ar"/>
        </w:rPr>
        <w:t>3</w:t>
      </w:r>
      <w:r>
        <w:rPr>
          <w:rFonts w:hint="eastAsia"/>
          <w:color w:val="auto"/>
          <w:kern w:val="21"/>
          <w:lang w:bidi="ar"/>
        </w:rPr>
        <w:t>，</w:t>
      </w:r>
      <w:r>
        <w:rPr>
          <w:color w:val="auto"/>
          <w:kern w:val="21"/>
          <w:lang w:bidi="ar"/>
        </w:rPr>
        <w:t>足够容纳5</w:t>
      </w:r>
      <w:r>
        <w:rPr>
          <w:rFonts w:hint="eastAsia"/>
          <w:color w:val="auto"/>
          <w:kern w:val="21"/>
          <w:lang w:bidi="ar"/>
        </w:rPr>
        <w:t>0</w:t>
      </w:r>
      <w:r>
        <w:rPr>
          <w:color w:val="auto"/>
          <w:kern w:val="21"/>
          <w:lang w:bidi="ar"/>
        </w:rPr>
        <w:t>天的干污泥量。污泥暂存间须按照《危险废物贮存污染控制标准》（GB18597-2001）及其修改单的要求进行建设、管理。</w:t>
      </w:r>
    </w:p>
    <w:p>
      <w:pPr>
        <w:ind w:firstLine="480"/>
        <w:rPr>
          <w:color w:val="auto"/>
          <w:kern w:val="21"/>
        </w:rPr>
      </w:pPr>
      <w:r>
        <w:rPr>
          <w:color w:val="auto"/>
          <w:kern w:val="21"/>
        </w:rPr>
        <w:t>（3）生活垃圾</w:t>
      </w:r>
    </w:p>
    <w:p>
      <w:pPr>
        <w:ind w:firstLine="480"/>
        <w:rPr>
          <w:color w:val="auto"/>
          <w:kern w:val="21"/>
        </w:rPr>
      </w:pPr>
      <w:r>
        <w:rPr>
          <w:color w:val="auto"/>
          <w:kern w:val="21"/>
        </w:rPr>
        <w:t>在厂区值班的人数每天为9人，每天每人产生生活垃圾以0.5kg计，则产生垃圾量4.5kg/d，1.64t/a。</w:t>
      </w:r>
      <w:r>
        <w:rPr>
          <w:rFonts w:hint="eastAsia"/>
          <w:color w:val="auto"/>
          <w:kern w:val="21"/>
        </w:rPr>
        <w:t>生活垃圾集中收集至厂区垃圾箱内，由当地环卫部门清运处置，对环境影响较小。</w:t>
      </w:r>
    </w:p>
    <w:p>
      <w:pPr>
        <w:ind w:firstLine="480"/>
        <w:rPr>
          <w:color w:val="auto"/>
          <w:kern w:val="21"/>
        </w:rPr>
      </w:pPr>
      <w:r>
        <w:rPr>
          <w:rFonts w:hint="eastAsia"/>
          <w:color w:val="auto"/>
          <w:kern w:val="21"/>
        </w:rPr>
        <w:t>（4）废机油</w:t>
      </w:r>
    </w:p>
    <w:p>
      <w:pPr>
        <w:ind w:firstLine="480"/>
        <w:rPr>
          <w:color w:val="auto"/>
          <w:kern w:val="21"/>
        </w:rPr>
      </w:pPr>
      <w:r>
        <w:rPr>
          <w:rFonts w:hint="eastAsia"/>
          <w:color w:val="auto"/>
          <w:kern w:val="21"/>
        </w:rPr>
        <w:t>本项目污水处理厂采取定期维护制度，由设备、管网等设备厂家定期上门维护，保障污水处理厂事故率降到最低，维护保养过程中产生的少量废机油</w:t>
      </w:r>
      <w:r>
        <w:rPr>
          <w:rFonts w:hint="eastAsia"/>
          <w:color w:val="auto"/>
          <w:kern w:val="21"/>
          <w:lang w:eastAsia="zh-CN"/>
        </w:rPr>
        <w:t>，</w:t>
      </w:r>
      <w:r>
        <w:rPr>
          <w:rFonts w:hint="eastAsia"/>
          <w:color w:val="auto"/>
          <w:kern w:val="21"/>
        </w:rPr>
        <w:t>类比其他污水处理项目，废机油产生量约5kg/a</w:t>
      </w:r>
      <w:r>
        <w:rPr>
          <w:rFonts w:hint="eastAsia"/>
          <w:color w:val="auto"/>
          <w:kern w:val="21"/>
          <w:lang w:eastAsia="zh-CN"/>
        </w:rPr>
        <w:t>暂存</w:t>
      </w:r>
      <w:r>
        <w:rPr>
          <w:rFonts w:hint="eastAsia"/>
          <w:color w:val="auto"/>
          <w:kern w:val="21"/>
        </w:rPr>
        <w:t>危废暂存间，委托资质单位定期回收处置。</w:t>
      </w:r>
    </w:p>
    <w:p>
      <w:pPr>
        <w:ind w:firstLine="480"/>
        <w:rPr>
          <w:color w:val="auto"/>
          <w:kern w:val="21"/>
        </w:rPr>
      </w:pPr>
      <w:r>
        <w:rPr>
          <w:rFonts w:hint="eastAsia"/>
          <w:color w:val="auto"/>
          <w:kern w:val="21"/>
        </w:rPr>
        <w:t>（5）废紫外灯管</w:t>
      </w:r>
    </w:p>
    <w:p>
      <w:pPr>
        <w:ind w:firstLine="480"/>
        <w:rPr>
          <w:color w:val="auto"/>
          <w:kern w:val="21"/>
        </w:rPr>
      </w:pPr>
      <w:r>
        <w:rPr>
          <w:rFonts w:hint="eastAsia"/>
          <w:color w:val="auto"/>
          <w:kern w:val="21"/>
        </w:rPr>
        <w:t>项目采用紫外光消毒，会产生废紫外灯管，属于危险废物。对照《国家危险废物名录》（2021年版），废紫外灯管废类别为HW29含汞废物，废物代码为900-023-29。</w:t>
      </w:r>
    </w:p>
    <w:p>
      <w:pPr>
        <w:ind w:firstLine="480"/>
        <w:rPr>
          <w:rFonts w:hint="eastAsia"/>
          <w:color w:val="auto"/>
          <w:kern w:val="21"/>
        </w:rPr>
      </w:pPr>
      <w:r>
        <w:rPr>
          <w:rFonts w:hint="eastAsia"/>
          <w:color w:val="auto"/>
          <w:kern w:val="21"/>
        </w:rPr>
        <w:t>项目设置4个紫外灯模块，共计32只紫外线灯管，根据《GB19258-2012紫外线杀菌灯》5.10条要求，灯的平均寿命应不低于5000h，2000h紫外线辐射通量维持率不低于85%，寿终时紫外线辐射通量的维持率不低于65%，因此，综合考虑灯管寿命和杀菌效率，按照半年一次的频率进行更换，每年将产生64只废紫外线灭菌灯，约0.1t/a。废紫外灯管密闭桶装收集，</w:t>
      </w:r>
      <w:r>
        <w:rPr>
          <w:rFonts w:hint="eastAsia"/>
          <w:color w:val="auto"/>
          <w:kern w:val="21"/>
          <w:lang w:eastAsia="zh-CN"/>
        </w:rPr>
        <w:t>暂存</w:t>
      </w:r>
      <w:r>
        <w:rPr>
          <w:rFonts w:hint="eastAsia"/>
          <w:color w:val="auto"/>
          <w:kern w:val="21"/>
        </w:rPr>
        <w:t>污水厂危废暂存间暂存，委托资质单位清运处置。</w:t>
      </w:r>
    </w:p>
    <w:p>
      <w:pPr>
        <w:ind w:firstLine="480"/>
        <w:rPr>
          <w:rFonts w:hint="eastAsia"/>
          <w:color w:val="auto"/>
          <w:kern w:val="21"/>
          <w:lang w:eastAsia="zh-CN"/>
        </w:rPr>
      </w:pPr>
      <w:r>
        <w:rPr>
          <w:rFonts w:hint="eastAsia"/>
          <w:color w:val="auto"/>
          <w:kern w:val="21"/>
          <w:lang w:eastAsia="zh-CN"/>
        </w:rPr>
        <w:t>（</w:t>
      </w:r>
      <w:r>
        <w:rPr>
          <w:rFonts w:hint="eastAsia"/>
          <w:color w:val="auto"/>
          <w:kern w:val="21"/>
          <w:lang w:val="en-US" w:eastAsia="zh-CN"/>
        </w:rPr>
        <w:t>6</w:t>
      </w:r>
      <w:r>
        <w:rPr>
          <w:rFonts w:hint="eastAsia"/>
          <w:color w:val="auto"/>
          <w:kern w:val="21"/>
          <w:lang w:eastAsia="zh-CN"/>
        </w:rPr>
        <w:t>）废活性炭</w:t>
      </w:r>
    </w:p>
    <w:p>
      <w:pPr>
        <w:ind w:firstLine="480"/>
        <w:rPr>
          <w:rFonts w:hint="default" w:eastAsia="宋体"/>
          <w:color w:val="auto"/>
          <w:kern w:val="21"/>
          <w:lang w:val="en-US" w:eastAsia="zh-CN"/>
        </w:rPr>
      </w:pPr>
      <w:r>
        <w:rPr>
          <w:rFonts w:hint="eastAsia"/>
          <w:color w:val="auto"/>
          <w:kern w:val="21"/>
          <w:lang w:eastAsia="zh-CN"/>
        </w:rPr>
        <w:t>项目恶臭治理措施活性炭吸附塔需定期更换活性炭，以保证措施的治理效率。更换下来的废活性炭对照</w:t>
      </w:r>
      <w:r>
        <w:rPr>
          <w:rFonts w:hint="eastAsia"/>
          <w:color w:val="auto"/>
          <w:kern w:val="21"/>
        </w:rPr>
        <w:t>《国家危险废物名录》（2021年版）</w:t>
      </w:r>
      <w:r>
        <w:rPr>
          <w:rFonts w:hint="eastAsia"/>
          <w:color w:val="auto"/>
          <w:kern w:val="21"/>
          <w:lang w:eastAsia="zh-CN"/>
        </w:rPr>
        <w:t>不属于危险废物，产生量约</w:t>
      </w:r>
      <w:r>
        <w:rPr>
          <w:rFonts w:hint="eastAsia"/>
          <w:color w:val="auto"/>
          <w:kern w:val="21"/>
          <w:lang w:val="en-US" w:eastAsia="zh-CN"/>
        </w:rPr>
        <w:t>1t/a，由设备厂家定期上门更换回收并再生处理。</w:t>
      </w:r>
    </w:p>
    <w:p>
      <w:pPr>
        <w:ind w:firstLine="480"/>
        <w:rPr>
          <w:rFonts w:hint="eastAsia"/>
          <w:color w:val="auto"/>
          <w:kern w:val="21"/>
          <w:lang w:eastAsia="zh-CN"/>
        </w:rPr>
      </w:pPr>
      <w:r>
        <w:rPr>
          <w:rFonts w:hint="eastAsia"/>
          <w:color w:val="auto"/>
          <w:kern w:val="21"/>
          <w:lang w:eastAsia="zh-CN"/>
        </w:rPr>
        <w:t>（</w:t>
      </w:r>
      <w:r>
        <w:rPr>
          <w:rFonts w:hint="eastAsia"/>
          <w:color w:val="auto"/>
          <w:kern w:val="21"/>
          <w:lang w:val="en-US" w:eastAsia="zh-CN"/>
        </w:rPr>
        <w:t>7</w:t>
      </w:r>
      <w:r>
        <w:rPr>
          <w:rFonts w:hint="eastAsia"/>
          <w:color w:val="auto"/>
          <w:kern w:val="21"/>
          <w:lang w:eastAsia="zh-CN"/>
        </w:rPr>
        <w:t>）在线监测设备废液</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color w:val="auto"/>
          <w:kern w:val="21"/>
          <w:lang w:val="en-US" w:eastAsia="zh-CN"/>
        </w:rPr>
      </w:pPr>
      <w:r>
        <w:rPr>
          <w:rFonts w:hint="eastAsia"/>
          <w:color w:val="auto"/>
          <w:lang w:eastAsia="zh-CN"/>
        </w:rPr>
        <w:t>污水处理厂在线监测设备在运行过程中加入各类试剂（酸、碱、盐类）以快速测出废水中的特定指标数据，这些试剂使用后产生的废液属于危险废物，</w:t>
      </w:r>
      <w:r>
        <w:rPr>
          <w:rFonts w:hint="eastAsia"/>
          <w:color w:val="auto"/>
          <w:kern w:val="21"/>
        </w:rPr>
        <w:t>对照《国家危险废物名录》（2021年版），</w:t>
      </w:r>
      <w:r>
        <w:rPr>
          <w:rFonts w:hint="eastAsia"/>
          <w:color w:val="auto"/>
          <w:kern w:val="21"/>
          <w:lang w:eastAsia="zh-CN"/>
        </w:rPr>
        <w:t>在线监测设备废液</w:t>
      </w:r>
      <w:r>
        <w:rPr>
          <w:rFonts w:hint="eastAsia"/>
          <w:color w:val="auto"/>
          <w:kern w:val="21"/>
        </w:rPr>
        <w:t>类别为HW</w:t>
      </w:r>
      <w:r>
        <w:rPr>
          <w:rFonts w:hint="eastAsia"/>
          <w:color w:val="auto"/>
          <w:kern w:val="21"/>
          <w:lang w:val="en-US" w:eastAsia="zh-CN"/>
        </w:rPr>
        <w:t>4</w:t>
      </w:r>
      <w:r>
        <w:rPr>
          <w:rFonts w:hint="eastAsia"/>
          <w:color w:val="auto"/>
          <w:kern w:val="21"/>
        </w:rPr>
        <w:t>9</w:t>
      </w:r>
      <w:r>
        <w:rPr>
          <w:rFonts w:hint="eastAsia"/>
          <w:color w:val="auto"/>
          <w:kern w:val="21"/>
          <w:lang w:eastAsia="zh-CN"/>
        </w:rPr>
        <w:t>其他</w:t>
      </w:r>
      <w:r>
        <w:rPr>
          <w:rFonts w:hint="eastAsia"/>
          <w:color w:val="auto"/>
          <w:kern w:val="21"/>
        </w:rPr>
        <w:t>废物，废物代码为900-</w:t>
      </w:r>
      <w:r>
        <w:rPr>
          <w:rFonts w:hint="eastAsia"/>
          <w:color w:val="auto"/>
          <w:kern w:val="21"/>
          <w:lang w:val="en-US" w:eastAsia="zh-CN"/>
        </w:rPr>
        <w:t>047</w:t>
      </w:r>
      <w:r>
        <w:rPr>
          <w:rFonts w:hint="eastAsia"/>
          <w:color w:val="auto"/>
          <w:kern w:val="21"/>
        </w:rPr>
        <w:t>-</w:t>
      </w:r>
      <w:r>
        <w:rPr>
          <w:rFonts w:hint="eastAsia"/>
          <w:color w:val="auto"/>
          <w:kern w:val="21"/>
          <w:lang w:val="en-US" w:eastAsia="zh-CN"/>
        </w:rPr>
        <w:t>4</w:t>
      </w:r>
      <w:r>
        <w:rPr>
          <w:rFonts w:hint="eastAsia"/>
          <w:color w:val="auto"/>
          <w:kern w:val="21"/>
        </w:rPr>
        <w:t>9</w:t>
      </w:r>
      <w:r>
        <w:rPr>
          <w:rFonts w:hint="eastAsia"/>
          <w:color w:val="auto"/>
          <w:kern w:val="21"/>
          <w:lang w:eastAsia="zh-CN"/>
        </w:rPr>
        <w:t>，产生量约为</w:t>
      </w:r>
      <w:r>
        <w:rPr>
          <w:rFonts w:hint="eastAsia"/>
          <w:color w:val="auto"/>
          <w:kern w:val="21"/>
          <w:lang w:val="en-US" w:eastAsia="zh-CN"/>
        </w:rPr>
        <w:t>0.1t/a。废液使用密闭桶装收集，暂存污水厂危废暂存间暂存，委托资质单位清运处置。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rPr>
      </w:pPr>
      <w:r>
        <w:rPr>
          <w:color w:val="auto"/>
          <w:kern w:val="21"/>
        </w:rPr>
        <w:t>本项目固体废物产生及处置情况见</w:t>
      </w:r>
      <w:r>
        <w:rPr>
          <w:rFonts w:hint="eastAsia"/>
          <w:color w:val="auto"/>
          <w:kern w:val="21"/>
          <w:lang w:eastAsia="zh-CN"/>
        </w:rPr>
        <w:t>下表</w:t>
      </w:r>
      <w:r>
        <w:rPr>
          <w:color w:val="auto"/>
          <w:kern w:val="21"/>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rPr>
      </w:pPr>
      <w:r>
        <w:rPr>
          <w:b/>
          <w:bCs/>
          <w:color w:val="auto"/>
          <w:kern w:val="21"/>
        </w:rPr>
        <w:t>项目</w:t>
      </w:r>
      <w:r>
        <w:rPr>
          <w:b/>
          <w:color w:val="auto"/>
          <w:kern w:val="21"/>
        </w:rPr>
        <w:t>固体废物产生及处置情况</w:t>
      </w:r>
      <w:r>
        <w:rPr>
          <w:b/>
          <w:bCs/>
          <w:color w:val="auto"/>
          <w:kern w:val="21"/>
        </w:rPr>
        <w:t>表</w:t>
      </w:r>
    </w:p>
    <w:tbl>
      <w:tblPr>
        <w:tblStyle w:val="51"/>
        <w:tblpPr w:leftFromText="180" w:rightFromText="180" w:vertAnchor="text" w:tblpXSpec="center" w:tblpY="1"/>
        <w:tblOverlap w:val="never"/>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4"/>
        <w:gridCol w:w="1514"/>
        <w:gridCol w:w="922"/>
        <w:gridCol w:w="855"/>
        <w:gridCol w:w="1226"/>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7" w:hRule="atLeast"/>
        </w:trPr>
        <w:tc>
          <w:tcPr>
            <w:tcW w:w="48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序号</w:t>
            </w:r>
          </w:p>
        </w:tc>
        <w:tc>
          <w:tcPr>
            <w:tcW w:w="151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产生源</w:t>
            </w:r>
          </w:p>
        </w:tc>
        <w:tc>
          <w:tcPr>
            <w:tcW w:w="922"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固废名称</w:t>
            </w:r>
          </w:p>
        </w:tc>
        <w:tc>
          <w:tcPr>
            <w:tcW w:w="855"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产生量</w:t>
            </w:r>
          </w:p>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（t/a）</w:t>
            </w:r>
          </w:p>
        </w:tc>
        <w:tc>
          <w:tcPr>
            <w:tcW w:w="1226"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固废属性</w:t>
            </w:r>
          </w:p>
        </w:tc>
        <w:tc>
          <w:tcPr>
            <w:tcW w:w="3300"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采取的利用或处置方式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1</w:t>
            </w:r>
          </w:p>
        </w:tc>
        <w:tc>
          <w:tcPr>
            <w:tcW w:w="151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格栅</w:t>
            </w:r>
          </w:p>
        </w:tc>
        <w:tc>
          <w:tcPr>
            <w:tcW w:w="922" w:type="dxa"/>
            <w:vAlign w:val="center"/>
          </w:tcPr>
          <w:p>
            <w:pPr>
              <w:pStyle w:val="108"/>
              <w:spacing w:before="0" w:after="0" w:afterLines="0"/>
              <w:jc w:val="center"/>
              <w:rPr>
                <w:rFonts w:ascii="Times New Roman" w:hAnsi="Times New Roman"/>
                <w:bCs/>
                <w:color w:val="auto"/>
                <w:kern w:val="21"/>
                <w:szCs w:val="21"/>
              </w:rPr>
            </w:pPr>
            <w:r>
              <w:rPr>
                <w:rFonts w:ascii="Times New Roman" w:hAnsi="Times New Roman"/>
                <w:bCs/>
                <w:color w:val="auto"/>
                <w:kern w:val="21"/>
                <w:szCs w:val="21"/>
              </w:rPr>
              <w:t>栅渣</w:t>
            </w:r>
          </w:p>
        </w:tc>
        <w:tc>
          <w:tcPr>
            <w:tcW w:w="855"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73</w:t>
            </w:r>
          </w:p>
        </w:tc>
        <w:tc>
          <w:tcPr>
            <w:tcW w:w="1226"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一般固废</w:t>
            </w:r>
          </w:p>
        </w:tc>
        <w:tc>
          <w:tcPr>
            <w:tcW w:w="3300" w:type="dxa"/>
            <w:vAlign w:val="center"/>
          </w:tcPr>
          <w:p>
            <w:pPr>
              <w:pStyle w:val="108"/>
              <w:spacing w:before="0" w:after="0" w:afterLines="0"/>
              <w:jc w:val="center"/>
              <w:rPr>
                <w:rFonts w:ascii="Times New Roman" w:hAnsi="Times New Roman"/>
                <w:bCs/>
                <w:color w:val="auto"/>
                <w:kern w:val="21"/>
                <w:szCs w:val="21"/>
              </w:rPr>
            </w:pPr>
            <w:r>
              <w:rPr>
                <w:rFonts w:ascii="Times New Roman" w:hAnsi="Times New Roman"/>
                <w:color w:val="auto"/>
                <w:kern w:val="21"/>
                <w:szCs w:val="21"/>
              </w:rPr>
              <w:t>由环卫部门集中处置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8" w:hRule="atLeast"/>
        </w:trPr>
        <w:tc>
          <w:tcPr>
            <w:tcW w:w="48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2</w:t>
            </w:r>
          </w:p>
        </w:tc>
        <w:tc>
          <w:tcPr>
            <w:tcW w:w="151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混凝沉淀池、</w:t>
            </w:r>
            <w:r>
              <w:rPr>
                <w:rFonts w:hint="eastAsia"/>
                <w:i w:val="0"/>
                <w:iCs/>
                <w:color w:val="auto"/>
                <w:kern w:val="21"/>
                <w:sz w:val="21"/>
                <w:szCs w:val="21"/>
              </w:rPr>
              <w:t>A</w:t>
            </w:r>
            <w:r>
              <w:rPr>
                <w:rFonts w:hint="eastAsia"/>
                <w:i w:val="0"/>
                <w:iCs/>
                <w:color w:val="auto"/>
                <w:kern w:val="21"/>
                <w:sz w:val="21"/>
                <w:szCs w:val="21"/>
                <w:vertAlign w:val="superscript"/>
              </w:rPr>
              <w:t>2</w:t>
            </w:r>
            <w:r>
              <w:rPr>
                <w:rFonts w:ascii="Times New Roman" w:hAnsi="Times New Roman"/>
                <w:color w:val="auto"/>
                <w:kern w:val="21"/>
                <w:szCs w:val="21"/>
                <w:lang w:val="en-US"/>
              </w:rPr>
              <w:t>/O生化池、MBR膜池、污泥脱水车间</w:t>
            </w:r>
          </w:p>
        </w:tc>
        <w:tc>
          <w:tcPr>
            <w:tcW w:w="922"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污泥</w:t>
            </w:r>
          </w:p>
        </w:tc>
        <w:tc>
          <w:tcPr>
            <w:tcW w:w="855"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730</w:t>
            </w:r>
          </w:p>
        </w:tc>
        <w:tc>
          <w:tcPr>
            <w:tcW w:w="1226"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鉴别确定</w:t>
            </w:r>
          </w:p>
        </w:tc>
        <w:tc>
          <w:tcPr>
            <w:tcW w:w="3300" w:type="dxa"/>
            <w:vAlign w:val="center"/>
          </w:tcPr>
          <w:p>
            <w:pPr>
              <w:pStyle w:val="108"/>
              <w:spacing w:before="0" w:after="0" w:afterLines="0"/>
              <w:jc w:val="center"/>
              <w:rPr>
                <w:rFonts w:ascii="Times New Roman" w:hAnsi="Times New Roman"/>
                <w:color w:val="auto"/>
                <w:kern w:val="21"/>
                <w:szCs w:val="21"/>
              </w:rPr>
            </w:pPr>
            <w:r>
              <w:rPr>
                <w:rFonts w:hint="eastAsia"/>
                <w:color w:val="auto"/>
                <w:kern w:val="21"/>
                <w:szCs w:val="21"/>
                <w:lang w:val="en-US"/>
              </w:rPr>
              <w:t>按批次委托监测单位进行属性鉴别，若是危废则</w:t>
            </w:r>
            <w:r>
              <w:rPr>
                <w:rFonts w:hint="eastAsia"/>
                <w:color w:val="auto"/>
                <w:kern w:val="21"/>
                <w:szCs w:val="21"/>
                <w:lang w:val="en-US" w:eastAsia="zh-CN"/>
              </w:rPr>
              <w:t>暂存</w:t>
            </w:r>
            <w:r>
              <w:rPr>
                <w:rFonts w:hint="eastAsia"/>
                <w:color w:val="auto"/>
                <w:kern w:val="21"/>
                <w:szCs w:val="21"/>
                <w:lang w:val="en-US"/>
              </w:rPr>
              <w:t>污水厂危废暂存间暂存，并委托资质单位处置，若是一般固废则送至楚雄市生活垃圾焚烧发电厂进行焚烧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3</w:t>
            </w:r>
          </w:p>
        </w:tc>
        <w:tc>
          <w:tcPr>
            <w:tcW w:w="151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生活办公</w:t>
            </w:r>
          </w:p>
        </w:tc>
        <w:tc>
          <w:tcPr>
            <w:tcW w:w="922"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生活垃圾</w:t>
            </w:r>
          </w:p>
        </w:tc>
        <w:tc>
          <w:tcPr>
            <w:tcW w:w="855"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1.64</w:t>
            </w:r>
          </w:p>
        </w:tc>
        <w:tc>
          <w:tcPr>
            <w:tcW w:w="1226"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一般固废</w:t>
            </w:r>
          </w:p>
        </w:tc>
        <w:tc>
          <w:tcPr>
            <w:tcW w:w="3300"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由环卫部门集中处置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4</w:t>
            </w:r>
          </w:p>
        </w:tc>
        <w:tc>
          <w:tcPr>
            <w:tcW w:w="1514"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机修维护</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废机油</w:t>
            </w:r>
          </w:p>
        </w:tc>
        <w:tc>
          <w:tcPr>
            <w:tcW w:w="855"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0.005</w:t>
            </w:r>
          </w:p>
        </w:tc>
        <w:tc>
          <w:tcPr>
            <w:tcW w:w="1226" w:type="dxa"/>
            <w:vAlign w:val="center"/>
          </w:tcPr>
          <w:p>
            <w:pPr>
              <w:pStyle w:val="108"/>
              <w:spacing w:before="0" w:after="0" w:afterLines="0"/>
              <w:jc w:val="center"/>
              <w:rPr>
                <w:rFonts w:hint="eastAsia" w:ascii="Times New Roman" w:hAnsi="Times New Roman"/>
                <w:color w:val="auto"/>
                <w:kern w:val="21"/>
                <w:szCs w:val="21"/>
                <w:lang w:val="en-US" w:eastAsia="zh-CN"/>
              </w:rPr>
            </w:pPr>
            <w:r>
              <w:rPr>
                <w:rFonts w:ascii="Times New Roman" w:hAnsi="Times New Roman"/>
                <w:color w:val="auto"/>
                <w:kern w:val="21"/>
                <w:szCs w:val="21"/>
                <w:lang w:val="en-US"/>
              </w:rPr>
              <w:t>危险</w:t>
            </w:r>
            <w:r>
              <w:rPr>
                <w:rFonts w:hint="eastAsia" w:ascii="Times New Roman" w:hAnsi="Times New Roman"/>
                <w:color w:val="auto"/>
                <w:kern w:val="21"/>
                <w:szCs w:val="21"/>
                <w:lang w:val="en-US" w:eastAsia="zh-CN"/>
              </w:rPr>
              <w:t>废物</w:t>
            </w:r>
          </w:p>
          <w:p>
            <w:pPr>
              <w:pStyle w:val="108"/>
              <w:spacing w:before="0" w:after="0" w:afterLines="0"/>
              <w:jc w:val="center"/>
              <w:rPr>
                <w:rFonts w:hint="eastAsia" w:ascii="Times New Roman" w:hAnsi="Times New Roman"/>
                <w:color w:val="auto"/>
                <w:kern w:val="21"/>
                <w:szCs w:val="21"/>
                <w:lang w:val="en-US" w:eastAsia="zh-CN"/>
              </w:rPr>
            </w:pPr>
            <w:r>
              <w:rPr>
                <w:rFonts w:hint="eastAsia" w:ascii="Times New Roman" w:hAnsi="Times New Roman"/>
                <w:color w:val="auto"/>
                <w:kern w:val="21"/>
                <w:szCs w:val="21"/>
                <w:lang w:val="en-US" w:eastAsia="zh-CN"/>
              </w:rPr>
              <w:t>900-214-08</w:t>
            </w:r>
          </w:p>
        </w:tc>
        <w:tc>
          <w:tcPr>
            <w:tcW w:w="3300" w:type="dxa"/>
            <w:vAlign w:val="center"/>
          </w:tcPr>
          <w:p>
            <w:pPr>
              <w:pStyle w:val="108"/>
              <w:spacing w:before="0" w:after="0" w:afterLines="0"/>
              <w:jc w:val="center"/>
              <w:rPr>
                <w:rFonts w:ascii="Times New Roman" w:hAnsi="Times New Roman"/>
                <w:color w:val="auto"/>
                <w:kern w:val="21"/>
                <w:szCs w:val="21"/>
              </w:rPr>
            </w:pPr>
            <w:r>
              <w:rPr>
                <w:rFonts w:hint="eastAsia"/>
                <w:color w:val="auto"/>
                <w:kern w:val="21"/>
                <w:szCs w:val="21"/>
                <w:lang w:val="en-US"/>
              </w:rPr>
              <w:t>危废暂存间暂存，并委托资质单位处置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5</w:t>
            </w:r>
          </w:p>
        </w:tc>
        <w:tc>
          <w:tcPr>
            <w:tcW w:w="1514"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紫外消毒系统</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废紫外灯管</w:t>
            </w:r>
          </w:p>
        </w:tc>
        <w:tc>
          <w:tcPr>
            <w:tcW w:w="855"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0.1</w:t>
            </w:r>
          </w:p>
        </w:tc>
        <w:tc>
          <w:tcPr>
            <w:tcW w:w="1226" w:type="dxa"/>
            <w:vAlign w:val="center"/>
          </w:tcPr>
          <w:p>
            <w:pPr>
              <w:pStyle w:val="108"/>
              <w:spacing w:before="0" w:after="0" w:afterLines="0"/>
              <w:jc w:val="center"/>
              <w:rPr>
                <w:rFonts w:hint="eastAsia" w:ascii="Times New Roman" w:hAnsi="Times New Roman"/>
                <w:color w:val="auto"/>
                <w:kern w:val="21"/>
                <w:szCs w:val="21"/>
                <w:lang w:val="en-US" w:eastAsia="zh-CN"/>
              </w:rPr>
            </w:pPr>
            <w:r>
              <w:rPr>
                <w:rFonts w:ascii="Times New Roman" w:hAnsi="Times New Roman"/>
                <w:color w:val="auto"/>
                <w:kern w:val="21"/>
                <w:szCs w:val="21"/>
                <w:lang w:val="en-US"/>
              </w:rPr>
              <w:t>危险</w:t>
            </w:r>
            <w:r>
              <w:rPr>
                <w:rFonts w:hint="eastAsia" w:ascii="Times New Roman" w:hAnsi="Times New Roman"/>
                <w:color w:val="auto"/>
                <w:kern w:val="21"/>
                <w:szCs w:val="21"/>
                <w:lang w:val="en-US" w:eastAsia="zh-CN"/>
              </w:rPr>
              <w:t>废物</w:t>
            </w:r>
          </w:p>
          <w:p>
            <w:pPr>
              <w:pStyle w:val="108"/>
              <w:spacing w:before="0" w:after="0" w:afterLines="0"/>
              <w:jc w:val="center"/>
              <w:rPr>
                <w:rFonts w:hint="eastAsia" w:ascii="Times New Roman" w:hAnsi="Times New Roman"/>
                <w:color w:val="auto"/>
                <w:kern w:val="21"/>
                <w:szCs w:val="21"/>
                <w:lang w:val="en-US" w:eastAsia="zh-CN"/>
              </w:rPr>
            </w:pPr>
            <w:r>
              <w:rPr>
                <w:rFonts w:hint="eastAsia" w:ascii="Times New Roman" w:hAnsi="Times New Roman"/>
                <w:color w:val="auto"/>
                <w:kern w:val="21"/>
                <w:szCs w:val="21"/>
                <w:lang w:val="en-US" w:eastAsia="zh-CN"/>
              </w:rPr>
              <w:t>900-023-29</w:t>
            </w:r>
          </w:p>
        </w:tc>
        <w:tc>
          <w:tcPr>
            <w:tcW w:w="3300" w:type="dxa"/>
            <w:vAlign w:val="center"/>
          </w:tcPr>
          <w:p>
            <w:pPr>
              <w:pStyle w:val="108"/>
              <w:spacing w:before="0" w:after="0" w:afterLines="0"/>
              <w:jc w:val="center"/>
              <w:rPr>
                <w:rFonts w:ascii="Times New Roman" w:hAnsi="Times New Roman"/>
                <w:color w:val="auto"/>
                <w:kern w:val="21"/>
                <w:szCs w:val="21"/>
              </w:rPr>
            </w:pPr>
            <w:r>
              <w:rPr>
                <w:rFonts w:hint="eastAsia" w:ascii="Times New Roman" w:hAnsi="Times New Roman"/>
                <w:color w:val="auto"/>
                <w:kern w:val="21"/>
                <w:szCs w:val="21"/>
                <w:lang w:val="en-US" w:eastAsia="zh-CN"/>
              </w:rPr>
              <w:t>暂存</w:t>
            </w:r>
            <w:r>
              <w:rPr>
                <w:rFonts w:ascii="Times New Roman" w:hAnsi="Times New Roman"/>
                <w:color w:val="auto"/>
                <w:kern w:val="21"/>
                <w:szCs w:val="21"/>
                <w:lang w:val="en-US"/>
              </w:rPr>
              <w:t>污水厂危废暂存间暂存，委托资质单位清运处置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spacing w:before="0" w:after="0" w:afterLines="0"/>
              <w:jc w:val="center"/>
              <w:rPr>
                <w:rFonts w:hint="default" w:ascii="Times New Roman" w:hAnsi="Times New Roman"/>
                <w:color w:val="auto"/>
                <w:kern w:val="21"/>
                <w:szCs w:val="21"/>
                <w:lang w:val="en-US" w:eastAsia="zh-CN"/>
              </w:rPr>
            </w:pPr>
            <w:r>
              <w:rPr>
                <w:rFonts w:hint="eastAsia" w:ascii="Times New Roman" w:hAnsi="Times New Roman"/>
                <w:color w:val="auto"/>
                <w:kern w:val="21"/>
                <w:szCs w:val="21"/>
                <w:lang w:val="en-US" w:eastAsia="zh-CN"/>
              </w:rPr>
              <w:t>6</w:t>
            </w:r>
          </w:p>
        </w:tc>
        <w:tc>
          <w:tcPr>
            <w:tcW w:w="1514" w:type="dxa"/>
            <w:vAlign w:val="center"/>
          </w:tcPr>
          <w:p>
            <w:pPr>
              <w:pStyle w:val="108"/>
              <w:spacing w:before="0" w:after="0" w:afterLines="0"/>
              <w:jc w:val="center"/>
              <w:rPr>
                <w:rFonts w:hint="eastAsia" w:ascii="Times New Roman" w:hAnsi="Times New Roman"/>
                <w:color w:val="auto"/>
                <w:kern w:val="21"/>
                <w:szCs w:val="21"/>
                <w:lang w:val="en-US" w:eastAsia="zh-CN"/>
              </w:rPr>
            </w:pPr>
            <w:r>
              <w:rPr>
                <w:rFonts w:hint="eastAsia" w:ascii="Times New Roman" w:hAnsi="Times New Roman"/>
                <w:color w:val="auto"/>
                <w:kern w:val="21"/>
                <w:szCs w:val="21"/>
                <w:lang w:val="en-US" w:eastAsia="zh-CN"/>
              </w:rPr>
              <w:t>活性炭吸附塔</w:t>
            </w:r>
          </w:p>
        </w:tc>
        <w:tc>
          <w:tcPr>
            <w:tcW w:w="922" w:type="dxa"/>
            <w:vAlign w:val="center"/>
          </w:tcPr>
          <w:p>
            <w:pPr>
              <w:pStyle w:val="108"/>
              <w:tabs>
                <w:tab w:val="decimal" w:pos="2182"/>
                <w:tab w:val="left" w:pos="3393"/>
                <w:tab w:val="left" w:pos="5124"/>
              </w:tabs>
              <w:spacing w:before="0" w:after="0" w:afterLines="0"/>
              <w:jc w:val="center"/>
              <w:rPr>
                <w:rFonts w:hint="eastAsia" w:ascii="Times New Roman" w:hAnsi="Times New Roman"/>
                <w:color w:val="auto"/>
                <w:kern w:val="21"/>
                <w:szCs w:val="21"/>
                <w:lang w:val="en-US" w:eastAsia="zh-CN"/>
              </w:rPr>
            </w:pPr>
            <w:r>
              <w:rPr>
                <w:rFonts w:hint="eastAsia" w:ascii="Times New Roman" w:hAnsi="Times New Roman"/>
                <w:color w:val="auto"/>
                <w:kern w:val="21"/>
                <w:szCs w:val="21"/>
                <w:lang w:val="en-US" w:eastAsia="zh-CN"/>
              </w:rPr>
              <w:t>废活性炭</w:t>
            </w:r>
          </w:p>
        </w:tc>
        <w:tc>
          <w:tcPr>
            <w:tcW w:w="855" w:type="dxa"/>
            <w:vAlign w:val="center"/>
          </w:tcPr>
          <w:p>
            <w:pPr>
              <w:pStyle w:val="108"/>
              <w:spacing w:before="0" w:after="0" w:afterLines="0"/>
              <w:jc w:val="center"/>
              <w:rPr>
                <w:rFonts w:hint="default" w:ascii="Times New Roman" w:hAnsi="Times New Roman"/>
                <w:color w:val="auto"/>
                <w:kern w:val="21"/>
                <w:szCs w:val="21"/>
                <w:lang w:val="en-US" w:eastAsia="zh-CN"/>
              </w:rPr>
            </w:pPr>
            <w:r>
              <w:rPr>
                <w:rFonts w:hint="eastAsia" w:ascii="Times New Roman" w:hAnsi="Times New Roman"/>
                <w:color w:val="auto"/>
                <w:kern w:val="21"/>
                <w:szCs w:val="21"/>
                <w:lang w:val="en-US" w:eastAsia="zh-CN"/>
              </w:rPr>
              <w:t>1</w:t>
            </w:r>
          </w:p>
        </w:tc>
        <w:tc>
          <w:tcPr>
            <w:tcW w:w="1226" w:type="dxa"/>
            <w:vAlign w:val="center"/>
          </w:tcPr>
          <w:p>
            <w:pPr>
              <w:pStyle w:val="108"/>
              <w:spacing w:before="0" w:after="0" w:afterLines="0"/>
              <w:jc w:val="center"/>
              <w:rPr>
                <w:rFonts w:hint="eastAsia" w:ascii="Times New Roman" w:hAnsi="Times New Roman"/>
                <w:color w:val="auto"/>
                <w:kern w:val="21"/>
                <w:szCs w:val="21"/>
                <w:lang w:val="en-US" w:eastAsia="zh-CN"/>
              </w:rPr>
            </w:pPr>
            <w:r>
              <w:rPr>
                <w:rFonts w:hint="eastAsia" w:ascii="Times New Roman" w:hAnsi="Times New Roman"/>
                <w:color w:val="auto"/>
                <w:kern w:val="21"/>
                <w:szCs w:val="21"/>
                <w:lang w:val="en-US" w:eastAsia="zh-CN"/>
              </w:rPr>
              <w:t>一般固废</w:t>
            </w:r>
          </w:p>
        </w:tc>
        <w:tc>
          <w:tcPr>
            <w:tcW w:w="3300" w:type="dxa"/>
            <w:vAlign w:val="center"/>
          </w:tcPr>
          <w:p>
            <w:pPr>
              <w:pStyle w:val="108"/>
              <w:spacing w:before="0" w:after="0" w:afterLines="0"/>
              <w:jc w:val="center"/>
              <w:rPr>
                <w:rFonts w:hint="eastAsia" w:ascii="Times New Roman" w:hAnsi="Times New Roman"/>
                <w:color w:val="auto"/>
                <w:kern w:val="21"/>
                <w:szCs w:val="21"/>
                <w:lang w:val="en-US" w:eastAsia="zh-CN"/>
              </w:rPr>
            </w:pPr>
            <w:r>
              <w:rPr>
                <w:rFonts w:hint="eastAsia" w:ascii="Times New Roman" w:hAnsi="Times New Roman"/>
                <w:color w:val="auto"/>
                <w:kern w:val="21"/>
                <w:szCs w:val="21"/>
                <w:lang w:val="en-US" w:eastAsia="zh-CN"/>
              </w:rPr>
              <w:t>由设备厂家定期上门更换回收并再生处理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7</w:t>
            </w:r>
          </w:p>
        </w:tc>
        <w:tc>
          <w:tcPr>
            <w:tcW w:w="1514" w:type="dxa"/>
            <w:vAlign w:val="center"/>
          </w:tcPr>
          <w:p>
            <w:pPr>
              <w:pStyle w:val="108"/>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在线监测设备</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hint="eastAsia" w:ascii="Times New Roman" w:hAnsi="Times New Roman"/>
                <w:color w:val="auto"/>
                <w:kern w:val="21"/>
                <w:szCs w:val="21"/>
                <w:lang w:val="en-US" w:eastAsia="zh-CN"/>
              </w:rPr>
              <w:t>废液</w:t>
            </w:r>
          </w:p>
        </w:tc>
        <w:tc>
          <w:tcPr>
            <w:tcW w:w="855" w:type="dxa"/>
            <w:vAlign w:val="center"/>
          </w:tcPr>
          <w:p>
            <w:pPr>
              <w:pStyle w:val="108"/>
              <w:spacing w:before="0" w:after="0" w:afterLines="0"/>
              <w:jc w:val="center"/>
              <w:rPr>
                <w:rFonts w:hint="default"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0.1</w:t>
            </w:r>
          </w:p>
        </w:tc>
        <w:tc>
          <w:tcPr>
            <w:tcW w:w="1226" w:type="dxa"/>
            <w:vAlign w:val="center"/>
          </w:tcPr>
          <w:p>
            <w:pPr>
              <w:pStyle w:val="108"/>
              <w:spacing w:before="0" w:after="0" w:afterLines="0"/>
              <w:jc w:val="center"/>
              <w:rPr>
                <w:rFonts w:hint="eastAsia" w:ascii="Times New Roman" w:hAnsi="Times New Roman"/>
                <w:color w:val="auto"/>
                <w:kern w:val="21"/>
                <w:szCs w:val="21"/>
                <w:lang w:val="en-US" w:eastAsia="zh-CN"/>
              </w:rPr>
            </w:pPr>
            <w:r>
              <w:rPr>
                <w:rFonts w:ascii="Times New Roman" w:hAnsi="Times New Roman"/>
                <w:color w:val="auto"/>
                <w:kern w:val="21"/>
                <w:szCs w:val="21"/>
                <w:lang w:val="en-US"/>
              </w:rPr>
              <w:t>危险</w:t>
            </w:r>
            <w:r>
              <w:rPr>
                <w:rFonts w:hint="eastAsia" w:ascii="Times New Roman" w:hAnsi="Times New Roman"/>
                <w:color w:val="auto"/>
                <w:kern w:val="21"/>
                <w:szCs w:val="21"/>
                <w:lang w:val="en-US" w:eastAsia="zh-CN"/>
              </w:rPr>
              <w:t>废物</w:t>
            </w:r>
          </w:p>
          <w:p>
            <w:pPr>
              <w:pStyle w:val="108"/>
              <w:spacing w:before="0" w:after="0" w:afterLines="0"/>
              <w:jc w:val="center"/>
              <w:rPr>
                <w:rFonts w:hint="eastAsia" w:ascii="Times New Roman" w:hAnsi="Times New Roman"/>
                <w:color w:val="auto"/>
                <w:kern w:val="21"/>
                <w:szCs w:val="21"/>
                <w:lang w:val="en-US" w:eastAsia="zh-CN"/>
              </w:rPr>
            </w:pPr>
            <w:r>
              <w:rPr>
                <w:rFonts w:hint="eastAsia" w:ascii="Times New Roman" w:hAnsi="Times New Roman"/>
                <w:color w:val="auto"/>
                <w:kern w:val="21"/>
                <w:szCs w:val="21"/>
                <w:lang w:val="en-US" w:eastAsia="zh-CN"/>
              </w:rPr>
              <w:t>900-047-49</w:t>
            </w:r>
          </w:p>
        </w:tc>
        <w:tc>
          <w:tcPr>
            <w:tcW w:w="3300" w:type="dxa"/>
            <w:vAlign w:val="center"/>
          </w:tcPr>
          <w:p>
            <w:pPr>
              <w:pStyle w:val="108"/>
              <w:spacing w:before="0" w:after="0" w:afterLines="0"/>
              <w:jc w:val="center"/>
              <w:rPr>
                <w:rFonts w:hint="eastAsia" w:ascii="Times New Roman" w:hAnsi="Times New Roman"/>
                <w:color w:val="auto"/>
                <w:kern w:val="21"/>
                <w:szCs w:val="21"/>
                <w:lang w:val="en-US" w:eastAsia="zh-CN"/>
              </w:rPr>
            </w:pPr>
            <w:r>
              <w:rPr>
                <w:rFonts w:hint="eastAsia" w:ascii="Times New Roman" w:hAnsi="Times New Roman"/>
                <w:color w:val="auto"/>
                <w:kern w:val="21"/>
                <w:szCs w:val="21"/>
                <w:lang w:val="en-US" w:eastAsia="zh-CN"/>
              </w:rPr>
              <w:t>暂存</w:t>
            </w:r>
            <w:r>
              <w:rPr>
                <w:rFonts w:ascii="Times New Roman" w:hAnsi="Times New Roman"/>
                <w:color w:val="auto"/>
                <w:kern w:val="21"/>
                <w:szCs w:val="21"/>
                <w:lang w:val="en-US"/>
              </w:rPr>
              <w:t>污水厂危废暂存间暂存，委托资质单位清运处置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54" w:hRule="atLeast"/>
        </w:trPr>
        <w:tc>
          <w:tcPr>
            <w:tcW w:w="1998" w:type="dxa"/>
            <w:gridSpan w:val="2"/>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合计</w:t>
            </w:r>
          </w:p>
        </w:tc>
        <w:tc>
          <w:tcPr>
            <w:tcW w:w="922" w:type="dxa"/>
            <w:vAlign w:val="center"/>
          </w:tcPr>
          <w:p>
            <w:pPr>
              <w:pStyle w:val="108"/>
              <w:spacing w:before="0" w:after="0" w:afterLines="0"/>
              <w:jc w:val="center"/>
              <w:rPr>
                <w:rFonts w:ascii="Times New Roman" w:hAnsi="Times New Roman"/>
                <w:color w:val="auto"/>
                <w:kern w:val="21"/>
                <w:szCs w:val="21"/>
              </w:rPr>
            </w:pPr>
          </w:p>
        </w:tc>
        <w:tc>
          <w:tcPr>
            <w:tcW w:w="855" w:type="dxa"/>
            <w:vAlign w:val="center"/>
          </w:tcPr>
          <w:p>
            <w:pPr>
              <w:pStyle w:val="108"/>
              <w:spacing w:before="0" w:after="0" w:afterLines="0"/>
              <w:jc w:val="center"/>
              <w:rPr>
                <w:rFonts w:ascii="Times New Roman" w:hAnsi="Times New Roman"/>
                <w:color w:val="auto"/>
                <w:kern w:val="21"/>
                <w:szCs w:val="21"/>
                <w:lang w:val="en-US"/>
              </w:rPr>
            </w:pPr>
            <w:r>
              <w:rPr>
                <w:rFonts w:hint="eastAsia" w:ascii="Times New Roman" w:hAnsi="Times New Roman"/>
                <w:color w:val="auto"/>
                <w:kern w:val="21"/>
                <w:szCs w:val="21"/>
                <w:lang w:val="en-US"/>
              </w:rPr>
              <w:t>80</w:t>
            </w:r>
            <w:r>
              <w:rPr>
                <w:rFonts w:hint="eastAsia" w:ascii="Times New Roman" w:hAnsi="Times New Roman"/>
                <w:color w:val="auto"/>
                <w:kern w:val="21"/>
                <w:szCs w:val="21"/>
                <w:lang w:val="en-US" w:eastAsia="zh-CN"/>
              </w:rPr>
              <w:t>5</w:t>
            </w:r>
            <w:r>
              <w:rPr>
                <w:rFonts w:hint="eastAsia" w:ascii="Times New Roman" w:hAnsi="Times New Roman"/>
                <w:color w:val="auto"/>
                <w:kern w:val="21"/>
                <w:szCs w:val="21"/>
                <w:lang w:val="en-US"/>
              </w:rPr>
              <w:t>.</w:t>
            </w:r>
            <w:r>
              <w:rPr>
                <w:rFonts w:hint="eastAsia" w:ascii="Times New Roman" w:hAnsi="Times New Roman"/>
                <w:color w:val="auto"/>
                <w:kern w:val="21"/>
                <w:szCs w:val="21"/>
                <w:lang w:val="en-US" w:eastAsia="zh-CN"/>
              </w:rPr>
              <w:t>8</w:t>
            </w:r>
            <w:r>
              <w:rPr>
                <w:rFonts w:hint="eastAsia" w:ascii="Times New Roman" w:hAnsi="Times New Roman"/>
                <w:color w:val="auto"/>
                <w:kern w:val="21"/>
                <w:szCs w:val="21"/>
                <w:lang w:val="en-US"/>
              </w:rPr>
              <w:t>45</w:t>
            </w:r>
          </w:p>
        </w:tc>
        <w:tc>
          <w:tcPr>
            <w:tcW w:w="1226" w:type="dxa"/>
            <w:vAlign w:val="center"/>
          </w:tcPr>
          <w:p>
            <w:pPr>
              <w:pStyle w:val="108"/>
              <w:spacing w:before="0" w:after="0" w:afterLines="0"/>
              <w:jc w:val="center"/>
              <w:rPr>
                <w:rFonts w:ascii="Times New Roman" w:hAnsi="Times New Roman"/>
                <w:color w:val="auto"/>
                <w:kern w:val="21"/>
                <w:szCs w:val="21"/>
                <w:lang w:val="en-US"/>
              </w:rPr>
            </w:pPr>
          </w:p>
        </w:tc>
        <w:tc>
          <w:tcPr>
            <w:tcW w:w="3300" w:type="dxa"/>
            <w:vAlign w:val="center"/>
          </w:tcPr>
          <w:p>
            <w:pPr>
              <w:pStyle w:val="108"/>
              <w:spacing w:before="0" w:after="0" w:afterLines="0"/>
              <w:jc w:val="center"/>
              <w:rPr>
                <w:rFonts w:ascii="Times New Roman" w:hAnsi="Times New Roman"/>
                <w:color w:val="auto"/>
                <w:kern w:val="21"/>
                <w:szCs w:val="21"/>
              </w:rPr>
            </w:pPr>
          </w:p>
        </w:tc>
      </w:tr>
    </w:tbl>
    <w:p>
      <w:pPr>
        <w:pStyle w:val="6"/>
        <w:spacing w:after="0" w:line="377" w:lineRule="auto"/>
        <w:rPr>
          <w:color w:val="auto"/>
          <w:kern w:val="21"/>
          <w:sz w:val="24"/>
          <w:szCs w:val="24"/>
        </w:rPr>
      </w:pPr>
      <w:bookmarkStart w:id="113" w:name="_Toc404"/>
      <w:r>
        <w:rPr>
          <w:color w:val="auto"/>
          <w:kern w:val="21"/>
          <w:sz w:val="24"/>
          <w:szCs w:val="24"/>
        </w:rPr>
        <w:t>3.3.</w:t>
      </w:r>
      <w:r>
        <w:rPr>
          <w:rFonts w:hint="eastAsia"/>
          <w:color w:val="auto"/>
          <w:kern w:val="21"/>
          <w:sz w:val="24"/>
          <w:szCs w:val="24"/>
        </w:rPr>
        <w:t>3</w:t>
      </w:r>
      <w:r>
        <w:rPr>
          <w:rFonts w:eastAsia="宋体"/>
          <w:color w:val="auto"/>
          <w:kern w:val="21"/>
          <w:sz w:val="24"/>
          <w:szCs w:val="24"/>
        </w:rPr>
        <w:t>项目“三废污染物”排放汇总及总量控制</w:t>
      </w:r>
      <w:bookmarkEnd w:id="113"/>
    </w:p>
    <w:p>
      <w:pPr>
        <w:widowControl/>
        <w:ind w:firstLine="480"/>
        <w:jc w:val="left"/>
        <w:rPr>
          <w:color w:val="auto"/>
          <w:kern w:val="21"/>
          <w:lang w:bidi="ar"/>
        </w:rPr>
      </w:pPr>
      <w:r>
        <w:rPr>
          <w:color w:val="auto"/>
          <w:kern w:val="21"/>
        </w:rPr>
        <w:t>1、正常状况</w:t>
      </w:r>
    </w:p>
    <w:p>
      <w:pPr>
        <w:widowControl/>
        <w:ind w:firstLine="480"/>
        <w:jc w:val="left"/>
        <w:rPr>
          <w:color w:val="auto"/>
          <w:kern w:val="21"/>
          <w:lang w:bidi="ar"/>
        </w:rPr>
      </w:pPr>
      <w:r>
        <w:rPr>
          <w:color w:val="auto"/>
          <w:kern w:val="21"/>
          <w:lang w:bidi="ar"/>
        </w:rPr>
        <w:t>项目运营期正常状况排放的主要污染物汇总见</w:t>
      </w:r>
      <w:r>
        <w:rPr>
          <w:rFonts w:hint="eastAsia"/>
          <w:color w:val="auto"/>
          <w:kern w:val="21"/>
          <w:lang w:eastAsia="zh-CN" w:bidi="ar"/>
        </w:rPr>
        <w:t>下表</w:t>
      </w:r>
      <w:r>
        <w:rPr>
          <w:color w:val="auto"/>
          <w:kern w:val="21"/>
          <w:lang w:bidi="ar"/>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lang w:bidi="ar"/>
        </w:rPr>
      </w:pPr>
      <w:r>
        <w:rPr>
          <w:b/>
          <w:bCs/>
          <w:color w:val="auto"/>
          <w:kern w:val="21"/>
          <w:lang w:bidi="ar"/>
        </w:rPr>
        <w:t>项目运营期主要污染物汇总表</w:t>
      </w:r>
    </w:p>
    <w:tbl>
      <w:tblPr>
        <w:tblStyle w:val="51"/>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138"/>
        <w:gridCol w:w="906"/>
        <w:gridCol w:w="1163"/>
        <w:gridCol w:w="1246"/>
        <w:gridCol w:w="1438"/>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污染物</w:t>
            </w:r>
          </w:p>
        </w:tc>
        <w:tc>
          <w:tcPr>
            <w:tcW w:w="2044" w:type="dxa"/>
            <w:gridSpan w:val="2"/>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单位</w:t>
            </w:r>
          </w:p>
        </w:tc>
        <w:tc>
          <w:tcPr>
            <w:tcW w:w="1163"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产生量</w:t>
            </w:r>
          </w:p>
        </w:tc>
        <w:tc>
          <w:tcPr>
            <w:tcW w:w="124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削减量</w:t>
            </w:r>
          </w:p>
        </w:tc>
        <w:tc>
          <w:tcPr>
            <w:tcW w:w="14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排放量</w:t>
            </w:r>
          </w:p>
        </w:tc>
        <w:tc>
          <w:tcPr>
            <w:tcW w:w="231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废气</w:t>
            </w:r>
          </w:p>
        </w:tc>
        <w:tc>
          <w:tcPr>
            <w:tcW w:w="11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氨</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1.647</w:t>
            </w:r>
          </w:p>
        </w:tc>
        <w:tc>
          <w:tcPr>
            <w:tcW w:w="1246"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0.822</w:t>
            </w:r>
          </w:p>
        </w:tc>
        <w:tc>
          <w:tcPr>
            <w:tcW w:w="1438"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0.825</w:t>
            </w:r>
          </w:p>
        </w:tc>
        <w:tc>
          <w:tcPr>
            <w:tcW w:w="2310"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rPr>
              <w:t>硫化氢</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bCs/>
                <w:color w:val="auto"/>
                <w:kern w:val="21"/>
                <w:sz w:val="21"/>
                <w:szCs w:val="21"/>
                <w:lang w:val="en-US" w:eastAsia="zh-CN"/>
              </w:rPr>
              <w:t>0.004138</w:t>
            </w:r>
          </w:p>
        </w:tc>
        <w:tc>
          <w:tcPr>
            <w:tcW w:w="1246"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rPr>
              <w:t>0.001683</w:t>
            </w:r>
          </w:p>
        </w:tc>
        <w:tc>
          <w:tcPr>
            <w:tcW w:w="1438"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bCs/>
                <w:color w:val="auto"/>
                <w:kern w:val="21"/>
                <w:sz w:val="21"/>
                <w:szCs w:val="21"/>
                <w:lang w:val="en-US" w:eastAsia="zh-CN"/>
              </w:rPr>
              <w:t>0.002455</w:t>
            </w:r>
          </w:p>
        </w:tc>
        <w:tc>
          <w:tcPr>
            <w:tcW w:w="2310" w:type="dxa"/>
            <w:vMerge w:val="continue"/>
            <w:vAlign w:val="center"/>
          </w:tcPr>
          <w:p>
            <w:pPr>
              <w:pStyle w:val="23"/>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rPr>
              <w:t>食堂油烟</w:t>
            </w:r>
          </w:p>
        </w:tc>
        <w:tc>
          <w:tcPr>
            <w:tcW w:w="4753" w:type="dxa"/>
            <w:gridSpan w:val="4"/>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rPr>
              <w:t>少量，</w:t>
            </w:r>
            <w:r>
              <w:rPr>
                <w:rFonts w:hint="eastAsia"/>
                <w:color w:val="auto"/>
                <w:kern w:val="21"/>
                <w:sz w:val="21"/>
                <w:szCs w:val="21"/>
                <w:lang w:eastAsia="zh-CN"/>
              </w:rPr>
              <w:t>经油烟净化器</w:t>
            </w:r>
            <w:r>
              <w:rPr>
                <w:rFonts w:hint="eastAsia"/>
                <w:color w:val="auto"/>
                <w:kern w:val="21"/>
                <w:sz w:val="21"/>
                <w:szCs w:val="21"/>
              </w:rPr>
              <w:t>处理后排放</w:t>
            </w:r>
          </w:p>
        </w:tc>
        <w:tc>
          <w:tcPr>
            <w:tcW w:w="2310" w:type="dxa"/>
            <w:vMerge w:val="continue"/>
            <w:vAlign w:val="center"/>
          </w:tcPr>
          <w:p>
            <w:pPr>
              <w:pStyle w:val="23"/>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废水</w:t>
            </w:r>
          </w:p>
        </w:tc>
        <w:tc>
          <w:tcPr>
            <w:tcW w:w="11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废水量</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1825000</w:t>
            </w:r>
          </w:p>
        </w:tc>
        <w:tc>
          <w:tcPr>
            <w:tcW w:w="1246"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eastAsia="zh-CN" w:bidi="ar"/>
              </w:rPr>
              <w:t>74353.9</w:t>
            </w:r>
          </w:p>
        </w:tc>
        <w:tc>
          <w:tcPr>
            <w:tcW w:w="1438"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eastAsia="zh-CN" w:bidi="ar"/>
              </w:rPr>
              <w:t>1750646.1</w:t>
            </w:r>
          </w:p>
        </w:tc>
        <w:tc>
          <w:tcPr>
            <w:tcW w:w="2310"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COD</w:t>
            </w:r>
            <w:r>
              <w:rPr>
                <w:color w:val="auto"/>
                <w:kern w:val="21"/>
                <w:sz w:val="21"/>
                <w:szCs w:val="21"/>
                <w:vertAlign w:val="subscript"/>
                <w:lang w:bidi="ar"/>
              </w:rPr>
              <w:t>Cr</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731.11 </w:t>
            </w:r>
          </w:p>
        </w:tc>
        <w:tc>
          <w:tcPr>
            <w:tcW w:w="124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696.66 </w:t>
            </w:r>
          </w:p>
        </w:tc>
        <w:tc>
          <w:tcPr>
            <w:tcW w:w="1438" w:type="dxa"/>
            <w:vAlign w:val="center"/>
          </w:tcPr>
          <w:p>
            <w:pPr>
              <w:spacing w:line="240" w:lineRule="auto"/>
              <w:ind w:firstLine="0" w:firstLineChars="0"/>
              <w:jc w:val="center"/>
              <w:rPr>
                <w:color w:val="auto"/>
                <w:kern w:val="21"/>
                <w:sz w:val="21"/>
                <w:szCs w:val="21"/>
              </w:rPr>
            </w:pPr>
            <w:r>
              <w:rPr>
                <w:rFonts w:hint="eastAsia" w:cs="Times New Roman"/>
                <w:color w:val="auto"/>
                <w:kern w:val="21"/>
                <w:sz w:val="21"/>
                <w:szCs w:val="21"/>
                <w:lang w:val="en-US" w:eastAsia="zh-CN" w:bidi="ar-SA"/>
              </w:rPr>
              <w:t xml:space="preserve">34.45 </w:t>
            </w:r>
          </w:p>
        </w:tc>
        <w:tc>
          <w:tcPr>
            <w:tcW w:w="2310" w:type="dxa"/>
            <w:vMerge w:val="continue"/>
            <w:vAlign w:val="center"/>
          </w:tcPr>
          <w:p>
            <w:pPr>
              <w:pStyle w:val="23"/>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BOD</w:t>
            </w:r>
            <w:r>
              <w:rPr>
                <w:color w:val="auto"/>
                <w:kern w:val="21"/>
                <w:sz w:val="21"/>
                <w:szCs w:val="21"/>
                <w:vertAlign w:val="subscript"/>
                <w:lang w:bidi="ar"/>
              </w:rPr>
              <w:t>5</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573.42 </w:t>
            </w:r>
          </w:p>
        </w:tc>
        <w:tc>
          <w:tcPr>
            <w:tcW w:w="124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555.91 </w:t>
            </w:r>
          </w:p>
        </w:tc>
        <w:tc>
          <w:tcPr>
            <w:tcW w:w="1438" w:type="dxa"/>
            <w:vAlign w:val="center"/>
          </w:tcPr>
          <w:p>
            <w:pPr>
              <w:spacing w:line="240" w:lineRule="auto"/>
              <w:ind w:firstLine="0" w:firstLineChars="0"/>
              <w:jc w:val="center"/>
              <w:rPr>
                <w:color w:val="auto"/>
                <w:kern w:val="21"/>
                <w:sz w:val="21"/>
                <w:szCs w:val="21"/>
              </w:rPr>
            </w:pPr>
            <w:r>
              <w:rPr>
                <w:rFonts w:hint="eastAsia" w:cs="Times New Roman"/>
                <w:color w:val="auto"/>
                <w:kern w:val="21"/>
                <w:sz w:val="21"/>
                <w:szCs w:val="21"/>
                <w:lang w:val="en-US" w:eastAsia="zh-CN" w:bidi="ar-SA"/>
              </w:rPr>
              <w:t xml:space="preserve">17.51 </w:t>
            </w:r>
          </w:p>
        </w:tc>
        <w:tc>
          <w:tcPr>
            <w:tcW w:w="2310" w:type="dxa"/>
            <w:vMerge w:val="continue"/>
            <w:vAlign w:val="center"/>
          </w:tcPr>
          <w:p>
            <w:pPr>
              <w:pStyle w:val="23"/>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NH</w:t>
            </w:r>
            <w:r>
              <w:rPr>
                <w:color w:val="auto"/>
                <w:kern w:val="21"/>
                <w:sz w:val="21"/>
                <w:szCs w:val="21"/>
                <w:vertAlign w:val="subscript"/>
                <w:lang w:bidi="ar"/>
              </w:rPr>
              <w:t>3</w:t>
            </w:r>
            <w:r>
              <w:rPr>
                <w:color w:val="auto"/>
                <w:kern w:val="21"/>
                <w:sz w:val="21"/>
                <w:szCs w:val="21"/>
                <w:lang w:bidi="ar"/>
              </w:rPr>
              <w:t>-N</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74.35 </w:t>
            </w:r>
          </w:p>
        </w:tc>
        <w:tc>
          <w:tcPr>
            <w:tcW w:w="124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70.73 </w:t>
            </w:r>
          </w:p>
        </w:tc>
        <w:tc>
          <w:tcPr>
            <w:tcW w:w="1438" w:type="dxa"/>
            <w:vAlign w:val="center"/>
          </w:tcPr>
          <w:p>
            <w:pPr>
              <w:spacing w:line="240" w:lineRule="auto"/>
              <w:ind w:firstLine="0" w:firstLineChars="0"/>
              <w:jc w:val="center"/>
              <w:rPr>
                <w:color w:val="auto"/>
                <w:kern w:val="21"/>
                <w:sz w:val="21"/>
                <w:szCs w:val="21"/>
              </w:rPr>
            </w:pPr>
            <w:r>
              <w:rPr>
                <w:rFonts w:hint="eastAsia" w:cs="Times New Roman"/>
                <w:color w:val="auto"/>
                <w:kern w:val="21"/>
                <w:sz w:val="21"/>
                <w:szCs w:val="21"/>
                <w:lang w:val="en-US" w:eastAsia="zh-CN" w:bidi="ar-SA"/>
              </w:rPr>
              <w:t xml:space="preserve">3.62 </w:t>
            </w:r>
          </w:p>
        </w:tc>
        <w:tc>
          <w:tcPr>
            <w:tcW w:w="2310" w:type="dxa"/>
            <w:vMerge w:val="continue"/>
            <w:vAlign w:val="center"/>
          </w:tcPr>
          <w:p>
            <w:pPr>
              <w:pStyle w:val="23"/>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TP</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spacing w:line="240" w:lineRule="auto"/>
              <w:ind w:firstLine="0" w:firstLineChars="0"/>
              <w:jc w:val="center"/>
              <w:rPr>
                <w:color w:val="auto"/>
                <w:kern w:val="21"/>
                <w:sz w:val="21"/>
                <w:szCs w:val="21"/>
                <w:lang w:bidi="ar"/>
              </w:rPr>
            </w:pPr>
            <w:r>
              <w:rPr>
                <w:rFonts w:hint="default" w:cs="Times New Roman"/>
                <w:color w:val="auto"/>
                <w:kern w:val="21"/>
                <w:sz w:val="21"/>
                <w:szCs w:val="21"/>
                <w:lang w:val="en-US" w:eastAsia="zh-CN" w:bidi="ar-SA"/>
              </w:rPr>
              <w:t xml:space="preserve">11.50 </w:t>
            </w:r>
          </w:p>
        </w:tc>
        <w:tc>
          <w:tcPr>
            <w:tcW w:w="124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SA"/>
              </w:rPr>
              <w:t xml:space="preserve">10.97 </w:t>
            </w:r>
          </w:p>
        </w:tc>
        <w:tc>
          <w:tcPr>
            <w:tcW w:w="1438" w:type="dxa"/>
            <w:vAlign w:val="center"/>
          </w:tcPr>
          <w:p>
            <w:pPr>
              <w:spacing w:line="240" w:lineRule="auto"/>
              <w:ind w:firstLine="0" w:firstLineChars="0"/>
              <w:jc w:val="center"/>
              <w:rPr>
                <w:color w:val="auto"/>
                <w:kern w:val="21"/>
                <w:sz w:val="21"/>
                <w:szCs w:val="21"/>
                <w:lang w:bidi="ar"/>
              </w:rPr>
            </w:pPr>
            <w:r>
              <w:rPr>
                <w:rFonts w:hint="eastAsia" w:cs="Times New Roman"/>
                <w:color w:val="auto"/>
                <w:kern w:val="21"/>
                <w:sz w:val="21"/>
                <w:szCs w:val="21"/>
                <w:lang w:val="en-US" w:eastAsia="zh-CN" w:bidi="ar-SA"/>
              </w:rPr>
              <w:t xml:space="preserve">0.53 </w:t>
            </w:r>
          </w:p>
        </w:tc>
        <w:tc>
          <w:tcPr>
            <w:tcW w:w="2310" w:type="dxa"/>
            <w:vMerge w:val="continue"/>
            <w:vAlign w:val="center"/>
          </w:tcPr>
          <w:p>
            <w:pPr>
              <w:pStyle w:val="23"/>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lang w:val="en-US" w:eastAsia="zh-CN" w:bidi="ar"/>
              </w:rPr>
              <w:t>TN</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112.20 </w:t>
            </w:r>
          </w:p>
        </w:tc>
        <w:tc>
          <w:tcPr>
            <w:tcW w:w="124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85.94 </w:t>
            </w:r>
          </w:p>
        </w:tc>
        <w:tc>
          <w:tcPr>
            <w:tcW w:w="1438" w:type="dxa"/>
            <w:vAlign w:val="center"/>
          </w:tcPr>
          <w:p>
            <w:pPr>
              <w:spacing w:line="240" w:lineRule="auto"/>
              <w:ind w:firstLine="0" w:firstLineChars="0"/>
              <w:jc w:val="center"/>
              <w:rPr>
                <w:color w:val="auto"/>
                <w:kern w:val="21"/>
                <w:sz w:val="21"/>
                <w:szCs w:val="21"/>
              </w:rPr>
            </w:pPr>
            <w:r>
              <w:rPr>
                <w:rFonts w:hint="eastAsia" w:cs="Times New Roman"/>
                <w:color w:val="auto"/>
                <w:kern w:val="21"/>
                <w:sz w:val="21"/>
                <w:szCs w:val="21"/>
                <w:lang w:val="en-US" w:eastAsia="zh-CN" w:bidi="ar-SA"/>
              </w:rPr>
              <w:t xml:space="preserve">26.26 </w:t>
            </w:r>
          </w:p>
        </w:tc>
        <w:tc>
          <w:tcPr>
            <w:tcW w:w="2310" w:type="dxa"/>
            <w:vMerge w:val="continue"/>
            <w:vAlign w:val="center"/>
          </w:tcPr>
          <w:p>
            <w:pPr>
              <w:pStyle w:val="23"/>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SS</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595.26 </w:t>
            </w:r>
          </w:p>
        </w:tc>
        <w:tc>
          <w:tcPr>
            <w:tcW w:w="124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 xml:space="preserve">577.75 </w:t>
            </w:r>
          </w:p>
        </w:tc>
        <w:tc>
          <w:tcPr>
            <w:tcW w:w="1438" w:type="dxa"/>
            <w:vAlign w:val="center"/>
          </w:tcPr>
          <w:p>
            <w:pPr>
              <w:spacing w:line="240" w:lineRule="auto"/>
              <w:ind w:firstLine="0" w:firstLineChars="0"/>
              <w:jc w:val="center"/>
              <w:rPr>
                <w:color w:val="auto"/>
                <w:kern w:val="21"/>
                <w:sz w:val="21"/>
                <w:szCs w:val="21"/>
              </w:rPr>
            </w:pPr>
            <w:r>
              <w:rPr>
                <w:rFonts w:hint="eastAsia" w:cs="Times New Roman"/>
                <w:color w:val="auto"/>
                <w:kern w:val="21"/>
                <w:sz w:val="21"/>
                <w:szCs w:val="21"/>
                <w:lang w:val="en-US" w:eastAsia="zh-CN" w:bidi="ar-SA"/>
              </w:rPr>
              <w:t xml:space="preserve">17.51 </w:t>
            </w:r>
          </w:p>
        </w:tc>
        <w:tc>
          <w:tcPr>
            <w:tcW w:w="2310" w:type="dxa"/>
            <w:vMerge w:val="continue"/>
            <w:vAlign w:val="center"/>
          </w:tcPr>
          <w:p>
            <w:pPr>
              <w:pStyle w:val="23"/>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23"/>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bidi="ar"/>
              </w:rPr>
              <w:t>氟化物</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spacing w:line="240" w:lineRule="auto"/>
              <w:ind w:firstLine="0" w:firstLineChars="0"/>
              <w:jc w:val="center"/>
              <w:rPr>
                <w:color w:val="auto"/>
                <w:kern w:val="21"/>
                <w:sz w:val="21"/>
                <w:szCs w:val="21"/>
                <w:lang w:bidi="ar"/>
              </w:rPr>
            </w:pPr>
            <w:r>
              <w:rPr>
                <w:rFonts w:hint="default" w:cs="Times New Roman"/>
                <w:color w:val="auto"/>
                <w:kern w:val="21"/>
                <w:sz w:val="21"/>
                <w:szCs w:val="21"/>
                <w:lang w:val="en-US" w:eastAsia="zh-CN" w:bidi="ar-SA"/>
              </w:rPr>
              <w:t xml:space="preserve">29.84 </w:t>
            </w:r>
          </w:p>
        </w:tc>
        <w:tc>
          <w:tcPr>
            <w:tcW w:w="124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SA"/>
              </w:rPr>
              <w:t xml:space="preserve">25.80 </w:t>
            </w:r>
          </w:p>
        </w:tc>
        <w:tc>
          <w:tcPr>
            <w:tcW w:w="1438" w:type="dxa"/>
            <w:vAlign w:val="center"/>
          </w:tcPr>
          <w:p>
            <w:pPr>
              <w:spacing w:line="240" w:lineRule="auto"/>
              <w:ind w:firstLine="0" w:firstLineChars="0"/>
              <w:jc w:val="center"/>
              <w:rPr>
                <w:color w:val="auto"/>
                <w:kern w:val="21"/>
                <w:sz w:val="21"/>
                <w:szCs w:val="21"/>
                <w:lang w:bidi="ar"/>
              </w:rPr>
            </w:pPr>
            <w:r>
              <w:rPr>
                <w:rFonts w:hint="eastAsia" w:cs="Times New Roman"/>
                <w:color w:val="auto"/>
                <w:kern w:val="21"/>
                <w:sz w:val="21"/>
                <w:szCs w:val="21"/>
                <w:lang w:val="en-US" w:eastAsia="zh-CN" w:bidi="ar-SA"/>
              </w:rPr>
              <w:t xml:space="preserve">4.04 </w:t>
            </w:r>
          </w:p>
        </w:tc>
        <w:tc>
          <w:tcPr>
            <w:tcW w:w="2310" w:type="dxa"/>
            <w:vMerge w:val="continue"/>
            <w:vAlign w:val="center"/>
          </w:tcPr>
          <w:p>
            <w:pPr>
              <w:pStyle w:val="23"/>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restart"/>
            <w:vAlign w:val="center"/>
          </w:tcPr>
          <w:p>
            <w:pPr>
              <w:pStyle w:val="23"/>
              <w:tabs>
                <w:tab w:val="left" w:pos="413"/>
              </w:tabs>
              <w:spacing w:after="0" w:line="240" w:lineRule="auto"/>
              <w:ind w:left="0" w:leftChars="0" w:firstLine="0" w:firstLineChars="0"/>
              <w:jc w:val="center"/>
              <w:rPr>
                <w:color w:val="auto"/>
                <w:kern w:val="21"/>
                <w:sz w:val="21"/>
                <w:szCs w:val="21"/>
              </w:rPr>
            </w:pPr>
            <w:r>
              <w:rPr>
                <w:color w:val="auto"/>
                <w:kern w:val="21"/>
                <w:sz w:val="21"/>
                <w:szCs w:val="21"/>
              </w:rPr>
              <w:t>固体废物</w:t>
            </w:r>
          </w:p>
        </w:tc>
        <w:tc>
          <w:tcPr>
            <w:tcW w:w="1138"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bCs/>
                <w:color w:val="auto"/>
                <w:kern w:val="21"/>
                <w:szCs w:val="21"/>
              </w:rPr>
              <w:t>栅渣</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73</w:t>
            </w:r>
          </w:p>
        </w:tc>
        <w:tc>
          <w:tcPr>
            <w:tcW w:w="1246"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w:t>
            </w:r>
          </w:p>
        </w:tc>
        <w:tc>
          <w:tcPr>
            <w:tcW w:w="14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0</w:t>
            </w:r>
          </w:p>
        </w:tc>
        <w:tc>
          <w:tcPr>
            <w:tcW w:w="2310"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由环卫部门集中处置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23"/>
              <w:tabs>
                <w:tab w:val="left" w:pos="413"/>
              </w:tabs>
              <w:spacing w:after="0" w:line="240" w:lineRule="auto"/>
              <w:ind w:left="0" w:leftChars="0" w:firstLine="0" w:firstLineChars="0"/>
              <w:jc w:val="center"/>
              <w:rPr>
                <w:color w:val="auto"/>
                <w:kern w:val="21"/>
                <w:sz w:val="21"/>
                <w:szCs w:val="21"/>
              </w:rPr>
            </w:pPr>
          </w:p>
        </w:tc>
        <w:tc>
          <w:tcPr>
            <w:tcW w:w="1138"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hint="eastAsia" w:ascii="Times New Roman" w:hAnsi="Times New Roman"/>
                <w:color w:val="auto"/>
                <w:kern w:val="21"/>
                <w:szCs w:val="21"/>
              </w:rPr>
              <w:t>污泥</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730</w:t>
            </w:r>
          </w:p>
        </w:tc>
        <w:tc>
          <w:tcPr>
            <w:tcW w:w="1246"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w:t>
            </w:r>
          </w:p>
        </w:tc>
        <w:tc>
          <w:tcPr>
            <w:tcW w:w="14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0</w:t>
            </w:r>
          </w:p>
        </w:tc>
        <w:tc>
          <w:tcPr>
            <w:tcW w:w="2310"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hint="eastAsia"/>
                <w:color w:val="auto"/>
                <w:kern w:val="21"/>
                <w:szCs w:val="21"/>
                <w:lang w:val="en-US"/>
              </w:rPr>
              <w:t>按批次委托监测单位进行属性鉴别，若是危废则</w:t>
            </w:r>
            <w:r>
              <w:rPr>
                <w:rFonts w:hint="eastAsia"/>
                <w:color w:val="auto"/>
                <w:kern w:val="21"/>
                <w:szCs w:val="21"/>
                <w:lang w:val="en-US" w:eastAsia="zh-CN"/>
              </w:rPr>
              <w:t>暂存</w:t>
            </w:r>
            <w:r>
              <w:rPr>
                <w:rFonts w:hint="eastAsia"/>
                <w:color w:val="auto"/>
                <w:kern w:val="21"/>
                <w:szCs w:val="21"/>
                <w:lang w:val="en-US"/>
              </w:rPr>
              <w:t>污水厂危废暂存间暂存，并委托资质单位处置，若是一般固废则送至楚雄市生活垃圾焚烧发电厂进行焚烧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eastAsia="zh-CN"/>
              </w:rPr>
            </w:pPr>
            <w:r>
              <w:rPr>
                <w:rFonts w:hint="eastAsia" w:ascii="Times New Roman" w:hAnsi="Times New Roman"/>
                <w:color w:val="auto"/>
                <w:kern w:val="21"/>
                <w:szCs w:val="21"/>
                <w:lang w:eastAsia="zh-CN"/>
              </w:rPr>
              <w:t>废活性炭</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pStyle w:val="108"/>
              <w:tabs>
                <w:tab w:val="decimal" w:pos="2182"/>
                <w:tab w:val="left" w:pos="3393"/>
                <w:tab w:val="left" w:pos="5124"/>
              </w:tabs>
              <w:spacing w:before="0" w:after="0" w:afterLines="0"/>
              <w:jc w:val="center"/>
              <w:rPr>
                <w:rFonts w:hint="default"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1.0</w:t>
            </w:r>
          </w:p>
        </w:tc>
        <w:tc>
          <w:tcPr>
            <w:tcW w:w="1246"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w:t>
            </w:r>
          </w:p>
        </w:tc>
        <w:tc>
          <w:tcPr>
            <w:tcW w:w="1438" w:type="dxa"/>
            <w:vAlign w:val="center"/>
          </w:tcPr>
          <w:p>
            <w:pPr>
              <w:pStyle w:val="23"/>
              <w:spacing w:after="0" w:line="240" w:lineRule="auto"/>
              <w:ind w:left="0" w:leftChars="0" w:firstLine="0" w:firstLineChars="0"/>
              <w:jc w:val="center"/>
              <w:rPr>
                <w:rFonts w:hint="eastAsia" w:eastAsia="宋体"/>
                <w:color w:val="auto"/>
                <w:kern w:val="21"/>
                <w:sz w:val="21"/>
                <w:szCs w:val="21"/>
                <w:lang w:val="en-US" w:eastAsia="zh-CN"/>
              </w:rPr>
            </w:pPr>
            <w:r>
              <w:rPr>
                <w:rFonts w:hint="eastAsia"/>
                <w:color w:val="auto"/>
                <w:kern w:val="21"/>
                <w:sz w:val="21"/>
                <w:szCs w:val="21"/>
                <w:lang w:val="en-US" w:eastAsia="zh-CN"/>
              </w:rPr>
              <w:t>0</w:t>
            </w:r>
          </w:p>
        </w:tc>
        <w:tc>
          <w:tcPr>
            <w:tcW w:w="2310"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eastAsia="zh-CN"/>
              </w:rPr>
            </w:pPr>
            <w:r>
              <w:rPr>
                <w:rFonts w:hint="eastAsia" w:ascii="Times New Roman" w:hAnsi="Times New Roman"/>
                <w:color w:val="auto"/>
                <w:kern w:val="21"/>
                <w:szCs w:val="21"/>
                <w:lang w:eastAsia="zh-CN"/>
              </w:rPr>
              <w:t>由设备厂家定期上门更换后再生处理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hint="eastAsia" w:ascii="Times New Roman" w:hAnsi="Times New Roman"/>
                <w:color w:val="auto"/>
                <w:kern w:val="21"/>
                <w:szCs w:val="21"/>
              </w:rPr>
              <w:t>生活垃圾</w:t>
            </w:r>
          </w:p>
        </w:tc>
        <w:tc>
          <w:tcPr>
            <w:tcW w:w="906"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t/a</w:t>
            </w:r>
          </w:p>
        </w:tc>
        <w:tc>
          <w:tcPr>
            <w:tcW w:w="1163"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1.64</w:t>
            </w:r>
          </w:p>
        </w:tc>
        <w:tc>
          <w:tcPr>
            <w:tcW w:w="1246"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w:t>
            </w:r>
          </w:p>
        </w:tc>
        <w:tc>
          <w:tcPr>
            <w:tcW w:w="14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0</w:t>
            </w:r>
          </w:p>
        </w:tc>
        <w:tc>
          <w:tcPr>
            <w:tcW w:w="2310"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hint="eastAsia" w:ascii="Times New Roman" w:hAnsi="Times New Roman"/>
                <w:color w:val="auto"/>
                <w:kern w:val="21"/>
                <w:szCs w:val="21"/>
              </w:rPr>
              <w:t>由环卫部门集中处置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hint="eastAsia" w:ascii="Times New Roman" w:hAnsi="Times New Roman"/>
                <w:color w:val="auto"/>
                <w:kern w:val="21"/>
                <w:szCs w:val="21"/>
                <w:lang w:val="en-US"/>
              </w:rPr>
              <w:t>废机油</w:t>
            </w:r>
          </w:p>
        </w:tc>
        <w:tc>
          <w:tcPr>
            <w:tcW w:w="906" w:type="dxa"/>
            <w:vAlign w:val="center"/>
          </w:tcPr>
          <w:p>
            <w:pPr>
              <w:spacing w:line="240" w:lineRule="auto"/>
              <w:ind w:firstLine="0" w:firstLineChars="0"/>
              <w:jc w:val="center"/>
              <w:rPr>
                <w:color w:val="auto"/>
                <w:kern w:val="21"/>
                <w:sz w:val="21"/>
                <w:szCs w:val="21"/>
              </w:rPr>
            </w:pPr>
            <w:r>
              <w:rPr>
                <w:color w:val="auto"/>
                <w:kern w:val="21"/>
                <w:sz w:val="21"/>
                <w:szCs w:val="21"/>
              </w:rPr>
              <w:t>t/a</w:t>
            </w:r>
          </w:p>
        </w:tc>
        <w:tc>
          <w:tcPr>
            <w:tcW w:w="1163"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0.005</w:t>
            </w:r>
          </w:p>
        </w:tc>
        <w:tc>
          <w:tcPr>
            <w:tcW w:w="1246" w:type="dxa"/>
            <w:vAlign w:val="center"/>
          </w:tcPr>
          <w:p>
            <w:pPr>
              <w:spacing w:line="240" w:lineRule="auto"/>
              <w:ind w:firstLine="0" w:firstLineChars="0"/>
              <w:jc w:val="center"/>
              <w:rPr>
                <w:color w:val="auto"/>
                <w:kern w:val="21"/>
                <w:sz w:val="21"/>
                <w:szCs w:val="21"/>
              </w:rPr>
            </w:pPr>
            <w:r>
              <w:rPr>
                <w:color w:val="auto"/>
                <w:kern w:val="21"/>
                <w:sz w:val="21"/>
                <w:szCs w:val="21"/>
              </w:rPr>
              <w:t>/</w:t>
            </w:r>
          </w:p>
        </w:tc>
        <w:tc>
          <w:tcPr>
            <w:tcW w:w="14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0</w:t>
            </w:r>
          </w:p>
        </w:tc>
        <w:tc>
          <w:tcPr>
            <w:tcW w:w="2310" w:type="dxa"/>
            <w:vMerge w:val="restart"/>
            <w:vAlign w:val="center"/>
          </w:tcPr>
          <w:p>
            <w:pPr>
              <w:pStyle w:val="108"/>
              <w:tabs>
                <w:tab w:val="decimal" w:pos="2182"/>
                <w:tab w:val="left" w:pos="3393"/>
                <w:tab w:val="left" w:pos="5124"/>
              </w:tabs>
              <w:spacing w:before="0" w:after="0" w:afterLines="0"/>
              <w:ind w:firstLine="0" w:firstLineChars="0"/>
              <w:jc w:val="center"/>
              <w:rPr>
                <w:rFonts w:ascii="Times New Roman" w:hAnsi="Times New Roman"/>
                <w:color w:val="auto"/>
                <w:kern w:val="21"/>
                <w:szCs w:val="21"/>
              </w:rPr>
            </w:pPr>
            <w:r>
              <w:rPr>
                <w:rFonts w:hint="eastAsia" w:ascii="Times New Roman" w:hAnsi="Times New Roman"/>
                <w:color w:val="auto"/>
                <w:kern w:val="21"/>
                <w:szCs w:val="21"/>
                <w:lang w:val="en-US" w:eastAsia="zh-CN"/>
              </w:rPr>
              <w:t>暂存</w:t>
            </w:r>
            <w:r>
              <w:rPr>
                <w:rFonts w:ascii="Times New Roman" w:hAnsi="Times New Roman"/>
                <w:color w:val="auto"/>
                <w:kern w:val="21"/>
                <w:szCs w:val="21"/>
                <w:lang w:val="en-US"/>
              </w:rPr>
              <w:t>污水厂危废暂存间暂存，委托资质单位清运处置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hint="eastAsia" w:ascii="Times New Roman" w:hAnsi="Times New Roman"/>
                <w:color w:val="auto"/>
                <w:kern w:val="21"/>
                <w:szCs w:val="21"/>
                <w:lang w:val="en-US"/>
              </w:rPr>
              <w:t>废紫外灯管</w:t>
            </w:r>
          </w:p>
        </w:tc>
        <w:tc>
          <w:tcPr>
            <w:tcW w:w="906" w:type="dxa"/>
            <w:vAlign w:val="center"/>
          </w:tcPr>
          <w:p>
            <w:pPr>
              <w:spacing w:line="240" w:lineRule="auto"/>
              <w:ind w:firstLine="0" w:firstLineChars="0"/>
              <w:jc w:val="center"/>
              <w:rPr>
                <w:color w:val="auto"/>
                <w:kern w:val="21"/>
                <w:sz w:val="21"/>
                <w:szCs w:val="21"/>
              </w:rPr>
            </w:pPr>
            <w:r>
              <w:rPr>
                <w:color w:val="auto"/>
                <w:kern w:val="21"/>
                <w:sz w:val="21"/>
                <w:szCs w:val="21"/>
              </w:rPr>
              <w:t>t/a</w:t>
            </w:r>
          </w:p>
        </w:tc>
        <w:tc>
          <w:tcPr>
            <w:tcW w:w="1163"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0.1</w:t>
            </w:r>
          </w:p>
        </w:tc>
        <w:tc>
          <w:tcPr>
            <w:tcW w:w="1246" w:type="dxa"/>
            <w:vAlign w:val="center"/>
          </w:tcPr>
          <w:p>
            <w:pPr>
              <w:spacing w:line="240" w:lineRule="auto"/>
              <w:ind w:firstLine="0" w:firstLineChars="0"/>
              <w:jc w:val="center"/>
              <w:rPr>
                <w:color w:val="auto"/>
                <w:kern w:val="21"/>
                <w:sz w:val="21"/>
                <w:szCs w:val="21"/>
              </w:rPr>
            </w:pPr>
            <w:r>
              <w:rPr>
                <w:color w:val="auto"/>
                <w:kern w:val="21"/>
                <w:sz w:val="21"/>
                <w:szCs w:val="21"/>
              </w:rPr>
              <w:t>/</w:t>
            </w:r>
          </w:p>
        </w:tc>
        <w:tc>
          <w:tcPr>
            <w:tcW w:w="143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0</w:t>
            </w:r>
          </w:p>
        </w:tc>
        <w:tc>
          <w:tcPr>
            <w:tcW w:w="2310" w:type="dxa"/>
            <w:vMerge w:val="continue"/>
            <w:vAlign w:val="center"/>
          </w:tcPr>
          <w:p>
            <w:pPr>
              <w:pStyle w:val="108"/>
              <w:tabs>
                <w:tab w:val="decimal" w:pos="2182"/>
                <w:tab w:val="left" w:pos="3393"/>
                <w:tab w:val="left" w:pos="5124"/>
              </w:tabs>
              <w:spacing w:before="0" w:after="0" w:afterLines="0"/>
              <w:ind w:firstLine="0" w:firstLineChars="0"/>
              <w:jc w:val="center"/>
              <w:rPr>
                <w:rFonts w:ascii="Times New Roman" w:hAnsi="Times New Roman"/>
                <w:color w:val="auto"/>
                <w:kern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83"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138"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在线监测设备废液</w:t>
            </w:r>
          </w:p>
        </w:tc>
        <w:tc>
          <w:tcPr>
            <w:tcW w:w="90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rPr>
              <w:t>t/a</w:t>
            </w:r>
          </w:p>
        </w:tc>
        <w:tc>
          <w:tcPr>
            <w:tcW w:w="1163" w:type="dxa"/>
            <w:vAlign w:val="center"/>
          </w:tcPr>
          <w:p>
            <w:pPr>
              <w:pStyle w:val="108"/>
              <w:tabs>
                <w:tab w:val="decimal" w:pos="2182"/>
                <w:tab w:val="left" w:pos="3393"/>
                <w:tab w:val="left" w:pos="5124"/>
              </w:tabs>
              <w:spacing w:before="0" w:after="0" w:afterLines="0"/>
              <w:ind w:firstLine="0" w:firstLineChars="0"/>
              <w:jc w:val="center"/>
              <w:rPr>
                <w:rFonts w:ascii="Times New Roman" w:hAnsi="Times New Roman" w:eastAsia="宋体" w:cs="Times New Roman"/>
                <w:bCs w:val="0"/>
                <w:color w:val="auto"/>
                <w:kern w:val="21"/>
                <w:sz w:val="21"/>
                <w:szCs w:val="21"/>
                <w:lang w:val="en-US" w:eastAsia="zh-CN" w:bidi="ar-SA"/>
              </w:rPr>
            </w:pPr>
            <w:r>
              <w:rPr>
                <w:rFonts w:ascii="Times New Roman" w:hAnsi="Times New Roman"/>
                <w:color w:val="auto"/>
                <w:kern w:val="21"/>
                <w:szCs w:val="21"/>
                <w:lang w:val="en-US"/>
              </w:rPr>
              <w:t>0.1</w:t>
            </w:r>
          </w:p>
        </w:tc>
        <w:tc>
          <w:tcPr>
            <w:tcW w:w="124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rPr>
              <w:t>/</w:t>
            </w:r>
          </w:p>
        </w:tc>
        <w:tc>
          <w:tcPr>
            <w:tcW w:w="1438"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rPr>
              <w:t>0</w:t>
            </w:r>
          </w:p>
        </w:tc>
        <w:tc>
          <w:tcPr>
            <w:tcW w:w="2310" w:type="dxa"/>
            <w:vMerge w:val="continue"/>
            <w:vAlign w:val="center"/>
          </w:tcPr>
          <w:p>
            <w:pPr>
              <w:pStyle w:val="108"/>
              <w:tabs>
                <w:tab w:val="decimal" w:pos="2182"/>
                <w:tab w:val="left" w:pos="3393"/>
                <w:tab w:val="left" w:pos="5124"/>
              </w:tabs>
              <w:spacing w:before="0" w:after="0" w:afterLines="0"/>
              <w:ind w:firstLine="0" w:firstLineChars="0"/>
              <w:jc w:val="center"/>
              <w:rPr>
                <w:rFonts w:hint="eastAsia" w:ascii="Times New Roman" w:hAnsi="Times New Roman" w:eastAsia="宋体" w:cs="Times New Roman"/>
                <w:bCs w:val="0"/>
                <w:color w:val="auto"/>
                <w:kern w:val="21"/>
                <w:sz w:val="21"/>
                <w:szCs w:val="21"/>
                <w:lang w:val="en-US" w:eastAsia="zh-CN" w:bidi="ar-SA"/>
              </w:rPr>
            </w:pPr>
          </w:p>
        </w:tc>
      </w:tr>
    </w:tbl>
    <w:p>
      <w:pPr>
        <w:keepNext w:val="0"/>
        <w:keepLines w:val="0"/>
        <w:pageBreakBefore w:val="0"/>
        <w:widowControl/>
        <w:kinsoku/>
        <w:wordWrap/>
        <w:overflowPunct/>
        <w:topLinePunct w:val="0"/>
        <w:autoSpaceDE/>
        <w:autoSpaceDN/>
        <w:bidi w:val="0"/>
        <w:adjustRightInd/>
        <w:snapToGrid/>
        <w:spacing w:before="0" w:beforeLines="50"/>
        <w:ind w:firstLine="480"/>
        <w:jc w:val="left"/>
        <w:textAlignment w:val="auto"/>
        <w:rPr>
          <w:color w:val="auto"/>
          <w:kern w:val="21"/>
          <w:lang w:bidi="ar"/>
        </w:rPr>
      </w:pPr>
      <w:r>
        <w:rPr>
          <w:color w:val="auto"/>
          <w:kern w:val="21"/>
          <w:lang w:bidi="ar"/>
        </w:rPr>
        <w:t>2、非正常状况</w:t>
      </w:r>
    </w:p>
    <w:p>
      <w:pPr>
        <w:pStyle w:val="23"/>
        <w:spacing w:after="0" w:line="360" w:lineRule="auto"/>
        <w:ind w:left="0" w:leftChars="0" w:firstLine="480"/>
        <w:rPr>
          <w:rFonts w:hint="eastAsia" w:eastAsia="宋体"/>
          <w:color w:val="auto"/>
          <w:kern w:val="21"/>
          <w:lang w:eastAsia="zh-CN"/>
        </w:rPr>
      </w:pPr>
      <w:r>
        <w:rPr>
          <w:rFonts w:hint="eastAsia"/>
          <w:color w:val="auto"/>
          <w:kern w:val="21"/>
          <w:lang w:eastAsia="zh-CN"/>
        </w:rPr>
        <w:t>（</w:t>
      </w:r>
      <w:r>
        <w:rPr>
          <w:rFonts w:hint="eastAsia"/>
          <w:color w:val="auto"/>
          <w:kern w:val="21"/>
          <w:lang w:val="en-US" w:eastAsia="zh-CN"/>
        </w:rPr>
        <w:t>1</w:t>
      </w:r>
      <w:r>
        <w:rPr>
          <w:rFonts w:hint="eastAsia"/>
          <w:color w:val="auto"/>
          <w:kern w:val="21"/>
          <w:lang w:eastAsia="zh-CN"/>
        </w:rPr>
        <w:t>）废气</w:t>
      </w:r>
    </w:p>
    <w:p>
      <w:pPr>
        <w:pStyle w:val="211"/>
        <w:ind w:firstLine="480"/>
        <w:rPr>
          <w:color w:val="auto"/>
          <w:szCs w:val="24"/>
        </w:rPr>
      </w:pPr>
      <w:r>
        <w:rPr>
          <w:rFonts w:hint="eastAsia"/>
          <w:color w:val="auto"/>
          <w:szCs w:val="24"/>
        </w:rPr>
        <w:t>项目废气治理设施</w:t>
      </w:r>
      <w:r>
        <w:rPr>
          <w:rFonts w:hint="eastAsia"/>
          <w:color w:val="auto"/>
          <w:szCs w:val="24"/>
          <w:lang w:eastAsia="zh-CN"/>
        </w:rPr>
        <w:t>为活性炭吸附塔，非正常排放情况主要为活性炭长时间未更换导致处理能力下降，本项目设置情景为活性炭治理效率下降至</w:t>
      </w:r>
      <w:r>
        <w:rPr>
          <w:rFonts w:hint="eastAsia"/>
          <w:color w:val="auto"/>
          <w:szCs w:val="24"/>
          <w:lang w:val="en-US" w:eastAsia="zh-CN"/>
        </w:rPr>
        <w:t>0，废气未经治理全部排放</w:t>
      </w:r>
      <w:r>
        <w:rPr>
          <w:rFonts w:hint="eastAsia"/>
          <w:color w:val="auto"/>
          <w:szCs w:val="24"/>
        </w:rPr>
        <w:t>。</w:t>
      </w:r>
    </w:p>
    <w:p>
      <w:pPr>
        <w:pStyle w:val="23"/>
        <w:spacing w:after="0" w:line="360" w:lineRule="auto"/>
        <w:ind w:left="0" w:leftChars="0" w:firstLine="480"/>
        <w:rPr>
          <w:rFonts w:hint="eastAsia" w:eastAsia="宋体"/>
          <w:color w:val="auto"/>
          <w:kern w:val="21"/>
          <w:lang w:eastAsia="zh-CN"/>
        </w:rPr>
      </w:pPr>
      <w:r>
        <w:rPr>
          <w:rFonts w:hint="eastAsia"/>
          <w:color w:val="auto"/>
          <w:kern w:val="21"/>
          <w:lang w:eastAsia="zh-CN"/>
        </w:rPr>
        <w:t>（</w:t>
      </w:r>
      <w:r>
        <w:rPr>
          <w:rFonts w:hint="eastAsia"/>
          <w:color w:val="auto"/>
          <w:kern w:val="21"/>
          <w:lang w:val="en-US" w:eastAsia="zh-CN"/>
        </w:rPr>
        <w:t>2</w:t>
      </w:r>
      <w:r>
        <w:rPr>
          <w:rFonts w:hint="eastAsia"/>
          <w:color w:val="auto"/>
          <w:kern w:val="21"/>
          <w:lang w:eastAsia="zh-CN"/>
        </w:rPr>
        <w:t>）废水</w:t>
      </w:r>
    </w:p>
    <w:p>
      <w:pPr>
        <w:pStyle w:val="23"/>
        <w:spacing w:after="0" w:line="360" w:lineRule="auto"/>
        <w:ind w:left="0" w:leftChars="0" w:firstLine="480"/>
        <w:rPr>
          <w:color w:val="auto"/>
          <w:kern w:val="21"/>
        </w:rPr>
      </w:pPr>
      <w:r>
        <w:rPr>
          <w:color w:val="auto"/>
          <w:kern w:val="21"/>
        </w:rPr>
        <w:t>项目废水非正常状况主要考虑污水处理厂设备出现故障、停电等情况，废水未经处理直接排入青龙河，</w:t>
      </w:r>
      <w:r>
        <w:rPr>
          <w:rFonts w:hint="eastAsia"/>
          <w:color w:val="auto"/>
          <w:kern w:val="21"/>
        </w:rPr>
        <w:t>按一年最大可能出现的非正常状况累计时间4</w:t>
      </w:r>
      <w:r>
        <w:rPr>
          <w:color w:val="auto"/>
          <w:kern w:val="21"/>
        </w:rPr>
        <w:t>8</w:t>
      </w:r>
      <w:r>
        <w:rPr>
          <w:rFonts w:hint="eastAsia"/>
          <w:color w:val="auto"/>
          <w:kern w:val="21"/>
        </w:rPr>
        <w:t>小时（</w:t>
      </w:r>
      <w:r>
        <w:rPr>
          <w:color w:val="auto"/>
          <w:kern w:val="21"/>
        </w:rPr>
        <w:t>2d</w:t>
      </w:r>
      <w:r>
        <w:rPr>
          <w:rFonts w:hint="eastAsia"/>
          <w:color w:val="auto"/>
          <w:kern w:val="21"/>
        </w:rPr>
        <w:t>）计算的</w:t>
      </w:r>
      <w:r>
        <w:rPr>
          <w:color w:val="auto"/>
          <w:kern w:val="21"/>
          <w:lang w:bidi="ar"/>
        </w:rPr>
        <w:t>非正常状况下水污染物产生、排放情况的见</w:t>
      </w:r>
      <w:r>
        <w:rPr>
          <w:rFonts w:hint="eastAsia"/>
          <w:color w:val="auto"/>
          <w:kern w:val="21"/>
          <w:lang w:eastAsia="zh-CN" w:bidi="ar"/>
        </w:rPr>
        <w:t>下表</w:t>
      </w:r>
      <w:r>
        <w:rPr>
          <w:color w:val="auto"/>
          <w:kern w:val="21"/>
          <w:lang w:bidi="ar"/>
        </w:rPr>
        <w:t>。</w:t>
      </w:r>
    </w:p>
    <w:p>
      <w:pPr>
        <w:pStyle w:val="23"/>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jc w:val="center"/>
        <w:textAlignment w:val="auto"/>
        <w:rPr>
          <w:b/>
          <w:bCs/>
          <w:color w:val="auto"/>
          <w:kern w:val="21"/>
        </w:rPr>
      </w:pPr>
      <w:r>
        <w:rPr>
          <w:b/>
          <w:bCs/>
          <w:color w:val="auto"/>
          <w:kern w:val="21"/>
          <w:lang w:bidi="ar"/>
        </w:rPr>
        <w:t>项目运营期非正常状况污染物产排表</w:t>
      </w:r>
    </w:p>
    <w:tbl>
      <w:tblPr>
        <w:tblStyle w:val="51"/>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077"/>
        <w:gridCol w:w="1830"/>
        <w:gridCol w:w="1200"/>
        <w:gridCol w:w="185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gridSpan w:val="2"/>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污染物</w:t>
            </w:r>
          </w:p>
        </w:tc>
        <w:tc>
          <w:tcPr>
            <w:tcW w:w="183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产生浓度（mg/L）</w:t>
            </w:r>
          </w:p>
        </w:tc>
        <w:tc>
          <w:tcPr>
            <w:tcW w:w="1200"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产生量t/a</w:t>
            </w:r>
          </w:p>
        </w:tc>
        <w:tc>
          <w:tcPr>
            <w:tcW w:w="1855"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排放浓度（mg/L）</w:t>
            </w:r>
          </w:p>
        </w:tc>
        <w:tc>
          <w:tcPr>
            <w:tcW w:w="1235"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1" w:type="dxa"/>
            <w:vMerge w:val="restart"/>
            <w:vAlign w:val="center"/>
          </w:tcPr>
          <w:p>
            <w:pPr>
              <w:pStyle w:val="23"/>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废气</w:t>
            </w:r>
          </w:p>
        </w:tc>
        <w:tc>
          <w:tcPr>
            <w:tcW w:w="1077"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NH</w:t>
            </w:r>
            <w:r>
              <w:rPr>
                <w:rFonts w:hint="eastAsia"/>
                <w:color w:val="auto"/>
                <w:kern w:val="21"/>
                <w:sz w:val="21"/>
                <w:szCs w:val="21"/>
                <w:vertAlign w:val="subscript"/>
                <w:lang w:val="en-US" w:eastAsia="zh-CN"/>
              </w:rPr>
              <w:t>3</w:t>
            </w:r>
          </w:p>
        </w:tc>
        <w:tc>
          <w:tcPr>
            <w:tcW w:w="1830" w:type="dxa"/>
            <w:vAlign w:val="bottom"/>
          </w:tcPr>
          <w:p>
            <w:pPr>
              <w:pStyle w:val="23"/>
              <w:spacing w:after="0" w:line="240" w:lineRule="auto"/>
              <w:ind w:left="0" w:leftChars="0" w:firstLine="0" w:firstLineChars="0"/>
              <w:jc w:val="center"/>
              <w:rPr>
                <w:rFonts w:hint="default"/>
                <w:color w:val="auto"/>
                <w:kern w:val="21"/>
                <w:sz w:val="21"/>
                <w:szCs w:val="21"/>
                <w:lang w:val="en-US" w:eastAsia="zh-CN"/>
              </w:rPr>
            </w:pPr>
            <w:r>
              <w:rPr>
                <w:rFonts w:hint="eastAsia"/>
                <w:color w:val="auto"/>
                <w:kern w:val="21"/>
                <w:sz w:val="21"/>
                <w:szCs w:val="21"/>
                <w:lang w:val="en-US" w:eastAsia="zh-CN"/>
              </w:rPr>
              <w:t>0.1611kg/h</w:t>
            </w:r>
          </w:p>
        </w:tc>
        <w:tc>
          <w:tcPr>
            <w:tcW w:w="1200"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1.411</w:t>
            </w:r>
          </w:p>
        </w:tc>
        <w:tc>
          <w:tcPr>
            <w:tcW w:w="1855" w:type="dxa"/>
            <w:vAlign w:val="bottom"/>
          </w:tcPr>
          <w:p>
            <w:pPr>
              <w:pStyle w:val="23"/>
              <w:spacing w:after="0" w:line="240" w:lineRule="auto"/>
              <w:ind w:left="0" w:leftChars="0"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olor w:val="auto"/>
                <w:kern w:val="21"/>
                <w:sz w:val="21"/>
                <w:szCs w:val="21"/>
                <w:lang w:val="en-US" w:eastAsia="zh-CN"/>
              </w:rPr>
              <w:t>0.1611kg/h</w:t>
            </w:r>
          </w:p>
        </w:tc>
        <w:tc>
          <w:tcPr>
            <w:tcW w:w="1235"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lang w:val="en-US" w:eastAsia="zh-CN"/>
              </w:rPr>
              <w:t>1.411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1" w:type="dxa"/>
            <w:vMerge w:val="continue"/>
            <w:vAlign w:val="center"/>
          </w:tcPr>
          <w:p>
            <w:pPr>
              <w:pStyle w:val="23"/>
              <w:spacing w:after="0" w:line="240" w:lineRule="auto"/>
              <w:ind w:left="0" w:leftChars="0" w:firstLine="0" w:firstLineChars="0"/>
              <w:jc w:val="center"/>
              <w:rPr>
                <w:rFonts w:hint="eastAsia"/>
                <w:color w:val="auto"/>
                <w:kern w:val="21"/>
                <w:sz w:val="21"/>
                <w:szCs w:val="21"/>
                <w:lang w:eastAsia="zh-CN"/>
              </w:rPr>
            </w:pPr>
          </w:p>
        </w:tc>
        <w:tc>
          <w:tcPr>
            <w:tcW w:w="1077"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H</w:t>
            </w:r>
            <w:r>
              <w:rPr>
                <w:rFonts w:hint="eastAsia"/>
                <w:color w:val="auto"/>
                <w:kern w:val="21"/>
                <w:sz w:val="21"/>
                <w:szCs w:val="21"/>
                <w:vertAlign w:val="subscript"/>
                <w:lang w:val="en-US" w:eastAsia="zh-CN"/>
              </w:rPr>
              <w:t>2</w:t>
            </w:r>
            <w:r>
              <w:rPr>
                <w:rFonts w:hint="eastAsia"/>
                <w:color w:val="auto"/>
                <w:kern w:val="21"/>
                <w:sz w:val="21"/>
                <w:szCs w:val="21"/>
                <w:lang w:val="en-US" w:eastAsia="zh-CN"/>
              </w:rPr>
              <w:t>S</w:t>
            </w:r>
          </w:p>
        </w:tc>
        <w:tc>
          <w:tcPr>
            <w:tcW w:w="1830" w:type="dxa"/>
            <w:vAlign w:val="bottom"/>
          </w:tcPr>
          <w:p>
            <w:pPr>
              <w:pStyle w:val="23"/>
              <w:spacing w:after="0" w:line="240" w:lineRule="auto"/>
              <w:ind w:left="0" w:leftChars="0" w:firstLine="0" w:firstLineChars="0"/>
              <w:jc w:val="center"/>
              <w:rPr>
                <w:rFonts w:hint="eastAsia"/>
                <w:color w:val="auto"/>
                <w:kern w:val="21"/>
                <w:sz w:val="21"/>
                <w:szCs w:val="21"/>
                <w:lang w:val="en-US" w:eastAsia="zh-CN"/>
              </w:rPr>
            </w:pPr>
            <w:r>
              <w:rPr>
                <w:rFonts w:hint="eastAsia"/>
                <w:color w:val="auto"/>
                <w:kern w:val="21"/>
                <w:sz w:val="21"/>
                <w:szCs w:val="21"/>
                <w:lang w:val="en-US" w:eastAsia="zh-CN"/>
              </w:rPr>
              <w:t>0.0003kg/h</w:t>
            </w:r>
          </w:p>
        </w:tc>
        <w:tc>
          <w:tcPr>
            <w:tcW w:w="1200"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0.003</w:t>
            </w:r>
          </w:p>
        </w:tc>
        <w:tc>
          <w:tcPr>
            <w:tcW w:w="1855" w:type="dxa"/>
            <w:vAlign w:val="bottom"/>
          </w:tcPr>
          <w:p>
            <w:pPr>
              <w:pStyle w:val="23"/>
              <w:spacing w:after="0" w:line="240" w:lineRule="auto"/>
              <w:ind w:left="0" w:leftChars="0" w:firstLine="0" w:firstLineChars="0"/>
              <w:jc w:val="center"/>
              <w:rPr>
                <w:rFonts w:hint="eastAsia" w:ascii="Times New Roman" w:hAnsi="Times New Roman" w:eastAsia="宋体" w:cs="Times New Roman"/>
                <w:color w:val="auto"/>
                <w:kern w:val="21"/>
                <w:sz w:val="21"/>
                <w:szCs w:val="21"/>
                <w:lang w:val="en-US" w:eastAsia="zh-CN" w:bidi="ar-SA"/>
              </w:rPr>
            </w:pPr>
            <w:r>
              <w:rPr>
                <w:rFonts w:hint="eastAsia"/>
                <w:color w:val="auto"/>
                <w:kern w:val="21"/>
                <w:sz w:val="21"/>
                <w:szCs w:val="21"/>
                <w:lang w:val="en-US" w:eastAsia="zh-CN"/>
              </w:rPr>
              <w:t>0.0003kg/h</w:t>
            </w:r>
          </w:p>
        </w:tc>
        <w:tc>
          <w:tcPr>
            <w:tcW w:w="1235"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1"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废水</w:t>
            </w:r>
          </w:p>
        </w:tc>
        <w:tc>
          <w:tcPr>
            <w:tcW w:w="1077"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废水量</w:t>
            </w:r>
          </w:p>
        </w:tc>
        <w:tc>
          <w:tcPr>
            <w:tcW w:w="3030" w:type="dxa"/>
            <w:gridSpan w:val="2"/>
            <w:vAlign w:val="center"/>
          </w:tcPr>
          <w:p>
            <w:pPr>
              <w:pStyle w:val="23"/>
              <w:spacing w:after="0" w:line="240" w:lineRule="auto"/>
              <w:ind w:left="0" w:leftChars="0" w:firstLine="0" w:firstLineChars="0"/>
              <w:jc w:val="center"/>
              <w:rPr>
                <w:rFonts w:hint="default" w:eastAsia="宋体"/>
                <w:color w:val="auto"/>
                <w:kern w:val="21"/>
                <w:sz w:val="21"/>
                <w:szCs w:val="21"/>
                <w:vertAlign w:val="superscript"/>
                <w:lang w:val="en-US" w:eastAsia="zh-CN"/>
              </w:rPr>
            </w:pPr>
            <w:r>
              <w:rPr>
                <w:color w:val="auto"/>
                <w:kern w:val="21"/>
                <w:sz w:val="21"/>
                <w:szCs w:val="21"/>
              </w:rPr>
              <w:t>10000</w:t>
            </w:r>
            <w:r>
              <w:rPr>
                <w:rFonts w:hint="eastAsia"/>
                <w:color w:val="auto"/>
                <w:kern w:val="21"/>
                <w:sz w:val="21"/>
                <w:szCs w:val="21"/>
                <w:lang w:val="en-US" w:eastAsia="zh-CN"/>
              </w:rPr>
              <w:t>m</w:t>
            </w:r>
            <w:r>
              <w:rPr>
                <w:rFonts w:hint="eastAsia"/>
                <w:color w:val="auto"/>
                <w:kern w:val="21"/>
                <w:sz w:val="21"/>
                <w:szCs w:val="21"/>
                <w:vertAlign w:val="superscript"/>
                <w:lang w:val="en-US" w:eastAsia="zh-CN"/>
              </w:rPr>
              <w:t>3</w:t>
            </w:r>
          </w:p>
        </w:tc>
        <w:tc>
          <w:tcPr>
            <w:tcW w:w="3090" w:type="dxa"/>
            <w:gridSpan w:val="2"/>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10000</w:t>
            </w:r>
            <w:r>
              <w:rPr>
                <w:rFonts w:hint="eastAsia"/>
                <w:color w:val="auto"/>
                <w:kern w:val="21"/>
                <w:sz w:val="21"/>
                <w:szCs w:val="21"/>
                <w:lang w:val="en-US" w:eastAsia="zh-CN"/>
              </w:rPr>
              <w:t>m</w:t>
            </w:r>
            <w:r>
              <w:rPr>
                <w:rFonts w:hint="eastAsia"/>
                <w:color w:val="auto"/>
                <w:kern w:val="21"/>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1"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077"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COD</w:t>
            </w:r>
            <w:r>
              <w:rPr>
                <w:color w:val="auto"/>
                <w:kern w:val="21"/>
                <w:sz w:val="21"/>
                <w:szCs w:val="21"/>
                <w:vertAlign w:val="subscript"/>
                <w:lang w:bidi="ar"/>
              </w:rPr>
              <w:t>Cr</w:t>
            </w:r>
          </w:p>
        </w:tc>
        <w:tc>
          <w:tcPr>
            <w:tcW w:w="1830" w:type="dxa"/>
            <w:vAlign w:val="center"/>
          </w:tcPr>
          <w:p>
            <w:pPr>
              <w:spacing w:line="240" w:lineRule="auto"/>
              <w:ind w:firstLine="0" w:firstLineChars="0"/>
              <w:jc w:val="center"/>
              <w:rPr>
                <w:color w:val="auto"/>
                <w:kern w:val="21"/>
                <w:sz w:val="21"/>
                <w:szCs w:val="21"/>
              </w:rPr>
            </w:pPr>
            <w:r>
              <w:rPr>
                <w:rFonts w:hint="eastAsia" w:cs="Times New Roman"/>
                <w:color w:val="auto"/>
                <w:kern w:val="21"/>
                <w:sz w:val="21"/>
                <w:szCs w:val="21"/>
                <w:lang w:val="en-US" w:eastAsia="zh-CN" w:bidi="ar-SA"/>
              </w:rPr>
              <w:t>400.61</w:t>
            </w:r>
          </w:p>
        </w:tc>
        <w:tc>
          <w:tcPr>
            <w:tcW w:w="1200" w:type="dxa"/>
            <w:vAlign w:val="center"/>
          </w:tcPr>
          <w:p>
            <w:pPr>
              <w:spacing w:line="240" w:lineRule="auto"/>
              <w:ind w:firstLine="0" w:firstLineChars="0"/>
              <w:jc w:val="center"/>
              <w:rPr>
                <w:color w:val="auto"/>
                <w:kern w:val="21"/>
                <w:sz w:val="21"/>
                <w:szCs w:val="21"/>
                <w:lang w:bidi="ar"/>
              </w:rPr>
            </w:pPr>
            <w:r>
              <w:rPr>
                <w:rFonts w:hint="default" w:cs="Times New Roman"/>
                <w:color w:val="auto"/>
                <w:kern w:val="21"/>
                <w:sz w:val="21"/>
                <w:szCs w:val="21"/>
                <w:lang w:val="en-US" w:eastAsia="zh-CN" w:bidi="ar-SA"/>
              </w:rPr>
              <w:t xml:space="preserve">4.01 </w:t>
            </w:r>
          </w:p>
        </w:tc>
        <w:tc>
          <w:tcPr>
            <w:tcW w:w="1855" w:type="dxa"/>
            <w:vAlign w:val="center"/>
          </w:tcPr>
          <w:p>
            <w:pPr>
              <w:spacing w:line="240" w:lineRule="auto"/>
              <w:ind w:firstLine="0" w:firstLineChars="0"/>
              <w:jc w:val="center"/>
              <w:rPr>
                <w:color w:val="auto"/>
                <w:kern w:val="21"/>
                <w:sz w:val="21"/>
                <w:szCs w:val="21"/>
              </w:rPr>
            </w:pPr>
            <w:r>
              <w:rPr>
                <w:rFonts w:hint="eastAsia" w:cs="Times New Roman"/>
                <w:color w:val="auto"/>
                <w:kern w:val="21"/>
                <w:sz w:val="21"/>
                <w:szCs w:val="21"/>
                <w:lang w:val="en-US" w:eastAsia="zh-CN" w:bidi="ar-SA"/>
              </w:rPr>
              <w:t>400.61</w:t>
            </w:r>
          </w:p>
        </w:tc>
        <w:tc>
          <w:tcPr>
            <w:tcW w:w="1235" w:type="dxa"/>
            <w:vAlign w:val="center"/>
          </w:tcPr>
          <w:p>
            <w:pPr>
              <w:spacing w:line="240" w:lineRule="auto"/>
              <w:ind w:firstLine="0" w:firstLineChars="0"/>
              <w:jc w:val="center"/>
              <w:rPr>
                <w:color w:val="auto"/>
                <w:kern w:val="21"/>
                <w:sz w:val="21"/>
                <w:szCs w:val="21"/>
                <w:lang w:bidi="ar"/>
              </w:rPr>
            </w:pPr>
            <w:r>
              <w:rPr>
                <w:rFonts w:hint="default" w:cs="Times New Roman"/>
                <w:color w:val="auto"/>
                <w:kern w:val="21"/>
                <w:sz w:val="21"/>
                <w:szCs w:val="21"/>
                <w:lang w:val="en-US" w:eastAsia="zh-CN" w:bidi="ar-SA"/>
              </w:rPr>
              <w:t xml:space="preserve">4.01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1"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077"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BOD</w:t>
            </w:r>
            <w:r>
              <w:rPr>
                <w:color w:val="auto"/>
                <w:kern w:val="21"/>
                <w:sz w:val="21"/>
                <w:szCs w:val="21"/>
                <w:vertAlign w:val="subscript"/>
                <w:lang w:bidi="ar"/>
              </w:rPr>
              <w:t>5</w:t>
            </w:r>
          </w:p>
        </w:tc>
        <w:tc>
          <w:tcPr>
            <w:tcW w:w="1830" w:type="dxa"/>
            <w:vAlign w:val="center"/>
          </w:tcPr>
          <w:p>
            <w:pPr>
              <w:spacing w:line="240" w:lineRule="auto"/>
              <w:ind w:firstLine="0" w:firstLineChars="0"/>
              <w:jc w:val="center"/>
              <w:rPr>
                <w:color w:val="auto"/>
                <w:kern w:val="21"/>
                <w:sz w:val="21"/>
                <w:szCs w:val="21"/>
                <w:lang w:bidi="ar"/>
              </w:rPr>
            </w:pPr>
            <w:r>
              <w:rPr>
                <w:rFonts w:hint="eastAsia" w:cs="Times New Roman"/>
                <w:color w:val="auto"/>
                <w:kern w:val="21"/>
                <w:sz w:val="21"/>
                <w:szCs w:val="21"/>
                <w:lang w:val="en-US" w:eastAsia="zh-CN" w:bidi="ar"/>
              </w:rPr>
              <w:t>314.20</w:t>
            </w:r>
          </w:p>
        </w:tc>
        <w:tc>
          <w:tcPr>
            <w:tcW w:w="1200"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3.14 </w:t>
            </w:r>
          </w:p>
        </w:tc>
        <w:tc>
          <w:tcPr>
            <w:tcW w:w="1855" w:type="dxa"/>
            <w:vAlign w:val="center"/>
          </w:tcPr>
          <w:p>
            <w:pPr>
              <w:spacing w:line="240" w:lineRule="auto"/>
              <w:ind w:firstLine="0" w:firstLineChars="0"/>
              <w:jc w:val="center"/>
              <w:rPr>
                <w:color w:val="auto"/>
                <w:kern w:val="21"/>
                <w:sz w:val="21"/>
                <w:szCs w:val="21"/>
                <w:lang w:bidi="ar"/>
              </w:rPr>
            </w:pPr>
            <w:r>
              <w:rPr>
                <w:rFonts w:hint="eastAsia" w:cs="Times New Roman"/>
                <w:color w:val="auto"/>
                <w:kern w:val="21"/>
                <w:sz w:val="21"/>
                <w:szCs w:val="21"/>
                <w:lang w:val="en-US" w:eastAsia="zh-CN" w:bidi="ar"/>
              </w:rPr>
              <w:t>314.20</w:t>
            </w:r>
          </w:p>
        </w:tc>
        <w:tc>
          <w:tcPr>
            <w:tcW w:w="1235"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3.14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1"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077"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NH</w:t>
            </w:r>
            <w:r>
              <w:rPr>
                <w:color w:val="auto"/>
                <w:kern w:val="21"/>
                <w:sz w:val="21"/>
                <w:szCs w:val="21"/>
                <w:vertAlign w:val="subscript"/>
                <w:lang w:bidi="ar"/>
              </w:rPr>
              <w:t>3</w:t>
            </w:r>
            <w:r>
              <w:rPr>
                <w:color w:val="auto"/>
                <w:kern w:val="21"/>
                <w:sz w:val="21"/>
                <w:szCs w:val="21"/>
                <w:lang w:bidi="ar"/>
              </w:rPr>
              <w:t>-N</w:t>
            </w:r>
          </w:p>
        </w:tc>
        <w:tc>
          <w:tcPr>
            <w:tcW w:w="1830"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val="en-US" w:eastAsia="zh-CN"/>
              </w:rPr>
              <w:t>40.74</w:t>
            </w:r>
          </w:p>
        </w:tc>
        <w:tc>
          <w:tcPr>
            <w:tcW w:w="1200"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0.41 </w:t>
            </w:r>
          </w:p>
        </w:tc>
        <w:tc>
          <w:tcPr>
            <w:tcW w:w="1855"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val="en-US" w:eastAsia="zh-CN"/>
              </w:rPr>
              <w:t>40.74</w:t>
            </w:r>
          </w:p>
        </w:tc>
        <w:tc>
          <w:tcPr>
            <w:tcW w:w="1235"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1"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077"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lang w:bidi="ar"/>
              </w:rPr>
              <w:t>TP</w:t>
            </w:r>
          </w:p>
        </w:tc>
        <w:tc>
          <w:tcPr>
            <w:tcW w:w="1830"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val="en-US" w:eastAsia="zh-CN"/>
              </w:rPr>
              <w:t>6.30</w:t>
            </w:r>
          </w:p>
        </w:tc>
        <w:tc>
          <w:tcPr>
            <w:tcW w:w="1200"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0.06 </w:t>
            </w:r>
          </w:p>
        </w:tc>
        <w:tc>
          <w:tcPr>
            <w:tcW w:w="1855"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val="en-US" w:eastAsia="zh-CN"/>
              </w:rPr>
              <w:t>6.30</w:t>
            </w:r>
          </w:p>
        </w:tc>
        <w:tc>
          <w:tcPr>
            <w:tcW w:w="1235"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1"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077"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lang w:val="en-US" w:eastAsia="zh-CN" w:bidi="ar"/>
              </w:rPr>
              <w:t>TN</w:t>
            </w:r>
          </w:p>
        </w:tc>
        <w:tc>
          <w:tcPr>
            <w:tcW w:w="1830"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val="en-US" w:eastAsia="zh-CN"/>
              </w:rPr>
              <w:t>61.48</w:t>
            </w:r>
          </w:p>
        </w:tc>
        <w:tc>
          <w:tcPr>
            <w:tcW w:w="1200"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0.61 </w:t>
            </w:r>
          </w:p>
        </w:tc>
        <w:tc>
          <w:tcPr>
            <w:tcW w:w="1855"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val="en-US" w:eastAsia="zh-CN"/>
              </w:rPr>
              <w:t>61.48</w:t>
            </w:r>
          </w:p>
        </w:tc>
        <w:tc>
          <w:tcPr>
            <w:tcW w:w="1235"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0.61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1"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077"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SS</w:t>
            </w:r>
          </w:p>
        </w:tc>
        <w:tc>
          <w:tcPr>
            <w:tcW w:w="1830"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val="en-US" w:eastAsia="zh-CN"/>
              </w:rPr>
              <w:t>326.17</w:t>
            </w:r>
          </w:p>
        </w:tc>
        <w:tc>
          <w:tcPr>
            <w:tcW w:w="1200"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3.26 </w:t>
            </w:r>
          </w:p>
        </w:tc>
        <w:tc>
          <w:tcPr>
            <w:tcW w:w="1855" w:type="dxa"/>
            <w:vAlign w:val="center"/>
          </w:tcPr>
          <w:p>
            <w:pPr>
              <w:spacing w:line="240" w:lineRule="auto"/>
              <w:ind w:firstLine="0" w:firstLineChars="0"/>
              <w:jc w:val="center"/>
              <w:rPr>
                <w:color w:val="auto"/>
                <w:kern w:val="21"/>
                <w:sz w:val="21"/>
                <w:szCs w:val="21"/>
                <w:lang w:bidi="ar"/>
              </w:rPr>
            </w:pPr>
            <w:r>
              <w:rPr>
                <w:rFonts w:hint="eastAsia"/>
                <w:color w:val="auto"/>
                <w:kern w:val="21"/>
                <w:sz w:val="21"/>
                <w:szCs w:val="21"/>
                <w:lang w:val="en-US" w:eastAsia="zh-CN"/>
              </w:rPr>
              <w:t>326.17</w:t>
            </w:r>
          </w:p>
        </w:tc>
        <w:tc>
          <w:tcPr>
            <w:tcW w:w="1235" w:type="dxa"/>
            <w:vAlign w:val="center"/>
          </w:tcPr>
          <w:p>
            <w:pPr>
              <w:spacing w:line="240" w:lineRule="auto"/>
              <w:ind w:firstLine="0" w:firstLineChars="0"/>
              <w:jc w:val="center"/>
              <w:rPr>
                <w:color w:val="auto"/>
                <w:kern w:val="21"/>
                <w:sz w:val="21"/>
                <w:szCs w:val="21"/>
              </w:rPr>
            </w:pPr>
            <w:r>
              <w:rPr>
                <w:rFonts w:hint="default" w:cs="Times New Roman"/>
                <w:color w:val="auto"/>
                <w:kern w:val="21"/>
                <w:sz w:val="21"/>
                <w:szCs w:val="21"/>
                <w:lang w:val="en-US" w:eastAsia="zh-CN" w:bidi="ar-SA"/>
              </w:rPr>
              <w:t xml:space="preserve">3.26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1" w:type="dxa"/>
            <w:vMerge w:val="continue"/>
            <w:vAlign w:val="center"/>
          </w:tcPr>
          <w:p>
            <w:pPr>
              <w:pStyle w:val="23"/>
              <w:spacing w:after="0" w:line="240" w:lineRule="auto"/>
              <w:ind w:left="0" w:leftChars="0" w:firstLine="0" w:firstLineChars="0"/>
              <w:jc w:val="center"/>
              <w:rPr>
                <w:color w:val="auto"/>
                <w:kern w:val="21"/>
                <w:sz w:val="21"/>
                <w:szCs w:val="21"/>
              </w:rPr>
            </w:pPr>
          </w:p>
        </w:tc>
        <w:tc>
          <w:tcPr>
            <w:tcW w:w="1077" w:type="dxa"/>
            <w:vAlign w:val="center"/>
          </w:tcPr>
          <w:p>
            <w:pPr>
              <w:pStyle w:val="23"/>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bidi="ar"/>
              </w:rPr>
              <w:t>氟化物</w:t>
            </w:r>
          </w:p>
        </w:tc>
        <w:tc>
          <w:tcPr>
            <w:tcW w:w="1830"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val="en-US" w:eastAsia="zh-CN"/>
              </w:rPr>
              <w:t>16.35</w:t>
            </w:r>
          </w:p>
        </w:tc>
        <w:tc>
          <w:tcPr>
            <w:tcW w:w="1200" w:type="dxa"/>
            <w:vAlign w:val="center"/>
          </w:tcPr>
          <w:p>
            <w:pPr>
              <w:spacing w:line="240" w:lineRule="auto"/>
              <w:ind w:firstLine="0" w:firstLineChars="0"/>
              <w:jc w:val="center"/>
              <w:rPr>
                <w:color w:val="auto"/>
                <w:kern w:val="21"/>
                <w:sz w:val="21"/>
                <w:szCs w:val="21"/>
                <w:lang w:bidi="ar"/>
              </w:rPr>
            </w:pPr>
            <w:r>
              <w:rPr>
                <w:rFonts w:hint="default" w:cs="Times New Roman"/>
                <w:color w:val="auto"/>
                <w:kern w:val="21"/>
                <w:sz w:val="21"/>
                <w:szCs w:val="21"/>
                <w:lang w:val="en-US" w:eastAsia="zh-CN" w:bidi="ar-SA"/>
              </w:rPr>
              <w:t xml:space="preserve">0.16 </w:t>
            </w:r>
          </w:p>
        </w:tc>
        <w:tc>
          <w:tcPr>
            <w:tcW w:w="1855" w:type="dxa"/>
            <w:vAlign w:val="center"/>
          </w:tcPr>
          <w:p>
            <w:pPr>
              <w:spacing w:line="240" w:lineRule="auto"/>
              <w:ind w:firstLine="0" w:firstLineChars="0"/>
              <w:jc w:val="center"/>
              <w:rPr>
                <w:color w:val="auto"/>
                <w:kern w:val="21"/>
                <w:sz w:val="21"/>
                <w:szCs w:val="21"/>
              </w:rPr>
            </w:pPr>
            <w:r>
              <w:rPr>
                <w:rFonts w:hint="eastAsia"/>
                <w:color w:val="auto"/>
                <w:kern w:val="21"/>
                <w:sz w:val="21"/>
                <w:szCs w:val="21"/>
                <w:lang w:val="en-US" w:eastAsia="zh-CN"/>
              </w:rPr>
              <w:t>16.35</w:t>
            </w:r>
          </w:p>
        </w:tc>
        <w:tc>
          <w:tcPr>
            <w:tcW w:w="1235" w:type="dxa"/>
            <w:vAlign w:val="center"/>
          </w:tcPr>
          <w:p>
            <w:pPr>
              <w:spacing w:line="240" w:lineRule="auto"/>
              <w:ind w:firstLine="0" w:firstLineChars="0"/>
              <w:jc w:val="center"/>
              <w:rPr>
                <w:color w:val="auto"/>
                <w:kern w:val="21"/>
                <w:sz w:val="21"/>
                <w:szCs w:val="21"/>
                <w:lang w:bidi="ar"/>
              </w:rPr>
            </w:pPr>
            <w:r>
              <w:rPr>
                <w:rFonts w:hint="default" w:cs="Times New Roman"/>
                <w:color w:val="auto"/>
                <w:kern w:val="21"/>
                <w:sz w:val="21"/>
                <w:szCs w:val="21"/>
                <w:lang w:val="en-US" w:eastAsia="zh-CN" w:bidi="ar-SA"/>
              </w:rPr>
              <w:t xml:space="preserve">0.16 </w:t>
            </w:r>
          </w:p>
        </w:tc>
      </w:tr>
    </w:tbl>
    <w:p>
      <w:pPr>
        <w:pStyle w:val="4"/>
        <w:spacing w:before="12000" w:beforeLines="5000"/>
        <w:rPr>
          <w:color w:val="auto"/>
          <w:kern w:val="21"/>
        </w:rPr>
      </w:pPr>
      <w:bookmarkStart w:id="114" w:name="_Toc32470"/>
      <w:r>
        <w:rPr>
          <w:color w:val="auto"/>
          <w:kern w:val="21"/>
        </w:rPr>
        <w:t>4环境现状调查与评价</w:t>
      </w:r>
      <w:bookmarkEnd w:id="114"/>
    </w:p>
    <w:p>
      <w:pPr>
        <w:pStyle w:val="4"/>
        <w:rPr>
          <w:color w:val="auto"/>
          <w:kern w:val="21"/>
        </w:rPr>
      </w:pPr>
      <w:bookmarkStart w:id="115" w:name="_Toc25413"/>
      <w:r>
        <w:rPr>
          <w:color w:val="auto"/>
          <w:kern w:val="21"/>
        </w:rPr>
        <w:t>4.1项目区域环境概况</w:t>
      </w:r>
      <w:bookmarkEnd w:id="115"/>
    </w:p>
    <w:p>
      <w:pPr>
        <w:pStyle w:val="5"/>
        <w:tabs>
          <w:tab w:val="left" w:pos="2938"/>
        </w:tabs>
        <w:spacing w:after="0"/>
        <w:rPr>
          <w:color w:val="auto"/>
          <w:kern w:val="21"/>
          <w:sz w:val="28"/>
        </w:rPr>
      </w:pPr>
      <w:bookmarkStart w:id="116" w:name="_Toc104447469"/>
      <w:bookmarkStart w:id="117" w:name="_Toc107556835"/>
      <w:bookmarkStart w:id="118" w:name="_Toc101764813"/>
      <w:bookmarkStart w:id="119" w:name="_Toc103400837"/>
      <w:bookmarkStart w:id="120" w:name="_Toc101201348"/>
      <w:bookmarkStart w:id="121" w:name="_Toc103426064"/>
      <w:bookmarkStart w:id="122" w:name="_Toc107557291"/>
      <w:bookmarkStart w:id="123" w:name="_Toc112903028"/>
      <w:bookmarkStart w:id="124" w:name="_Toc107649744"/>
      <w:bookmarkStart w:id="125" w:name="_Toc101773506"/>
      <w:bookmarkStart w:id="126" w:name="_Toc103424045"/>
      <w:bookmarkStart w:id="127" w:name="_Toc24714"/>
      <w:bookmarkStart w:id="128" w:name="_Toc107557066"/>
      <w:bookmarkStart w:id="129" w:name="_Toc107546780"/>
      <w:bookmarkStart w:id="130" w:name="_Toc107650146"/>
      <w:bookmarkStart w:id="131" w:name="_Toc112890415"/>
      <w:bookmarkStart w:id="132" w:name="_Toc91085705"/>
      <w:bookmarkStart w:id="133" w:name="_Toc107650364"/>
      <w:bookmarkStart w:id="134" w:name="_Toc101773249"/>
      <w:bookmarkStart w:id="135" w:name="_Toc113790761"/>
      <w:r>
        <w:rPr>
          <w:color w:val="auto"/>
          <w:kern w:val="21"/>
          <w:sz w:val="28"/>
        </w:rPr>
        <w:t>4.1自然环境概况</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pStyle w:val="8"/>
        <w:spacing w:before="0" w:after="0" w:line="360" w:lineRule="auto"/>
        <w:ind w:firstLine="0" w:firstLineChars="0"/>
        <w:rPr>
          <w:rFonts w:ascii="Times New Roman" w:hAnsi="Times New Roman" w:eastAsia="宋体"/>
          <w:color w:val="auto"/>
          <w:kern w:val="21"/>
          <w:sz w:val="24"/>
          <w:szCs w:val="24"/>
        </w:rPr>
      </w:pPr>
      <w:bookmarkStart w:id="136" w:name="_Toc107556836"/>
      <w:bookmarkStart w:id="137" w:name="_Toc113790762"/>
      <w:bookmarkStart w:id="138" w:name="_Toc101773250"/>
      <w:bookmarkStart w:id="139" w:name="_Toc101201349"/>
      <w:bookmarkStart w:id="140" w:name="_Toc107649745"/>
      <w:bookmarkStart w:id="141" w:name="_Toc107650147"/>
      <w:bookmarkStart w:id="142" w:name="_Toc104447470"/>
      <w:bookmarkStart w:id="143" w:name="_Toc107546781"/>
      <w:bookmarkStart w:id="144" w:name="_Toc103426065"/>
      <w:bookmarkStart w:id="145" w:name="_Toc112890416"/>
      <w:bookmarkStart w:id="146" w:name="_Toc112903029"/>
      <w:bookmarkStart w:id="147" w:name="_Toc103424046"/>
      <w:bookmarkStart w:id="148" w:name="_Toc107650365"/>
      <w:bookmarkStart w:id="149" w:name="_Toc103400838"/>
      <w:bookmarkStart w:id="150" w:name="_Toc101773507"/>
      <w:bookmarkStart w:id="151" w:name="_Toc107557067"/>
      <w:bookmarkStart w:id="152" w:name="_Toc107557292"/>
      <w:bookmarkStart w:id="153" w:name="_Toc101764814"/>
      <w:r>
        <w:rPr>
          <w:rFonts w:ascii="Times New Roman" w:hAnsi="Times New Roman" w:eastAsia="宋体"/>
          <w:color w:val="auto"/>
          <w:kern w:val="21"/>
          <w:sz w:val="24"/>
          <w:szCs w:val="24"/>
        </w:rPr>
        <w:t>4.1.1</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rFonts w:ascii="Times New Roman" w:hAnsi="Times New Roman" w:eastAsia="宋体"/>
          <w:color w:val="auto"/>
          <w:kern w:val="21"/>
          <w:sz w:val="24"/>
          <w:szCs w:val="24"/>
        </w:rPr>
        <w:t>地理位置及及交通</w:t>
      </w:r>
    </w:p>
    <w:p>
      <w:pPr>
        <w:widowControl/>
        <w:adjustRightInd w:val="0"/>
        <w:ind w:firstLine="480"/>
        <w:jc w:val="left"/>
        <w:rPr>
          <w:color w:val="auto"/>
          <w:kern w:val="21"/>
        </w:rPr>
      </w:pPr>
      <w:bookmarkStart w:id="154" w:name="_Toc112903030"/>
      <w:bookmarkStart w:id="155" w:name="_Toc101773508"/>
      <w:bookmarkStart w:id="156" w:name="_Toc101773251"/>
      <w:bookmarkStart w:id="157" w:name="_Toc107557293"/>
      <w:bookmarkStart w:id="158" w:name="_Toc112890417"/>
      <w:bookmarkStart w:id="159" w:name="_Toc107546782"/>
      <w:bookmarkStart w:id="160" w:name="_Toc107650148"/>
      <w:bookmarkStart w:id="161" w:name="_Toc113790763"/>
      <w:bookmarkStart w:id="162" w:name="_Toc103424047"/>
      <w:bookmarkStart w:id="163" w:name="_Toc107557068"/>
      <w:bookmarkStart w:id="164" w:name="_Toc103426066"/>
      <w:bookmarkStart w:id="165" w:name="_Toc101764815"/>
      <w:bookmarkStart w:id="166" w:name="_Toc107556837"/>
      <w:bookmarkStart w:id="167" w:name="_Toc107650366"/>
      <w:bookmarkStart w:id="168" w:name="_Toc101201350"/>
      <w:bookmarkStart w:id="169" w:name="_Toc104447471"/>
      <w:bookmarkStart w:id="170" w:name="_Toc107649746"/>
      <w:bookmarkStart w:id="171" w:name="_Toc103400839"/>
      <w:r>
        <w:rPr>
          <w:color w:val="auto"/>
          <w:kern w:val="21"/>
        </w:rPr>
        <w:t>楚雄市为楚雄彝族自治州的首府，也是楚雄彝族自治州的政治、经济、文化、交通中心。楚雄市位于楚雄州中西部，地处北纬24°30′～25°15′，东经100°35′～101°48′之间。东邻禄丰县，南连双柏县，西接南华县，北同牟定县毗邻。楚雄州、市人民政府驻地鹿城镇，海拔1773m。楚雄市距离昆明市152km，距离大理市179km。与昆明市、曲靖市、玉溪市构成滇中城市群；是省会昆明通往滇西8州市和进入东南亚、南亚国际大通道的重要承接点和物流集散地，素有“省垣门户，迤西咽喉”之称。</w:t>
      </w:r>
    </w:p>
    <w:p>
      <w:pPr>
        <w:widowControl/>
        <w:adjustRightInd w:val="0"/>
        <w:snapToGrid w:val="0"/>
        <w:ind w:firstLine="480"/>
        <w:jc w:val="left"/>
        <w:rPr>
          <w:color w:val="auto"/>
          <w:kern w:val="21"/>
          <w:lang w:bidi="ar"/>
        </w:rPr>
      </w:pPr>
      <w:r>
        <w:rPr>
          <w:color w:val="auto"/>
          <w:kern w:val="21"/>
          <w:lang w:bidi="ar"/>
        </w:rPr>
        <w:t>楚雄市富民工业园区工业污水处理厂选址位于楚雄市东升路西侧，紧邻富民工业园区外侧，南面紧邻庄甸工业区富民片区标准厂房二次供水站，北面紧邻云南捷盟建设工程有限公司，西面紧邻一片人工林，东面紧邻东升路，地理位置为东经101°36′12″、北纬25°01′18″，行政区划隶属于楚雄市鹿城镇</w:t>
      </w:r>
      <w:r>
        <w:rPr>
          <w:rFonts w:hint="eastAsia"/>
          <w:color w:val="auto"/>
          <w:kern w:val="21"/>
          <w:lang w:bidi="ar"/>
        </w:rPr>
        <w:t>彝海社区</w:t>
      </w:r>
      <w:r>
        <w:rPr>
          <w:color w:val="auto"/>
          <w:kern w:val="21"/>
          <w:lang w:bidi="ar"/>
        </w:rPr>
        <w:t>。厂址东侧紧邻东升路，交通便利。</w:t>
      </w:r>
    </w:p>
    <w:p>
      <w:pPr>
        <w:widowControl/>
        <w:adjustRightInd w:val="0"/>
        <w:snapToGrid w:val="0"/>
        <w:ind w:firstLine="480"/>
        <w:jc w:val="left"/>
        <w:rPr>
          <w:color w:val="auto"/>
          <w:kern w:val="21"/>
        </w:rPr>
      </w:pPr>
      <w:r>
        <w:rPr>
          <w:color w:val="auto"/>
          <w:kern w:val="21"/>
        </w:rPr>
        <w:t>项目区地理位置见附图1。</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4.1.2地形、地貌</w:t>
      </w:r>
    </w:p>
    <w:p>
      <w:pPr>
        <w:widowControl/>
        <w:ind w:firstLine="480"/>
        <w:jc w:val="left"/>
        <w:rPr>
          <w:color w:val="auto"/>
          <w:kern w:val="21"/>
          <w:lang w:bidi="ar"/>
        </w:rPr>
      </w:pPr>
      <w:r>
        <w:rPr>
          <w:color w:val="auto"/>
          <w:kern w:val="21"/>
          <w:lang w:bidi="ar"/>
        </w:rPr>
        <w:t>拟建项目场地位于楚雄盆地南东侧边缘剥蚀残丘缓坡地带边缘、北西-南东向沟谷内，原始地形地势低洼。项目区现状场地标高1819.50～1823.00m，高于现有市政道路东升路1～2m，向北西倾斜。场地沿市政道路东升路呈北西南东向条带状延伸，北东侧为东升路，南西侧沿至山脚，南西侧为楚雄市东南新城垃圾装运中心，紧邻拟建场地为楚雄市富民庄甸工业区二次供水泵站，与本工程规划综合楼一墙之隔；北侧为云南捷盟建设工程有限公司办公区；场地西侧为独立山丘，地形坡度20～35°，局部较陡，坡面植被发育，以乔木、灌木为主。山麓地带坡积层较发育，厚度2～10m不等。场地一侧总体坡面平直，支沟不发育，规划污泥脱水车间南西侧发育一条冲沟，延伸长约80m，切割深3～10m，两岸坡不对称，左缓右陡，左岸一般地形坡度20～35°，坡面以基岩为主少量残坡积层，植被发育，局部还有坍塌现象；右岸基本近直立，坡面均为残坡积层，坡面裸露，零星坍塌体均被沟水冲走，无大规模堆积现象。沟源地带强风化基岩裸露，已无溯源侵蚀迹象。</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4.1.3</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Pr>
          <w:rFonts w:ascii="Times New Roman" w:hAnsi="Times New Roman" w:eastAsia="宋体"/>
          <w:color w:val="auto"/>
          <w:kern w:val="21"/>
          <w:sz w:val="24"/>
          <w:szCs w:val="24"/>
        </w:rPr>
        <w:t>地质构造</w:t>
      </w:r>
    </w:p>
    <w:p>
      <w:pPr>
        <w:widowControl/>
        <w:wordWrap w:val="0"/>
        <w:topLinePunct/>
        <w:adjustRightInd w:val="0"/>
        <w:snapToGrid w:val="0"/>
        <w:ind w:firstLine="480"/>
        <w:rPr>
          <w:color w:val="auto"/>
          <w:kern w:val="21"/>
        </w:rPr>
      </w:pPr>
      <w:bookmarkStart w:id="172" w:name="_Toc103424048"/>
      <w:bookmarkStart w:id="173" w:name="_Toc101764816"/>
      <w:bookmarkStart w:id="174" w:name="_Toc107650149"/>
      <w:bookmarkStart w:id="175" w:name="_Toc107556838"/>
      <w:bookmarkStart w:id="176" w:name="_Toc103426067"/>
      <w:bookmarkStart w:id="177" w:name="_Toc107557069"/>
      <w:bookmarkStart w:id="178" w:name="_Toc101201351"/>
      <w:bookmarkStart w:id="179" w:name="_Toc107649747"/>
      <w:bookmarkStart w:id="180" w:name="_Toc103400840"/>
      <w:bookmarkStart w:id="181" w:name="_Toc112903031"/>
      <w:bookmarkStart w:id="182" w:name="_Toc104447472"/>
      <w:bookmarkStart w:id="183" w:name="_Toc107546783"/>
      <w:bookmarkStart w:id="184" w:name="_Toc107650367"/>
      <w:bookmarkStart w:id="185" w:name="_Toc107557294"/>
      <w:bookmarkStart w:id="186" w:name="_Toc101773509"/>
      <w:bookmarkStart w:id="187" w:name="_Toc112890418"/>
      <w:bookmarkStart w:id="188" w:name="_Toc101773252"/>
      <w:bookmarkStart w:id="189" w:name="_Toc113790764"/>
      <w:r>
        <w:rPr>
          <w:color w:val="auto"/>
          <w:kern w:val="21"/>
          <w:lang w:bidi="ar"/>
        </w:rPr>
        <w:t>根据《中华人民共和国地质报告书，1：5万，楚雄幅》，项目区位于云南山字型构造西翼内侧马蹄形盾地北部，扬子准地台川滇台背斜滇中中台陷之楚雄凹陷四级构造单元范畴，自晋宁运动以后地壳隆起上升，至晚三叠世发生剧烈沉降，接受著名的厚度巨大的“滇中红层”沉积，具基底及盖层双层结构。拟建场地处于南华扭动褶皱区之楚雄向斜北东翼，附近主要断层为南西侧的增平村断层（F1）、观音寺断层</w:t>
      </w:r>
      <w:r>
        <w:rPr>
          <w:rFonts w:hint="eastAsia"/>
          <w:color w:val="auto"/>
          <w:kern w:val="21"/>
          <w:lang w:bidi="ar"/>
        </w:rPr>
        <w:t>（</w:t>
      </w:r>
      <w:r>
        <w:rPr>
          <w:color w:val="auto"/>
          <w:kern w:val="21"/>
          <w:lang w:bidi="ar"/>
        </w:rPr>
        <w:t>F6</w:t>
      </w:r>
      <w:r>
        <w:rPr>
          <w:rFonts w:hint="eastAsia"/>
          <w:color w:val="auto"/>
          <w:kern w:val="21"/>
          <w:lang w:bidi="ar"/>
        </w:rPr>
        <w:t>）</w:t>
      </w:r>
      <w:r>
        <w:rPr>
          <w:color w:val="auto"/>
          <w:kern w:val="21"/>
          <w:lang w:bidi="ar"/>
        </w:rPr>
        <w:t>及北东侧的哨弯断层（F7）及迤干断层（F8）（见</w:t>
      </w:r>
      <w:r>
        <w:rPr>
          <w:rFonts w:hint="eastAsia"/>
          <w:color w:val="auto"/>
          <w:kern w:val="21"/>
          <w:lang w:eastAsia="zh-CN" w:bidi="ar"/>
        </w:rPr>
        <w:t>下图</w:t>
      </w:r>
      <w:r>
        <w:rPr>
          <w:color w:val="auto"/>
          <w:kern w:val="21"/>
          <w:lang w:bidi="ar"/>
        </w:rPr>
        <w:t>）。</w:t>
      </w:r>
    </w:p>
    <w:p>
      <w:pPr>
        <w:widowControl/>
        <w:wordWrap w:val="0"/>
        <w:topLinePunct/>
        <w:adjustRightInd w:val="0"/>
        <w:snapToGrid w:val="0"/>
        <w:ind w:firstLine="480"/>
        <w:jc w:val="center"/>
        <w:rPr>
          <w:b/>
          <w:bCs/>
          <w:color w:val="auto"/>
          <w:kern w:val="21"/>
        </w:rPr>
      </w:pPr>
      <w:r>
        <w:rPr>
          <w:color w:val="auto"/>
          <w:kern w:val="21"/>
        </w:rPr>
        <w:drawing>
          <wp:inline distT="0" distB="0" distL="0" distR="0">
            <wp:extent cx="3964940" cy="5470525"/>
            <wp:effectExtent l="0" t="0" r="0" b="0"/>
            <wp:docPr id="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964940" cy="5470525"/>
                    </a:xfrm>
                    <a:prstGeom prst="rect">
                      <a:avLst/>
                    </a:prstGeom>
                    <a:noFill/>
                    <a:ln>
                      <a:noFill/>
                    </a:ln>
                    <a:effectLst/>
                  </pic:spPr>
                </pic:pic>
              </a:graphicData>
            </a:graphic>
          </wp:inline>
        </w:drawing>
      </w:r>
    </w:p>
    <w:p>
      <w:pPr>
        <w:keepNext w:val="0"/>
        <w:keepLines w:val="0"/>
        <w:pageBreakBefore w:val="0"/>
        <w:widowControl/>
        <w:numPr>
          <w:ilvl w:val="0"/>
          <w:numId w:val="8"/>
        </w:numPr>
        <w:kinsoku/>
        <w:wordWrap w:val="0"/>
        <w:overflowPunct/>
        <w:topLinePunct/>
        <w:autoSpaceDE/>
        <w:autoSpaceDN/>
        <w:bidi w:val="0"/>
        <w:adjustRightInd w:val="0"/>
        <w:snapToGrid w:val="0"/>
        <w:ind w:left="0" w:leftChars="0" w:firstLine="0" w:firstLineChars="0"/>
        <w:jc w:val="center"/>
        <w:textAlignment w:val="auto"/>
        <w:rPr>
          <w:b/>
          <w:bCs/>
          <w:color w:val="auto"/>
          <w:kern w:val="21"/>
        </w:rPr>
      </w:pPr>
      <w:r>
        <w:rPr>
          <w:b/>
          <w:bCs/>
          <w:color w:val="auto"/>
          <w:kern w:val="21"/>
        </w:rPr>
        <w:t>构造纲要图</w:t>
      </w:r>
    </w:p>
    <w:p>
      <w:pPr>
        <w:widowControl/>
        <w:wordWrap w:val="0"/>
        <w:topLinePunct/>
        <w:adjustRightInd w:val="0"/>
        <w:snapToGrid w:val="0"/>
        <w:ind w:firstLine="480"/>
        <w:jc w:val="left"/>
        <w:rPr>
          <w:color w:val="auto"/>
          <w:kern w:val="21"/>
          <w:lang w:bidi="ar"/>
        </w:rPr>
      </w:pPr>
      <w:r>
        <w:rPr>
          <w:color w:val="auto"/>
          <w:kern w:val="21"/>
          <w:lang w:bidi="ar"/>
        </w:rPr>
        <w:t>场地附近主要构造特征如下：</w:t>
      </w:r>
    </w:p>
    <w:p>
      <w:pPr>
        <w:widowControl/>
        <w:wordWrap w:val="0"/>
        <w:topLinePunct/>
        <w:adjustRightInd w:val="0"/>
        <w:snapToGrid w:val="0"/>
        <w:ind w:firstLine="482"/>
        <w:jc w:val="left"/>
        <w:rPr>
          <w:color w:val="auto"/>
          <w:kern w:val="21"/>
        </w:rPr>
      </w:pPr>
      <w:r>
        <w:rPr>
          <w:b/>
          <w:color w:val="auto"/>
          <w:kern w:val="21"/>
          <w:lang w:bidi="ar"/>
        </w:rPr>
        <w:t>1、褶皱构造</w:t>
      </w:r>
    </w:p>
    <w:p>
      <w:pPr>
        <w:widowControl/>
        <w:wordWrap w:val="0"/>
        <w:topLinePunct/>
        <w:adjustRightInd w:val="0"/>
        <w:snapToGrid w:val="0"/>
        <w:ind w:firstLine="480"/>
        <w:jc w:val="left"/>
        <w:rPr>
          <w:color w:val="auto"/>
          <w:kern w:val="21"/>
        </w:rPr>
      </w:pPr>
      <w:r>
        <w:rPr>
          <w:color w:val="auto"/>
          <w:kern w:val="21"/>
          <w:lang w:bidi="ar"/>
        </w:rPr>
        <w:t>（1）楚雄向斜（②）：场地位于东翼，为一完整的倒转向斜，轴向变化325°～335°，西翼倾角30°～53°，东翼倾角25°～38°，其核部地层主要为白垩系上统江底河组（K2j）至马头山组（K2m），翼部地层为白垩系上统马头山组（K2m）至白垩系下统普昌河组（K1p）。为一倾斜短轴向斜。向斜主要构造线及两翼地层均呈NW～SE向展布。向斜核部北西起石岩子山，南东到天子堂附近，长29km，宽1～4km，囊括盆地全部。核部基岩地层主要为晚白垩系江底河组（K2j）红色碎屑岩，倾角15°～25°，盆地内被第四系松散层覆盖。东翼为正常翼，断层、次级褶皱均有发育，岩层倾角20°～40°，各种构造线呈NW～SE向展布。断层性质多为逆断层，除沙邑村断层规模较大外，其它均为小断层；次级向斜、背斜相间排列，平面上轴线呈直线形；南西翼中部倒转，两端倾角50°～70°，部分地段可达80°以上。该翼断层、褶皱比较发育，断层以逆断层为主，向斜、背斜亦具相间排列的特征，平面上各种构造线亦具直线形，但中间多被次级断层错开呈不连续状。构造层为侏罗系妥甸组及白垩系上下统各组。受构造控制，地层呈NW—SE向展布。</w:t>
      </w:r>
    </w:p>
    <w:p>
      <w:pPr>
        <w:widowControl/>
        <w:wordWrap w:val="0"/>
        <w:topLinePunct/>
        <w:adjustRightInd w:val="0"/>
        <w:snapToGrid w:val="0"/>
        <w:ind w:firstLine="480"/>
        <w:jc w:val="left"/>
        <w:rPr>
          <w:color w:val="auto"/>
          <w:kern w:val="21"/>
        </w:rPr>
      </w:pPr>
      <w:r>
        <w:rPr>
          <w:color w:val="auto"/>
          <w:kern w:val="21"/>
          <w:lang w:bidi="ar"/>
        </w:rPr>
        <w:t>（2）耳东屯背斜（③）：位于场地东侧，轴部距场地约2km，轴向北北西向，两冀间夹角120°～140°，轴面产状向南西陡倾，中部被迤干断层（F8）切割破坏，保存不全。核部出露妥甸组（J3t），两冀均为高丰寺组（K1g），北东冀倾角35°，南西翼倾角25°。为一短轴、平缓、斜歪倾伏背斜。项目场地位于该背斜西翼。</w:t>
      </w:r>
    </w:p>
    <w:p>
      <w:pPr>
        <w:widowControl/>
        <w:wordWrap w:val="0"/>
        <w:topLinePunct/>
        <w:adjustRightInd w:val="0"/>
        <w:snapToGrid w:val="0"/>
        <w:ind w:firstLine="480"/>
        <w:jc w:val="left"/>
        <w:rPr>
          <w:color w:val="auto"/>
          <w:kern w:val="21"/>
        </w:rPr>
      </w:pPr>
      <w:r>
        <w:rPr>
          <w:color w:val="auto"/>
          <w:kern w:val="21"/>
          <w:lang w:bidi="ar"/>
        </w:rPr>
        <w:t>（3）览井坡穹窿（④）：位于场地北侧，距场地约2km，为椭圆形，长宽比5：4，北东截于孔家庄断层之上，南西截于哨弯断层之上，中部被第四系掩盖，保存较差。核部出露妥甸组（J3t），翼部出露高丰寺组（K1g），岩层由核部向四周倾斜，核部平缓，翼部倾角由内向外逐渐增大，一般15°～30°。</w:t>
      </w:r>
    </w:p>
    <w:p>
      <w:pPr>
        <w:widowControl/>
        <w:wordWrap w:val="0"/>
        <w:topLinePunct/>
        <w:adjustRightInd w:val="0"/>
        <w:snapToGrid w:val="0"/>
        <w:ind w:firstLine="482"/>
        <w:jc w:val="left"/>
        <w:rPr>
          <w:color w:val="auto"/>
          <w:kern w:val="21"/>
        </w:rPr>
      </w:pPr>
      <w:r>
        <w:rPr>
          <w:b/>
          <w:color w:val="auto"/>
          <w:kern w:val="21"/>
          <w:lang w:bidi="ar"/>
        </w:rPr>
        <w:t>2、断裂构造</w:t>
      </w:r>
    </w:p>
    <w:p>
      <w:pPr>
        <w:widowControl/>
        <w:wordWrap w:val="0"/>
        <w:topLinePunct/>
        <w:adjustRightInd w:val="0"/>
        <w:snapToGrid w:val="0"/>
        <w:ind w:firstLine="480"/>
        <w:jc w:val="left"/>
        <w:rPr>
          <w:color w:val="auto"/>
          <w:kern w:val="21"/>
        </w:rPr>
      </w:pPr>
      <w:r>
        <w:rPr>
          <w:color w:val="auto"/>
          <w:kern w:val="21"/>
          <w:lang w:bidi="ar"/>
        </w:rPr>
        <w:t>（1）增平村断层（F1）：位于场地南西侧，距场地约4.6km，经增平上村、小团山呈北西320°方向延伸，该断层为断层面向北东陡倾（倾角70°～75°）、北东盘上升、南西盘下降的平移逆断层，力学性质为压扭性。</w:t>
      </w:r>
    </w:p>
    <w:p>
      <w:pPr>
        <w:widowControl/>
        <w:wordWrap w:val="0"/>
        <w:topLinePunct/>
        <w:adjustRightInd w:val="0"/>
        <w:snapToGrid w:val="0"/>
        <w:ind w:firstLine="480"/>
        <w:jc w:val="left"/>
        <w:rPr>
          <w:color w:val="auto"/>
          <w:kern w:val="21"/>
        </w:rPr>
      </w:pPr>
      <w:r>
        <w:rPr>
          <w:color w:val="auto"/>
          <w:kern w:val="21"/>
          <w:lang w:bidi="ar"/>
        </w:rPr>
        <w:t>（2）观音寺断层</w:t>
      </w:r>
      <w:r>
        <w:rPr>
          <w:rFonts w:hint="eastAsia"/>
          <w:color w:val="auto"/>
          <w:kern w:val="21"/>
          <w:lang w:bidi="ar"/>
        </w:rPr>
        <w:t>（</w:t>
      </w:r>
      <w:r>
        <w:rPr>
          <w:color w:val="auto"/>
          <w:kern w:val="21"/>
          <w:lang w:bidi="ar"/>
        </w:rPr>
        <w:t>F6</w:t>
      </w:r>
      <w:r>
        <w:rPr>
          <w:rFonts w:hint="eastAsia"/>
          <w:color w:val="auto"/>
          <w:kern w:val="21"/>
          <w:lang w:bidi="ar"/>
        </w:rPr>
        <w:t>）</w:t>
      </w:r>
      <w:r>
        <w:rPr>
          <w:color w:val="auto"/>
          <w:kern w:val="21"/>
          <w:lang w:bidi="ar"/>
        </w:rPr>
        <w:t>：位于场地南西侧，距场地约3.0km，断层全长约10km，北东盘江底河组与南西盘马头山组断层接触，北东盘下降，南西盘上升。断层走向315°，倾向南西，倾角较陡，断层断距200m，为一压性逆断层。</w:t>
      </w:r>
    </w:p>
    <w:p>
      <w:pPr>
        <w:widowControl/>
        <w:wordWrap w:val="0"/>
        <w:topLinePunct/>
        <w:adjustRightInd w:val="0"/>
        <w:snapToGrid w:val="0"/>
        <w:ind w:firstLine="480"/>
        <w:jc w:val="left"/>
        <w:rPr>
          <w:color w:val="auto"/>
          <w:kern w:val="21"/>
        </w:rPr>
      </w:pPr>
      <w:r>
        <w:rPr>
          <w:color w:val="auto"/>
          <w:kern w:val="21"/>
          <w:lang w:bidi="ar"/>
        </w:rPr>
        <w:t>（3）哨弯断层（F7）：位于场地北东侧，距场地约3.1km，断层全长约8.5km，走向约310°，断层面倾向南西，倾角约70°，地层断距约100m。北段北东盘妥甸组与南西盘高丰寺组断层接触，为正断层；南段北东盘高丰寺组与南西盘妥甸组断层接触，为逆断层，断层旁侧见牵引褶皱，指向南西盘上升。该断层为压扭性断层。</w:t>
      </w:r>
    </w:p>
    <w:p>
      <w:pPr>
        <w:widowControl/>
        <w:wordWrap w:val="0"/>
        <w:topLinePunct/>
        <w:adjustRightInd w:val="0"/>
        <w:snapToGrid w:val="0"/>
        <w:ind w:firstLine="480"/>
        <w:jc w:val="left"/>
        <w:rPr>
          <w:color w:val="auto"/>
          <w:kern w:val="21"/>
        </w:rPr>
      </w:pPr>
      <w:r>
        <w:rPr>
          <w:color w:val="auto"/>
          <w:kern w:val="21"/>
          <w:lang w:bidi="ar"/>
        </w:rPr>
        <w:t>（4）迤干断层（F8）：位于场地南西侧，断层全长约11.0Km，走向约315°，断层面倾向北东，倾角约70°，地层断距约200m。北东盘高丰寺组（K1g）与南西盘普昌河组（K1p）断层接触，中部掩盖。耳东屯背斜轴迹与断层所夹锐角指向南西盘向南东移动。可见岩层直立，垂直层面的“X”节理。北东盘上升，南西盘下降。为压扭性平移逆断层。</w:t>
      </w:r>
    </w:p>
    <w:p>
      <w:pPr>
        <w:widowControl/>
        <w:wordWrap w:val="0"/>
        <w:topLinePunct/>
        <w:adjustRightInd w:val="0"/>
        <w:snapToGrid w:val="0"/>
        <w:ind w:firstLine="480"/>
        <w:jc w:val="left"/>
        <w:rPr>
          <w:color w:val="auto"/>
          <w:kern w:val="21"/>
          <w:lang w:bidi="ar"/>
        </w:rPr>
      </w:pPr>
      <w:r>
        <w:rPr>
          <w:color w:val="auto"/>
          <w:kern w:val="21"/>
          <w:lang w:bidi="ar"/>
        </w:rPr>
        <w:t>（5）孔家庄断层（F9）：位于场地北东侧，距场地约5.5Km，孔家庄断层切割两盘构造，使饱满街向斜、苍蒲冲断层等被分割成两部分，北东盘向北西移动，南西盘向南东移动。中部被掩盖、东部在孔家庄见断层角砾岩。断层走向300°，长度15km，断面倾角90°，地层断距2000m。该断层为压扭性平移断层。</w:t>
      </w:r>
    </w:p>
    <w:p>
      <w:pPr>
        <w:widowControl/>
        <w:wordWrap w:val="0"/>
        <w:topLinePunct/>
        <w:adjustRightInd w:val="0"/>
        <w:snapToGrid w:val="0"/>
        <w:ind w:firstLine="480"/>
        <w:jc w:val="left"/>
        <w:rPr>
          <w:color w:val="auto"/>
          <w:kern w:val="21"/>
          <w:lang w:bidi="ar"/>
        </w:rPr>
      </w:pPr>
      <w:r>
        <w:rPr>
          <w:color w:val="auto"/>
          <w:kern w:val="21"/>
          <w:lang w:bidi="ar"/>
        </w:rPr>
        <w:t>（6）朱洗冲断层（F10）：位于场地北东侧，距场地约2km，北西盘妥甸组与南东盘高丰寺组断层接触，并切割一小背斜。可见擦痕、滑动镜面、牵引褶皱。擦痕指向南东盘下降。该断层为张性正断层。拟建场地内无大的断层通过，褶皱构造不发育，总体为倾向南西的单斜构造，地质构造较简单，岩层产状230～240°40∠～50°。迤干断层位于场地南西侧，距离较近，受断裂构造影响，岩体节理裂隙较为发育，野外调查可见两组，J1：356°65°∠，裂面开口宽1～2mm，面粗糙，铁锰质或泥质充填，延伸长1～2m，2～3条/m；J2：88°49°∠，延伸长1～2m</w:t>
      </w:r>
      <w:r>
        <w:rPr>
          <w:rFonts w:hint="eastAsia"/>
          <w:color w:val="auto"/>
          <w:kern w:val="21"/>
          <w:lang w:bidi="ar"/>
        </w:rPr>
        <w:t>，</w:t>
      </w:r>
      <w:r>
        <w:rPr>
          <w:color w:val="auto"/>
          <w:kern w:val="21"/>
          <w:lang w:bidi="ar"/>
        </w:rPr>
        <w:t>宽1～2mm，1～2条/m，面粗糙，铁锰质或泥质充填。总体结构面结合差，节理裂隙与岩层面组合，将岩体切割呈棱块状，破坏了岩体完整性，岩体呈碎裂～中厚层状结构。拟建场地内无大断层及褶皱构造，地质构造较简单，但迤干断层（F8）距场地较近，断层附近岩体受挤压强烈，岩体较为破碎，差异风化显著。根据《云南省山地城镇岩土工程导则》，场地10km范围内所分布的断层为晚更新世及其以前断层，即拟建场周边10km范围内无全新世活动断裂。</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4.1.</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Fonts w:ascii="Times New Roman" w:hAnsi="Times New Roman" w:eastAsia="宋体"/>
          <w:color w:val="auto"/>
          <w:kern w:val="21"/>
          <w:sz w:val="24"/>
          <w:szCs w:val="24"/>
        </w:rPr>
        <w:t>4地震</w:t>
      </w:r>
    </w:p>
    <w:p>
      <w:pPr>
        <w:ind w:firstLine="480"/>
        <w:rPr>
          <w:color w:val="auto"/>
          <w:kern w:val="21"/>
        </w:rPr>
      </w:pPr>
      <w:r>
        <w:rPr>
          <w:color w:val="auto"/>
          <w:kern w:val="21"/>
        </w:rPr>
        <w:t>项目区位于楚雄市鹿城镇，根据《建筑抗震设计规范》（GB50011-2010）（2016年版）附录A及《中国地震动参数区划图》（GB18306-2015），勘察区抗震设防烈度为8度，设计地震分组为第三组。设计基本地震加速度值为0.20g，地震动反应谱特征周期为0.45s。</w:t>
      </w:r>
    </w:p>
    <w:p>
      <w:pPr>
        <w:pStyle w:val="8"/>
        <w:spacing w:before="0" w:after="0" w:line="360" w:lineRule="auto"/>
        <w:ind w:firstLine="0" w:firstLineChars="0"/>
        <w:rPr>
          <w:rFonts w:hint="eastAsia" w:ascii="Times New Roman" w:hAnsi="Times New Roman" w:eastAsia="宋体"/>
          <w:color w:val="auto"/>
          <w:kern w:val="21"/>
          <w:sz w:val="24"/>
          <w:szCs w:val="24"/>
          <w:lang w:eastAsia="zh-CN"/>
        </w:rPr>
      </w:pPr>
      <w:bookmarkStart w:id="190" w:name="_Toc103400841"/>
      <w:bookmarkStart w:id="191" w:name="_Toc101764817"/>
      <w:bookmarkStart w:id="192" w:name="_Toc107650150"/>
      <w:bookmarkStart w:id="193" w:name="_Toc107557295"/>
      <w:bookmarkStart w:id="194" w:name="_Toc101773253"/>
      <w:bookmarkStart w:id="195" w:name="_Toc107649748"/>
      <w:bookmarkStart w:id="196" w:name="_Toc107557070"/>
      <w:bookmarkStart w:id="197" w:name="_Toc113790765"/>
      <w:bookmarkStart w:id="198" w:name="_Toc107556839"/>
      <w:bookmarkStart w:id="199" w:name="_Toc112903032"/>
      <w:bookmarkStart w:id="200" w:name="_Toc101773510"/>
      <w:bookmarkStart w:id="201" w:name="_Toc112890419"/>
      <w:bookmarkStart w:id="202" w:name="_Toc103424049"/>
      <w:bookmarkStart w:id="203" w:name="_Toc107650368"/>
      <w:bookmarkStart w:id="204" w:name="_Toc101201352"/>
      <w:bookmarkStart w:id="205" w:name="_Toc103426068"/>
      <w:bookmarkStart w:id="206" w:name="_Toc107546784"/>
      <w:bookmarkStart w:id="207" w:name="_Toc104447473"/>
      <w:r>
        <w:rPr>
          <w:rFonts w:ascii="Times New Roman" w:hAnsi="Times New Roman" w:eastAsia="宋体"/>
          <w:color w:val="auto"/>
          <w:kern w:val="21"/>
          <w:sz w:val="24"/>
          <w:szCs w:val="24"/>
        </w:rPr>
        <w:t>4.1.5</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rFonts w:ascii="Times New Roman" w:hAnsi="Times New Roman" w:eastAsia="宋体"/>
          <w:color w:val="auto"/>
          <w:kern w:val="21"/>
          <w:sz w:val="24"/>
          <w:szCs w:val="24"/>
        </w:rPr>
        <w:t>气候</w:t>
      </w:r>
      <w:r>
        <w:rPr>
          <w:rFonts w:hint="eastAsia" w:ascii="Times New Roman" w:hAnsi="Times New Roman" w:eastAsia="宋体"/>
          <w:color w:val="auto"/>
          <w:kern w:val="21"/>
          <w:sz w:val="24"/>
          <w:szCs w:val="24"/>
          <w:lang w:eastAsia="zh-CN"/>
        </w:rPr>
        <w:t>、气象特征</w:t>
      </w:r>
    </w:p>
    <w:p>
      <w:pPr>
        <w:adjustRightInd w:val="0"/>
        <w:snapToGrid w:val="0"/>
        <w:spacing w:line="360" w:lineRule="auto"/>
        <w:ind w:firstLine="480" w:firstLineChars="200"/>
        <w:rPr>
          <w:snapToGrid w:val="0"/>
          <w:color w:val="auto"/>
        </w:rPr>
      </w:pPr>
      <w:r>
        <w:rPr>
          <w:rFonts w:hint="eastAsia"/>
          <w:snapToGrid w:val="0"/>
          <w:color w:val="auto"/>
        </w:rPr>
        <w:t>楚雄气象站点位于楚雄市鹿城镇东郊办事处罗家队，项目西北侧约5km，站台编号为</w:t>
      </w:r>
      <w:r>
        <w:rPr>
          <w:snapToGrid w:val="0"/>
          <w:color w:val="auto"/>
        </w:rPr>
        <w:t>56</w:t>
      </w:r>
      <w:r>
        <w:rPr>
          <w:rFonts w:hint="eastAsia"/>
          <w:snapToGrid w:val="0"/>
          <w:color w:val="auto"/>
        </w:rPr>
        <w:t>768，观测场拔海高度为1824.1m，站点经纬度为北纬25°02′、东经101°33′。据楚雄气象站2000～2020年累计气象观测资料，本地区多年最大日降水量为174mm(出现时间：2003.6.17)，多年最高气温为34.20℃(出现时间：2014.6.3)，多年最低气温为-1.45℃(出现时间：2002.12.26)，多年最大风速为28.20m/s(出现时间：2005.3.20)，多年平均气压为988.47h</w:t>
      </w:r>
      <w:r>
        <w:rPr>
          <w:snapToGrid w:val="0"/>
          <w:color w:val="auto"/>
        </w:rPr>
        <w:t>Pa</w:t>
      </w:r>
      <w:r>
        <w:rPr>
          <w:rFonts w:hint="eastAsia"/>
          <w:snapToGrid w:val="0"/>
          <w:color w:val="auto"/>
        </w:rPr>
        <w:t>。</w:t>
      </w:r>
    </w:p>
    <w:p>
      <w:pPr>
        <w:adjustRightInd w:val="0"/>
        <w:snapToGrid w:val="0"/>
        <w:spacing w:line="360" w:lineRule="auto"/>
        <w:ind w:firstLine="480" w:firstLineChars="200"/>
        <w:rPr>
          <w:snapToGrid w:val="0"/>
          <w:color w:val="auto"/>
        </w:rPr>
      </w:pPr>
      <w:r>
        <w:rPr>
          <w:snapToGrid w:val="0"/>
          <w:color w:val="auto"/>
        </w:rPr>
        <w:t>据</w:t>
      </w:r>
      <w:r>
        <w:rPr>
          <w:rFonts w:hint="eastAsia"/>
          <w:snapToGrid w:val="0"/>
          <w:color w:val="auto"/>
        </w:rPr>
        <w:t>楚雄气象站2001～2020年累计</w:t>
      </w:r>
      <w:r>
        <w:rPr>
          <w:snapToGrid w:val="0"/>
          <w:color w:val="auto"/>
        </w:rPr>
        <w:t>气象观测资料统计，</w:t>
      </w:r>
      <w:r>
        <w:rPr>
          <w:rFonts w:hint="eastAsia"/>
          <w:snapToGrid w:val="0"/>
          <w:color w:val="auto"/>
        </w:rPr>
        <w:t>主要</w:t>
      </w:r>
      <w:r>
        <w:rPr>
          <w:snapToGrid w:val="0"/>
          <w:color w:val="auto"/>
        </w:rPr>
        <w:t>气象特征如下：</w:t>
      </w:r>
    </w:p>
    <w:p>
      <w:pPr>
        <w:adjustRightInd w:val="0"/>
        <w:snapToGrid w:val="0"/>
        <w:spacing w:line="360" w:lineRule="auto"/>
        <w:ind w:firstLine="480" w:firstLineChars="200"/>
        <w:rPr>
          <w:snapToGrid w:val="0"/>
          <w:color w:val="auto"/>
        </w:rPr>
      </w:pPr>
      <w:r>
        <w:rPr>
          <w:rFonts w:hint="eastAsia"/>
          <w:snapToGrid w:val="0"/>
          <w:color w:val="auto"/>
        </w:rPr>
        <w:t>1、</w:t>
      </w:r>
      <w:r>
        <w:rPr>
          <w:snapToGrid w:val="0"/>
          <w:color w:val="auto"/>
        </w:rPr>
        <w:t>气温</w:t>
      </w:r>
    </w:p>
    <w:p>
      <w:pPr>
        <w:adjustRightInd w:val="0"/>
        <w:snapToGrid w:val="0"/>
        <w:spacing w:line="360" w:lineRule="auto"/>
        <w:ind w:firstLine="480" w:firstLineChars="200"/>
        <w:rPr>
          <w:snapToGrid w:val="0"/>
          <w:color w:val="auto"/>
        </w:rPr>
      </w:pPr>
      <w:r>
        <w:rPr>
          <w:rFonts w:hint="eastAsia"/>
          <w:snapToGrid w:val="0"/>
          <w:color w:val="auto"/>
        </w:rPr>
        <w:t>楚雄市</w:t>
      </w:r>
      <w:r>
        <w:rPr>
          <w:snapToGrid w:val="0"/>
          <w:color w:val="auto"/>
        </w:rPr>
        <w:t>1月份平均气温最低</w:t>
      </w:r>
      <w:r>
        <w:rPr>
          <w:rFonts w:hint="eastAsia"/>
          <w:snapToGrid w:val="0"/>
          <w:color w:val="auto"/>
        </w:rPr>
        <w:t>9.84</w:t>
      </w:r>
      <w:r>
        <w:rPr>
          <w:snapToGrid w:val="0"/>
          <w:color w:val="auto"/>
        </w:rPr>
        <w:t>℃</w:t>
      </w:r>
      <w:r>
        <w:rPr>
          <w:rFonts w:hint="eastAsia"/>
          <w:snapToGrid w:val="0"/>
          <w:color w:val="auto"/>
        </w:rPr>
        <w:t>，6</w:t>
      </w:r>
      <w:r>
        <w:rPr>
          <w:snapToGrid w:val="0"/>
          <w:color w:val="auto"/>
        </w:rPr>
        <w:t>月份平均气温最高</w:t>
      </w:r>
      <w:r>
        <w:rPr>
          <w:rFonts w:hint="eastAsia"/>
          <w:snapToGrid w:val="0"/>
          <w:color w:val="auto"/>
        </w:rPr>
        <w:t>22.12</w:t>
      </w:r>
      <w:r>
        <w:rPr>
          <w:snapToGrid w:val="0"/>
          <w:color w:val="auto"/>
        </w:rPr>
        <w:t>℃</w:t>
      </w:r>
      <w:r>
        <w:rPr>
          <w:rFonts w:hint="eastAsia"/>
          <w:snapToGrid w:val="0"/>
          <w:color w:val="auto"/>
        </w:rPr>
        <w:t>，</w:t>
      </w:r>
      <w:r>
        <w:rPr>
          <w:snapToGrid w:val="0"/>
          <w:color w:val="auto"/>
        </w:rPr>
        <w:t>年平均气温</w:t>
      </w:r>
      <w:r>
        <w:rPr>
          <w:rFonts w:hint="eastAsia"/>
          <w:snapToGrid w:val="0"/>
          <w:color w:val="auto"/>
        </w:rPr>
        <w:t>16.87</w:t>
      </w:r>
      <w:r>
        <w:rPr>
          <w:snapToGrid w:val="0"/>
          <w:color w:val="auto"/>
        </w:rPr>
        <w:t>℃。</w:t>
      </w:r>
      <w:r>
        <w:rPr>
          <w:rFonts w:hint="eastAsia"/>
          <w:snapToGrid w:val="0"/>
          <w:color w:val="auto"/>
        </w:rPr>
        <w:t>楚雄市累年平均气温统计见下表。</w:t>
      </w:r>
    </w:p>
    <w:p>
      <w:pPr>
        <w:numPr>
          <w:ilvl w:val="0"/>
          <w:numId w:val="9"/>
        </w:numPr>
        <w:ind w:left="0" w:leftChars="0" w:firstLine="0" w:firstLineChars="0"/>
        <w:jc w:val="center"/>
        <w:rPr>
          <w:b/>
          <w:bCs/>
          <w:color w:val="auto"/>
          <w:spacing w:val="1"/>
        </w:rPr>
      </w:pPr>
      <w:r>
        <w:rPr>
          <w:rFonts w:hint="eastAsia"/>
          <w:b/>
          <w:bCs/>
          <w:color w:val="auto"/>
          <w:spacing w:val="1"/>
        </w:rPr>
        <w:t>楚雄市</w:t>
      </w:r>
      <w:r>
        <w:rPr>
          <w:b/>
          <w:bCs/>
          <w:color w:val="auto"/>
          <w:spacing w:val="1"/>
        </w:rPr>
        <w:t>地区</w:t>
      </w:r>
      <w:r>
        <w:rPr>
          <w:rFonts w:hint="eastAsia"/>
          <w:b/>
          <w:bCs/>
          <w:color w:val="auto"/>
          <w:spacing w:val="1"/>
        </w:rPr>
        <w:t>2001-2020</w:t>
      </w:r>
      <w:r>
        <w:rPr>
          <w:b/>
          <w:bCs/>
          <w:color w:val="auto"/>
          <w:spacing w:val="1"/>
        </w:rPr>
        <w:t>年</w:t>
      </w:r>
      <w:r>
        <w:rPr>
          <w:rFonts w:hint="eastAsia"/>
          <w:b/>
          <w:bCs/>
          <w:color w:val="auto"/>
          <w:spacing w:val="1"/>
        </w:rPr>
        <w:t>平均气温的月变化</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6"/>
        <w:gridCol w:w="542"/>
        <w:gridCol w:w="625"/>
        <w:gridCol w:w="584"/>
        <w:gridCol w:w="540"/>
        <w:gridCol w:w="584"/>
        <w:gridCol w:w="540"/>
        <w:gridCol w:w="584"/>
        <w:gridCol w:w="584"/>
        <w:gridCol w:w="584"/>
        <w:gridCol w:w="540"/>
        <w:gridCol w:w="535"/>
        <w:gridCol w:w="625"/>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9" w:type="pct"/>
            <w:vAlign w:val="center"/>
          </w:tcPr>
          <w:p>
            <w:pPr>
              <w:pStyle w:val="199"/>
              <w:rPr>
                <w:color w:val="auto"/>
              </w:rPr>
            </w:pPr>
            <w:r>
              <w:rPr>
                <w:rFonts w:hint="eastAsia"/>
                <w:color w:val="auto"/>
              </w:rPr>
              <w:t>月份</w:t>
            </w:r>
          </w:p>
        </w:tc>
        <w:tc>
          <w:tcPr>
            <w:tcW w:w="326" w:type="pct"/>
            <w:vAlign w:val="center"/>
          </w:tcPr>
          <w:p>
            <w:pPr>
              <w:pStyle w:val="199"/>
              <w:rPr>
                <w:color w:val="auto"/>
              </w:rPr>
            </w:pPr>
            <w:r>
              <w:rPr>
                <w:rFonts w:hint="eastAsia"/>
                <w:color w:val="auto"/>
              </w:rPr>
              <w:t>1月</w:t>
            </w:r>
          </w:p>
        </w:tc>
        <w:tc>
          <w:tcPr>
            <w:tcW w:w="376" w:type="pct"/>
            <w:vAlign w:val="center"/>
          </w:tcPr>
          <w:p>
            <w:pPr>
              <w:pStyle w:val="199"/>
              <w:rPr>
                <w:color w:val="auto"/>
              </w:rPr>
            </w:pPr>
            <w:r>
              <w:rPr>
                <w:rFonts w:hint="eastAsia"/>
                <w:color w:val="auto"/>
              </w:rPr>
              <w:t>2月</w:t>
            </w:r>
          </w:p>
        </w:tc>
        <w:tc>
          <w:tcPr>
            <w:tcW w:w="351" w:type="pct"/>
            <w:vAlign w:val="center"/>
          </w:tcPr>
          <w:p>
            <w:pPr>
              <w:pStyle w:val="199"/>
              <w:rPr>
                <w:color w:val="auto"/>
              </w:rPr>
            </w:pPr>
            <w:r>
              <w:rPr>
                <w:rFonts w:hint="eastAsia"/>
                <w:color w:val="auto"/>
              </w:rPr>
              <w:t>3月</w:t>
            </w:r>
          </w:p>
        </w:tc>
        <w:tc>
          <w:tcPr>
            <w:tcW w:w="325" w:type="pct"/>
            <w:vAlign w:val="center"/>
          </w:tcPr>
          <w:p>
            <w:pPr>
              <w:pStyle w:val="199"/>
              <w:rPr>
                <w:color w:val="auto"/>
              </w:rPr>
            </w:pPr>
            <w:r>
              <w:rPr>
                <w:rFonts w:hint="eastAsia"/>
                <w:color w:val="auto"/>
              </w:rPr>
              <w:t>4月</w:t>
            </w:r>
          </w:p>
        </w:tc>
        <w:tc>
          <w:tcPr>
            <w:tcW w:w="351" w:type="pct"/>
            <w:vAlign w:val="center"/>
          </w:tcPr>
          <w:p>
            <w:pPr>
              <w:pStyle w:val="199"/>
              <w:rPr>
                <w:color w:val="auto"/>
              </w:rPr>
            </w:pPr>
            <w:r>
              <w:rPr>
                <w:rFonts w:hint="eastAsia"/>
                <w:color w:val="auto"/>
              </w:rPr>
              <w:t>5月</w:t>
            </w:r>
          </w:p>
        </w:tc>
        <w:tc>
          <w:tcPr>
            <w:tcW w:w="325" w:type="pct"/>
            <w:vAlign w:val="center"/>
          </w:tcPr>
          <w:p>
            <w:pPr>
              <w:pStyle w:val="199"/>
              <w:rPr>
                <w:color w:val="auto"/>
              </w:rPr>
            </w:pPr>
            <w:r>
              <w:rPr>
                <w:rFonts w:hint="eastAsia"/>
                <w:color w:val="auto"/>
              </w:rPr>
              <w:t>6月</w:t>
            </w:r>
          </w:p>
        </w:tc>
        <w:tc>
          <w:tcPr>
            <w:tcW w:w="351" w:type="pct"/>
            <w:vAlign w:val="center"/>
          </w:tcPr>
          <w:p>
            <w:pPr>
              <w:pStyle w:val="199"/>
              <w:rPr>
                <w:color w:val="auto"/>
              </w:rPr>
            </w:pPr>
            <w:r>
              <w:rPr>
                <w:rFonts w:hint="eastAsia"/>
                <w:color w:val="auto"/>
              </w:rPr>
              <w:t>7月</w:t>
            </w:r>
          </w:p>
        </w:tc>
        <w:tc>
          <w:tcPr>
            <w:tcW w:w="351" w:type="pct"/>
            <w:vAlign w:val="center"/>
          </w:tcPr>
          <w:p>
            <w:pPr>
              <w:pStyle w:val="199"/>
              <w:rPr>
                <w:color w:val="auto"/>
              </w:rPr>
            </w:pPr>
            <w:r>
              <w:rPr>
                <w:rFonts w:hint="eastAsia"/>
                <w:color w:val="auto"/>
              </w:rPr>
              <w:t>8月</w:t>
            </w:r>
          </w:p>
        </w:tc>
        <w:tc>
          <w:tcPr>
            <w:tcW w:w="351" w:type="pct"/>
            <w:vAlign w:val="center"/>
          </w:tcPr>
          <w:p>
            <w:pPr>
              <w:pStyle w:val="199"/>
              <w:rPr>
                <w:color w:val="auto"/>
              </w:rPr>
            </w:pPr>
            <w:r>
              <w:rPr>
                <w:rFonts w:hint="eastAsia"/>
                <w:color w:val="auto"/>
              </w:rPr>
              <w:t>9月</w:t>
            </w:r>
          </w:p>
        </w:tc>
        <w:tc>
          <w:tcPr>
            <w:tcW w:w="325" w:type="pct"/>
            <w:vAlign w:val="center"/>
          </w:tcPr>
          <w:p>
            <w:pPr>
              <w:pStyle w:val="199"/>
              <w:rPr>
                <w:color w:val="auto"/>
              </w:rPr>
            </w:pPr>
            <w:r>
              <w:rPr>
                <w:rFonts w:hint="eastAsia"/>
                <w:color w:val="auto"/>
              </w:rPr>
              <w:t>10月</w:t>
            </w:r>
          </w:p>
        </w:tc>
        <w:tc>
          <w:tcPr>
            <w:tcW w:w="322" w:type="pct"/>
            <w:vAlign w:val="center"/>
          </w:tcPr>
          <w:p>
            <w:pPr>
              <w:pStyle w:val="199"/>
              <w:rPr>
                <w:color w:val="auto"/>
              </w:rPr>
            </w:pPr>
            <w:r>
              <w:rPr>
                <w:rFonts w:hint="eastAsia"/>
                <w:color w:val="auto"/>
              </w:rPr>
              <w:t>11月</w:t>
            </w:r>
          </w:p>
        </w:tc>
        <w:tc>
          <w:tcPr>
            <w:tcW w:w="376" w:type="pct"/>
            <w:vAlign w:val="center"/>
          </w:tcPr>
          <w:p>
            <w:pPr>
              <w:pStyle w:val="199"/>
              <w:rPr>
                <w:color w:val="auto"/>
              </w:rPr>
            </w:pPr>
            <w:r>
              <w:rPr>
                <w:rFonts w:hint="eastAsia"/>
                <w:color w:val="auto"/>
              </w:rPr>
              <w:t>12月</w:t>
            </w:r>
          </w:p>
        </w:tc>
        <w:tc>
          <w:tcPr>
            <w:tcW w:w="391" w:type="pct"/>
            <w:vAlign w:val="center"/>
          </w:tcPr>
          <w:p>
            <w:pPr>
              <w:pStyle w:val="199"/>
              <w:rPr>
                <w:color w:val="auto"/>
              </w:rPr>
            </w:pPr>
            <w:r>
              <w:rPr>
                <w:rFonts w:hint="eastAsia"/>
                <w:color w:val="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9" w:type="pct"/>
            <w:vAlign w:val="center"/>
          </w:tcPr>
          <w:p>
            <w:pPr>
              <w:pStyle w:val="199"/>
              <w:rPr>
                <w:color w:val="auto"/>
              </w:rPr>
            </w:pPr>
            <w:r>
              <w:rPr>
                <w:rFonts w:hint="eastAsia"/>
                <w:color w:val="auto"/>
              </w:rPr>
              <w:t>温度</w:t>
            </w:r>
            <w:r>
              <w:rPr>
                <w:rFonts w:hint="eastAsia" w:ascii="宋体" w:hAnsi="宋体"/>
                <w:color w:val="auto"/>
              </w:rPr>
              <w:t>℃</w:t>
            </w:r>
          </w:p>
        </w:tc>
        <w:tc>
          <w:tcPr>
            <w:tcW w:w="326" w:type="pct"/>
            <w:vAlign w:val="center"/>
          </w:tcPr>
          <w:p>
            <w:pPr>
              <w:pStyle w:val="199"/>
              <w:rPr>
                <w:color w:val="auto"/>
              </w:rPr>
            </w:pPr>
            <w:r>
              <w:rPr>
                <w:color w:val="auto"/>
              </w:rPr>
              <w:t xml:space="preserve">9.99 </w:t>
            </w:r>
          </w:p>
        </w:tc>
        <w:tc>
          <w:tcPr>
            <w:tcW w:w="376" w:type="pct"/>
            <w:vAlign w:val="center"/>
          </w:tcPr>
          <w:p>
            <w:pPr>
              <w:pStyle w:val="199"/>
              <w:rPr>
                <w:color w:val="auto"/>
              </w:rPr>
            </w:pPr>
            <w:r>
              <w:rPr>
                <w:color w:val="auto"/>
              </w:rPr>
              <w:t xml:space="preserve">12.77 </w:t>
            </w:r>
          </w:p>
        </w:tc>
        <w:tc>
          <w:tcPr>
            <w:tcW w:w="351" w:type="pct"/>
            <w:vAlign w:val="center"/>
          </w:tcPr>
          <w:p>
            <w:pPr>
              <w:pStyle w:val="199"/>
              <w:rPr>
                <w:color w:val="auto"/>
              </w:rPr>
            </w:pPr>
            <w:r>
              <w:rPr>
                <w:color w:val="auto"/>
              </w:rPr>
              <w:t xml:space="preserve">15.85 </w:t>
            </w:r>
          </w:p>
        </w:tc>
        <w:tc>
          <w:tcPr>
            <w:tcW w:w="325" w:type="pct"/>
            <w:vAlign w:val="center"/>
          </w:tcPr>
          <w:p>
            <w:pPr>
              <w:pStyle w:val="199"/>
              <w:rPr>
                <w:color w:val="auto"/>
              </w:rPr>
            </w:pPr>
            <w:r>
              <w:rPr>
                <w:color w:val="auto"/>
              </w:rPr>
              <w:t xml:space="preserve">18.52 </w:t>
            </w:r>
          </w:p>
        </w:tc>
        <w:tc>
          <w:tcPr>
            <w:tcW w:w="351" w:type="pct"/>
            <w:vAlign w:val="center"/>
          </w:tcPr>
          <w:p>
            <w:pPr>
              <w:pStyle w:val="199"/>
              <w:rPr>
                <w:color w:val="auto"/>
              </w:rPr>
            </w:pPr>
            <w:r>
              <w:rPr>
                <w:color w:val="auto"/>
              </w:rPr>
              <w:t xml:space="preserve">20.59 </w:t>
            </w:r>
          </w:p>
        </w:tc>
        <w:tc>
          <w:tcPr>
            <w:tcW w:w="325" w:type="pct"/>
            <w:vAlign w:val="center"/>
          </w:tcPr>
          <w:p>
            <w:pPr>
              <w:pStyle w:val="199"/>
              <w:rPr>
                <w:color w:val="auto"/>
              </w:rPr>
            </w:pPr>
            <w:r>
              <w:rPr>
                <w:color w:val="auto"/>
              </w:rPr>
              <w:t xml:space="preserve">22.12 </w:t>
            </w:r>
          </w:p>
        </w:tc>
        <w:tc>
          <w:tcPr>
            <w:tcW w:w="351" w:type="pct"/>
            <w:vAlign w:val="center"/>
          </w:tcPr>
          <w:p>
            <w:pPr>
              <w:pStyle w:val="199"/>
              <w:rPr>
                <w:color w:val="auto"/>
              </w:rPr>
            </w:pPr>
            <w:r>
              <w:rPr>
                <w:color w:val="auto"/>
              </w:rPr>
              <w:t xml:space="preserve">21.49 </w:t>
            </w:r>
          </w:p>
        </w:tc>
        <w:tc>
          <w:tcPr>
            <w:tcW w:w="351" w:type="pct"/>
            <w:vAlign w:val="center"/>
          </w:tcPr>
          <w:p>
            <w:pPr>
              <w:pStyle w:val="199"/>
              <w:rPr>
                <w:color w:val="auto"/>
              </w:rPr>
            </w:pPr>
            <w:r>
              <w:rPr>
                <w:color w:val="auto"/>
              </w:rPr>
              <w:t xml:space="preserve">20.84 </w:t>
            </w:r>
          </w:p>
        </w:tc>
        <w:tc>
          <w:tcPr>
            <w:tcW w:w="351" w:type="pct"/>
            <w:vAlign w:val="center"/>
          </w:tcPr>
          <w:p>
            <w:pPr>
              <w:pStyle w:val="199"/>
              <w:rPr>
                <w:color w:val="auto"/>
              </w:rPr>
            </w:pPr>
            <w:r>
              <w:rPr>
                <w:color w:val="auto"/>
              </w:rPr>
              <w:t xml:space="preserve">19.81 </w:t>
            </w:r>
          </w:p>
        </w:tc>
        <w:tc>
          <w:tcPr>
            <w:tcW w:w="325" w:type="pct"/>
            <w:vAlign w:val="center"/>
          </w:tcPr>
          <w:p>
            <w:pPr>
              <w:pStyle w:val="199"/>
              <w:rPr>
                <w:color w:val="auto"/>
              </w:rPr>
            </w:pPr>
            <w:r>
              <w:rPr>
                <w:color w:val="auto"/>
              </w:rPr>
              <w:t xml:space="preserve">17.33 </w:t>
            </w:r>
          </w:p>
        </w:tc>
        <w:tc>
          <w:tcPr>
            <w:tcW w:w="322" w:type="pct"/>
            <w:vAlign w:val="center"/>
          </w:tcPr>
          <w:p>
            <w:pPr>
              <w:pStyle w:val="199"/>
              <w:rPr>
                <w:color w:val="auto"/>
              </w:rPr>
            </w:pPr>
            <w:r>
              <w:rPr>
                <w:color w:val="auto"/>
              </w:rPr>
              <w:t xml:space="preserve">13.10 </w:t>
            </w:r>
          </w:p>
        </w:tc>
        <w:tc>
          <w:tcPr>
            <w:tcW w:w="376" w:type="pct"/>
            <w:vAlign w:val="center"/>
          </w:tcPr>
          <w:p>
            <w:pPr>
              <w:pStyle w:val="199"/>
              <w:rPr>
                <w:color w:val="auto"/>
              </w:rPr>
            </w:pPr>
            <w:r>
              <w:rPr>
                <w:color w:val="auto"/>
              </w:rPr>
              <w:t xml:space="preserve">10.08 </w:t>
            </w:r>
          </w:p>
        </w:tc>
        <w:tc>
          <w:tcPr>
            <w:tcW w:w="391" w:type="pct"/>
            <w:vAlign w:val="center"/>
          </w:tcPr>
          <w:p>
            <w:pPr>
              <w:pStyle w:val="199"/>
              <w:rPr>
                <w:color w:val="auto"/>
              </w:rPr>
            </w:pPr>
            <w:r>
              <w:rPr>
                <w:color w:val="auto"/>
              </w:rPr>
              <w:t xml:space="preserve">16.87 </w:t>
            </w:r>
          </w:p>
        </w:tc>
      </w:tr>
    </w:tbl>
    <w:p>
      <w:pPr>
        <w:adjustRightInd w:val="0"/>
        <w:snapToGrid w:val="0"/>
        <w:spacing w:beforeLines="50" w:line="360" w:lineRule="auto"/>
        <w:ind w:firstLine="482"/>
        <w:rPr>
          <w:snapToGrid w:val="0"/>
          <w:color w:val="auto"/>
        </w:rPr>
      </w:pPr>
      <w:r>
        <w:rPr>
          <w:rFonts w:hint="eastAsia"/>
          <w:snapToGrid w:val="0"/>
          <w:color w:val="auto"/>
        </w:rPr>
        <w:t>2、相对湿度</w:t>
      </w:r>
    </w:p>
    <w:p>
      <w:pPr>
        <w:adjustRightInd w:val="0"/>
        <w:snapToGrid w:val="0"/>
        <w:spacing w:line="360" w:lineRule="auto"/>
        <w:ind w:firstLine="482"/>
        <w:rPr>
          <w:snapToGrid w:val="0"/>
          <w:color w:val="auto"/>
        </w:rPr>
      </w:pPr>
      <w:r>
        <w:rPr>
          <w:rFonts w:hint="eastAsia"/>
          <w:snapToGrid w:val="0"/>
          <w:color w:val="auto"/>
        </w:rPr>
        <w:t>楚雄市</w:t>
      </w:r>
      <w:r>
        <w:rPr>
          <w:snapToGrid w:val="0"/>
          <w:color w:val="auto"/>
        </w:rPr>
        <w:t>年平均相对湿度为</w:t>
      </w:r>
      <w:r>
        <w:rPr>
          <w:rFonts w:hint="eastAsia"/>
          <w:snapToGrid w:val="0"/>
          <w:color w:val="auto"/>
        </w:rPr>
        <w:t>66.45</w:t>
      </w:r>
      <w:r>
        <w:rPr>
          <w:snapToGrid w:val="0"/>
          <w:color w:val="auto"/>
        </w:rPr>
        <w:t>%。</w:t>
      </w:r>
      <w:r>
        <w:rPr>
          <w:rFonts w:hint="eastAsia"/>
          <w:snapToGrid w:val="0"/>
          <w:color w:val="auto"/>
        </w:rPr>
        <w:t>秋、冬季</w:t>
      </w:r>
      <w:r>
        <w:rPr>
          <w:snapToGrid w:val="0"/>
          <w:color w:val="auto"/>
        </w:rPr>
        <w:t>月相对湿度</w:t>
      </w:r>
      <w:r>
        <w:rPr>
          <w:rFonts w:hint="eastAsia"/>
          <w:snapToGrid w:val="0"/>
          <w:color w:val="auto"/>
        </w:rPr>
        <w:t>较高，春季</w:t>
      </w:r>
      <w:r>
        <w:rPr>
          <w:snapToGrid w:val="0"/>
          <w:color w:val="auto"/>
        </w:rPr>
        <w:t>相对湿度</w:t>
      </w:r>
      <w:r>
        <w:rPr>
          <w:rFonts w:hint="eastAsia"/>
          <w:snapToGrid w:val="0"/>
          <w:color w:val="auto"/>
        </w:rPr>
        <w:t>偏低</w:t>
      </w:r>
      <w:r>
        <w:rPr>
          <w:snapToGrid w:val="0"/>
          <w:color w:val="auto"/>
        </w:rPr>
        <w:t>。</w:t>
      </w:r>
      <w:r>
        <w:rPr>
          <w:rFonts w:hint="eastAsia"/>
          <w:snapToGrid w:val="0"/>
          <w:color w:val="auto"/>
        </w:rPr>
        <w:t>楚雄市累年平均相对湿度统计见下表。</w:t>
      </w:r>
    </w:p>
    <w:p>
      <w:pPr>
        <w:numPr>
          <w:ilvl w:val="0"/>
          <w:numId w:val="9"/>
        </w:numPr>
        <w:ind w:left="0" w:leftChars="0" w:firstLine="0" w:firstLineChars="0"/>
        <w:jc w:val="center"/>
        <w:rPr>
          <w:b/>
          <w:bCs/>
          <w:color w:val="auto"/>
          <w:spacing w:val="1"/>
        </w:rPr>
      </w:pPr>
      <w:r>
        <w:rPr>
          <w:rFonts w:hint="eastAsia"/>
          <w:b/>
          <w:bCs/>
          <w:color w:val="auto"/>
          <w:spacing w:val="1"/>
        </w:rPr>
        <w:t>楚雄市</w:t>
      </w:r>
      <w:r>
        <w:rPr>
          <w:rFonts w:hint="eastAsia"/>
          <w:b/>
          <w:color w:val="auto"/>
          <w:kern w:val="21"/>
          <w:szCs w:val="20"/>
        </w:rPr>
        <w:t>2001</w:t>
      </w:r>
      <w:r>
        <w:rPr>
          <w:rFonts w:hint="eastAsia"/>
          <w:b/>
          <w:bCs/>
          <w:color w:val="auto"/>
          <w:spacing w:val="1"/>
        </w:rPr>
        <w:t>-2020</w:t>
      </w:r>
      <w:r>
        <w:rPr>
          <w:b/>
          <w:bCs/>
          <w:color w:val="auto"/>
          <w:spacing w:val="1"/>
        </w:rPr>
        <w:t>年</w:t>
      </w:r>
      <w:r>
        <w:rPr>
          <w:rFonts w:hint="eastAsia"/>
          <w:b/>
          <w:bCs/>
          <w:color w:val="auto"/>
          <w:spacing w:val="1"/>
        </w:rPr>
        <w:t>平均湿度的月变化</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7"/>
        <w:gridCol w:w="542"/>
        <w:gridCol w:w="625"/>
        <w:gridCol w:w="582"/>
        <w:gridCol w:w="541"/>
        <w:gridCol w:w="582"/>
        <w:gridCol w:w="541"/>
        <w:gridCol w:w="582"/>
        <w:gridCol w:w="582"/>
        <w:gridCol w:w="582"/>
        <w:gridCol w:w="541"/>
        <w:gridCol w:w="541"/>
        <w:gridCol w:w="624"/>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9" w:type="pct"/>
            <w:vAlign w:val="center"/>
          </w:tcPr>
          <w:p>
            <w:pPr>
              <w:pStyle w:val="199"/>
              <w:rPr>
                <w:color w:val="auto"/>
              </w:rPr>
            </w:pPr>
            <w:r>
              <w:rPr>
                <w:rFonts w:hint="eastAsia"/>
                <w:color w:val="auto"/>
              </w:rPr>
              <w:t>月份</w:t>
            </w:r>
          </w:p>
        </w:tc>
        <w:tc>
          <w:tcPr>
            <w:tcW w:w="326" w:type="pct"/>
            <w:vAlign w:val="center"/>
          </w:tcPr>
          <w:p>
            <w:pPr>
              <w:pStyle w:val="199"/>
              <w:rPr>
                <w:color w:val="auto"/>
              </w:rPr>
            </w:pPr>
            <w:r>
              <w:rPr>
                <w:rFonts w:hint="eastAsia"/>
                <w:color w:val="auto"/>
              </w:rPr>
              <w:t>1月</w:t>
            </w:r>
          </w:p>
        </w:tc>
        <w:tc>
          <w:tcPr>
            <w:tcW w:w="376" w:type="pct"/>
            <w:vAlign w:val="center"/>
          </w:tcPr>
          <w:p>
            <w:pPr>
              <w:pStyle w:val="199"/>
              <w:rPr>
                <w:color w:val="auto"/>
              </w:rPr>
            </w:pPr>
            <w:r>
              <w:rPr>
                <w:rFonts w:hint="eastAsia"/>
                <w:color w:val="auto"/>
              </w:rPr>
              <w:t>2月</w:t>
            </w:r>
          </w:p>
        </w:tc>
        <w:tc>
          <w:tcPr>
            <w:tcW w:w="350" w:type="pct"/>
            <w:vAlign w:val="center"/>
          </w:tcPr>
          <w:p>
            <w:pPr>
              <w:pStyle w:val="199"/>
              <w:rPr>
                <w:color w:val="auto"/>
              </w:rPr>
            </w:pPr>
            <w:r>
              <w:rPr>
                <w:rFonts w:hint="eastAsia"/>
                <w:color w:val="auto"/>
              </w:rPr>
              <w:t>3月</w:t>
            </w:r>
          </w:p>
        </w:tc>
        <w:tc>
          <w:tcPr>
            <w:tcW w:w="325" w:type="pct"/>
            <w:vAlign w:val="center"/>
          </w:tcPr>
          <w:p>
            <w:pPr>
              <w:pStyle w:val="199"/>
              <w:rPr>
                <w:color w:val="auto"/>
              </w:rPr>
            </w:pPr>
            <w:r>
              <w:rPr>
                <w:rFonts w:hint="eastAsia"/>
                <w:color w:val="auto"/>
              </w:rPr>
              <w:t>4月</w:t>
            </w:r>
          </w:p>
        </w:tc>
        <w:tc>
          <w:tcPr>
            <w:tcW w:w="350" w:type="pct"/>
            <w:vAlign w:val="center"/>
          </w:tcPr>
          <w:p>
            <w:pPr>
              <w:pStyle w:val="199"/>
              <w:rPr>
                <w:color w:val="auto"/>
              </w:rPr>
            </w:pPr>
            <w:r>
              <w:rPr>
                <w:rFonts w:hint="eastAsia"/>
                <w:color w:val="auto"/>
              </w:rPr>
              <w:t>5月</w:t>
            </w:r>
          </w:p>
        </w:tc>
        <w:tc>
          <w:tcPr>
            <w:tcW w:w="325" w:type="pct"/>
            <w:vAlign w:val="center"/>
          </w:tcPr>
          <w:p>
            <w:pPr>
              <w:pStyle w:val="199"/>
              <w:rPr>
                <w:color w:val="auto"/>
              </w:rPr>
            </w:pPr>
            <w:r>
              <w:rPr>
                <w:rFonts w:hint="eastAsia"/>
                <w:color w:val="auto"/>
              </w:rPr>
              <w:t>6月</w:t>
            </w:r>
          </w:p>
        </w:tc>
        <w:tc>
          <w:tcPr>
            <w:tcW w:w="350" w:type="pct"/>
            <w:vAlign w:val="center"/>
          </w:tcPr>
          <w:p>
            <w:pPr>
              <w:pStyle w:val="199"/>
              <w:rPr>
                <w:color w:val="auto"/>
              </w:rPr>
            </w:pPr>
            <w:r>
              <w:rPr>
                <w:rFonts w:hint="eastAsia"/>
                <w:color w:val="auto"/>
              </w:rPr>
              <w:t>7月</w:t>
            </w:r>
          </w:p>
        </w:tc>
        <w:tc>
          <w:tcPr>
            <w:tcW w:w="350" w:type="pct"/>
            <w:vAlign w:val="center"/>
          </w:tcPr>
          <w:p>
            <w:pPr>
              <w:pStyle w:val="199"/>
              <w:rPr>
                <w:color w:val="auto"/>
              </w:rPr>
            </w:pPr>
            <w:r>
              <w:rPr>
                <w:rFonts w:hint="eastAsia"/>
                <w:color w:val="auto"/>
              </w:rPr>
              <w:t>8月</w:t>
            </w:r>
          </w:p>
        </w:tc>
        <w:tc>
          <w:tcPr>
            <w:tcW w:w="350" w:type="pct"/>
            <w:vAlign w:val="center"/>
          </w:tcPr>
          <w:p>
            <w:pPr>
              <w:pStyle w:val="199"/>
              <w:rPr>
                <w:color w:val="auto"/>
              </w:rPr>
            </w:pPr>
            <w:r>
              <w:rPr>
                <w:rFonts w:hint="eastAsia"/>
                <w:color w:val="auto"/>
              </w:rPr>
              <w:t>9月</w:t>
            </w:r>
          </w:p>
        </w:tc>
        <w:tc>
          <w:tcPr>
            <w:tcW w:w="325" w:type="pct"/>
            <w:vAlign w:val="center"/>
          </w:tcPr>
          <w:p>
            <w:pPr>
              <w:pStyle w:val="199"/>
              <w:rPr>
                <w:color w:val="auto"/>
              </w:rPr>
            </w:pPr>
            <w:r>
              <w:rPr>
                <w:rFonts w:hint="eastAsia"/>
                <w:color w:val="auto"/>
              </w:rPr>
              <w:t>10月</w:t>
            </w:r>
          </w:p>
        </w:tc>
        <w:tc>
          <w:tcPr>
            <w:tcW w:w="325" w:type="pct"/>
            <w:vAlign w:val="center"/>
          </w:tcPr>
          <w:p>
            <w:pPr>
              <w:pStyle w:val="199"/>
              <w:rPr>
                <w:color w:val="auto"/>
              </w:rPr>
            </w:pPr>
            <w:r>
              <w:rPr>
                <w:rFonts w:hint="eastAsia"/>
                <w:color w:val="auto"/>
              </w:rPr>
              <w:t>11月</w:t>
            </w:r>
          </w:p>
        </w:tc>
        <w:tc>
          <w:tcPr>
            <w:tcW w:w="375" w:type="pct"/>
            <w:vAlign w:val="center"/>
          </w:tcPr>
          <w:p>
            <w:pPr>
              <w:pStyle w:val="199"/>
              <w:rPr>
                <w:color w:val="auto"/>
              </w:rPr>
            </w:pPr>
            <w:r>
              <w:rPr>
                <w:rFonts w:hint="eastAsia"/>
                <w:color w:val="auto"/>
              </w:rPr>
              <w:t>12月</w:t>
            </w:r>
          </w:p>
        </w:tc>
        <w:tc>
          <w:tcPr>
            <w:tcW w:w="392" w:type="pct"/>
            <w:vAlign w:val="center"/>
          </w:tcPr>
          <w:p>
            <w:pPr>
              <w:pStyle w:val="199"/>
              <w:rPr>
                <w:color w:val="auto"/>
              </w:rPr>
            </w:pPr>
            <w:r>
              <w:rPr>
                <w:rFonts w:hint="eastAsia"/>
                <w:color w:val="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9" w:type="pct"/>
            <w:vAlign w:val="center"/>
          </w:tcPr>
          <w:p>
            <w:pPr>
              <w:pStyle w:val="199"/>
              <w:rPr>
                <w:color w:val="auto"/>
              </w:rPr>
            </w:pPr>
            <w:r>
              <w:rPr>
                <w:rFonts w:hint="eastAsia"/>
                <w:color w:val="auto"/>
              </w:rPr>
              <w:t>湿度%</w:t>
            </w:r>
          </w:p>
        </w:tc>
        <w:tc>
          <w:tcPr>
            <w:tcW w:w="326" w:type="pct"/>
            <w:vAlign w:val="center"/>
          </w:tcPr>
          <w:p>
            <w:pPr>
              <w:pStyle w:val="199"/>
              <w:rPr>
                <w:color w:val="auto"/>
              </w:rPr>
            </w:pPr>
            <w:r>
              <w:rPr>
                <w:color w:val="auto"/>
              </w:rPr>
              <w:t xml:space="preserve">64.14 </w:t>
            </w:r>
          </w:p>
        </w:tc>
        <w:tc>
          <w:tcPr>
            <w:tcW w:w="376" w:type="pct"/>
            <w:vAlign w:val="center"/>
          </w:tcPr>
          <w:p>
            <w:pPr>
              <w:pStyle w:val="199"/>
              <w:rPr>
                <w:color w:val="auto"/>
              </w:rPr>
            </w:pPr>
            <w:r>
              <w:rPr>
                <w:color w:val="auto"/>
              </w:rPr>
              <w:t xml:space="preserve">51.66 </w:t>
            </w:r>
          </w:p>
        </w:tc>
        <w:tc>
          <w:tcPr>
            <w:tcW w:w="350" w:type="pct"/>
            <w:vAlign w:val="center"/>
          </w:tcPr>
          <w:p>
            <w:pPr>
              <w:pStyle w:val="199"/>
              <w:rPr>
                <w:color w:val="auto"/>
              </w:rPr>
            </w:pPr>
            <w:r>
              <w:rPr>
                <w:color w:val="auto"/>
              </w:rPr>
              <w:t xml:space="preserve">47.77 </w:t>
            </w:r>
          </w:p>
        </w:tc>
        <w:tc>
          <w:tcPr>
            <w:tcW w:w="325" w:type="pct"/>
            <w:vAlign w:val="center"/>
          </w:tcPr>
          <w:p>
            <w:pPr>
              <w:pStyle w:val="199"/>
              <w:rPr>
                <w:color w:val="auto"/>
              </w:rPr>
            </w:pPr>
            <w:r>
              <w:rPr>
                <w:color w:val="auto"/>
              </w:rPr>
              <w:t xml:space="preserve">49.09 </w:t>
            </w:r>
          </w:p>
        </w:tc>
        <w:tc>
          <w:tcPr>
            <w:tcW w:w="350" w:type="pct"/>
            <w:vAlign w:val="center"/>
          </w:tcPr>
          <w:p>
            <w:pPr>
              <w:pStyle w:val="199"/>
              <w:rPr>
                <w:color w:val="auto"/>
              </w:rPr>
            </w:pPr>
            <w:r>
              <w:rPr>
                <w:color w:val="auto"/>
              </w:rPr>
              <w:t xml:space="preserve">61.27 </w:t>
            </w:r>
          </w:p>
        </w:tc>
        <w:tc>
          <w:tcPr>
            <w:tcW w:w="325" w:type="pct"/>
            <w:vAlign w:val="center"/>
          </w:tcPr>
          <w:p>
            <w:pPr>
              <w:pStyle w:val="199"/>
              <w:rPr>
                <w:color w:val="auto"/>
              </w:rPr>
            </w:pPr>
            <w:r>
              <w:rPr>
                <w:color w:val="auto"/>
              </w:rPr>
              <w:t xml:space="preserve">69.17 </w:t>
            </w:r>
          </w:p>
        </w:tc>
        <w:tc>
          <w:tcPr>
            <w:tcW w:w="350" w:type="pct"/>
            <w:vAlign w:val="center"/>
          </w:tcPr>
          <w:p>
            <w:pPr>
              <w:pStyle w:val="199"/>
              <w:rPr>
                <w:color w:val="auto"/>
              </w:rPr>
            </w:pPr>
            <w:r>
              <w:rPr>
                <w:color w:val="auto"/>
              </w:rPr>
              <w:t xml:space="preserve">76.16 </w:t>
            </w:r>
          </w:p>
        </w:tc>
        <w:tc>
          <w:tcPr>
            <w:tcW w:w="350" w:type="pct"/>
            <w:vAlign w:val="center"/>
          </w:tcPr>
          <w:p>
            <w:pPr>
              <w:pStyle w:val="199"/>
              <w:rPr>
                <w:color w:val="auto"/>
              </w:rPr>
            </w:pPr>
            <w:r>
              <w:rPr>
                <w:color w:val="auto"/>
              </w:rPr>
              <w:t xml:space="preserve">79.31 </w:t>
            </w:r>
          </w:p>
        </w:tc>
        <w:tc>
          <w:tcPr>
            <w:tcW w:w="350" w:type="pct"/>
            <w:vAlign w:val="center"/>
          </w:tcPr>
          <w:p>
            <w:pPr>
              <w:pStyle w:val="199"/>
              <w:rPr>
                <w:color w:val="auto"/>
              </w:rPr>
            </w:pPr>
            <w:r>
              <w:rPr>
                <w:color w:val="auto"/>
              </w:rPr>
              <w:t xml:space="preserve">78.45 </w:t>
            </w:r>
          </w:p>
        </w:tc>
        <w:tc>
          <w:tcPr>
            <w:tcW w:w="325" w:type="pct"/>
            <w:vAlign w:val="center"/>
          </w:tcPr>
          <w:p>
            <w:pPr>
              <w:pStyle w:val="199"/>
              <w:rPr>
                <w:color w:val="auto"/>
              </w:rPr>
            </w:pPr>
            <w:r>
              <w:rPr>
                <w:color w:val="auto"/>
              </w:rPr>
              <w:t xml:space="preserve">77.54 </w:t>
            </w:r>
          </w:p>
        </w:tc>
        <w:tc>
          <w:tcPr>
            <w:tcW w:w="325" w:type="pct"/>
            <w:vAlign w:val="center"/>
          </w:tcPr>
          <w:p>
            <w:pPr>
              <w:pStyle w:val="199"/>
              <w:rPr>
                <w:color w:val="auto"/>
              </w:rPr>
            </w:pPr>
            <w:r>
              <w:rPr>
                <w:color w:val="auto"/>
              </w:rPr>
              <w:t xml:space="preserve">71.24 </w:t>
            </w:r>
          </w:p>
        </w:tc>
        <w:tc>
          <w:tcPr>
            <w:tcW w:w="375" w:type="pct"/>
            <w:vAlign w:val="center"/>
          </w:tcPr>
          <w:p>
            <w:pPr>
              <w:pStyle w:val="199"/>
              <w:rPr>
                <w:color w:val="auto"/>
              </w:rPr>
            </w:pPr>
            <w:r>
              <w:rPr>
                <w:color w:val="auto"/>
              </w:rPr>
              <w:t xml:space="preserve">71.61 </w:t>
            </w:r>
          </w:p>
        </w:tc>
        <w:tc>
          <w:tcPr>
            <w:tcW w:w="392" w:type="pct"/>
            <w:vAlign w:val="center"/>
          </w:tcPr>
          <w:p>
            <w:pPr>
              <w:pStyle w:val="199"/>
              <w:rPr>
                <w:color w:val="auto"/>
              </w:rPr>
            </w:pPr>
            <w:r>
              <w:rPr>
                <w:color w:val="auto"/>
              </w:rPr>
              <w:t xml:space="preserve">66.45 </w:t>
            </w:r>
          </w:p>
        </w:tc>
      </w:tr>
    </w:tbl>
    <w:p>
      <w:pPr>
        <w:adjustRightInd w:val="0"/>
        <w:snapToGrid w:val="0"/>
        <w:spacing w:beforeLines="50" w:line="360" w:lineRule="auto"/>
        <w:ind w:firstLine="482"/>
        <w:rPr>
          <w:snapToGrid w:val="0"/>
          <w:color w:val="auto"/>
        </w:rPr>
      </w:pPr>
      <w:r>
        <w:rPr>
          <w:rFonts w:hint="eastAsia"/>
          <w:snapToGrid w:val="0"/>
          <w:color w:val="auto"/>
        </w:rPr>
        <w:t>3、</w:t>
      </w:r>
      <w:r>
        <w:rPr>
          <w:snapToGrid w:val="0"/>
          <w:color w:val="auto"/>
        </w:rPr>
        <w:t>降水</w:t>
      </w:r>
    </w:p>
    <w:p>
      <w:pPr>
        <w:adjustRightInd w:val="0"/>
        <w:snapToGrid w:val="0"/>
        <w:spacing w:line="360" w:lineRule="auto"/>
        <w:ind w:firstLine="482"/>
        <w:rPr>
          <w:rFonts w:hint="eastAsia"/>
          <w:snapToGrid w:val="0"/>
          <w:color w:val="auto"/>
        </w:rPr>
      </w:pPr>
      <w:r>
        <w:rPr>
          <w:rFonts w:hint="eastAsia"/>
          <w:snapToGrid w:val="0"/>
          <w:color w:val="auto"/>
        </w:rPr>
        <w:t>楚雄市</w:t>
      </w:r>
      <w:r>
        <w:rPr>
          <w:snapToGrid w:val="0"/>
          <w:color w:val="auto"/>
        </w:rPr>
        <w:t>降水集中于夏季，</w:t>
      </w:r>
      <w:r>
        <w:rPr>
          <w:rFonts w:hint="eastAsia"/>
          <w:snapToGrid w:val="0"/>
          <w:color w:val="auto"/>
        </w:rPr>
        <w:t>2月份降水量最低为6.52mm，8月份降水量最高为198.77mm，</w:t>
      </w:r>
      <w:r>
        <w:rPr>
          <w:snapToGrid w:val="0"/>
          <w:color w:val="auto"/>
        </w:rPr>
        <w:t>全年降水量</w:t>
      </w:r>
      <w:r>
        <w:rPr>
          <w:rFonts w:hint="eastAsia"/>
          <w:snapToGrid w:val="0"/>
          <w:color w:val="auto"/>
        </w:rPr>
        <w:t>为872.77mm</w:t>
      </w:r>
      <w:r>
        <w:rPr>
          <w:snapToGrid w:val="0"/>
          <w:color w:val="auto"/>
        </w:rPr>
        <w:t>。</w:t>
      </w:r>
      <w:r>
        <w:rPr>
          <w:rFonts w:hint="eastAsia"/>
          <w:snapToGrid w:val="0"/>
          <w:color w:val="auto"/>
        </w:rPr>
        <w:t>楚雄市累年平均降水统计见下表。</w:t>
      </w:r>
    </w:p>
    <w:p>
      <w:pPr>
        <w:pStyle w:val="23"/>
        <w:rPr>
          <w:rFonts w:hint="eastAsia"/>
          <w:snapToGrid w:val="0"/>
          <w:color w:val="auto"/>
        </w:rPr>
      </w:pPr>
    </w:p>
    <w:p>
      <w:pPr>
        <w:pStyle w:val="23"/>
        <w:rPr>
          <w:rFonts w:hint="eastAsia"/>
          <w:snapToGrid w:val="0"/>
          <w:color w:val="auto"/>
        </w:rPr>
      </w:pPr>
    </w:p>
    <w:p>
      <w:pPr>
        <w:numPr>
          <w:ilvl w:val="0"/>
          <w:numId w:val="9"/>
        </w:numPr>
        <w:ind w:left="0" w:leftChars="0" w:firstLine="0" w:firstLineChars="0"/>
        <w:jc w:val="center"/>
        <w:rPr>
          <w:b/>
          <w:bCs/>
          <w:color w:val="auto"/>
          <w:spacing w:val="1"/>
        </w:rPr>
      </w:pPr>
      <w:r>
        <w:rPr>
          <w:rFonts w:hint="eastAsia"/>
          <w:b/>
          <w:color w:val="auto"/>
          <w:kern w:val="21"/>
          <w:szCs w:val="20"/>
        </w:rPr>
        <w:t>楚雄市</w:t>
      </w:r>
      <w:r>
        <w:rPr>
          <w:rFonts w:hint="eastAsia"/>
          <w:b/>
          <w:bCs/>
          <w:color w:val="auto"/>
          <w:spacing w:val="1"/>
        </w:rPr>
        <w:t>2001-2020</w:t>
      </w:r>
      <w:r>
        <w:rPr>
          <w:b/>
          <w:bCs/>
          <w:color w:val="auto"/>
          <w:spacing w:val="1"/>
        </w:rPr>
        <w:t>年</w:t>
      </w:r>
      <w:r>
        <w:rPr>
          <w:rFonts w:hint="eastAsia"/>
          <w:b/>
          <w:bCs/>
          <w:color w:val="auto"/>
          <w:spacing w:val="1"/>
        </w:rPr>
        <w:t>平均降水的月变化</w:t>
      </w:r>
    </w:p>
    <w:tbl>
      <w:tblPr>
        <w:tblStyle w:val="51"/>
        <w:tblW w:w="51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6"/>
        <w:gridCol w:w="536"/>
        <w:gridCol w:w="536"/>
        <w:gridCol w:w="536"/>
        <w:gridCol w:w="536"/>
        <w:gridCol w:w="639"/>
        <w:gridCol w:w="639"/>
        <w:gridCol w:w="639"/>
        <w:gridCol w:w="639"/>
        <w:gridCol w:w="639"/>
        <w:gridCol w:w="536"/>
        <w:gridCol w:w="536"/>
        <w:gridCol w:w="536"/>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Align w:val="center"/>
          </w:tcPr>
          <w:p>
            <w:pPr>
              <w:pStyle w:val="199"/>
              <w:rPr>
                <w:color w:val="auto"/>
              </w:rPr>
            </w:pPr>
            <w:r>
              <w:rPr>
                <w:rFonts w:hint="eastAsia"/>
                <w:color w:val="auto"/>
              </w:rPr>
              <w:t>月份</w:t>
            </w:r>
          </w:p>
        </w:tc>
        <w:tc>
          <w:tcPr>
            <w:tcW w:w="310" w:type="pct"/>
            <w:vAlign w:val="center"/>
          </w:tcPr>
          <w:p>
            <w:pPr>
              <w:pStyle w:val="199"/>
              <w:rPr>
                <w:color w:val="auto"/>
              </w:rPr>
            </w:pPr>
            <w:r>
              <w:rPr>
                <w:rFonts w:hint="eastAsia"/>
                <w:color w:val="auto"/>
              </w:rPr>
              <w:t>1月</w:t>
            </w:r>
          </w:p>
        </w:tc>
        <w:tc>
          <w:tcPr>
            <w:tcW w:w="310" w:type="pct"/>
            <w:vAlign w:val="center"/>
          </w:tcPr>
          <w:p>
            <w:pPr>
              <w:pStyle w:val="199"/>
              <w:rPr>
                <w:color w:val="auto"/>
              </w:rPr>
            </w:pPr>
            <w:r>
              <w:rPr>
                <w:rFonts w:hint="eastAsia"/>
                <w:color w:val="auto"/>
              </w:rPr>
              <w:t>2月</w:t>
            </w:r>
          </w:p>
        </w:tc>
        <w:tc>
          <w:tcPr>
            <w:tcW w:w="310" w:type="pct"/>
            <w:vAlign w:val="center"/>
          </w:tcPr>
          <w:p>
            <w:pPr>
              <w:pStyle w:val="199"/>
              <w:rPr>
                <w:color w:val="auto"/>
              </w:rPr>
            </w:pPr>
            <w:r>
              <w:rPr>
                <w:rFonts w:hint="eastAsia"/>
                <w:color w:val="auto"/>
              </w:rPr>
              <w:t>3月</w:t>
            </w:r>
          </w:p>
        </w:tc>
        <w:tc>
          <w:tcPr>
            <w:tcW w:w="310" w:type="pct"/>
            <w:vAlign w:val="center"/>
          </w:tcPr>
          <w:p>
            <w:pPr>
              <w:pStyle w:val="199"/>
              <w:rPr>
                <w:color w:val="auto"/>
              </w:rPr>
            </w:pPr>
            <w:r>
              <w:rPr>
                <w:rFonts w:hint="eastAsia"/>
                <w:color w:val="auto"/>
              </w:rPr>
              <w:t>4月</w:t>
            </w:r>
          </w:p>
        </w:tc>
        <w:tc>
          <w:tcPr>
            <w:tcW w:w="370" w:type="pct"/>
            <w:vAlign w:val="center"/>
          </w:tcPr>
          <w:p>
            <w:pPr>
              <w:pStyle w:val="199"/>
              <w:rPr>
                <w:color w:val="auto"/>
              </w:rPr>
            </w:pPr>
            <w:r>
              <w:rPr>
                <w:rFonts w:hint="eastAsia"/>
                <w:color w:val="auto"/>
              </w:rPr>
              <w:t>5月</w:t>
            </w:r>
          </w:p>
        </w:tc>
        <w:tc>
          <w:tcPr>
            <w:tcW w:w="370" w:type="pct"/>
            <w:vAlign w:val="center"/>
          </w:tcPr>
          <w:p>
            <w:pPr>
              <w:pStyle w:val="199"/>
              <w:rPr>
                <w:color w:val="auto"/>
              </w:rPr>
            </w:pPr>
            <w:r>
              <w:rPr>
                <w:rFonts w:hint="eastAsia"/>
                <w:color w:val="auto"/>
              </w:rPr>
              <w:t>6月</w:t>
            </w:r>
          </w:p>
        </w:tc>
        <w:tc>
          <w:tcPr>
            <w:tcW w:w="370" w:type="pct"/>
            <w:vAlign w:val="center"/>
          </w:tcPr>
          <w:p>
            <w:pPr>
              <w:pStyle w:val="199"/>
              <w:rPr>
                <w:color w:val="auto"/>
              </w:rPr>
            </w:pPr>
            <w:r>
              <w:rPr>
                <w:rFonts w:hint="eastAsia"/>
                <w:color w:val="auto"/>
              </w:rPr>
              <w:t>7月</w:t>
            </w:r>
          </w:p>
        </w:tc>
        <w:tc>
          <w:tcPr>
            <w:tcW w:w="370" w:type="pct"/>
            <w:vAlign w:val="center"/>
          </w:tcPr>
          <w:p>
            <w:pPr>
              <w:pStyle w:val="199"/>
              <w:rPr>
                <w:color w:val="auto"/>
              </w:rPr>
            </w:pPr>
            <w:r>
              <w:rPr>
                <w:rFonts w:hint="eastAsia"/>
                <w:color w:val="auto"/>
              </w:rPr>
              <w:t>8月</w:t>
            </w:r>
          </w:p>
        </w:tc>
        <w:tc>
          <w:tcPr>
            <w:tcW w:w="370" w:type="pct"/>
            <w:vAlign w:val="center"/>
          </w:tcPr>
          <w:p>
            <w:pPr>
              <w:pStyle w:val="199"/>
              <w:rPr>
                <w:color w:val="auto"/>
              </w:rPr>
            </w:pPr>
            <w:r>
              <w:rPr>
                <w:rFonts w:hint="eastAsia"/>
                <w:color w:val="auto"/>
              </w:rPr>
              <w:t>9月</w:t>
            </w:r>
          </w:p>
        </w:tc>
        <w:tc>
          <w:tcPr>
            <w:tcW w:w="310" w:type="pct"/>
            <w:vAlign w:val="center"/>
          </w:tcPr>
          <w:p>
            <w:pPr>
              <w:pStyle w:val="199"/>
              <w:rPr>
                <w:color w:val="auto"/>
              </w:rPr>
            </w:pPr>
            <w:r>
              <w:rPr>
                <w:rFonts w:hint="eastAsia"/>
                <w:color w:val="auto"/>
              </w:rPr>
              <w:t>10月</w:t>
            </w:r>
          </w:p>
        </w:tc>
        <w:tc>
          <w:tcPr>
            <w:tcW w:w="310" w:type="pct"/>
            <w:vAlign w:val="center"/>
          </w:tcPr>
          <w:p>
            <w:pPr>
              <w:pStyle w:val="199"/>
              <w:rPr>
                <w:color w:val="auto"/>
              </w:rPr>
            </w:pPr>
            <w:r>
              <w:rPr>
                <w:rFonts w:hint="eastAsia"/>
                <w:color w:val="auto"/>
              </w:rPr>
              <w:t>11月</w:t>
            </w:r>
          </w:p>
        </w:tc>
        <w:tc>
          <w:tcPr>
            <w:tcW w:w="310" w:type="pct"/>
            <w:vAlign w:val="center"/>
          </w:tcPr>
          <w:p>
            <w:pPr>
              <w:pStyle w:val="199"/>
              <w:rPr>
                <w:color w:val="auto"/>
              </w:rPr>
            </w:pPr>
            <w:r>
              <w:rPr>
                <w:rFonts w:hint="eastAsia"/>
                <w:color w:val="auto"/>
              </w:rPr>
              <w:t>12月</w:t>
            </w:r>
          </w:p>
        </w:tc>
        <w:tc>
          <w:tcPr>
            <w:tcW w:w="367" w:type="pct"/>
            <w:vAlign w:val="center"/>
          </w:tcPr>
          <w:p>
            <w:pPr>
              <w:pStyle w:val="199"/>
              <w:rPr>
                <w:color w:val="auto"/>
              </w:rPr>
            </w:pPr>
            <w:r>
              <w:rPr>
                <w:rFonts w:hint="eastAsia"/>
                <w:color w:val="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Align w:val="center"/>
          </w:tcPr>
          <w:p>
            <w:pPr>
              <w:pStyle w:val="199"/>
              <w:rPr>
                <w:color w:val="auto"/>
              </w:rPr>
            </w:pPr>
            <w:r>
              <w:rPr>
                <w:rFonts w:hint="eastAsia"/>
                <w:color w:val="auto"/>
              </w:rPr>
              <w:t>降水量mm</w:t>
            </w:r>
          </w:p>
        </w:tc>
        <w:tc>
          <w:tcPr>
            <w:tcW w:w="310" w:type="pct"/>
            <w:vAlign w:val="center"/>
          </w:tcPr>
          <w:p>
            <w:pPr>
              <w:pStyle w:val="199"/>
              <w:rPr>
                <w:color w:val="auto"/>
              </w:rPr>
            </w:pPr>
            <w:r>
              <w:rPr>
                <w:rFonts w:hint="eastAsia"/>
                <w:color w:val="auto"/>
              </w:rPr>
              <w:t>14.89</w:t>
            </w:r>
          </w:p>
        </w:tc>
        <w:tc>
          <w:tcPr>
            <w:tcW w:w="310" w:type="pct"/>
            <w:vAlign w:val="center"/>
          </w:tcPr>
          <w:p>
            <w:pPr>
              <w:pStyle w:val="199"/>
              <w:rPr>
                <w:color w:val="auto"/>
              </w:rPr>
            </w:pPr>
            <w:r>
              <w:rPr>
                <w:rFonts w:hint="eastAsia"/>
                <w:color w:val="auto"/>
              </w:rPr>
              <w:t>6.52</w:t>
            </w:r>
          </w:p>
        </w:tc>
        <w:tc>
          <w:tcPr>
            <w:tcW w:w="310" w:type="pct"/>
            <w:vAlign w:val="center"/>
          </w:tcPr>
          <w:p>
            <w:pPr>
              <w:pStyle w:val="199"/>
              <w:rPr>
                <w:color w:val="auto"/>
              </w:rPr>
            </w:pPr>
            <w:r>
              <w:rPr>
                <w:rFonts w:hint="eastAsia"/>
                <w:color w:val="auto"/>
              </w:rPr>
              <w:t>12.79</w:t>
            </w:r>
          </w:p>
        </w:tc>
        <w:tc>
          <w:tcPr>
            <w:tcW w:w="310" w:type="pct"/>
            <w:vAlign w:val="center"/>
          </w:tcPr>
          <w:p>
            <w:pPr>
              <w:pStyle w:val="199"/>
              <w:rPr>
                <w:color w:val="auto"/>
              </w:rPr>
            </w:pPr>
            <w:r>
              <w:rPr>
                <w:rFonts w:hint="eastAsia"/>
                <w:color w:val="auto"/>
              </w:rPr>
              <w:t>25.17</w:t>
            </w:r>
          </w:p>
        </w:tc>
        <w:tc>
          <w:tcPr>
            <w:tcW w:w="370" w:type="pct"/>
            <w:vAlign w:val="center"/>
          </w:tcPr>
          <w:p>
            <w:pPr>
              <w:pStyle w:val="199"/>
              <w:rPr>
                <w:color w:val="auto"/>
              </w:rPr>
            </w:pPr>
            <w:r>
              <w:rPr>
                <w:rFonts w:hint="eastAsia"/>
                <w:color w:val="auto"/>
              </w:rPr>
              <w:t>88.32</w:t>
            </w:r>
          </w:p>
        </w:tc>
        <w:tc>
          <w:tcPr>
            <w:tcW w:w="370" w:type="pct"/>
            <w:vAlign w:val="center"/>
          </w:tcPr>
          <w:p>
            <w:pPr>
              <w:pStyle w:val="199"/>
              <w:rPr>
                <w:color w:val="auto"/>
              </w:rPr>
            </w:pPr>
            <w:r>
              <w:rPr>
                <w:rFonts w:hint="eastAsia"/>
                <w:color w:val="auto"/>
              </w:rPr>
              <w:t>139.02</w:t>
            </w:r>
          </w:p>
        </w:tc>
        <w:tc>
          <w:tcPr>
            <w:tcW w:w="370" w:type="pct"/>
            <w:vAlign w:val="center"/>
          </w:tcPr>
          <w:p>
            <w:pPr>
              <w:pStyle w:val="199"/>
              <w:rPr>
                <w:color w:val="auto"/>
              </w:rPr>
            </w:pPr>
            <w:r>
              <w:rPr>
                <w:rFonts w:hint="eastAsia"/>
                <w:color w:val="auto"/>
              </w:rPr>
              <w:t>179.81</w:t>
            </w:r>
          </w:p>
        </w:tc>
        <w:tc>
          <w:tcPr>
            <w:tcW w:w="370" w:type="pct"/>
            <w:vAlign w:val="center"/>
          </w:tcPr>
          <w:p>
            <w:pPr>
              <w:pStyle w:val="199"/>
              <w:rPr>
                <w:color w:val="auto"/>
              </w:rPr>
            </w:pPr>
            <w:r>
              <w:rPr>
                <w:rFonts w:hint="eastAsia"/>
                <w:color w:val="auto"/>
              </w:rPr>
              <w:t>198.77</w:t>
            </w:r>
          </w:p>
        </w:tc>
        <w:tc>
          <w:tcPr>
            <w:tcW w:w="370" w:type="pct"/>
            <w:vAlign w:val="center"/>
          </w:tcPr>
          <w:p>
            <w:pPr>
              <w:pStyle w:val="199"/>
              <w:rPr>
                <w:color w:val="auto"/>
              </w:rPr>
            </w:pPr>
            <w:r>
              <w:rPr>
                <w:rFonts w:hint="eastAsia"/>
                <w:color w:val="auto"/>
              </w:rPr>
              <w:t>106.94</w:t>
            </w:r>
          </w:p>
        </w:tc>
        <w:tc>
          <w:tcPr>
            <w:tcW w:w="310" w:type="pct"/>
            <w:vAlign w:val="center"/>
          </w:tcPr>
          <w:p>
            <w:pPr>
              <w:pStyle w:val="199"/>
              <w:rPr>
                <w:color w:val="auto"/>
              </w:rPr>
            </w:pPr>
            <w:r>
              <w:rPr>
                <w:rFonts w:hint="eastAsia"/>
                <w:color w:val="auto"/>
              </w:rPr>
              <w:t>68.93</w:t>
            </w:r>
          </w:p>
        </w:tc>
        <w:tc>
          <w:tcPr>
            <w:tcW w:w="310" w:type="pct"/>
            <w:vAlign w:val="center"/>
          </w:tcPr>
          <w:p>
            <w:pPr>
              <w:pStyle w:val="199"/>
              <w:rPr>
                <w:color w:val="auto"/>
              </w:rPr>
            </w:pPr>
            <w:r>
              <w:rPr>
                <w:rFonts w:hint="eastAsia"/>
                <w:color w:val="auto"/>
              </w:rPr>
              <w:t>22.77</w:t>
            </w:r>
          </w:p>
        </w:tc>
        <w:tc>
          <w:tcPr>
            <w:tcW w:w="310" w:type="pct"/>
            <w:vAlign w:val="center"/>
          </w:tcPr>
          <w:p>
            <w:pPr>
              <w:pStyle w:val="199"/>
              <w:rPr>
                <w:color w:val="auto"/>
              </w:rPr>
            </w:pPr>
            <w:r>
              <w:rPr>
                <w:rFonts w:hint="eastAsia"/>
                <w:color w:val="auto"/>
              </w:rPr>
              <w:t>8.84</w:t>
            </w:r>
          </w:p>
        </w:tc>
        <w:tc>
          <w:tcPr>
            <w:tcW w:w="367" w:type="pct"/>
            <w:vAlign w:val="center"/>
          </w:tcPr>
          <w:p>
            <w:pPr>
              <w:pStyle w:val="199"/>
              <w:rPr>
                <w:color w:val="auto"/>
              </w:rPr>
            </w:pPr>
            <w:r>
              <w:rPr>
                <w:rFonts w:hint="eastAsia"/>
                <w:color w:val="auto"/>
              </w:rPr>
              <w:t>872.77</w:t>
            </w:r>
          </w:p>
        </w:tc>
      </w:tr>
    </w:tbl>
    <w:p>
      <w:pPr>
        <w:adjustRightInd w:val="0"/>
        <w:snapToGrid w:val="0"/>
        <w:spacing w:beforeLines="50" w:line="360" w:lineRule="auto"/>
        <w:ind w:firstLine="482"/>
        <w:rPr>
          <w:snapToGrid w:val="0"/>
          <w:color w:val="auto"/>
        </w:rPr>
      </w:pPr>
      <w:r>
        <w:rPr>
          <w:rFonts w:hint="eastAsia"/>
          <w:snapToGrid w:val="0"/>
          <w:color w:val="auto"/>
        </w:rPr>
        <w:t>4、日照时数</w:t>
      </w:r>
    </w:p>
    <w:p>
      <w:pPr>
        <w:adjustRightInd w:val="0"/>
        <w:snapToGrid w:val="0"/>
        <w:spacing w:line="360" w:lineRule="auto"/>
        <w:ind w:firstLine="482"/>
        <w:rPr>
          <w:snapToGrid w:val="0"/>
          <w:color w:val="auto"/>
        </w:rPr>
      </w:pPr>
      <w:r>
        <w:rPr>
          <w:rFonts w:hint="eastAsia"/>
          <w:snapToGrid w:val="0"/>
          <w:color w:val="auto"/>
        </w:rPr>
        <w:t>楚雄市全年日照时数为2054.22h，2月份最高为229.24h，8月份最低为107.81h。楚雄市累年平均日照时数统计见下表。</w:t>
      </w:r>
    </w:p>
    <w:p>
      <w:pPr>
        <w:numPr>
          <w:ilvl w:val="0"/>
          <w:numId w:val="9"/>
        </w:numPr>
        <w:ind w:left="0" w:leftChars="0" w:firstLine="0" w:firstLineChars="0"/>
        <w:jc w:val="center"/>
        <w:rPr>
          <w:b/>
          <w:bCs/>
          <w:color w:val="auto"/>
          <w:spacing w:val="1"/>
        </w:rPr>
      </w:pPr>
      <w:r>
        <w:rPr>
          <w:rFonts w:hint="eastAsia"/>
          <w:b/>
          <w:bCs/>
          <w:color w:val="auto"/>
          <w:spacing w:val="1"/>
        </w:rPr>
        <w:t>楚雄市</w:t>
      </w:r>
      <w:r>
        <w:rPr>
          <w:rFonts w:hint="eastAsia"/>
          <w:b/>
          <w:color w:val="auto"/>
          <w:kern w:val="21"/>
          <w:szCs w:val="20"/>
        </w:rPr>
        <w:t>2001</w:t>
      </w:r>
      <w:r>
        <w:rPr>
          <w:rFonts w:hint="eastAsia"/>
          <w:b/>
          <w:bCs/>
          <w:color w:val="auto"/>
          <w:spacing w:val="1"/>
        </w:rPr>
        <w:t>-2020</w:t>
      </w:r>
      <w:r>
        <w:rPr>
          <w:b/>
          <w:bCs/>
          <w:color w:val="auto"/>
          <w:spacing w:val="1"/>
        </w:rPr>
        <w:t>年</w:t>
      </w:r>
      <w:r>
        <w:rPr>
          <w:rFonts w:hint="eastAsia"/>
          <w:b/>
          <w:bCs/>
          <w:color w:val="auto"/>
          <w:spacing w:val="1"/>
        </w:rPr>
        <w:t>平均日照时数的月变化</w:t>
      </w:r>
    </w:p>
    <w:tbl>
      <w:tblPr>
        <w:tblStyle w:val="51"/>
        <w:tblW w:w="51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3"/>
        <w:gridCol w:w="498"/>
        <w:gridCol w:w="597"/>
        <w:gridCol w:w="597"/>
        <w:gridCol w:w="597"/>
        <w:gridCol w:w="597"/>
        <w:gridCol w:w="598"/>
        <w:gridCol w:w="598"/>
        <w:gridCol w:w="598"/>
        <w:gridCol w:w="598"/>
        <w:gridCol w:w="598"/>
        <w:gridCol w:w="598"/>
        <w:gridCol w:w="598"/>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6" w:type="pct"/>
            <w:vAlign w:val="center"/>
          </w:tcPr>
          <w:p>
            <w:pPr>
              <w:pStyle w:val="199"/>
              <w:rPr>
                <w:color w:val="auto"/>
                <w:w w:val="90"/>
              </w:rPr>
            </w:pPr>
            <w:r>
              <w:rPr>
                <w:rFonts w:hint="eastAsia"/>
                <w:color w:val="auto"/>
                <w:w w:val="90"/>
              </w:rPr>
              <w:t>月份</w:t>
            </w:r>
          </w:p>
        </w:tc>
        <w:tc>
          <w:tcPr>
            <w:tcW w:w="289" w:type="pct"/>
            <w:vAlign w:val="center"/>
          </w:tcPr>
          <w:p>
            <w:pPr>
              <w:pStyle w:val="199"/>
              <w:rPr>
                <w:color w:val="auto"/>
                <w:w w:val="90"/>
              </w:rPr>
            </w:pPr>
            <w:r>
              <w:rPr>
                <w:rFonts w:hint="eastAsia"/>
                <w:color w:val="auto"/>
                <w:w w:val="90"/>
              </w:rPr>
              <w:t>1月</w:t>
            </w:r>
          </w:p>
        </w:tc>
        <w:tc>
          <w:tcPr>
            <w:tcW w:w="346" w:type="pct"/>
            <w:vAlign w:val="center"/>
          </w:tcPr>
          <w:p>
            <w:pPr>
              <w:pStyle w:val="199"/>
              <w:rPr>
                <w:color w:val="auto"/>
                <w:w w:val="90"/>
              </w:rPr>
            </w:pPr>
            <w:r>
              <w:rPr>
                <w:rFonts w:hint="eastAsia"/>
                <w:color w:val="auto"/>
                <w:w w:val="90"/>
              </w:rPr>
              <w:t>2月</w:t>
            </w:r>
          </w:p>
        </w:tc>
        <w:tc>
          <w:tcPr>
            <w:tcW w:w="346" w:type="pct"/>
            <w:vAlign w:val="center"/>
          </w:tcPr>
          <w:p>
            <w:pPr>
              <w:pStyle w:val="199"/>
              <w:rPr>
                <w:color w:val="auto"/>
                <w:w w:val="90"/>
              </w:rPr>
            </w:pPr>
            <w:r>
              <w:rPr>
                <w:rFonts w:hint="eastAsia"/>
                <w:color w:val="auto"/>
                <w:w w:val="90"/>
              </w:rPr>
              <w:t>3月</w:t>
            </w:r>
          </w:p>
        </w:tc>
        <w:tc>
          <w:tcPr>
            <w:tcW w:w="346" w:type="pct"/>
            <w:vAlign w:val="center"/>
          </w:tcPr>
          <w:p>
            <w:pPr>
              <w:pStyle w:val="199"/>
              <w:rPr>
                <w:color w:val="auto"/>
                <w:w w:val="90"/>
              </w:rPr>
            </w:pPr>
            <w:r>
              <w:rPr>
                <w:rFonts w:hint="eastAsia"/>
                <w:color w:val="auto"/>
                <w:w w:val="90"/>
              </w:rPr>
              <w:t>4月</w:t>
            </w:r>
          </w:p>
        </w:tc>
        <w:tc>
          <w:tcPr>
            <w:tcW w:w="346" w:type="pct"/>
            <w:vAlign w:val="center"/>
          </w:tcPr>
          <w:p>
            <w:pPr>
              <w:pStyle w:val="199"/>
              <w:rPr>
                <w:color w:val="auto"/>
                <w:w w:val="90"/>
              </w:rPr>
            </w:pPr>
            <w:r>
              <w:rPr>
                <w:rFonts w:hint="eastAsia"/>
                <w:color w:val="auto"/>
                <w:w w:val="90"/>
              </w:rPr>
              <w:t>5月</w:t>
            </w:r>
          </w:p>
        </w:tc>
        <w:tc>
          <w:tcPr>
            <w:tcW w:w="346" w:type="pct"/>
            <w:vAlign w:val="center"/>
          </w:tcPr>
          <w:p>
            <w:pPr>
              <w:pStyle w:val="199"/>
              <w:rPr>
                <w:color w:val="auto"/>
                <w:w w:val="90"/>
              </w:rPr>
            </w:pPr>
            <w:r>
              <w:rPr>
                <w:rFonts w:hint="eastAsia"/>
                <w:color w:val="auto"/>
                <w:w w:val="90"/>
              </w:rPr>
              <w:t>6月</w:t>
            </w:r>
          </w:p>
        </w:tc>
        <w:tc>
          <w:tcPr>
            <w:tcW w:w="346" w:type="pct"/>
            <w:vAlign w:val="center"/>
          </w:tcPr>
          <w:p>
            <w:pPr>
              <w:pStyle w:val="199"/>
              <w:rPr>
                <w:color w:val="auto"/>
                <w:w w:val="90"/>
              </w:rPr>
            </w:pPr>
            <w:r>
              <w:rPr>
                <w:rFonts w:hint="eastAsia"/>
                <w:color w:val="auto"/>
                <w:w w:val="90"/>
              </w:rPr>
              <w:t>7月</w:t>
            </w:r>
          </w:p>
        </w:tc>
        <w:tc>
          <w:tcPr>
            <w:tcW w:w="346" w:type="pct"/>
            <w:vAlign w:val="center"/>
          </w:tcPr>
          <w:p>
            <w:pPr>
              <w:pStyle w:val="199"/>
              <w:rPr>
                <w:color w:val="auto"/>
                <w:w w:val="90"/>
              </w:rPr>
            </w:pPr>
            <w:r>
              <w:rPr>
                <w:rFonts w:hint="eastAsia"/>
                <w:color w:val="auto"/>
                <w:w w:val="90"/>
              </w:rPr>
              <w:t>8月</w:t>
            </w:r>
          </w:p>
        </w:tc>
        <w:tc>
          <w:tcPr>
            <w:tcW w:w="346" w:type="pct"/>
            <w:vAlign w:val="center"/>
          </w:tcPr>
          <w:p>
            <w:pPr>
              <w:pStyle w:val="199"/>
              <w:rPr>
                <w:color w:val="auto"/>
                <w:w w:val="90"/>
              </w:rPr>
            </w:pPr>
            <w:r>
              <w:rPr>
                <w:rFonts w:hint="eastAsia"/>
                <w:color w:val="auto"/>
                <w:w w:val="90"/>
              </w:rPr>
              <w:t>9月</w:t>
            </w:r>
          </w:p>
        </w:tc>
        <w:tc>
          <w:tcPr>
            <w:tcW w:w="346" w:type="pct"/>
            <w:vAlign w:val="center"/>
          </w:tcPr>
          <w:p>
            <w:pPr>
              <w:pStyle w:val="199"/>
              <w:rPr>
                <w:color w:val="auto"/>
                <w:w w:val="90"/>
              </w:rPr>
            </w:pPr>
            <w:r>
              <w:rPr>
                <w:rFonts w:hint="eastAsia"/>
                <w:color w:val="auto"/>
                <w:w w:val="90"/>
              </w:rPr>
              <w:t>10月</w:t>
            </w:r>
          </w:p>
        </w:tc>
        <w:tc>
          <w:tcPr>
            <w:tcW w:w="346" w:type="pct"/>
            <w:vAlign w:val="center"/>
          </w:tcPr>
          <w:p>
            <w:pPr>
              <w:pStyle w:val="199"/>
              <w:rPr>
                <w:color w:val="auto"/>
                <w:w w:val="90"/>
              </w:rPr>
            </w:pPr>
            <w:r>
              <w:rPr>
                <w:rFonts w:hint="eastAsia"/>
                <w:color w:val="auto"/>
                <w:w w:val="90"/>
              </w:rPr>
              <w:t>11月</w:t>
            </w:r>
          </w:p>
        </w:tc>
        <w:tc>
          <w:tcPr>
            <w:tcW w:w="346" w:type="pct"/>
            <w:vAlign w:val="center"/>
          </w:tcPr>
          <w:p>
            <w:pPr>
              <w:pStyle w:val="199"/>
              <w:rPr>
                <w:color w:val="auto"/>
                <w:w w:val="90"/>
              </w:rPr>
            </w:pPr>
            <w:r>
              <w:rPr>
                <w:rFonts w:hint="eastAsia"/>
                <w:color w:val="auto"/>
                <w:w w:val="90"/>
              </w:rPr>
              <w:t>12月</w:t>
            </w:r>
          </w:p>
        </w:tc>
        <w:tc>
          <w:tcPr>
            <w:tcW w:w="402" w:type="pct"/>
            <w:vAlign w:val="center"/>
          </w:tcPr>
          <w:p>
            <w:pPr>
              <w:pStyle w:val="199"/>
              <w:rPr>
                <w:color w:val="auto"/>
                <w:w w:val="90"/>
              </w:rPr>
            </w:pPr>
            <w:r>
              <w:rPr>
                <w:rFonts w:hint="eastAsia"/>
                <w:color w:val="auto"/>
                <w:w w:val="90"/>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6" w:type="pct"/>
            <w:vAlign w:val="center"/>
          </w:tcPr>
          <w:p>
            <w:pPr>
              <w:pStyle w:val="199"/>
              <w:rPr>
                <w:color w:val="auto"/>
                <w:w w:val="90"/>
              </w:rPr>
            </w:pPr>
            <w:r>
              <w:rPr>
                <w:rFonts w:hint="eastAsia"/>
                <w:color w:val="auto"/>
                <w:w w:val="90"/>
              </w:rPr>
              <w:t>日照时数</w:t>
            </w:r>
            <w:r>
              <w:rPr>
                <w:bCs/>
                <w:iCs/>
                <w:color w:val="auto"/>
                <w:w w:val="90"/>
              </w:rPr>
              <w:t>h</w:t>
            </w:r>
          </w:p>
        </w:tc>
        <w:tc>
          <w:tcPr>
            <w:tcW w:w="289" w:type="pct"/>
            <w:vAlign w:val="center"/>
          </w:tcPr>
          <w:p>
            <w:pPr>
              <w:pStyle w:val="199"/>
              <w:rPr>
                <w:color w:val="auto"/>
              </w:rPr>
            </w:pPr>
            <w:r>
              <w:rPr>
                <w:rFonts w:hint="eastAsia"/>
                <w:color w:val="auto"/>
              </w:rPr>
              <w:t>218.1</w:t>
            </w:r>
          </w:p>
        </w:tc>
        <w:tc>
          <w:tcPr>
            <w:tcW w:w="346" w:type="pct"/>
            <w:vAlign w:val="center"/>
          </w:tcPr>
          <w:p>
            <w:pPr>
              <w:pStyle w:val="199"/>
              <w:rPr>
                <w:color w:val="auto"/>
              </w:rPr>
            </w:pPr>
            <w:r>
              <w:rPr>
                <w:rFonts w:hint="eastAsia"/>
                <w:color w:val="auto"/>
              </w:rPr>
              <w:t>229.24</w:t>
            </w:r>
          </w:p>
        </w:tc>
        <w:tc>
          <w:tcPr>
            <w:tcW w:w="346" w:type="pct"/>
            <w:vAlign w:val="center"/>
          </w:tcPr>
          <w:p>
            <w:pPr>
              <w:pStyle w:val="199"/>
              <w:rPr>
                <w:color w:val="auto"/>
              </w:rPr>
            </w:pPr>
            <w:r>
              <w:rPr>
                <w:rFonts w:hint="eastAsia"/>
                <w:color w:val="auto"/>
              </w:rPr>
              <w:t>228.92</w:t>
            </w:r>
          </w:p>
        </w:tc>
        <w:tc>
          <w:tcPr>
            <w:tcW w:w="346" w:type="pct"/>
            <w:vAlign w:val="center"/>
          </w:tcPr>
          <w:p>
            <w:pPr>
              <w:pStyle w:val="199"/>
              <w:rPr>
                <w:color w:val="auto"/>
              </w:rPr>
            </w:pPr>
            <w:r>
              <w:rPr>
                <w:rFonts w:hint="eastAsia"/>
                <w:color w:val="auto"/>
              </w:rPr>
              <w:t>213.94</w:t>
            </w:r>
          </w:p>
        </w:tc>
        <w:tc>
          <w:tcPr>
            <w:tcW w:w="346" w:type="pct"/>
            <w:vAlign w:val="center"/>
          </w:tcPr>
          <w:p>
            <w:pPr>
              <w:pStyle w:val="199"/>
              <w:rPr>
                <w:color w:val="auto"/>
              </w:rPr>
            </w:pPr>
            <w:r>
              <w:rPr>
                <w:rFonts w:hint="eastAsia"/>
                <w:color w:val="auto"/>
              </w:rPr>
              <w:t>187.77</w:t>
            </w:r>
          </w:p>
        </w:tc>
        <w:tc>
          <w:tcPr>
            <w:tcW w:w="346" w:type="pct"/>
            <w:vAlign w:val="center"/>
          </w:tcPr>
          <w:p>
            <w:pPr>
              <w:pStyle w:val="199"/>
              <w:rPr>
                <w:color w:val="auto"/>
              </w:rPr>
            </w:pPr>
            <w:r>
              <w:rPr>
                <w:rFonts w:hint="eastAsia"/>
                <w:color w:val="auto"/>
              </w:rPr>
              <w:t>139.25</w:t>
            </w:r>
          </w:p>
        </w:tc>
        <w:tc>
          <w:tcPr>
            <w:tcW w:w="346" w:type="pct"/>
            <w:vAlign w:val="center"/>
          </w:tcPr>
          <w:p>
            <w:pPr>
              <w:pStyle w:val="199"/>
              <w:rPr>
                <w:color w:val="auto"/>
              </w:rPr>
            </w:pPr>
            <w:r>
              <w:rPr>
                <w:rFonts w:hint="eastAsia"/>
                <w:color w:val="auto"/>
              </w:rPr>
              <w:t>110.51</w:t>
            </w:r>
          </w:p>
        </w:tc>
        <w:tc>
          <w:tcPr>
            <w:tcW w:w="346" w:type="pct"/>
            <w:vAlign w:val="center"/>
          </w:tcPr>
          <w:p>
            <w:pPr>
              <w:pStyle w:val="199"/>
              <w:rPr>
                <w:color w:val="auto"/>
              </w:rPr>
            </w:pPr>
            <w:r>
              <w:rPr>
                <w:rFonts w:hint="eastAsia"/>
                <w:color w:val="auto"/>
              </w:rPr>
              <w:t>107.81</w:t>
            </w:r>
          </w:p>
        </w:tc>
        <w:tc>
          <w:tcPr>
            <w:tcW w:w="346" w:type="pct"/>
            <w:vAlign w:val="center"/>
          </w:tcPr>
          <w:p>
            <w:pPr>
              <w:pStyle w:val="199"/>
              <w:rPr>
                <w:color w:val="auto"/>
              </w:rPr>
            </w:pPr>
            <w:r>
              <w:rPr>
                <w:rFonts w:hint="eastAsia"/>
                <w:color w:val="auto"/>
              </w:rPr>
              <w:t>108.34</w:t>
            </w:r>
          </w:p>
        </w:tc>
        <w:tc>
          <w:tcPr>
            <w:tcW w:w="346" w:type="pct"/>
            <w:vAlign w:val="center"/>
          </w:tcPr>
          <w:p>
            <w:pPr>
              <w:pStyle w:val="199"/>
              <w:rPr>
                <w:color w:val="auto"/>
              </w:rPr>
            </w:pPr>
            <w:r>
              <w:rPr>
                <w:rFonts w:hint="eastAsia"/>
                <w:color w:val="auto"/>
              </w:rPr>
              <w:t>133.13</w:t>
            </w:r>
          </w:p>
        </w:tc>
        <w:tc>
          <w:tcPr>
            <w:tcW w:w="346" w:type="pct"/>
            <w:vAlign w:val="center"/>
          </w:tcPr>
          <w:p>
            <w:pPr>
              <w:pStyle w:val="199"/>
              <w:rPr>
                <w:color w:val="auto"/>
              </w:rPr>
            </w:pPr>
            <w:r>
              <w:rPr>
                <w:rFonts w:hint="eastAsia"/>
                <w:color w:val="auto"/>
              </w:rPr>
              <w:t>190.93</w:t>
            </w:r>
          </w:p>
        </w:tc>
        <w:tc>
          <w:tcPr>
            <w:tcW w:w="346" w:type="pct"/>
            <w:vAlign w:val="center"/>
          </w:tcPr>
          <w:p>
            <w:pPr>
              <w:pStyle w:val="199"/>
              <w:rPr>
                <w:color w:val="auto"/>
              </w:rPr>
            </w:pPr>
            <w:r>
              <w:rPr>
                <w:rFonts w:hint="eastAsia"/>
                <w:color w:val="auto"/>
              </w:rPr>
              <w:t>186.28</w:t>
            </w:r>
          </w:p>
        </w:tc>
        <w:tc>
          <w:tcPr>
            <w:tcW w:w="402" w:type="pct"/>
            <w:vAlign w:val="center"/>
          </w:tcPr>
          <w:p>
            <w:pPr>
              <w:pStyle w:val="199"/>
              <w:rPr>
                <w:color w:val="auto"/>
              </w:rPr>
            </w:pPr>
            <w:r>
              <w:rPr>
                <w:rFonts w:hint="eastAsia"/>
                <w:color w:val="auto"/>
              </w:rPr>
              <w:t>2054.22</w:t>
            </w:r>
          </w:p>
        </w:tc>
      </w:tr>
    </w:tbl>
    <w:p>
      <w:pPr>
        <w:adjustRightInd w:val="0"/>
        <w:snapToGrid w:val="0"/>
        <w:spacing w:beforeLines="50" w:line="360" w:lineRule="auto"/>
        <w:ind w:firstLine="482"/>
        <w:rPr>
          <w:snapToGrid w:val="0"/>
          <w:color w:val="auto"/>
        </w:rPr>
      </w:pPr>
      <w:r>
        <w:rPr>
          <w:rFonts w:hint="eastAsia"/>
          <w:snapToGrid w:val="0"/>
          <w:color w:val="auto"/>
        </w:rPr>
        <w:t>5、风速</w:t>
      </w:r>
    </w:p>
    <w:p>
      <w:pPr>
        <w:adjustRightInd w:val="0"/>
        <w:snapToGrid w:val="0"/>
        <w:spacing w:line="360" w:lineRule="auto"/>
        <w:ind w:firstLine="482"/>
        <w:rPr>
          <w:snapToGrid w:val="0"/>
          <w:color w:val="auto"/>
        </w:rPr>
      </w:pPr>
      <w:r>
        <w:rPr>
          <w:rFonts w:hint="eastAsia"/>
          <w:snapToGrid w:val="0"/>
          <w:color w:val="auto"/>
        </w:rPr>
        <w:t>楚雄市</w:t>
      </w:r>
      <w:r>
        <w:rPr>
          <w:snapToGrid w:val="0"/>
          <w:color w:val="auto"/>
        </w:rPr>
        <w:t>年平均风速</w:t>
      </w:r>
      <w:r>
        <w:rPr>
          <w:rFonts w:hint="eastAsia"/>
          <w:snapToGrid w:val="0"/>
          <w:color w:val="auto"/>
        </w:rPr>
        <w:t>2.03</w:t>
      </w:r>
      <w:r>
        <w:rPr>
          <w:snapToGrid w:val="0"/>
          <w:color w:val="auto"/>
        </w:rPr>
        <w:t>m/s，月平均风速4月份相对较大为</w:t>
      </w:r>
      <w:r>
        <w:rPr>
          <w:rFonts w:hint="eastAsia"/>
          <w:snapToGrid w:val="0"/>
          <w:color w:val="auto"/>
        </w:rPr>
        <w:t>2.76</w:t>
      </w:r>
      <w:r>
        <w:rPr>
          <w:snapToGrid w:val="0"/>
          <w:color w:val="auto"/>
        </w:rPr>
        <w:t>m/s，</w:t>
      </w:r>
      <w:r>
        <w:rPr>
          <w:rFonts w:hint="eastAsia"/>
          <w:snapToGrid w:val="0"/>
          <w:color w:val="auto"/>
        </w:rPr>
        <w:t>8</w:t>
      </w:r>
      <w:r>
        <w:rPr>
          <w:snapToGrid w:val="0"/>
          <w:color w:val="auto"/>
        </w:rPr>
        <w:t>月份相对较小为</w:t>
      </w:r>
      <w:r>
        <w:rPr>
          <w:rFonts w:hint="eastAsia"/>
          <w:snapToGrid w:val="0"/>
          <w:color w:val="auto"/>
        </w:rPr>
        <w:t>1.45</w:t>
      </w:r>
      <w:r>
        <w:rPr>
          <w:snapToGrid w:val="0"/>
          <w:color w:val="auto"/>
        </w:rPr>
        <w:t>m/s</w:t>
      </w:r>
      <w:r>
        <w:rPr>
          <w:rFonts w:hint="eastAsia"/>
          <w:snapToGrid w:val="0"/>
          <w:color w:val="auto"/>
        </w:rPr>
        <w:t>。楚雄市累年平均风速统计见下表。</w:t>
      </w:r>
    </w:p>
    <w:p>
      <w:pPr>
        <w:numPr>
          <w:ilvl w:val="0"/>
          <w:numId w:val="9"/>
        </w:numPr>
        <w:ind w:left="0" w:leftChars="0" w:firstLine="0" w:firstLineChars="0"/>
        <w:jc w:val="center"/>
        <w:rPr>
          <w:b/>
          <w:bCs/>
          <w:color w:val="auto"/>
          <w:spacing w:val="1"/>
        </w:rPr>
      </w:pPr>
      <w:r>
        <w:rPr>
          <w:rFonts w:hint="eastAsia"/>
          <w:b/>
          <w:color w:val="auto"/>
          <w:kern w:val="21"/>
          <w:szCs w:val="20"/>
        </w:rPr>
        <w:t>楚雄市</w:t>
      </w:r>
      <w:r>
        <w:rPr>
          <w:rFonts w:hint="eastAsia"/>
          <w:b/>
          <w:bCs/>
          <w:color w:val="auto"/>
          <w:spacing w:val="1"/>
        </w:rPr>
        <w:t>2001-2020</w:t>
      </w:r>
      <w:r>
        <w:rPr>
          <w:b/>
          <w:bCs/>
          <w:color w:val="auto"/>
          <w:spacing w:val="1"/>
        </w:rPr>
        <w:t>年</w:t>
      </w:r>
      <w:r>
        <w:rPr>
          <w:rFonts w:hint="eastAsia"/>
          <w:b/>
          <w:bCs/>
          <w:color w:val="auto"/>
          <w:spacing w:val="1"/>
        </w:rPr>
        <w:t>平均风速的月变化</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8"/>
        <w:gridCol w:w="542"/>
        <w:gridCol w:w="624"/>
        <w:gridCol w:w="580"/>
        <w:gridCol w:w="542"/>
        <w:gridCol w:w="580"/>
        <w:gridCol w:w="542"/>
        <w:gridCol w:w="582"/>
        <w:gridCol w:w="582"/>
        <w:gridCol w:w="582"/>
        <w:gridCol w:w="542"/>
        <w:gridCol w:w="542"/>
        <w:gridCol w:w="622"/>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 w:type="pct"/>
            <w:vAlign w:val="center"/>
          </w:tcPr>
          <w:p>
            <w:pPr>
              <w:pStyle w:val="199"/>
              <w:rPr>
                <w:color w:val="auto"/>
              </w:rPr>
            </w:pPr>
            <w:r>
              <w:rPr>
                <w:rFonts w:hint="eastAsia"/>
                <w:color w:val="auto"/>
              </w:rPr>
              <w:t>月份</w:t>
            </w:r>
          </w:p>
        </w:tc>
        <w:tc>
          <w:tcPr>
            <w:tcW w:w="326" w:type="pct"/>
            <w:vAlign w:val="center"/>
          </w:tcPr>
          <w:p>
            <w:pPr>
              <w:pStyle w:val="199"/>
              <w:rPr>
                <w:color w:val="auto"/>
              </w:rPr>
            </w:pPr>
            <w:r>
              <w:rPr>
                <w:rFonts w:hint="eastAsia"/>
                <w:color w:val="auto"/>
              </w:rPr>
              <w:t>1月</w:t>
            </w:r>
          </w:p>
        </w:tc>
        <w:tc>
          <w:tcPr>
            <w:tcW w:w="375" w:type="pct"/>
            <w:vAlign w:val="center"/>
          </w:tcPr>
          <w:p>
            <w:pPr>
              <w:pStyle w:val="199"/>
              <w:rPr>
                <w:color w:val="auto"/>
              </w:rPr>
            </w:pPr>
            <w:r>
              <w:rPr>
                <w:rFonts w:hint="eastAsia"/>
                <w:color w:val="auto"/>
              </w:rPr>
              <w:t>2月</w:t>
            </w:r>
          </w:p>
        </w:tc>
        <w:tc>
          <w:tcPr>
            <w:tcW w:w="349" w:type="pct"/>
            <w:vAlign w:val="center"/>
          </w:tcPr>
          <w:p>
            <w:pPr>
              <w:pStyle w:val="199"/>
              <w:rPr>
                <w:color w:val="auto"/>
              </w:rPr>
            </w:pPr>
            <w:r>
              <w:rPr>
                <w:rFonts w:hint="eastAsia"/>
                <w:color w:val="auto"/>
              </w:rPr>
              <w:t>3月</w:t>
            </w:r>
          </w:p>
        </w:tc>
        <w:tc>
          <w:tcPr>
            <w:tcW w:w="326" w:type="pct"/>
            <w:vAlign w:val="center"/>
          </w:tcPr>
          <w:p>
            <w:pPr>
              <w:pStyle w:val="199"/>
              <w:rPr>
                <w:color w:val="auto"/>
              </w:rPr>
            </w:pPr>
            <w:r>
              <w:rPr>
                <w:rFonts w:hint="eastAsia"/>
                <w:color w:val="auto"/>
              </w:rPr>
              <w:t>4月</w:t>
            </w:r>
          </w:p>
        </w:tc>
        <w:tc>
          <w:tcPr>
            <w:tcW w:w="349" w:type="pct"/>
            <w:vAlign w:val="center"/>
          </w:tcPr>
          <w:p>
            <w:pPr>
              <w:pStyle w:val="199"/>
              <w:rPr>
                <w:color w:val="auto"/>
              </w:rPr>
            </w:pPr>
            <w:r>
              <w:rPr>
                <w:rFonts w:hint="eastAsia"/>
                <w:color w:val="auto"/>
              </w:rPr>
              <w:t>5月</w:t>
            </w:r>
          </w:p>
        </w:tc>
        <w:tc>
          <w:tcPr>
            <w:tcW w:w="326" w:type="pct"/>
            <w:vAlign w:val="center"/>
          </w:tcPr>
          <w:p>
            <w:pPr>
              <w:pStyle w:val="199"/>
              <w:rPr>
                <w:color w:val="auto"/>
              </w:rPr>
            </w:pPr>
            <w:r>
              <w:rPr>
                <w:rFonts w:hint="eastAsia"/>
                <w:color w:val="auto"/>
              </w:rPr>
              <w:t>6月</w:t>
            </w:r>
          </w:p>
        </w:tc>
        <w:tc>
          <w:tcPr>
            <w:tcW w:w="350" w:type="pct"/>
            <w:vAlign w:val="center"/>
          </w:tcPr>
          <w:p>
            <w:pPr>
              <w:pStyle w:val="199"/>
              <w:rPr>
                <w:color w:val="auto"/>
              </w:rPr>
            </w:pPr>
            <w:r>
              <w:rPr>
                <w:rFonts w:hint="eastAsia"/>
                <w:color w:val="auto"/>
              </w:rPr>
              <w:t>7月</w:t>
            </w:r>
          </w:p>
        </w:tc>
        <w:tc>
          <w:tcPr>
            <w:tcW w:w="350" w:type="pct"/>
            <w:vAlign w:val="center"/>
          </w:tcPr>
          <w:p>
            <w:pPr>
              <w:pStyle w:val="199"/>
              <w:rPr>
                <w:color w:val="auto"/>
              </w:rPr>
            </w:pPr>
            <w:r>
              <w:rPr>
                <w:rFonts w:hint="eastAsia"/>
                <w:color w:val="auto"/>
              </w:rPr>
              <w:t>8月</w:t>
            </w:r>
          </w:p>
        </w:tc>
        <w:tc>
          <w:tcPr>
            <w:tcW w:w="350" w:type="pct"/>
            <w:vAlign w:val="center"/>
          </w:tcPr>
          <w:p>
            <w:pPr>
              <w:pStyle w:val="199"/>
              <w:rPr>
                <w:color w:val="auto"/>
              </w:rPr>
            </w:pPr>
            <w:r>
              <w:rPr>
                <w:rFonts w:hint="eastAsia"/>
                <w:color w:val="auto"/>
              </w:rPr>
              <w:t>9月</w:t>
            </w:r>
          </w:p>
        </w:tc>
        <w:tc>
          <w:tcPr>
            <w:tcW w:w="326" w:type="pct"/>
            <w:vAlign w:val="center"/>
          </w:tcPr>
          <w:p>
            <w:pPr>
              <w:pStyle w:val="199"/>
              <w:rPr>
                <w:color w:val="auto"/>
              </w:rPr>
            </w:pPr>
            <w:r>
              <w:rPr>
                <w:rFonts w:hint="eastAsia"/>
                <w:color w:val="auto"/>
              </w:rPr>
              <w:t>10月</w:t>
            </w:r>
          </w:p>
        </w:tc>
        <w:tc>
          <w:tcPr>
            <w:tcW w:w="326" w:type="pct"/>
            <w:vAlign w:val="center"/>
          </w:tcPr>
          <w:p>
            <w:pPr>
              <w:pStyle w:val="199"/>
              <w:rPr>
                <w:color w:val="auto"/>
              </w:rPr>
            </w:pPr>
            <w:r>
              <w:rPr>
                <w:rFonts w:hint="eastAsia"/>
                <w:color w:val="auto"/>
              </w:rPr>
              <w:t>11月</w:t>
            </w:r>
          </w:p>
        </w:tc>
        <w:tc>
          <w:tcPr>
            <w:tcW w:w="374" w:type="pct"/>
            <w:vAlign w:val="center"/>
          </w:tcPr>
          <w:p>
            <w:pPr>
              <w:pStyle w:val="199"/>
              <w:rPr>
                <w:color w:val="auto"/>
              </w:rPr>
            </w:pPr>
            <w:r>
              <w:rPr>
                <w:rFonts w:hint="eastAsia"/>
                <w:color w:val="auto"/>
              </w:rPr>
              <w:t>12月</w:t>
            </w:r>
          </w:p>
        </w:tc>
        <w:tc>
          <w:tcPr>
            <w:tcW w:w="393" w:type="pct"/>
            <w:vAlign w:val="center"/>
          </w:tcPr>
          <w:p>
            <w:pPr>
              <w:pStyle w:val="199"/>
              <w:rPr>
                <w:color w:val="auto"/>
              </w:rPr>
            </w:pPr>
            <w:r>
              <w:rPr>
                <w:rFonts w:hint="eastAsia"/>
                <w:color w:val="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0" w:type="pct"/>
            <w:vAlign w:val="center"/>
          </w:tcPr>
          <w:p>
            <w:pPr>
              <w:pStyle w:val="199"/>
              <w:rPr>
                <w:color w:val="auto"/>
              </w:rPr>
            </w:pPr>
            <w:r>
              <w:rPr>
                <w:rFonts w:hint="eastAsia"/>
                <w:color w:val="auto"/>
              </w:rPr>
              <w:t>风速m/s</w:t>
            </w:r>
          </w:p>
        </w:tc>
        <w:tc>
          <w:tcPr>
            <w:tcW w:w="326" w:type="pct"/>
            <w:vAlign w:val="center"/>
          </w:tcPr>
          <w:p>
            <w:pPr>
              <w:pStyle w:val="199"/>
              <w:rPr>
                <w:color w:val="auto"/>
              </w:rPr>
            </w:pPr>
            <w:r>
              <w:rPr>
                <w:rFonts w:hint="eastAsia"/>
                <w:color w:val="auto"/>
              </w:rPr>
              <w:t>2.06</w:t>
            </w:r>
          </w:p>
        </w:tc>
        <w:tc>
          <w:tcPr>
            <w:tcW w:w="375" w:type="pct"/>
            <w:vAlign w:val="center"/>
          </w:tcPr>
          <w:p>
            <w:pPr>
              <w:pStyle w:val="199"/>
              <w:rPr>
                <w:color w:val="auto"/>
              </w:rPr>
            </w:pPr>
            <w:r>
              <w:rPr>
                <w:rFonts w:hint="eastAsia"/>
                <w:color w:val="auto"/>
              </w:rPr>
              <w:t>2.55</w:t>
            </w:r>
          </w:p>
        </w:tc>
        <w:tc>
          <w:tcPr>
            <w:tcW w:w="349" w:type="pct"/>
            <w:vAlign w:val="center"/>
          </w:tcPr>
          <w:p>
            <w:pPr>
              <w:pStyle w:val="199"/>
              <w:rPr>
                <w:color w:val="auto"/>
              </w:rPr>
            </w:pPr>
            <w:r>
              <w:rPr>
                <w:rFonts w:hint="eastAsia"/>
                <w:color w:val="auto"/>
              </w:rPr>
              <w:t>2.78</w:t>
            </w:r>
          </w:p>
        </w:tc>
        <w:tc>
          <w:tcPr>
            <w:tcW w:w="326" w:type="pct"/>
            <w:vAlign w:val="center"/>
          </w:tcPr>
          <w:p>
            <w:pPr>
              <w:pStyle w:val="199"/>
              <w:rPr>
                <w:color w:val="auto"/>
              </w:rPr>
            </w:pPr>
            <w:r>
              <w:rPr>
                <w:rFonts w:hint="eastAsia"/>
                <w:color w:val="auto"/>
              </w:rPr>
              <w:t>2.76</w:t>
            </w:r>
          </w:p>
        </w:tc>
        <w:tc>
          <w:tcPr>
            <w:tcW w:w="349" w:type="pct"/>
            <w:vAlign w:val="center"/>
          </w:tcPr>
          <w:p>
            <w:pPr>
              <w:pStyle w:val="199"/>
              <w:rPr>
                <w:color w:val="auto"/>
              </w:rPr>
            </w:pPr>
            <w:r>
              <w:rPr>
                <w:rFonts w:hint="eastAsia"/>
                <w:color w:val="auto"/>
              </w:rPr>
              <w:t>2.35</w:t>
            </w:r>
          </w:p>
        </w:tc>
        <w:tc>
          <w:tcPr>
            <w:tcW w:w="326" w:type="pct"/>
            <w:vAlign w:val="center"/>
          </w:tcPr>
          <w:p>
            <w:pPr>
              <w:pStyle w:val="199"/>
              <w:rPr>
                <w:color w:val="auto"/>
              </w:rPr>
            </w:pPr>
            <w:r>
              <w:rPr>
                <w:rFonts w:hint="eastAsia"/>
                <w:color w:val="auto"/>
              </w:rPr>
              <w:t>2.12</w:t>
            </w:r>
          </w:p>
        </w:tc>
        <w:tc>
          <w:tcPr>
            <w:tcW w:w="350" w:type="pct"/>
            <w:vAlign w:val="center"/>
          </w:tcPr>
          <w:p>
            <w:pPr>
              <w:pStyle w:val="199"/>
              <w:rPr>
                <w:color w:val="auto"/>
              </w:rPr>
            </w:pPr>
            <w:r>
              <w:rPr>
                <w:rFonts w:hint="eastAsia"/>
                <w:color w:val="auto"/>
              </w:rPr>
              <w:t>1.73</w:t>
            </w:r>
          </w:p>
        </w:tc>
        <w:tc>
          <w:tcPr>
            <w:tcW w:w="350" w:type="pct"/>
            <w:vAlign w:val="center"/>
          </w:tcPr>
          <w:p>
            <w:pPr>
              <w:pStyle w:val="199"/>
              <w:rPr>
                <w:color w:val="auto"/>
              </w:rPr>
            </w:pPr>
            <w:r>
              <w:rPr>
                <w:rFonts w:hint="eastAsia"/>
                <w:color w:val="auto"/>
              </w:rPr>
              <w:t>1.45</w:t>
            </w:r>
          </w:p>
        </w:tc>
        <w:tc>
          <w:tcPr>
            <w:tcW w:w="350" w:type="pct"/>
            <w:vAlign w:val="center"/>
          </w:tcPr>
          <w:p>
            <w:pPr>
              <w:pStyle w:val="199"/>
              <w:rPr>
                <w:color w:val="auto"/>
              </w:rPr>
            </w:pPr>
            <w:r>
              <w:rPr>
                <w:rFonts w:hint="eastAsia"/>
                <w:color w:val="auto"/>
              </w:rPr>
              <w:t>1.49</w:t>
            </w:r>
          </w:p>
        </w:tc>
        <w:tc>
          <w:tcPr>
            <w:tcW w:w="326" w:type="pct"/>
            <w:vAlign w:val="center"/>
          </w:tcPr>
          <w:p>
            <w:pPr>
              <w:pStyle w:val="199"/>
              <w:rPr>
                <w:color w:val="auto"/>
              </w:rPr>
            </w:pPr>
            <w:r>
              <w:rPr>
                <w:rFonts w:hint="eastAsia"/>
                <w:color w:val="auto"/>
              </w:rPr>
              <w:t>1.6</w:t>
            </w:r>
          </w:p>
        </w:tc>
        <w:tc>
          <w:tcPr>
            <w:tcW w:w="326" w:type="pct"/>
            <w:vAlign w:val="center"/>
          </w:tcPr>
          <w:p>
            <w:pPr>
              <w:pStyle w:val="199"/>
              <w:rPr>
                <w:color w:val="auto"/>
              </w:rPr>
            </w:pPr>
            <w:r>
              <w:rPr>
                <w:rFonts w:hint="eastAsia"/>
                <w:color w:val="auto"/>
              </w:rPr>
              <w:t>1.68</w:t>
            </w:r>
          </w:p>
        </w:tc>
        <w:tc>
          <w:tcPr>
            <w:tcW w:w="374" w:type="pct"/>
            <w:vAlign w:val="center"/>
          </w:tcPr>
          <w:p>
            <w:pPr>
              <w:pStyle w:val="199"/>
              <w:rPr>
                <w:color w:val="auto"/>
              </w:rPr>
            </w:pPr>
            <w:r>
              <w:rPr>
                <w:rFonts w:hint="eastAsia"/>
                <w:color w:val="auto"/>
              </w:rPr>
              <w:t>1.75</w:t>
            </w:r>
          </w:p>
        </w:tc>
        <w:tc>
          <w:tcPr>
            <w:tcW w:w="393" w:type="pct"/>
            <w:vAlign w:val="center"/>
          </w:tcPr>
          <w:p>
            <w:pPr>
              <w:pStyle w:val="199"/>
              <w:rPr>
                <w:color w:val="auto"/>
              </w:rPr>
            </w:pPr>
            <w:r>
              <w:rPr>
                <w:rFonts w:hint="eastAsia"/>
                <w:color w:val="auto"/>
              </w:rPr>
              <w:t>2.03</w:t>
            </w:r>
          </w:p>
        </w:tc>
      </w:tr>
    </w:tbl>
    <w:p>
      <w:pPr>
        <w:adjustRightInd w:val="0"/>
        <w:snapToGrid w:val="0"/>
        <w:spacing w:line="480" w:lineRule="exact"/>
        <w:ind w:firstLine="480"/>
        <w:rPr>
          <w:snapToGrid w:val="0"/>
          <w:color w:val="auto"/>
        </w:rPr>
      </w:pPr>
      <w:r>
        <w:rPr>
          <w:rFonts w:hint="eastAsia"/>
          <w:snapToGrid w:val="0"/>
          <w:color w:val="auto"/>
          <w:lang w:val="en-US" w:eastAsia="zh-CN"/>
        </w:rPr>
        <w:t>6、</w:t>
      </w:r>
      <w:r>
        <w:rPr>
          <w:rFonts w:hint="eastAsia"/>
          <w:snapToGrid w:val="0"/>
          <w:color w:val="auto"/>
        </w:rPr>
        <w:t>风频</w:t>
      </w:r>
    </w:p>
    <w:p>
      <w:pPr>
        <w:adjustRightInd w:val="0"/>
        <w:snapToGrid w:val="0"/>
        <w:spacing w:line="480" w:lineRule="exact"/>
        <w:ind w:firstLine="480"/>
        <w:rPr>
          <w:snapToGrid w:val="0"/>
          <w:color w:val="auto"/>
        </w:rPr>
      </w:pPr>
      <w:r>
        <w:rPr>
          <w:rFonts w:hint="eastAsia"/>
          <w:snapToGrid w:val="0"/>
          <w:color w:val="auto"/>
        </w:rPr>
        <w:t>楚雄市累</w:t>
      </w:r>
      <w:r>
        <w:rPr>
          <w:snapToGrid w:val="0"/>
          <w:color w:val="auto"/>
        </w:rPr>
        <w:t>年</w:t>
      </w:r>
      <w:r>
        <w:rPr>
          <w:rFonts w:hint="eastAsia"/>
          <w:snapToGrid w:val="0"/>
          <w:color w:val="auto"/>
        </w:rPr>
        <w:t>风频最多的是SW，频率为11.19%；其次是SSW，频率为11.17%，NNW最少，频率为1.67%；多年平均静风频率为14.21%。楚雄市累年风频统计见下表。</w:t>
      </w:r>
    </w:p>
    <w:p>
      <w:pPr>
        <w:numPr>
          <w:ilvl w:val="0"/>
          <w:numId w:val="9"/>
        </w:numPr>
        <w:ind w:left="0" w:leftChars="0" w:firstLine="0" w:firstLineChars="0"/>
        <w:jc w:val="center"/>
        <w:rPr>
          <w:b/>
          <w:bCs/>
          <w:color w:val="auto"/>
          <w:spacing w:val="1"/>
        </w:rPr>
      </w:pPr>
      <w:r>
        <w:rPr>
          <w:rFonts w:hint="eastAsia"/>
          <w:b/>
          <w:bCs/>
          <w:color w:val="auto"/>
          <w:spacing w:val="1"/>
        </w:rPr>
        <w:t>楚雄市2001-2020</w:t>
      </w:r>
      <w:r>
        <w:rPr>
          <w:b/>
          <w:bCs/>
          <w:color w:val="auto"/>
          <w:spacing w:val="1"/>
        </w:rPr>
        <w:t>年</w:t>
      </w:r>
      <w:r>
        <w:rPr>
          <w:rFonts w:hint="eastAsia"/>
          <w:b/>
          <w:bCs/>
          <w:color w:val="auto"/>
          <w:spacing w:val="1"/>
        </w:rPr>
        <w:t>平均</w:t>
      </w:r>
      <w:r>
        <w:rPr>
          <w:b/>
          <w:bCs/>
          <w:color w:val="auto"/>
          <w:spacing w:val="1"/>
        </w:rPr>
        <w:t>风频</w:t>
      </w:r>
      <w:r>
        <w:rPr>
          <w:rFonts w:hint="eastAsia"/>
          <w:b/>
          <w:bCs/>
          <w:color w:val="auto"/>
          <w:spacing w:val="1"/>
        </w:rPr>
        <w:t>的月</w:t>
      </w:r>
      <w:r>
        <w:rPr>
          <w:rFonts w:hint="eastAsia"/>
          <w:b/>
          <w:color w:val="auto"/>
          <w:kern w:val="21"/>
          <w:szCs w:val="20"/>
        </w:rPr>
        <w:t>变化</w:t>
      </w:r>
      <w:r>
        <w:rPr>
          <w:b/>
          <w:bCs/>
          <w:color w:val="auto"/>
          <w:spacing w:val="1"/>
        </w:rPr>
        <w:t>(%)</w:t>
      </w:r>
    </w:p>
    <w:tbl>
      <w:tblPr>
        <w:tblStyle w:val="51"/>
        <w:tblW w:w="52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689"/>
        <w:gridCol w:w="689"/>
        <w:gridCol w:w="689"/>
        <w:gridCol w:w="689"/>
        <w:gridCol w:w="689"/>
        <w:gridCol w:w="689"/>
        <w:gridCol w:w="689"/>
        <w:gridCol w:w="689"/>
        <w:gridCol w:w="689"/>
        <w:gridCol w:w="689"/>
        <w:gridCol w:w="689"/>
        <w:gridCol w:w="689"/>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Header/>
          <w:jc w:val="center"/>
        </w:trPr>
        <w:tc>
          <w:tcPr>
            <w:tcW w:w="312" w:type="pct"/>
            <w:noWrap/>
            <w:vAlign w:val="center"/>
          </w:tcPr>
          <w:p>
            <w:pPr>
              <w:pStyle w:val="199"/>
              <w:rPr>
                <w:color w:val="auto"/>
              </w:rPr>
            </w:pPr>
            <w:r>
              <w:rPr>
                <w:rFonts w:hint="eastAsia"/>
                <w:color w:val="auto"/>
              </w:rPr>
              <w:t>风向</w:t>
            </w:r>
          </w:p>
        </w:tc>
        <w:tc>
          <w:tcPr>
            <w:tcW w:w="360" w:type="pct"/>
            <w:noWrap/>
            <w:vAlign w:val="center"/>
          </w:tcPr>
          <w:p>
            <w:pPr>
              <w:pStyle w:val="199"/>
              <w:rPr>
                <w:color w:val="auto"/>
              </w:rPr>
            </w:pPr>
            <w:r>
              <w:rPr>
                <w:rFonts w:hint="eastAsia"/>
                <w:color w:val="auto"/>
              </w:rPr>
              <w:t>1月</w:t>
            </w:r>
          </w:p>
        </w:tc>
        <w:tc>
          <w:tcPr>
            <w:tcW w:w="360" w:type="pct"/>
            <w:noWrap/>
            <w:vAlign w:val="center"/>
          </w:tcPr>
          <w:p>
            <w:pPr>
              <w:pStyle w:val="199"/>
              <w:rPr>
                <w:color w:val="auto"/>
              </w:rPr>
            </w:pPr>
            <w:r>
              <w:rPr>
                <w:rFonts w:hint="eastAsia"/>
                <w:color w:val="auto"/>
              </w:rPr>
              <w:t>2月</w:t>
            </w:r>
          </w:p>
        </w:tc>
        <w:tc>
          <w:tcPr>
            <w:tcW w:w="360" w:type="pct"/>
            <w:noWrap/>
            <w:vAlign w:val="center"/>
          </w:tcPr>
          <w:p>
            <w:pPr>
              <w:pStyle w:val="199"/>
              <w:rPr>
                <w:color w:val="auto"/>
              </w:rPr>
            </w:pPr>
            <w:r>
              <w:rPr>
                <w:rFonts w:hint="eastAsia"/>
                <w:color w:val="auto"/>
              </w:rPr>
              <w:t>3月</w:t>
            </w:r>
          </w:p>
        </w:tc>
        <w:tc>
          <w:tcPr>
            <w:tcW w:w="361" w:type="pct"/>
            <w:noWrap/>
            <w:vAlign w:val="center"/>
          </w:tcPr>
          <w:p>
            <w:pPr>
              <w:pStyle w:val="199"/>
              <w:rPr>
                <w:color w:val="auto"/>
              </w:rPr>
            </w:pPr>
            <w:r>
              <w:rPr>
                <w:rFonts w:hint="eastAsia"/>
                <w:color w:val="auto"/>
              </w:rPr>
              <w:t>4月</w:t>
            </w:r>
          </w:p>
        </w:tc>
        <w:tc>
          <w:tcPr>
            <w:tcW w:w="361" w:type="pct"/>
            <w:noWrap/>
            <w:vAlign w:val="center"/>
          </w:tcPr>
          <w:p>
            <w:pPr>
              <w:pStyle w:val="199"/>
              <w:rPr>
                <w:color w:val="auto"/>
              </w:rPr>
            </w:pPr>
            <w:r>
              <w:rPr>
                <w:rFonts w:hint="eastAsia"/>
                <w:color w:val="auto"/>
              </w:rPr>
              <w:t>5月</w:t>
            </w:r>
          </w:p>
        </w:tc>
        <w:tc>
          <w:tcPr>
            <w:tcW w:w="361" w:type="pct"/>
            <w:noWrap/>
            <w:vAlign w:val="center"/>
          </w:tcPr>
          <w:p>
            <w:pPr>
              <w:pStyle w:val="199"/>
              <w:rPr>
                <w:color w:val="auto"/>
              </w:rPr>
            </w:pPr>
            <w:r>
              <w:rPr>
                <w:rFonts w:hint="eastAsia"/>
                <w:color w:val="auto"/>
              </w:rPr>
              <w:t>6月</w:t>
            </w:r>
          </w:p>
        </w:tc>
        <w:tc>
          <w:tcPr>
            <w:tcW w:w="361" w:type="pct"/>
            <w:noWrap/>
            <w:vAlign w:val="center"/>
          </w:tcPr>
          <w:p>
            <w:pPr>
              <w:pStyle w:val="199"/>
              <w:rPr>
                <w:color w:val="auto"/>
              </w:rPr>
            </w:pPr>
            <w:r>
              <w:rPr>
                <w:rFonts w:hint="eastAsia"/>
                <w:color w:val="auto"/>
              </w:rPr>
              <w:t>7月</w:t>
            </w:r>
          </w:p>
        </w:tc>
        <w:tc>
          <w:tcPr>
            <w:tcW w:w="361" w:type="pct"/>
            <w:noWrap/>
            <w:vAlign w:val="center"/>
          </w:tcPr>
          <w:p>
            <w:pPr>
              <w:pStyle w:val="199"/>
              <w:rPr>
                <w:color w:val="auto"/>
              </w:rPr>
            </w:pPr>
            <w:r>
              <w:rPr>
                <w:rFonts w:hint="eastAsia"/>
                <w:color w:val="auto"/>
              </w:rPr>
              <w:t>8月</w:t>
            </w:r>
          </w:p>
        </w:tc>
        <w:tc>
          <w:tcPr>
            <w:tcW w:w="361" w:type="pct"/>
            <w:noWrap/>
            <w:vAlign w:val="center"/>
          </w:tcPr>
          <w:p>
            <w:pPr>
              <w:pStyle w:val="199"/>
              <w:rPr>
                <w:color w:val="auto"/>
              </w:rPr>
            </w:pPr>
            <w:r>
              <w:rPr>
                <w:rFonts w:hint="eastAsia"/>
                <w:color w:val="auto"/>
              </w:rPr>
              <w:t>9月</w:t>
            </w:r>
          </w:p>
        </w:tc>
        <w:tc>
          <w:tcPr>
            <w:tcW w:w="361" w:type="pct"/>
            <w:noWrap/>
            <w:vAlign w:val="center"/>
          </w:tcPr>
          <w:p>
            <w:pPr>
              <w:pStyle w:val="199"/>
              <w:rPr>
                <w:color w:val="auto"/>
              </w:rPr>
            </w:pPr>
            <w:r>
              <w:rPr>
                <w:rFonts w:hint="eastAsia"/>
                <w:color w:val="auto"/>
              </w:rPr>
              <w:t>10月</w:t>
            </w:r>
          </w:p>
        </w:tc>
        <w:tc>
          <w:tcPr>
            <w:tcW w:w="361" w:type="pct"/>
            <w:noWrap/>
            <w:vAlign w:val="center"/>
          </w:tcPr>
          <w:p>
            <w:pPr>
              <w:pStyle w:val="199"/>
              <w:rPr>
                <w:color w:val="auto"/>
              </w:rPr>
            </w:pPr>
            <w:r>
              <w:rPr>
                <w:rFonts w:hint="eastAsia"/>
                <w:color w:val="auto"/>
              </w:rPr>
              <w:t>11月</w:t>
            </w:r>
          </w:p>
        </w:tc>
        <w:tc>
          <w:tcPr>
            <w:tcW w:w="361" w:type="pct"/>
            <w:noWrap/>
            <w:vAlign w:val="center"/>
          </w:tcPr>
          <w:p>
            <w:pPr>
              <w:pStyle w:val="199"/>
              <w:rPr>
                <w:color w:val="auto"/>
              </w:rPr>
            </w:pPr>
            <w:r>
              <w:rPr>
                <w:rFonts w:hint="eastAsia"/>
                <w:color w:val="auto"/>
              </w:rPr>
              <w:t>12月</w:t>
            </w:r>
          </w:p>
        </w:tc>
        <w:tc>
          <w:tcPr>
            <w:tcW w:w="360" w:type="pct"/>
            <w:noWrap/>
            <w:vAlign w:val="center"/>
          </w:tcPr>
          <w:p>
            <w:pPr>
              <w:pStyle w:val="199"/>
              <w:rPr>
                <w:color w:val="auto"/>
              </w:rPr>
            </w:pPr>
            <w:r>
              <w:rPr>
                <w:rFonts w:hint="eastAsia"/>
                <w:color w:val="auto"/>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NNE</w:t>
            </w:r>
          </w:p>
        </w:tc>
        <w:tc>
          <w:tcPr>
            <w:tcW w:w="360" w:type="pct"/>
            <w:noWrap/>
            <w:vAlign w:val="bottom"/>
          </w:tcPr>
          <w:p>
            <w:pPr>
              <w:pStyle w:val="199"/>
              <w:rPr>
                <w:color w:val="auto"/>
              </w:rPr>
            </w:pPr>
            <w:r>
              <w:rPr>
                <w:rFonts w:hint="eastAsia"/>
                <w:color w:val="auto"/>
              </w:rPr>
              <w:t>1.55</w:t>
            </w:r>
          </w:p>
        </w:tc>
        <w:tc>
          <w:tcPr>
            <w:tcW w:w="360" w:type="pct"/>
            <w:noWrap/>
            <w:vAlign w:val="bottom"/>
          </w:tcPr>
          <w:p>
            <w:pPr>
              <w:pStyle w:val="199"/>
              <w:rPr>
                <w:color w:val="auto"/>
              </w:rPr>
            </w:pPr>
            <w:r>
              <w:rPr>
                <w:rFonts w:hint="eastAsia"/>
                <w:color w:val="auto"/>
              </w:rPr>
              <w:t>1.72</w:t>
            </w:r>
          </w:p>
        </w:tc>
        <w:tc>
          <w:tcPr>
            <w:tcW w:w="360" w:type="pct"/>
            <w:noWrap/>
            <w:vAlign w:val="bottom"/>
          </w:tcPr>
          <w:p>
            <w:pPr>
              <w:pStyle w:val="199"/>
              <w:rPr>
                <w:color w:val="auto"/>
              </w:rPr>
            </w:pPr>
            <w:r>
              <w:rPr>
                <w:rFonts w:hint="eastAsia"/>
                <w:color w:val="auto"/>
              </w:rPr>
              <w:t>1.35</w:t>
            </w:r>
          </w:p>
        </w:tc>
        <w:tc>
          <w:tcPr>
            <w:tcW w:w="361" w:type="pct"/>
            <w:noWrap/>
            <w:vAlign w:val="bottom"/>
          </w:tcPr>
          <w:p>
            <w:pPr>
              <w:pStyle w:val="199"/>
              <w:rPr>
                <w:color w:val="auto"/>
              </w:rPr>
            </w:pPr>
            <w:r>
              <w:rPr>
                <w:rFonts w:hint="eastAsia"/>
                <w:color w:val="auto"/>
              </w:rPr>
              <w:t>1.66</w:t>
            </w:r>
          </w:p>
        </w:tc>
        <w:tc>
          <w:tcPr>
            <w:tcW w:w="361" w:type="pct"/>
            <w:noWrap/>
            <w:vAlign w:val="bottom"/>
          </w:tcPr>
          <w:p>
            <w:pPr>
              <w:pStyle w:val="199"/>
              <w:rPr>
                <w:color w:val="auto"/>
              </w:rPr>
            </w:pPr>
            <w:r>
              <w:rPr>
                <w:rFonts w:hint="eastAsia"/>
                <w:color w:val="auto"/>
              </w:rPr>
              <w:t>1.52</w:t>
            </w:r>
          </w:p>
        </w:tc>
        <w:tc>
          <w:tcPr>
            <w:tcW w:w="361" w:type="pct"/>
            <w:noWrap/>
            <w:vAlign w:val="bottom"/>
          </w:tcPr>
          <w:p>
            <w:pPr>
              <w:pStyle w:val="199"/>
              <w:rPr>
                <w:color w:val="auto"/>
              </w:rPr>
            </w:pPr>
            <w:r>
              <w:rPr>
                <w:rFonts w:hint="eastAsia"/>
                <w:color w:val="auto"/>
              </w:rPr>
              <w:t>1.78</w:t>
            </w:r>
          </w:p>
        </w:tc>
        <w:tc>
          <w:tcPr>
            <w:tcW w:w="361" w:type="pct"/>
            <w:noWrap/>
            <w:vAlign w:val="bottom"/>
          </w:tcPr>
          <w:p>
            <w:pPr>
              <w:pStyle w:val="199"/>
              <w:rPr>
                <w:color w:val="auto"/>
              </w:rPr>
            </w:pPr>
            <w:r>
              <w:rPr>
                <w:rFonts w:hint="eastAsia"/>
                <w:color w:val="auto"/>
              </w:rPr>
              <w:t>1.83</w:t>
            </w:r>
          </w:p>
        </w:tc>
        <w:tc>
          <w:tcPr>
            <w:tcW w:w="361" w:type="pct"/>
            <w:noWrap/>
            <w:vAlign w:val="bottom"/>
          </w:tcPr>
          <w:p>
            <w:pPr>
              <w:pStyle w:val="199"/>
              <w:rPr>
                <w:color w:val="auto"/>
              </w:rPr>
            </w:pPr>
            <w:r>
              <w:rPr>
                <w:rFonts w:hint="eastAsia"/>
                <w:color w:val="auto"/>
              </w:rPr>
              <w:t>2.52</w:t>
            </w:r>
          </w:p>
        </w:tc>
        <w:tc>
          <w:tcPr>
            <w:tcW w:w="361" w:type="pct"/>
            <w:noWrap/>
            <w:vAlign w:val="bottom"/>
          </w:tcPr>
          <w:p>
            <w:pPr>
              <w:pStyle w:val="199"/>
              <w:rPr>
                <w:color w:val="auto"/>
              </w:rPr>
            </w:pPr>
            <w:r>
              <w:rPr>
                <w:rFonts w:hint="eastAsia"/>
                <w:color w:val="auto"/>
              </w:rPr>
              <w:t>1.75</w:t>
            </w:r>
          </w:p>
        </w:tc>
        <w:tc>
          <w:tcPr>
            <w:tcW w:w="361" w:type="pct"/>
            <w:noWrap/>
            <w:vAlign w:val="bottom"/>
          </w:tcPr>
          <w:p>
            <w:pPr>
              <w:pStyle w:val="199"/>
              <w:rPr>
                <w:color w:val="auto"/>
              </w:rPr>
            </w:pPr>
            <w:r>
              <w:rPr>
                <w:rFonts w:hint="eastAsia"/>
                <w:color w:val="auto"/>
              </w:rPr>
              <w:t>1.23</w:t>
            </w:r>
          </w:p>
        </w:tc>
        <w:tc>
          <w:tcPr>
            <w:tcW w:w="361" w:type="pct"/>
            <w:noWrap/>
            <w:vAlign w:val="bottom"/>
          </w:tcPr>
          <w:p>
            <w:pPr>
              <w:pStyle w:val="199"/>
              <w:rPr>
                <w:color w:val="auto"/>
              </w:rPr>
            </w:pPr>
            <w:r>
              <w:rPr>
                <w:rFonts w:hint="eastAsia"/>
                <w:color w:val="auto"/>
              </w:rPr>
              <w:t>1.67</w:t>
            </w:r>
          </w:p>
        </w:tc>
        <w:tc>
          <w:tcPr>
            <w:tcW w:w="361" w:type="pct"/>
            <w:noWrap/>
            <w:vAlign w:val="bottom"/>
          </w:tcPr>
          <w:p>
            <w:pPr>
              <w:pStyle w:val="199"/>
              <w:rPr>
                <w:color w:val="auto"/>
              </w:rPr>
            </w:pPr>
            <w:r>
              <w:rPr>
                <w:rFonts w:hint="eastAsia"/>
                <w:color w:val="auto"/>
              </w:rPr>
              <w:t>1.45</w:t>
            </w:r>
          </w:p>
        </w:tc>
        <w:tc>
          <w:tcPr>
            <w:tcW w:w="360" w:type="pct"/>
            <w:noWrap/>
            <w:vAlign w:val="bottom"/>
          </w:tcPr>
          <w:p>
            <w:pPr>
              <w:pStyle w:val="199"/>
              <w:rPr>
                <w:color w:val="auto"/>
              </w:rPr>
            </w:pPr>
            <w:r>
              <w:rPr>
                <w:rFonts w:hint="eastAsia"/>
                <w:color w:val="auto"/>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NE</w:t>
            </w:r>
          </w:p>
        </w:tc>
        <w:tc>
          <w:tcPr>
            <w:tcW w:w="360" w:type="pct"/>
            <w:noWrap/>
            <w:vAlign w:val="bottom"/>
          </w:tcPr>
          <w:p>
            <w:pPr>
              <w:pStyle w:val="199"/>
              <w:rPr>
                <w:color w:val="auto"/>
              </w:rPr>
            </w:pPr>
            <w:r>
              <w:rPr>
                <w:rFonts w:hint="eastAsia"/>
                <w:color w:val="auto"/>
              </w:rPr>
              <w:t>1.31</w:t>
            </w:r>
          </w:p>
        </w:tc>
        <w:tc>
          <w:tcPr>
            <w:tcW w:w="360" w:type="pct"/>
            <w:noWrap/>
            <w:vAlign w:val="bottom"/>
          </w:tcPr>
          <w:p>
            <w:pPr>
              <w:pStyle w:val="199"/>
              <w:rPr>
                <w:color w:val="auto"/>
              </w:rPr>
            </w:pPr>
            <w:r>
              <w:rPr>
                <w:rFonts w:hint="eastAsia"/>
                <w:color w:val="auto"/>
              </w:rPr>
              <w:t>1.5</w:t>
            </w:r>
          </w:p>
        </w:tc>
        <w:tc>
          <w:tcPr>
            <w:tcW w:w="360" w:type="pct"/>
            <w:noWrap/>
            <w:vAlign w:val="bottom"/>
          </w:tcPr>
          <w:p>
            <w:pPr>
              <w:pStyle w:val="199"/>
              <w:rPr>
                <w:color w:val="auto"/>
              </w:rPr>
            </w:pPr>
            <w:r>
              <w:rPr>
                <w:rFonts w:hint="eastAsia"/>
                <w:color w:val="auto"/>
              </w:rPr>
              <w:t>1.36</w:t>
            </w:r>
          </w:p>
        </w:tc>
        <w:tc>
          <w:tcPr>
            <w:tcW w:w="361" w:type="pct"/>
            <w:noWrap/>
            <w:vAlign w:val="bottom"/>
          </w:tcPr>
          <w:p>
            <w:pPr>
              <w:pStyle w:val="199"/>
              <w:rPr>
                <w:color w:val="auto"/>
              </w:rPr>
            </w:pPr>
            <w:r>
              <w:rPr>
                <w:rFonts w:hint="eastAsia"/>
                <w:color w:val="auto"/>
              </w:rPr>
              <w:t>1.9</w:t>
            </w:r>
          </w:p>
        </w:tc>
        <w:tc>
          <w:tcPr>
            <w:tcW w:w="361" w:type="pct"/>
            <w:noWrap/>
            <w:vAlign w:val="bottom"/>
          </w:tcPr>
          <w:p>
            <w:pPr>
              <w:pStyle w:val="199"/>
              <w:rPr>
                <w:color w:val="auto"/>
              </w:rPr>
            </w:pPr>
            <w:r>
              <w:rPr>
                <w:rFonts w:hint="eastAsia"/>
                <w:color w:val="auto"/>
              </w:rPr>
              <w:t>1.79</w:t>
            </w:r>
          </w:p>
        </w:tc>
        <w:tc>
          <w:tcPr>
            <w:tcW w:w="361" w:type="pct"/>
            <w:noWrap/>
            <w:vAlign w:val="bottom"/>
          </w:tcPr>
          <w:p>
            <w:pPr>
              <w:pStyle w:val="199"/>
              <w:rPr>
                <w:color w:val="auto"/>
              </w:rPr>
            </w:pPr>
            <w:r>
              <w:rPr>
                <w:rFonts w:hint="eastAsia"/>
                <w:color w:val="auto"/>
              </w:rPr>
              <w:t>2.3</w:t>
            </w:r>
          </w:p>
        </w:tc>
        <w:tc>
          <w:tcPr>
            <w:tcW w:w="361" w:type="pct"/>
            <w:noWrap/>
            <w:vAlign w:val="bottom"/>
          </w:tcPr>
          <w:p>
            <w:pPr>
              <w:pStyle w:val="199"/>
              <w:rPr>
                <w:color w:val="auto"/>
              </w:rPr>
            </w:pPr>
            <w:r>
              <w:rPr>
                <w:rFonts w:hint="eastAsia"/>
                <w:color w:val="auto"/>
              </w:rPr>
              <w:t>2.06</w:t>
            </w:r>
          </w:p>
        </w:tc>
        <w:tc>
          <w:tcPr>
            <w:tcW w:w="361" w:type="pct"/>
            <w:noWrap/>
            <w:vAlign w:val="bottom"/>
          </w:tcPr>
          <w:p>
            <w:pPr>
              <w:pStyle w:val="199"/>
              <w:rPr>
                <w:color w:val="auto"/>
              </w:rPr>
            </w:pPr>
            <w:r>
              <w:rPr>
                <w:rFonts w:hint="eastAsia"/>
                <w:color w:val="auto"/>
              </w:rPr>
              <w:t>2.75</w:t>
            </w:r>
          </w:p>
        </w:tc>
        <w:tc>
          <w:tcPr>
            <w:tcW w:w="361" w:type="pct"/>
            <w:noWrap/>
            <w:vAlign w:val="bottom"/>
          </w:tcPr>
          <w:p>
            <w:pPr>
              <w:pStyle w:val="199"/>
              <w:rPr>
                <w:color w:val="auto"/>
              </w:rPr>
            </w:pPr>
            <w:r>
              <w:rPr>
                <w:rFonts w:hint="eastAsia"/>
                <w:color w:val="auto"/>
              </w:rPr>
              <w:t>2.34</w:t>
            </w:r>
          </w:p>
        </w:tc>
        <w:tc>
          <w:tcPr>
            <w:tcW w:w="361" w:type="pct"/>
            <w:noWrap/>
            <w:vAlign w:val="bottom"/>
          </w:tcPr>
          <w:p>
            <w:pPr>
              <w:pStyle w:val="199"/>
              <w:rPr>
                <w:color w:val="auto"/>
              </w:rPr>
            </w:pPr>
            <w:r>
              <w:rPr>
                <w:rFonts w:hint="eastAsia"/>
                <w:color w:val="auto"/>
              </w:rPr>
              <w:t>2.01</w:t>
            </w:r>
          </w:p>
        </w:tc>
        <w:tc>
          <w:tcPr>
            <w:tcW w:w="361" w:type="pct"/>
            <w:noWrap/>
            <w:vAlign w:val="bottom"/>
          </w:tcPr>
          <w:p>
            <w:pPr>
              <w:pStyle w:val="199"/>
              <w:rPr>
                <w:color w:val="auto"/>
              </w:rPr>
            </w:pPr>
            <w:r>
              <w:rPr>
                <w:rFonts w:hint="eastAsia"/>
                <w:color w:val="auto"/>
              </w:rPr>
              <w:t>1.43</w:t>
            </w:r>
          </w:p>
        </w:tc>
        <w:tc>
          <w:tcPr>
            <w:tcW w:w="361" w:type="pct"/>
            <w:noWrap/>
            <w:vAlign w:val="bottom"/>
          </w:tcPr>
          <w:p>
            <w:pPr>
              <w:pStyle w:val="199"/>
              <w:rPr>
                <w:color w:val="auto"/>
              </w:rPr>
            </w:pPr>
            <w:r>
              <w:rPr>
                <w:rFonts w:hint="eastAsia"/>
                <w:color w:val="auto"/>
              </w:rPr>
              <w:t>1.59</w:t>
            </w:r>
          </w:p>
        </w:tc>
        <w:tc>
          <w:tcPr>
            <w:tcW w:w="360" w:type="pct"/>
            <w:noWrap/>
            <w:vAlign w:val="bottom"/>
          </w:tcPr>
          <w:p>
            <w:pPr>
              <w:pStyle w:val="199"/>
              <w:rPr>
                <w:color w:val="auto"/>
              </w:rPr>
            </w:pPr>
            <w:r>
              <w:rPr>
                <w:rFonts w:hint="eastAsia"/>
                <w:color w:val="auto"/>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ENE</w:t>
            </w:r>
          </w:p>
        </w:tc>
        <w:tc>
          <w:tcPr>
            <w:tcW w:w="360" w:type="pct"/>
            <w:noWrap/>
            <w:vAlign w:val="bottom"/>
          </w:tcPr>
          <w:p>
            <w:pPr>
              <w:pStyle w:val="199"/>
              <w:rPr>
                <w:color w:val="auto"/>
              </w:rPr>
            </w:pPr>
            <w:r>
              <w:rPr>
                <w:rFonts w:hint="eastAsia"/>
                <w:color w:val="auto"/>
              </w:rPr>
              <w:t>1.54</w:t>
            </w:r>
          </w:p>
        </w:tc>
        <w:tc>
          <w:tcPr>
            <w:tcW w:w="360" w:type="pct"/>
            <w:noWrap/>
            <w:vAlign w:val="bottom"/>
          </w:tcPr>
          <w:p>
            <w:pPr>
              <w:pStyle w:val="199"/>
              <w:rPr>
                <w:color w:val="auto"/>
              </w:rPr>
            </w:pPr>
            <w:r>
              <w:rPr>
                <w:rFonts w:hint="eastAsia"/>
                <w:color w:val="auto"/>
              </w:rPr>
              <w:t>1.21</w:t>
            </w:r>
          </w:p>
        </w:tc>
        <w:tc>
          <w:tcPr>
            <w:tcW w:w="360" w:type="pct"/>
            <w:noWrap/>
            <w:vAlign w:val="bottom"/>
          </w:tcPr>
          <w:p>
            <w:pPr>
              <w:pStyle w:val="199"/>
              <w:rPr>
                <w:color w:val="auto"/>
              </w:rPr>
            </w:pPr>
            <w:r>
              <w:rPr>
                <w:rFonts w:hint="eastAsia"/>
                <w:color w:val="auto"/>
              </w:rPr>
              <w:t>1.42</w:t>
            </w:r>
          </w:p>
        </w:tc>
        <w:tc>
          <w:tcPr>
            <w:tcW w:w="361" w:type="pct"/>
            <w:noWrap/>
            <w:vAlign w:val="bottom"/>
          </w:tcPr>
          <w:p>
            <w:pPr>
              <w:pStyle w:val="199"/>
              <w:rPr>
                <w:color w:val="auto"/>
              </w:rPr>
            </w:pPr>
            <w:r>
              <w:rPr>
                <w:rFonts w:hint="eastAsia"/>
                <w:color w:val="auto"/>
              </w:rPr>
              <w:t>2.25</w:t>
            </w:r>
          </w:p>
        </w:tc>
        <w:tc>
          <w:tcPr>
            <w:tcW w:w="361" w:type="pct"/>
            <w:noWrap/>
            <w:vAlign w:val="bottom"/>
          </w:tcPr>
          <w:p>
            <w:pPr>
              <w:pStyle w:val="199"/>
              <w:rPr>
                <w:color w:val="auto"/>
              </w:rPr>
            </w:pPr>
            <w:r>
              <w:rPr>
                <w:rFonts w:hint="eastAsia"/>
                <w:color w:val="auto"/>
              </w:rPr>
              <w:t>2.08</w:t>
            </w:r>
          </w:p>
        </w:tc>
        <w:tc>
          <w:tcPr>
            <w:tcW w:w="361" w:type="pct"/>
            <w:noWrap/>
            <w:vAlign w:val="bottom"/>
          </w:tcPr>
          <w:p>
            <w:pPr>
              <w:pStyle w:val="199"/>
              <w:rPr>
                <w:color w:val="auto"/>
              </w:rPr>
            </w:pPr>
            <w:r>
              <w:rPr>
                <w:rFonts w:hint="eastAsia"/>
                <w:color w:val="auto"/>
              </w:rPr>
              <w:t>2.61</w:t>
            </w:r>
          </w:p>
        </w:tc>
        <w:tc>
          <w:tcPr>
            <w:tcW w:w="361" w:type="pct"/>
            <w:noWrap/>
            <w:vAlign w:val="bottom"/>
          </w:tcPr>
          <w:p>
            <w:pPr>
              <w:pStyle w:val="199"/>
              <w:rPr>
                <w:color w:val="auto"/>
              </w:rPr>
            </w:pPr>
            <w:r>
              <w:rPr>
                <w:rFonts w:hint="eastAsia"/>
                <w:color w:val="auto"/>
              </w:rPr>
              <w:t>2.68</w:t>
            </w:r>
          </w:p>
        </w:tc>
        <w:tc>
          <w:tcPr>
            <w:tcW w:w="361" w:type="pct"/>
            <w:noWrap/>
            <w:vAlign w:val="bottom"/>
          </w:tcPr>
          <w:p>
            <w:pPr>
              <w:pStyle w:val="199"/>
              <w:rPr>
                <w:color w:val="auto"/>
              </w:rPr>
            </w:pPr>
            <w:r>
              <w:rPr>
                <w:rFonts w:hint="eastAsia"/>
                <w:color w:val="auto"/>
              </w:rPr>
              <w:t>4.02</w:t>
            </w:r>
          </w:p>
        </w:tc>
        <w:tc>
          <w:tcPr>
            <w:tcW w:w="361" w:type="pct"/>
            <w:noWrap/>
            <w:vAlign w:val="bottom"/>
          </w:tcPr>
          <w:p>
            <w:pPr>
              <w:pStyle w:val="199"/>
              <w:rPr>
                <w:color w:val="auto"/>
              </w:rPr>
            </w:pPr>
            <w:r>
              <w:rPr>
                <w:rFonts w:hint="eastAsia"/>
                <w:color w:val="auto"/>
              </w:rPr>
              <w:t>2.87</w:t>
            </w:r>
          </w:p>
        </w:tc>
        <w:tc>
          <w:tcPr>
            <w:tcW w:w="361" w:type="pct"/>
            <w:noWrap/>
            <w:vAlign w:val="bottom"/>
          </w:tcPr>
          <w:p>
            <w:pPr>
              <w:pStyle w:val="199"/>
              <w:rPr>
                <w:color w:val="auto"/>
              </w:rPr>
            </w:pPr>
            <w:r>
              <w:rPr>
                <w:rFonts w:hint="eastAsia"/>
                <w:color w:val="auto"/>
              </w:rPr>
              <w:t>2.42</w:t>
            </w:r>
          </w:p>
        </w:tc>
        <w:tc>
          <w:tcPr>
            <w:tcW w:w="361" w:type="pct"/>
            <w:noWrap/>
            <w:vAlign w:val="bottom"/>
          </w:tcPr>
          <w:p>
            <w:pPr>
              <w:pStyle w:val="199"/>
              <w:rPr>
                <w:color w:val="auto"/>
              </w:rPr>
            </w:pPr>
            <w:r>
              <w:rPr>
                <w:rFonts w:hint="eastAsia"/>
                <w:color w:val="auto"/>
              </w:rPr>
              <w:t>1.91</w:t>
            </w:r>
          </w:p>
        </w:tc>
        <w:tc>
          <w:tcPr>
            <w:tcW w:w="361" w:type="pct"/>
            <w:noWrap/>
            <w:vAlign w:val="bottom"/>
          </w:tcPr>
          <w:p>
            <w:pPr>
              <w:pStyle w:val="199"/>
              <w:rPr>
                <w:color w:val="auto"/>
              </w:rPr>
            </w:pPr>
            <w:r>
              <w:rPr>
                <w:rFonts w:hint="eastAsia"/>
                <w:color w:val="auto"/>
              </w:rPr>
              <w:t>1.63</w:t>
            </w:r>
          </w:p>
        </w:tc>
        <w:tc>
          <w:tcPr>
            <w:tcW w:w="360" w:type="pct"/>
            <w:noWrap/>
            <w:vAlign w:val="bottom"/>
          </w:tcPr>
          <w:p>
            <w:pPr>
              <w:pStyle w:val="199"/>
              <w:rPr>
                <w:color w:val="auto"/>
              </w:rPr>
            </w:pPr>
            <w:r>
              <w:rPr>
                <w:rFonts w:hint="eastAsia"/>
                <w:color w:val="auto"/>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E</w:t>
            </w:r>
          </w:p>
        </w:tc>
        <w:tc>
          <w:tcPr>
            <w:tcW w:w="360" w:type="pct"/>
            <w:noWrap/>
            <w:vAlign w:val="bottom"/>
          </w:tcPr>
          <w:p>
            <w:pPr>
              <w:pStyle w:val="199"/>
              <w:rPr>
                <w:color w:val="auto"/>
              </w:rPr>
            </w:pPr>
            <w:r>
              <w:rPr>
                <w:rFonts w:hint="eastAsia"/>
                <w:color w:val="auto"/>
              </w:rPr>
              <w:t>3.1</w:t>
            </w:r>
          </w:p>
        </w:tc>
        <w:tc>
          <w:tcPr>
            <w:tcW w:w="360" w:type="pct"/>
            <w:noWrap/>
            <w:vAlign w:val="bottom"/>
          </w:tcPr>
          <w:p>
            <w:pPr>
              <w:pStyle w:val="199"/>
              <w:rPr>
                <w:color w:val="auto"/>
              </w:rPr>
            </w:pPr>
            <w:r>
              <w:rPr>
                <w:rFonts w:hint="eastAsia"/>
                <w:color w:val="auto"/>
              </w:rPr>
              <w:t>2.6</w:t>
            </w:r>
          </w:p>
        </w:tc>
        <w:tc>
          <w:tcPr>
            <w:tcW w:w="360" w:type="pct"/>
            <w:noWrap/>
            <w:vAlign w:val="bottom"/>
          </w:tcPr>
          <w:p>
            <w:pPr>
              <w:pStyle w:val="199"/>
              <w:rPr>
                <w:color w:val="auto"/>
              </w:rPr>
            </w:pPr>
            <w:r>
              <w:rPr>
                <w:rFonts w:hint="eastAsia"/>
                <w:color w:val="auto"/>
              </w:rPr>
              <w:t>2.23</w:t>
            </w:r>
          </w:p>
        </w:tc>
        <w:tc>
          <w:tcPr>
            <w:tcW w:w="361" w:type="pct"/>
            <w:noWrap/>
            <w:vAlign w:val="bottom"/>
          </w:tcPr>
          <w:p>
            <w:pPr>
              <w:pStyle w:val="199"/>
              <w:rPr>
                <w:color w:val="auto"/>
              </w:rPr>
            </w:pPr>
            <w:r>
              <w:rPr>
                <w:rFonts w:hint="eastAsia"/>
                <w:color w:val="auto"/>
              </w:rPr>
              <w:t>2.98</w:t>
            </w:r>
          </w:p>
        </w:tc>
        <w:tc>
          <w:tcPr>
            <w:tcW w:w="361" w:type="pct"/>
            <w:noWrap/>
            <w:vAlign w:val="bottom"/>
          </w:tcPr>
          <w:p>
            <w:pPr>
              <w:pStyle w:val="199"/>
              <w:rPr>
                <w:color w:val="auto"/>
              </w:rPr>
            </w:pPr>
            <w:r>
              <w:rPr>
                <w:rFonts w:hint="eastAsia"/>
                <w:color w:val="auto"/>
              </w:rPr>
              <w:t>4.29</w:t>
            </w:r>
          </w:p>
        </w:tc>
        <w:tc>
          <w:tcPr>
            <w:tcW w:w="361" w:type="pct"/>
            <w:noWrap/>
            <w:vAlign w:val="bottom"/>
          </w:tcPr>
          <w:p>
            <w:pPr>
              <w:pStyle w:val="199"/>
              <w:rPr>
                <w:color w:val="auto"/>
              </w:rPr>
            </w:pPr>
            <w:r>
              <w:rPr>
                <w:rFonts w:hint="eastAsia"/>
                <w:color w:val="auto"/>
              </w:rPr>
              <w:t>4.52</w:t>
            </w:r>
          </w:p>
        </w:tc>
        <w:tc>
          <w:tcPr>
            <w:tcW w:w="361" w:type="pct"/>
            <w:noWrap/>
            <w:vAlign w:val="bottom"/>
          </w:tcPr>
          <w:p>
            <w:pPr>
              <w:pStyle w:val="199"/>
              <w:rPr>
                <w:color w:val="auto"/>
              </w:rPr>
            </w:pPr>
            <w:r>
              <w:rPr>
                <w:rFonts w:hint="eastAsia"/>
                <w:color w:val="auto"/>
              </w:rPr>
              <w:t>5.31</w:t>
            </w:r>
          </w:p>
        </w:tc>
        <w:tc>
          <w:tcPr>
            <w:tcW w:w="361" w:type="pct"/>
            <w:noWrap/>
            <w:vAlign w:val="bottom"/>
          </w:tcPr>
          <w:p>
            <w:pPr>
              <w:pStyle w:val="199"/>
              <w:rPr>
                <w:color w:val="auto"/>
              </w:rPr>
            </w:pPr>
            <w:r>
              <w:rPr>
                <w:rFonts w:hint="eastAsia"/>
                <w:color w:val="auto"/>
              </w:rPr>
              <w:t>5.22</w:t>
            </w:r>
          </w:p>
        </w:tc>
        <w:tc>
          <w:tcPr>
            <w:tcW w:w="361" w:type="pct"/>
            <w:noWrap/>
            <w:vAlign w:val="bottom"/>
          </w:tcPr>
          <w:p>
            <w:pPr>
              <w:pStyle w:val="199"/>
              <w:rPr>
                <w:color w:val="auto"/>
              </w:rPr>
            </w:pPr>
            <w:r>
              <w:rPr>
                <w:rFonts w:hint="eastAsia"/>
                <w:color w:val="auto"/>
              </w:rPr>
              <w:t>5.59</w:t>
            </w:r>
          </w:p>
        </w:tc>
        <w:tc>
          <w:tcPr>
            <w:tcW w:w="361" w:type="pct"/>
            <w:noWrap/>
            <w:vAlign w:val="bottom"/>
          </w:tcPr>
          <w:p>
            <w:pPr>
              <w:pStyle w:val="199"/>
              <w:rPr>
                <w:color w:val="auto"/>
              </w:rPr>
            </w:pPr>
            <w:r>
              <w:rPr>
                <w:rFonts w:hint="eastAsia"/>
                <w:color w:val="auto"/>
              </w:rPr>
              <w:t>4.88</w:t>
            </w:r>
          </w:p>
        </w:tc>
        <w:tc>
          <w:tcPr>
            <w:tcW w:w="361" w:type="pct"/>
            <w:noWrap/>
            <w:vAlign w:val="bottom"/>
          </w:tcPr>
          <w:p>
            <w:pPr>
              <w:pStyle w:val="199"/>
              <w:rPr>
                <w:color w:val="auto"/>
              </w:rPr>
            </w:pPr>
            <w:r>
              <w:rPr>
                <w:rFonts w:hint="eastAsia"/>
                <w:color w:val="auto"/>
              </w:rPr>
              <w:t>3.47</w:t>
            </w:r>
          </w:p>
        </w:tc>
        <w:tc>
          <w:tcPr>
            <w:tcW w:w="361" w:type="pct"/>
            <w:noWrap/>
            <w:vAlign w:val="bottom"/>
          </w:tcPr>
          <w:p>
            <w:pPr>
              <w:pStyle w:val="199"/>
              <w:rPr>
                <w:color w:val="auto"/>
              </w:rPr>
            </w:pPr>
            <w:r>
              <w:rPr>
                <w:rFonts w:hint="eastAsia"/>
                <w:color w:val="auto"/>
              </w:rPr>
              <w:t>3.11</w:t>
            </w:r>
          </w:p>
        </w:tc>
        <w:tc>
          <w:tcPr>
            <w:tcW w:w="360" w:type="pct"/>
            <w:noWrap/>
            <w:vAlign w:val="bottom"/>
          </w:tcPr>
          <w:p>
            <w:pPr>
              <w:pStyle w:val="199"/>
              <w:rPr>
                <w:color w:val="auto"/>
              </w:rPr>
            </w:pPr>
            <w:r>
              <w:rPr>
                <w:rFonts w:hint="eastAsia"/>
                <w:color w:val="auto"/>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ESE</w:t>
            </w:r>
          </w:p>
        </w:tc>
        <w:tc>
          <w:tcPr>
            <w:tcW w:w="360" w:type="pct"/>
            <w:noWrap/>
            <w:vAlign w:val="bottom"/>
          </w:tcPr>
          <w:p>
            <w:pPr>
              <w:pStyle w:val="199"/>
              <w:rPr>
                <w:color w:val="auto"/>
              </w:rPr>
            </w:pPr>
            <w:r>
              <w:rPr>
                <w:rFonts w:hint="eastAsia"/>
                <w:color w:val="auto"/>
              </w:rPr>
              <w:t>4.32</w:t>
            </w:r>
          </w:p>
        </w:tc>
        <w:tc>
          <w:tcPr>
            <w:tcW w:w="360" w:type="pct"/>
            <w:noWrap/>
            <w:vAlign w:val="bottom"/>
          </w:tcPr>
          <w:p>
            <w:pPr>
              <w:pStyle w:val="199"/>
              <w:rPr>
                <w:color w:val="auto"/>
              </w:rPr>
            </w:pPr>
            <w:r>
              <w:rPr>
                <w:rFonts w:hint="eastAsia"/>
                <w:color w:val="auto"/>
              </w:rPr>
              <w:t>3.18</w:t>
            </w:r>
          </w:p>
        </w:tc>
        <w:tc>
          <w:tcPr>
            <w:tcW w:w="360" w:type="pct"/>
            <w:noWrap/>
            <w:vAlign w:val="bottom"/>
          </w:tcPr>
          <w:p>
            <w:pPr>
              <w:pStyle w:val="199"/>
              <w:rPr>
                <w:color w:val="auto"/>
              </w:rPr>
            </w:pPr>
            <w:r>
              <w:rPr>
                <w:rFonts w:hint="eastAsia"/>
                <w:color w:val="auto"/>
              </w:rPr>
              <w:t>3.27</w:t>
            </w:r>
          </w:p>
        </w:tc>
        <w:tc>
          <w:tcPr>
            <w:tcW w:w="361" w:type="pct"/>
            <w:noWrap/>
            <w:vAlign w:val="bottom"/>
          </w:tcPr>
          <w:p>
            <w:pPr>
              <w:pStyle w:val="199"/>
              <w:rPr>
                <w:color w:val="auto"/>
              </w:rPr>
            </w:pPr>
            <w:r>
              <w:rPr>
                <w:rFonts w:hint="eastAsia"/>
                <w:color w:val="auto"/>
              </w:rPr>
              <w:t>3.77</w:t>
            </w:r>
          </w:p>
        </w:tc>
        <w:tc>
          <w:tcPr>
            <w:tcW w:w="361" w:type="pct"/>
            <w:noWrap/>
            <w:vAlign w:val="bottom"/>
          </w:tcPr>
          <w:p>
            <w:pPr>
              <w:pStyle w:val="199"/>
              <w:rPr>
                <w:color w:val="auto"/>
              </w:rPr>
            </w:pPr>
            <w:r>
              <w:rPr>
                <w:rFonts w:hint="eastAsia"/>
                <w:color w:val="auto"/>
              </w:rPr>
              <w:t>3.94</w:t>
            </w:r>
          </w:p>
        </w:tc>
        <w:tc>
          <w:tcPr>
            <w:tcW w:w="361" w:type="pct"/>
            <w:noWrap/>
            <w:vAlign w:val="bottom"/>
          </w:tcPr>
          <w:p>
            <w:pPr>
              <w:pStyle w:val="199"/>
              <w:rPr>
                <w:color w:val="auto"/>
              </w:rPr>
            </w:pPr>
            <w:r>
              <w:rPr>
                <w:rFonts w:hint="eastAsia"/>
                <w:color w:val="auto"/>
              </w:rPr>
              <w:t>4.87</w:t>
            </w:r>
          </w:p>
        </w:tc>
        <w:tc>
          <w:tcPr>
            <w:tcW w:w="361" w:type="pct"/>
            <w:noWrap/>
            <w:vAlign w:val="bottom"/>
          </w:tcPr>
          <w:p>
            <w:pPr>
              <w:pStyle w:val="199"/>
              <w:rPr>
                <w:color w:val="auto"/>
              </w:rPr>
            </w:pPr>
            <w:r>
              <w:rPr>
                <w:rFonts w:hint="eastAsia"/>
                <w:color w:val="auto"/>
              </w:rPr>
              <w:t>4.79</w:t>
            </w:r>
          </w:p>
        </w:tc>
        <w:tc>
          <w:tcPr>
            <w:tcW w:w="361" w:type="pct"/>
            <w:noWrap/>
            <w:vAlign w:val="bottom"/>
          </w:tcPr>
          <w:p>
            <w:pPr>
              <w:pStyle w:val="199"/>
              <w:rPr>
                <w:color w:val="auto"/>
              </w:rPr>
            </w:pPr>
            <w:r>
              <w:rPr>
                <w:rFonts w:hint="eastAsia"/>
                <w:color w:val="auto"/>
              </w:rPr>
              <w:t>7.13</w:t>
            </w:r>
          </w:p>
        </w:tc>
        <w:tc>
          <w:tcPr>
            <w:tcW w:w="361" w:type="pct"/>
            <w:noWrap/>
            <w:vAlign w:val="bottom"/>
          </w:tcPr>
          <w:p>
            <w:pPr>
              <w:pStyle w:val="199"/>
              <w:rPr>
                <w:color w:val="auto"/>
              </w:rPr>
            </w:pPr>
            <w:r>
              <w:rPr>
                <w:rFonts w:hint="eastAsia"/>
                <w:color w:val="auto"/>
              </w:rPr>
              <w:t>8.06</w:t>
            </w:r>
          </w:p>
        </w:tc>
        <w:tc>
          <w:tcPr>
            <w:tcW w:w="361" w:type="pct"/>
            <w:noWrap/>
            <w:vAlign w:val="bottom"/>
          </w:tcPr>
          <w:p>
            <w:pPr>
              <w:pStyle w:val="199"/>
              <w:rPr>
                <w:color w:val="auto"/>
              </w:rPr>
            </w:pPr>
            <w:r>
              <w:rPr>
                <w:rFonts w:hint="eastAsia"/>
                <w:color w:val="auto"/>
              </w:rPr>
              <w:t>7.54</w:t>
            </w:r>
          </w:p>
        </w:tc>
        <w:tc>
          <w:tcPr>
            <w:tcW w:w="361" w:type="pct"/>
            <w:noWrap/>
            <w:vAlign w:val="bottom"/>
          </w:tcPr>
          <w:p>
            <w:pPr>
              <w:pStyle w:val="199"/>
              <w:rPr>
                <w:color w:val="auto"/>
              </w:rPr>
            </w:pPr>
            <w:r>
              <w:rPr>
                <w:rFonts w:hint="eastAsia"/>
                <w:color w:val="auto"/>
              </w:rPr>
              <w:t>4.49</w:t>
            </w:r>
          </w:p>
        </w:tc>
        <w:tc>
          <w:tcPr>
            <w:tcW w:w="361" w:type="pct"/>
            <w:noWrap/>
            <w:vAlign w:val="bottom"/>
          </w:tcPr>
          <w:p>
            <w:pPr>
              <w:pStyle w:val="199"/>
              <w:rPr>
                <w:color w:val="auto"/>
              </w:rPr>
            </w:pPr>
            <w:r>
              <w:rPr>
                <w:rFonts w:hint="eastAsia"/>
                <w:color w:val="auto"/>
              </w:rPr>
              <w:t>6.11</w:t>
            </w:r>
          </w:p>
        </w:tc>
        <w:tc>
          <w:tcPr>
            <w:tcW w:w="360" w:type="pct"/>
            <w:noWrap/>
            <w:vAlign w:val="bottom"/>
          </w:tcPr>
          <w:p>
            <w:pPr>
              <w:pStyle w:val="199"/>
              <w:rPr>
                <w:color w:val="auto"/>
              </w:rPr>
            </w:pPr>
            <w:r>
              <w:rPr>
                <w:rFonts w:hint="eastAsia"/>
                <w:color w:val="auto"/>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SE</w:t>
            </w:r>
          </w:p>
        </w:tc>
        <w:tc>
          <w:tcPr>
            <w:tcW w:w="360" w:type="pct"/>
            <w:noWrap/>
            <w:vAlign w:val="bottom"/>
          </w:tcPr>
          <w:p>
            <w:pPr>
              <w:pStyle w:val="199"/>
              <w:rPr>
                <w:color w:val="auto"/>
              </w:rPr>
            </w:pPr>
            <w:r>
              <w:rPr>
                <w:rFonts w:hint="eastAsia"/>
                <w:color w:val="auto"/>
              </w:rPr>
              <w:t>5.73</w:t>
            </w:r>
          </w:p>
        </w:tc>
        <w:tc>
          <w:tcPr>
            <w:tcW w:w="360" w:type="pct"/>
            <w:noWrap/>
            <w:vAlign w:val="bottom"/>
          </w:tcPr>
          <w:p>
            <w:pPr>
              <w:pStyle w:val="199"/>
              <w:rPr>
                <w:color w:val="auto"/>
              </w:rPr>
            </w:pPr>
            <w:r>
              <w:rPr>
                <w:rFonts w:hint="eastAsia"/>
                <w:color w:val="auto"/>
              </w:rPr>
              <w:t>3.57</w:t>
            </w:r>
          </w:p>
        </w:tc>
        <w:tc>
          <w:tcPr>
            <w:tcW w:w="360" w:type="pct"/>
            <w:noWrap/>
            <w:vAlign w:val="bottom"/>
          </w:tcPr>
          <w:p>
            <w:pPr>
              <w:pStyle w:val="199"/>
              <w:rPr>
                <w:color w:val="auto"/>
              </w:rPr>
            </w:pPr>
            <w:r>
              <w:rPr>
                <w:rFonts w:hint="eastAsia"/>
                <w:color w:val="auto"/>
              </w:rPr>
              <w:t>2.88</w:t>
            </w:r>
          </w:p>
        </w:tc>
        <w:tc>
          <w:tcPr>
            <w:tcW w:w="361" w:type="pct"/>
            <w:noWrap/>
            <w:vAlign w:val="bottom"/>
          </w:tcPr>
          <w:p>
            <w:pPr>
              <w:pStyle w:val="199"/>
              <w:rPr>
                <w:color w:val="auto"/>
              </w:rPr>
            </w:pPr>
            <w:r>
              <w:rPr>
                <w:rFonts w:hint="eastAsia"/>
                <w:color w:val="auto"/>
              </w:rPr>
              <w:t>4.2</w:t>
            </w:r>
          </w:p>
        </w:tc>
        <w:tc>
          <w:tcPr>
            <w:tcW w:w="361" w:type="pct"/>
            <w:noWrap/>
            <w:vAlign w:val="bottom"/>
          </w:tcPr>
          <w:p>
            <w:pPr>
              <w:pStyle w:val="199"/>
              <w:rPr>
                <w:color w:val="auto"/>
              </w:rPr>
            </w:pPr>
            <w:r>
              <w:rPr>
                <w:rFonts w:hint="eastAsia"/>
                <w:color w:val="auto"/>
              </w:rPr>
              <w:t>6.89</w:t>
            </w:r>
          </w:p>
        </w:tc>
        <w:tc>
          <w:tcPr>
            <w:tcW w:w="361" w:type="pct"/>
            <w:noWrap/>
            <w:vAlign w:val="bottom"/>
          </w:tcPr>
          <w:p>
            <w:pPr>
              <w:pStyle w:val="199"/>
              <w:rPr>
                <w:color w:val="auto"/>
              </w:rPr>
            </w:pPr>
            <w:r>
              <w:rPr>
                <w:rFonts w:hint="eastAsia"/>
                <w:color w:val="auto"/>
              </w:rPr>
              <w:t>7.12</w:t>
            </w:r>
          </w:p>
        </w:tc>
        <w:tc>
          <w:tcPr>
            <w:tcW w:w="361" w:type="pct"/>
            <w:noWrap/>
            <w:vAlign w:val="bottom"/>
          </w:tcPr>
          <w:p>
            <w:pPr>
              <w:pStyle w:val="199"/>
              <w:rPr>
                <w:color w:val="auto"/>
              </w:rPr>
            </w:pPr>
            <w:r>
              <w:rPr>
                <w:rFonts w:hint="eastAsia"/>
                <w:color w:val="auto"/>
              </w:rPr>
              <w:t>9.26</w:t>
            </w:r>
          </w:p>
        </w:tc>
        <w:tc>
          <w:tcPr>
            <w:tcW w:w="361" w:type="pct"/>
            <w:noWrap/>
            <w:vAlign w:val="bottom"/>
          </w:tcPr>
          <w:p>
            <w:pPr>
              <w:pStyle w:val="199"/>
              <w:rPr>
                <w:color w:val="auto"/>
              </w:rPr>
            </w:pPr>
            <w:r>
              <w:rPr>
                <w:rFonts w:hint="eastAsia"/>
                <w:color w:val="auto"/>
              </w:rPr>
              <w:t>10.22</w:t>
            </w:r>
          </w:p>
        </w:tc>
        <w:tc>
          <w:tcPr>
            <w:tcW w:w="361" w:type="pct"/>
            <w:noWrap/>
            <w:vAlign w:val="bottom"/>
          </w:tcPr>
          <w:p>
            <w:pPr>
              <w:pStyle w:val="199"/>
              <w:rPr>
                <w:color w:val="auto"/>
              </w:rPr>
            </w:pPr>
            <w:r>
              <w:rPr>
                <w:rFonts w:hint="eastAsia"/>
                <w:color w:val="auto"/>
              </w:rPr>
              <w:t>9.8</w:t>
            </w:r>
          </w:p>
        </w:tc>
        <w:tc>
          <w:tcPr>
            <w:tcW w:w="361" w:type="pct"/>
            <w:noWrap/>
            <w:vAlign w:val="bottom"/>
          </w:tcPr>
          <w:p>
            <w:pPr>
              <w:pStyle w:val="199"/>
              <w:rPr>
                <w:color w:val="auto"/>
              </w:rPr>
            </w:pPr>
            <w:r>
              <w:rPr>
                <w:rFonts w:hint="eastAsia"/>
                <w:color w:val="auto"/>
              </w:rPr>
              <w:t>9.67</w:t>
            </w:r>
          </w:p>
        </w:tc>
        <w:tc>
          <w:tcPr>
            <w:tcW w:w="361" w:type="pct"/>
            <w:noWrap/>
            <w:vAlign w:val="bottom"/>
          </w:tcPr>
          <w:p>
            <w:pPr>
              <w:pStyle w:val="199"/>
              <w:rPr>
                <w:color w:val="auto"/>
              </w:rPr>
            </w:pPr>
            <w:r>
              <w:rPr>
                <w:rFonts w:hint="eastAsia"/>
                <w:color w:val="auto"/>
              </w:rPr>
              <w:t>6.97</w:t>
            </w:r>
          </w:p>
        </w:tc>
        <w:tc>
          <w:tcPr>
            <w:tcW w:w="361" w:type="pct"/>
            <w:noWrap/>
            <w:vAlign w:val="bottom"/>
          </w:tcPr>
          <w:p>
            <w:pPr>
              <w:pStyle w:val="199"/>
              <w:rPr>
                <w:color w:val="auto"/>
              </w:rPr>
            </w:pPr>
            <w:r>
              <w:rPr>
                <w:rFonts w:hint="eastAsia"/>
                <w:color w:val="auto"/>
              </w:rPr>
              <w:t>7.42</w:t>
            </w:r>
          </w:p>
        </w:tc>
        <w:tc>
          <w:tcPr>
            <w:tcW w:w="360" w:type="pct"/>
            <w:noWrap/>
            <w:vAlign w:val="bottom"/>
          </w:tcPr>
          <w:p>
            <w:pPr>
              <w:pStyle w:val="199"/>
              <w:rPr>
                <w:color w:val="auto"/>
              </w:rPr>
            </w:pPr>
            <w:r>
              <w:rPr>
                <w:rFonts w:hint="eastAsia"/>
                <w:color w:val="auto"/>
              </w:rPr>
              <w:t>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SSE</w:t>
            </w:r>
          </w:p>
        </w:tc>
        <w:tc>
          <w:tcPr>
            <w:tcW w:w="360" w:type="pct"/>
            <w:noWrap/>
            <w:vAlign w:val="bottom"/>
          </w:tcPr>
          <w:p>
            <w:pPr>
              <w:pStyle w:val="199"/>
              <w:rPr>
                <w:color w:val="auto"/>
              </w:rPr>
            </w:pPr>
            <w:r>
              <w:rPr>
                <w:rFonts w:hint="eastAsia"/>
                <w:color w:val="auto"/>
              </w:rPr>
              <w:t>5.41</w:t>
            </w:r>
          </w:p>
        </w:tc>
        <w:tc>
          <w:tcPr>
            <w:tcW w:w="360" w:type="pct"/>
            <w:noWrap/>
            <w:vAlign w:val="bottom"/>
          </w:tcPr>
          <w:p>
            <w:pPr>
              <w:pStyle w:val="199"/>
              <w:rPr>
                <w:color w:val="auto"/>
              </w:rPr>
            </w:pPr>
            <w:r>
              <w:rPr>
                <w:rFonts w:hint="eastAsia"/>
                <w:color w:val="auto"/>
              </w:rPr>
              <w:t>4.33</w:t>
            </w:r>
          </w:p>
        </w:tc>
        <w:tc>
          <w:tcPr>
            <w:tcW w:w="360" w:type="pct"/>
            <w:noWrap/>
            <w:vAlign w:val="bottom"/>
          </w:tcPr>
          <w:p>
            <w:pPr>
              <w:pStyle w:val="199"/>
              <w:rPr>
                <w:color w:val="auto"/>
              </w:rPr>
            </w:pPr>
            <w:r>
              <w:rPr>
                <w:rFonts w:hint="eastAsia"/>
                <w:color w:val="auto"/>
              </w:rPr>
              <w:t>3.88</w:t>
            </w:r>
          </w:p>
        </w:tc>
        <w:tc>
          <w:tcPr>
            <w:tcW w:w="361" w:type="pct"/>
            <w:noWrap/>
            <w:vAlign w:val="bottom"/>
          </w:tcPr>
          <w:p>
            <w:pPr>
              <w:pStyle w:val="199"/>
              <w:rPr>
                <w:color w:val="auto"/>
              </w:rPr>
            </w:pPr>
            <w:r>
              <w:rPr>
                <w:rFonts w:hint="eastAsia"/>
                <w:color w:val="auto"/>
              </w:rPr>
              <w:t>3.78</w:t>
            </w:r>
          </w:p>
        </w:tc>
        <w:tc>
          <w:tcPr>
            <w:tcW w:w="361" w:type="pct"/>
            <w:noWrap/>
            <w:vAlign w:val="bottom"/>
          </w:tcPr>
          <w:p>
            <w:pPr>
              <w:pStyle w:val="199"/>
              <w:rPr>
                <w:color w:val="auto"/>
              </w:rPr>
            </w:pPr>
            <w:r>
              <w:rPr>
                <w:rFonts w:hint="eastAsia"/>
                <w:color w:val="auto"/>
              </w:rPr>
              <w:t>5.99</w:t>
            </w:r>
          </w:p>
        </w:tc>
        <w:tc>
          <w:tcPr>
            <w:tcW w:w="361" w:type="pct"/>
            <w:noWrap/>
            <w:vAlign w:val="bottom"/>
          </w:tcPr>
          <w:p>
            <w:pPr>
              <w:pStyle w:val="199"/>
              <w:rPr>
                <w:color w:val="auto"/>
              </w:rPr>
            </w:pPr>
            <w:r>
              <w:rPr>
                <w:rFonts w:hint="eastAsia"/>
                <w:color w:val="auto"/>
              </w:rPr>
              <w:t>8.57</w:t>
            </w:r>
          </w:p>
        </w:tc>
        <w:tc>
          <w:tcPr>
            <w:tcW w:w="361" w:type="pct"/>
            <w:noWrap/>
            <w:vAlign w:val="bottom"/>
          </w:tcPr>
          <w:p>
            <w:pPr>
              <w:pStyle w:val="199"/>
              <w:rPr>
                <w:color w:val="auto"/>
              </w:rPr>
            </w:pPr>
            <w:r>
              <w:rPr>
                <w:rFonts w:hint="eastAsia"/>
                <w:color w:val="auto"/>
              </w:rPr>
              <w:t>9.15</w:t>
            </w:r>
          </w:p>
        </w:tc>
        <w:tc>
          <w:tcPr>
            <w:tcW w:w="361" w:type="pct"/>
            <w:noWrap/>
            <w:vAlign w:val="bottom"/>
          </w:tcPr>
          <w:p>
            <w:pPr>
              <w:pStyle w:val="199"/>
              <w:rPr>
                <w:color w:val="auto"/>
              </w:rPr>
            </w:pPr>
            <w:r>
              <w:rPr>
                <w:rFonts w:hint="eastAsia"/>
                <w:color w:val="auto"/>
              </w:rPr>
              <w:t>9.52</w:t>
            </w:r>
          </w:p>
        </w:tc>
        <w:tc>
          <w:tcPr>
            <w:tcW w:w="361" w:type="pct"/>
            <w:noWrap/>
            <w:vAlign w:val="bottom"/>
          </w:tcPr>
          <w:p>
            <w:pPr>
              <w:pStyle w:val="199"/>
              <w:rPr>
                <w:color w:val="auto"/>
              </w:rPr>
            </w:pPr>
            <w:r>
              <w:rPr>
                <w:rFonts w:hint="eastAsia"/>
                <w:color w:val="auto"/>
              </w:rPr>
              <w:t>11.14</w:t>
            </w:r>
          </w:p>
        </w:tc>
        <w:tc>
          <w:tcPr>
            <w:tcW w:w="361" w:type="pct"/>
            <w:noWrap/>
            <w:vAlign w:val="bottom"/>
          </w:tcPr>
          <w:p>
            <w:pPr>
              <w:pStyle w:val="199"/>
              <w:rPr>
                <w:color w:val="auto"/>
              </w:rPr>
            </w:pPr>
            <w:r>
              <w:rPr>
                <w:rFonts w:hint="eastAsia"/>
                <w:color w:val="auto"/>
              </w:rPr>
              <w:t>10.09</w:t>
            </w:r>
          </w:p>
        </w:tc>
        <w:tc>
          <w:tcPr>
            <w:tcW w:w="361" w:type="pct"/>
            <w:noWrap/>
            <w:vAlign w:val="bottom"/>
          </w:tcPr>
          <w:p>
            <w:pPr>
              <w:pStyle w:val="199"/>
              <w:rPr>
                <w:color w:val="auto"/>
              </w:rPr>
            </w:pPr>
            <w:r>
              <w:rPr>
                <w:rFonts w:hint="eastAsia"/>
                <w:color w:val="auto"/>
              </w:rPr>
              <w:t>7.65</w:t>
            </w:r>
          </w:p>
        </w:tc>
        <w:tc>
          <w:tcPr>
            <w:tcW w:w="361" w:type="pct"/>
            <w:noWrap/>
            <w:vAlign w:val="bottom"/>
          </w:tcPr>
          <w:p>
            <w:pPr>
              <w:pStyle w:val="199"/>
              <w:rPr>
                <w:color w:val="auto"/>
              </w:rPr>
            </w:pPr>
            <w:r>
              <w:rPr>
                <w:rFonts w:hint="eastAsia"/>
                <w:color w:val="auto"/>
              </w:rPr>
              <w:t>6.37</w:t>
            </w:r>
          </w:p>
        </w:tc>
        <w:tc>
          <w:tcPr>
            <w:tcW w:w="360" w:type="pct"/>
            <w:noWrap/>
            <w:vAlign w:val="bottom"/>
          </w:tcPr>
          <w:p>
            <w:pPr>
              <w:pStyle w:val="199"/>
              <w:rPr>
                <w:color w:val="auto"/>
              </w:rPr>
            </w:pPr>
            <w:r>
              <w:rPr>
                <w:rFonts w:hint="eastAsia"/>
                <w:color w:val="auto"/>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S</w:t>
            </w:r>
          </w:p>
        </w:tc>
        <w:tc>
          <w:tcPr>
            <w:tcW w:w="360" w:type="pct"/>
            <w:noWrap/>
            <w:vAlign w:val="bottom"/>
          </w:tcPr>
          <w:p>
            <w:pPr>
              <w:pStyle w:val="199"/>
              <w:rPr>
                <w:color w:val="auto"/>
              </w:rPr>
            </w:pPr>
            <w:r>
              <w:rPr>
                <w:rFonts w:hint="eastAsia"/>
                <w:color w:val="auto"/>
              </w:rPr>
              <w:t>7.58</w:t>
            </w:r>
          </w:p>
        </w:tc>
        <w:tc>
          <w:tcPr>
            <w:tcW w:w="360" w:type="pct"/>
            <w:noWrap/>
            <w:vAlign w:val="bottom"/>
          </w:tcPr>
          <w:p>
            <w:pPr>
              <w:pStyle w:val="199"/>
              <w:rPr>
                <w:color w:val="auto"/>
              </w:rPr>
            </w:pPr>
            <w:r>
              <w:rPr>
                <w:rFonts w:hint="eastAsia"/>
                <w:color w:val="auto"/>
              </w:rPr>
              <w:t>5.63</w:t>
            </w:r>
          </w:p>
        </w:tc>
        <w:tc>
          <w:tcPr>
            <w:tcW w:w="360" w:type="pct"/>
            <w:noWrap/>
            <w:vAlign w:val="bottom"/>
          </w:tcPr>
          <w:p>
            <w:pPr>
              <w:pStyle w:val="199"/>
              <w:rPr>
                <w:color w:val="auto"/>
              </w:rPr>
            </w:pPr>
            <w:r>
              <w:rPr>
                <w:rFonts w:hint="eastAsia"/>
                <w:color w:val="auto"/>
              </w:rPr>
              <w:t>5.18</w:t>
            </w:r>
          </w:p>
        </w:tc>
        <w:tc>
          <w:tcPr>
            <w:tcW w:w="361" w:type="pct"/>
            <w:noWrap/>
            <w:vAlign w:val="bottom"/>
          </w:tcPr>
          <w:p>
            <w:pPr>
              <w:pStyle w:val="199"/>
              <w:rPr>
                <w:color w:val="auto"/>
              </w:rPr>
            </w:pPr>
            <w:r>
              <w:rPr>
                <w:rFonts w:hint="eastAsia"/>
                <w:color w:val="auto"/>
              </w:rPr>
              <w:t>5.03</w:t>
            </w:r>
          </w:p>
        </w:tc>
        <w:tc>
          <w:tcPr>
            <w:tcW w:w="361" w:type="pct"/>
            <w:noWrap/>
            <w:vAlign w:val="bottom"/>
          </w:tcPr>
          <w:p>
            <w:pPr>
              <w:pStyle w:val="199"/>
              <w:rPr>
                <w:color w:val="auto"/>
              </w:rPr>
            </w:pPr>
            <w:r>
              <w:rPr>
                <w:rFonts w:hint="eastAsia"/>
                <w:color w:val="auto"/>
              </w:rPr>
              <w:t>9.09</w:t>
            </w:r>
          </w:p>
        </w:tc>
        <w:tc>
          <w:tcPr>
            <w:tcW w:w="361" w:type="pct"/>
            <w:noWrap/>
            <w:vAlign w:val="bottom"/>
          </w:tcPr>
          <w:p>
            <w:pPr>
              <w:pStyle w:val="199"/>
              <w:rPr>
                <w:color w:val="auto"/>
              </w:rPr>
            </w:pPr>
            <w:r>
              <w:rPr>
                <w:rFonts w:hint="eastAsia"/>
                <w:color w:val="auto"/>
              </w:rPr>
              <w:t>11.67</w:t>
            </w:r>
          </w:p>
        </w:tc>
        <w:tc>
          <w:tcPr>
            <w:tcW w:w="361" w:type="pct"/>
            <w:noWrap/>
            <w:vAlign w:val="bottom"/>
          </w:tcPr>
          <w:p>
            <w:pPr>
              <w:pStyle w:val="199"/>
              <w:rPr>
                <w:color w:val="auto"/>
              </w:rPr>
            </w:pPr>
            <w:r>
              <w:rPr>
                <w:rFonts w:hint="eastAsia"/>
                <w:color w:val="auto"/>
              </w:rPr>
              <w:t>10</w:t>
            </w:r>
          </w:p>
        </w:tc>
        <w:tc>
          <w:tcPr>
            <w:tcW w:w="361" w:type="pct"/>
            <w:noWrap/>
            <w:vAlign w:val="bottom"/>
          </w:tcPr>
          <w:p>
            <w:pPr>
              <w:pStyle w:val="199"/>
              <w:rPr>
                <w:color w:val="auto"/>
              </w:rPr>
            </w:pPr>
            <w:r>
              <w:rPr>
                <w:rFonts w:hint="eastAsia"/>
                <w:color w:val="auto"/>
              </w:rPr>
              <w:t>8.44</w:t>
            </w:r>
          </w:p>
        </w:tc>
        <w:tc>
          <w:tcPr>
            <w:tcW w:w="361" w:type="pct"/>
            <w:noWrap/>
            <w:vAlign w:val="bottom"/>
          </w:tcPr>
          <w:p>
            <w:pPr>
              <w:pStyle w:val="199"/>
              <w:rPr>
                <w:color w:val="auto"/>
              </w:rPr>
            </w:pPr>
            <w:r>
              <w:rPr>
                <w:rFonts w:hint="eastAsia"/>
                <w:color w:val="auto"/>
              </w:rPr>
              <w:t>9.75</w:t>
            </w:r>
          </w:p>
        </w:tc>
        <w:tc>
          <w:tcPr>
            <w:tcW w:w="361" w:type="pct"/>
            <w:noWrap/>
            <w:vAlign w:val="bottom"/>
          </w:tcPr>
          <w:p>
            <w:pPr>
              <w:pStyle w:val="199"/>
              <w:rPr>
                <w:color w:val="auto"/>
              </w:rPr>
            </w:pPr>
            <w:r>
              <w:rPr>
                <w:rFonts w:hint="eastAsia"/>
                <w:color w:val="auto"/>
              </w:rPr>
              <w:t>10.77</w:t>
            </w:r>
          </w:p>
        </w:tc>
        <w:tc>
          <w:tcPr>
            <w:tcW w:w="361" w:type="pct"/>
            <w:noWrap/>
            <w:vAlign w:val="bottom"/>
          </w:tcPr>
          <w:p>
            <w:pPr>
              <w:pStyle w:val="199"/>
              <w:rPr>
                <w:color w:val="auto"/>
              </w:rPr>
            </w:pPr>
            <w:r>
              <w:rPr>
                <w:rFonts w:hint="eastAsia"/>
                <w:color w:val="auto"/>
              </w:rPr>
              <w:t>7.91</w:t>
            </w:r>
          </w:p>
        </w:tc>
        <w:tc>
          <w:tcPr>
            <w:tcW w:w="361" w:type="pct"/>
            <w:noWrap/>
            <w:vAlign w:val="bottom"/>
          </w:tcPr>
          <w:p>
            <w:pPr>
              <w:pStyle w:val="199"/>
              <w:rPr>
                <w:color w:val="auto"/>
              </w:rPr>
            </w:pPr>
            <w:r>
              <w:rPr>
                <w:rFonts w:hint="eastAsia"/>
                <w:color w:val="auto"/>
              </w:rPr>
              <w:t>9.21</w:t>
            </w:r>
          </w:p>
        </w:tc>
        <w:tc>
          <w:tcPr>
            <w:tcW w:w="360" w:type="pct"/>
            <w:noWrap/>
            <w:vAlign w:val="bottom"/>
          </w:tcPr>
          <w:p>
            <w:pPr>
              <w:pStyle w:val="199"/>
              <w:rPr>
                <w:color w:val="auto"/>
              </w:rPr>
            </w:pPr>
            <w:r>
              <w:rPr>
                <w:rFonts w:hint="eastAsia"/>
                <w:color w:val="auto"/>
              </w:rPr>
              <w:t>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SSW</w:t>
            </w:r>
          </w:p>
        </w:tc>
        <w:tc>
          <w:tcPr>
            <w:tcW w:w="360" w:type="pct"/>
            <w:noWrap/>
            <w:vAlign w:val="bottom"/>
          </w:tcPr>
          <w:p>
            <w:pPr>
              <w:pStyle w:val="199"/>
              <w:rPr>
                <w:color w:val="auto"/>
              </w:rPr>
            </w:pPr>
            <w:r>
              <w:rPr>
                <w:rFonts w:hint="eastAsia"/>
                <w:color w:val="auto"/>
              </w:rPr>
              <w:t>11.93</w:t>
            </w:r>
          </w:p>
        </w:tc>
        <w:tc>
          <w:tcPr>
            <w:tcW w:w="360" w:type="pct"/>
            <w:noWrap/>
            <w:vAlign w:val="bottom"/>
          </w:tcPr>
          <w:p>
            <w:pPr>
              <w:pStyle w:val="199"/>
              <w:rPr>
                <w:color w:val="auto"/>
              </w:rPr>
            </w:pPr>
            <w:r>
              <w:rPr>
                <w:rFonts w:hint="eastAsia"/>
                <w:color w:val="auto"/>
              </w:rPr>
              <w:t>9.63</w:t>
            </w:r>
          </w:p>
        </w:tc>
        <w:tc>
          <w:tcPr>
            <w:tcW w:w="360" w:type="pct"/>
            <w:noWrap/>
            <w:vAlign w:val="bottom"/>
          </w:tcPr>
          <w:p>
            <w:pPr>
              <w:pStyle w:val="199"/>
              <w:rPr>
                <w:color w:val="auto"/>
              </w:rPr>
            </w:pPr>
            <w:r>
              <w:rPr>
                <w:rFonts w:hint="eastAsia"/>
                <w:color w:val="auto"/>
              </w:rPr>
              <w:t>7.98</w:t>
            </w:r>
          </w:p>
        </w:tc>
        <w:tc>
          <w:tcPr>
            <w:tcW w:w="361" w:type="pct"/>
            <w:noWrap/>
            <w:vAlign w:val="bottom"/>
          </w:tcPr>
          <w:p>
            <w:pPr>
              <w:pStyle w:val="199"/>
              <w:rPr>
                <w:color w:val="auto"/>
              </w:rPr>
            </w:pPr>
            <w:r>
              <w:rPr>
                <w:rFonts w:hint="eastAsia"/>
                <w:color w:val="auto"/>
              </w:rPr>
              <w:t>8.53</w:t>
            </w:r>
          </w:p>
        </w:tc>
        <w:tc>
          <w:tcPr>
            <w:tcW w:w="361" w:type="pct"/>
            <w:noWrap/>
            <w:vAlign w:val="bottom"/>
          </w:tcPr>
          <w:p>
            <w:pPr>
              <w:pStyle w:val="199"/>
              <w:rPr>
                <w:color w:val="auto"/>
              </w:rPr>
            </w:pPr>
            <w:r>
              <w:rPr>
                <w:rFonts w:hint="eastAsia"/>
                <w:color w:val="auto"/>
              </w:rPr>
              <w:t>11.79</w:t>
            </w:r>
          </w:p>
        </w:tc>
        <w:tc>
          <w:tcPr>
            <w:tcW w:w="361" w:type="pct"/>
            <w:noWrap/>
            <w:vAlign w:val="bottom"/>
          </w:tcPr>
          <w:p>
            <w:pPr>
              <w:pStyle w:val="199"/>
              <w:rPr>
                <w:color w:val="auto"/>
              </w:rPr>
            </w:pPr>
            <w:r>
              <w:rPr>
                <w:rFonts w:hint="eastAsia"/>
                <w:color w:val="auto"/>
              </w:rPr>
              <w:t>17.12</w:t>
            </w:r>
          </w:p>
        </w:tc>
        <w:tc>
          <w:tcPr>
            <w:tcW w:w="361" w:type="pct"/>
            <w:noWrap/>
            <w:vAlign w:val="bottom"/>
          </w:tcPr>
          <w:p>
            <w:pPr>
              <w:pStyle w:val="199"/>
              <w:rPr>
                <w:color w:val="auto"/>
              </w:rPr>
            </w:pPr>
            <w:r>
              <w:rPr>
                <w:rFonts w:hint="eastAsia"/>
                <w:color w:val="auto"/>
              </w:rPr>
              <w:t>12.05</w:t>
            </w:r>
          </w:p>
        </w:tc>
        <w:tc>
          <w:tcPr>
            <w:tcW w:w="361" w:type="pct"/>
            <w:noWrap/>
            <w:vAlign w:val="bottom"/>
          </w:tcPr>
          <w:p>
            <w:pPr>
              <w:pStyle w:val="199"/>
              <w:rPr>
                <w:color w:val="auto"/>
              </w:rPr>
            </w:pPr>
            <w:r>
              <w:rPr>
                <w:rFonts w:hint="eastAsia"/>
                <w:color w:val="auto"/>
              </w:rPr>
              <w:t>8.75</w:t>
            </w:r>
          </w:p>
        </w:tc>
        <w:tc>
          <w:tcPr>
            <w:tcW w:w="361" w:type="pct"/>
            <w:noWrap/>
            <w:vAlign w:val="bottom"/>
          </w:tcPr>
          <w:p>
            <w:pPr>
              <w:pStyle w:val="199"/>
              <w:rPr>
                <w:color w:val="auto"/>
              </w:rPr>
            </w:pPr>
            <w:r>
              <w:rPr>
                <w:rFonts w:hint="eastAsia"/>
                <w:color w:val="auto"/>
              </w:rPr>
              <w:t>10.88</w:t>
            </w:r>
          </w:p>
        </w:tc>
        <w:tc>
          <w:tcPr>
            <w:tcW w:w="361" w:type="pct"/>
            <w:noWrap/>
            <w:vAlign w:val="bottom"/>
          </w:tcPr>
          <w:p>
            <w:pPr>
              <w:pStyle w:val="199"/>
              <w:rPr>
                <w:color w:val="auto"/>
              </w:rPr>
            </w:pPr>
            <w:r>
              <w:rPr>
                <w:rFonts w:hint="eastAsia"/>
                <w:color w:val="auto"/>
              </w:rPr>
              <w:t>12.14</w:t>
            </w:r>
          </w:p>
        </w:tc>
        <w:tc>
          <w:tcPr>
            <w:tcW w:w="361" w:type="pct"/>
            <w:noWrap/>
            <w:vAlign w:val="bottom"/>
          </w:tcPr>
          <w:p>
            <w:pPr>
              <w:pStyle w:val="199"/>
              <w:rPr>
                <w:color w:val="auto"/>
              </w:rPr>
            </w:pPr>
            <w:r>
              <w:rPr>
                <w:rFonts w:hint="eastAsia"/>
                <w:color w:val="auto"/>
              </w:rPr>
              <w:t>11.02</w:t>
            </w:r>
          </w:p>
        </w:tc>
        <w:tc>
          <w:tcPr>
            <w:tcW w:w="361" w:type="pct"/>
            <w:noWrap/>
            <w:vAlign w:val="bottom"/>
          </w:tcPr>
          <w:p>
            <w:pPr>
              <w:pStyle w:val="199"/>
              <w:rPr>
                <w:color w:val="auto"/>
              </w:rPr>
            </w:pPr>
            <w:r>
              <w:rPr>
                <w:rFonts w:hint="eastAsia"/>
                <w:color w:val="auto"/>
              </w:rPr>
              <w:t>12.26</w:t>
            </w:r>
          </w:p>
        </w:tc>
        <w:tc>
          <w:tcPr>
            <w:tcW w:w="360" w:type="pct"/>
            <w:noWrap/>
            <w:vAlign w:val="bottom"/>
          </w:tcPr>
          <w:p>
            <w:pPr>
              <w:pStyle w:val="199"/>
              <w:rPr>
                <w:color w:val="auto"/>
              </w:rPr>
            </w:pPr>
            <w:r>
              <w:rPr>
                <w:rFonts w:hint="eastAsia"/>
                <w:color w:val="auto"/>
              </w:rPr>
              <w:t>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SW</w:t>
            </w:r>
          </w:p>
        </w:tc>
        <w:tc>
          <w:tcPr>
            <w:tcW w:w="360" w:type="pct"/>
            <w:noWrap/>
            <w:vAlign w:val="bottom"/>
          </w:tcPr>
          <w:p>
            <w:pPr>
              <w:pStyle w:val="199"/>
              <w:rPr>
                <w:color w:val="auto"/>
              </w:rPr>
            </w:pPr>
            <w:r>
              <w:rPr>
                <w:rFonts w:hint="eastAsia"/>
                <w:color w:val="auto"/>
              </w:rPr>
              <w:t>12.83</w:t>
            </w:r>
          </w:p>
        </w:tc>
        <w:tc>
          <w:tcPr>
            <w:tcW w:w="360" w:type="pct"/>
            <w:noWrap/>
            <w:vAlign w:val="bottom"/>
          </w:tcPr>
          <w:p>
            <w:pPr>
              <w:pStyle w:val="199"/>
              <w:rPr>
                <w:color w:val="auto"/>
              </w:rPr>
            </w:pPr>
            <w:r>
              <w:rPr>
                <w:rFonts w:hint="eastAsia"/>
                <w:color w:val="auto"/>
              </w:rPr>
              <w:t>13.58</w:t>
            </w:r>
          </w:p>
        </w:tc>
        <w:tc>
          <w:tcPr>
            <w:tcW w:w="360" w:type="pct"/>
            <w:noWrap/>
            <w:vAlign w:val="bottom"/>
          </w:tcPr>
          <w:p>
            <w:pPr>
              <w:pStyle w:val="199"/>
              <w:rPr>
                <w:color w:val="auto"/>
              </w:rPr>
            </w:pPr>
            <w:r>
              <w:rPr>
                <w:rFonts w:hint="eastAsia"/>
                <w:color w:val="auto"/>
              </w:rPr>
              <w:t>15.03</w:t>
            </w:r>
          </w:p>
        </w:tc>
        <w:tc>
          <w:tcPr>
            <w:tcW w:w="361" w:type="pct"/>
            <w:noWrap/>
            <w:vAlign w:val="bottom"/>
          </w:tcPr>
          <w:p>
            <w:pPr>
              <w:pStyle w:val="199"/>
              <w:rPr>
                <w:color w:val="auto"/>
              </w:rPr>
            </w:pPr>
            <w:r>
              <w:rPr>
                <w:rFonts w:hint="eastAsia"/>
                <w:color w:val="auto"/>
              </w:rPr>
              <w:t>13.28</w:t>
            </w:r>
          </w:p>
        </w:tc>
        <w:tc>
          <w:tcPr>
            <w:tcW w:w="361" w:type="pct"/>
            <w:noWrap/>
            <w:vAlign w:val="bottom"/>
          </w:tcPr>
          <w:p>
            <w:pPr>
              <w:pStyle w:val="199"/>
              <w:rPr>
                <w:color w:val="auto"/>
              </w:rPr>
            </w:pPr>
            <w:r>
              <w:rPr>
                <w:rFonts w:hint="eastAsia"/>
                <w:color w:val="auto"/>
              </w:rPr>
              <w:t>13.59</w:t>
            </w:r>
          </w:p>
        </w:tc>
        <w:tc>
          <w:tcPr>
            <w:tcW w:w="361" w:type="pct"/>
            <w:noWrap/>
            <w:vAlign w:val="bottom"/>
          </w:tcPr>
          <w:p>
            <w:pPr>
              <w:pStyle w:val="199"/>
              <w:rPr>
                <w:color w:val="auto"/>
              </w:rPr>
            </w:pPr>
            <w:r>
              <w:rPr>
                <w:rFonts w:hint="eastAsia"/>
                <w:color w:val="auto"/>
              </w:rPr>
              <w:t>15.62</w:t>
            </w:r>
          </w:p>
        </w:tc>
        <w:tc>
          <w:tcPr>
            <w:tcW w:w="361" w:type="pct"/>
            <w:noWrap/>
            <w:vAlign w:val="bottom"/>
          </w:tcPr>
          <w:p>
            <w:pPr>
              <w:pStyle w:val="199"/>
              <w:rPr>
                <w:color w:val="auto"/>
              </w:rPr>
            </w:pPr>
            <w:r>
              <w:rPr>
                <w:rFonts w:hint="eastAsia"/>
                <w:color w:val="auto"/>
              </w:rPr>
              <w:t>9.47</w:t>
            </w:r>
          </w:p>
        </w:tc>
        <w:tc>
          <w:tcPr>
            <w:tcW w:w="361" w:type="pct"/>
            <w:noWrap/>
            <w:vAlign w:val="bottom"/>
          </w:tcPr>
          <w:p>
            <w:pPr>
              <w:pStyle w:val="199"/>
              <w:rPr>
                <w:color w:val="auto"/>
              </w:rPr>
            </w:pPr>
            <w:r>
              <w:rPr>
                <w:rFonts w:hint="eastAsia"/>
                <w:color w:val="auto"/>
              </w:rPr>
              <w:t>6.44</w:t>
            </w:r>
          </w:p>
        </w:tc>
        <w:tc>
          <w:tcPr>
            <w:tcW w:w="361" w:type="pct"/>
            <w:noWrap/>
            <w:vAlign w:val="bottom"/>
          </w:tcPr>
          <w:p>
            <w:pPr>
              <w:pStyle w:val="199"/>
              <w:rPr>
                <w:color w:val="auto"/>
              </w:rPr>
            </w:pPr>
            <w:r>
              <w:rPr>
                <w:rFonts w:hint="eastAsia"/>
                <w:color w:val="auto"/>
              </w:rPr>
              <w:t>6.22</w:t>
            </w:r>
          </w:p>
        </w:tc>
        <w:tc>
          <w:tcPr>
            <w:tcW w:w="361" w:type="pct"/>
            <w:noWrap/>
            <w:vAlign w:val="bottom"/>
          </w:tcPr>
          <w:p>
            <w:pPr>
              <w:pStyle w:val="199"/>
              <w:rPr>
                <w:color w:val="auto"/>
              </w:rPr>
            </w:pPr>
            <w:r>
              <w:rPr>
                <w:rFonts w:hint="eastAsia"/>
                <w:color w:val="auto"/>
              </w:rPr>
              <w:t>7.72</w:t>
            </w:r>
          </w:p>
        </w:tc>
        <w:tc>
          <w:tcPr>
            <w:tcW w:w="361" w:type="pct"/>
            <w:noWrap/>
            <w:vAlign w:val="bottom"/>
          </w:tcPr>
          <w:p>
            <w:pPr>
              <w:pStyle w:val="199"/>
              <w:rPr>
                <w:color w:val="auto"/>
              </w:rPr>
            </w:pPr>
            <w:r>
              <w:rPr>
                <w:rFonts w:hint="eastAsia"/>
                <w:color w:val="auto"/>
              </w:rPr>
              <w:t>10.23</w:t>
            </w:r>
          </w:p>
        </w:tc>
        <w:tc>
          <w:tcPr>
            <w:tcW w:w="361" w:type="pct"/>
            <w:noWrap/>
            <w:vAlign w:val="bottom"/>
          </w:tcPr>
          <w:p>
            <w:pPr>
              <w:pStyle w:val="199"/>
              <w:rPr>
                <w:color w:val="auto"/>
              </w:rPr>
            </w:pPr>
            <w:r>
              <w:rPr>
                <w:rFonts w:hint="eastAsia"/>
                <w:color w:val="auto"/>
              </w:rPr>
              <w:t>10.26</w:t>
            </w:r>
          </w:p>
        </w:tc>
        <w:tc>
          <w:tcPr>
            <w:tcW w:w="360" w:type="pct"/>
            <w:noWrap/>
            <w:vAlign w:val="bottom"/>
          </w:tcPr>
          <w:p>
            <w:pPr>
              <w:pStyle w:val="199"/>
              <w:rPr>
                <w:color w:val="auto"/>
              </w:rPr>
            </w:pPr>
            <w:r>
              <w:rPr>
                <w:rFonts w:hint="eastAsia"/>
                <w:color w:val="auto"/>
              </w:rPr>
              <w:t>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WSW</w:t>
            </w:r>
          </w:p>
        </w:tc>
        <w:tc>
          <w:tcPr>
            <w:tcW w:w="360" w:type="pct"/>
            <w:noWrap/>
            <w:vAlign w:val="bottom"/>
          </w:tcPr>
          <w:p>
            <w:pPr>
              <w:pStyle w:val="199"/>
              <w:rPr>
                <w:color w:val="auto"/>
              </w:rPr>
            </w:pPr>
            <w:r>
              <w:rPr>
                <w:rFonts w:hint="eastAsia"/>
                <w:color w:val="auto"/>
              </w:rPr>
              <w:t>7.38</w:t>
            </w:r>
          </w:p>
        </w:tc>
        <w:tc>
          <w:tcPr>
            <w:tcW w:w="360" w:type="pct"/>
            <w:noWrap/>
            <w:vAlign w:val="bottom"/>
          </w:tcPr>
          <w:p>
            <w:pPr>
              <w:pStyle w:val="199"/>
              <w:rPr>
                <w:color w:val="auto"/>
              </w:rPr>
            </w:pPr>
            <w:r>
              <w:rPr>
                <w:rFonts w:hint="eastAsia"/>
                <w:color w:val="auto"/>
              </w:rPr>
              <w:t>12.28</w:t>
            </w:r>
          </w:p>
        </w:tc>
        <w:tc>
          <w:tcPr>
            <w:tcW w:w="360" w:type="pct"/>
            <w:noWrap/>
            <w:vAlign w:val="bottom"/>
          </w:tcPr>
          <w:p>
            <w:pPr>
              <w:pStyle w:val="199"/>
              <w:rPr>
                <w:color w:val="auto"/>
              </w:rPr>
            </w:pPr>
            <w:r>
              <w:rPr>
                <w:rFonts w:hint="eastAsia"/>
                <w:color w:val="auto"/>
              </w:rPr>
              <w:t>16.46</w:t>
            </w:r>
          </w:p>
        </w:tc>
        <w:tc>
          <w:tcPr>
            <w:tcW w:w="361" w:type="pct"/>
            <w:noWrap/>
            <w:vAlign w:val="bottom"/>
          </w:tcPr>
          <w:p>
            <w:pPr>
              <w:pStyle w:val="199"/>
              <w:rPr>
                <w:color w:val="auto"/>
              </w:rPr>
            </w:pPr>
            <w:r>
              <w:rPr>
                <w:rFonts w:hint="eastAsia"/>
                <w:color w:val="auto"/>
              </w:rPr>
              <w:t>14.43</w:t>
            </w:r>
          </w:p>
        </w:tc>
        <w:tc>
          <w:tcPr>
            <w:tcW w:w="361" w:type="pct"/>
            <w:noWrap/>
            <w:vAlign w:val="bottom"/>
          </w:tcPr>
          <w:p>
            <w:pPr>
              <w:pStyle w:val="199"/>
              <w:rPr>
                <w:color w:val="auto"/>
              </w:rPr>
            </w:pPr>
            <w:r>
              <w:rPr>
                <w:rFonts w:hint="eastAsia"/>
                <w:color w:val="auto"/>
              </w:rPr>
              <w:t>11</w:t>
            </w:r>
          </w:p>
        </w:tc>
        <w:tc>
          <w:tcPr>
            <w:tcW w:w="361" w:type="pct"/>
            <w:noWrap/>
            <w:vAlign w:val="bottom"/>
          </w:tcPr>
          <w:p>
            <w:pPr>
              <w:pStyle w:val="199"/>
              <w:rPr>
                <w:color w:val="auto"/>
              </w:rPr>
            </w:pPr>
            <w:r>
              <w:rPr>
                <w:rFonts w:hint="eastAsia"/>
                <w:color w:val="auto"/>
              </w:rPr>
              <w:t>6.11</w:t>
            </w:r>
          </w:p>
        </w:tc>
        <w:tc>
          <w:tcPr>
            <w:tcW w:w="361" w:type="pct"/>
            <w:noWrap/>
            <w:vAlign w:val="bottom"/>
          </w:tcPr>
          <w:p>
            <w:pPr>
              <w:pStyle w:val="199"/>
              <w:rPr>
                <w:color w:val="auto"/>
              </w:rPr>
            </w:pPr>
            <w:r>
              <w:rPr>
                <w:rFonts w:hint="eastAsia"/>
                <w:color w:val="auto"/>
              </w:rPr>
              <w:t>4.9</w:t>
            </w:r>
          </w:p>
        </w:tc>
        <w:tc>
          <w:tcPr>
            <w:tcW w:w="361" w:type="pct"/>
            <w:noWrap/>
            <w:vAlign w:val="bottom"/>
          </w:tcPr>
          <w:p>
            <w:pPr>
              <w:pStyle w:val="199"/>
              <w:rPr>
                <w:color w:val="auto"/>
              </w:rPr>
            </w:pPr>
            <w:r>
              <w:rPr>
                <w:rFonts w:hint="eastAsia"/>
                <w:color w:val="auto"/>
              </w:rPr>
              <w:t>2.73</w:t>
            </w:r>
          </w:p>
        </w:tc>
        <w:tc>
          <w:tcPr>
            <w:tcW w:w="361" w:type="pct"/>
            <w:noWrap/>
            <w:vAlign w:val="bottom"/>
          </w:tcPr>
          <w:p>
            <w:pPr>
              <w:pStyle w:val="199"/>
              <w:rPr>
                <w:color w:val="auto"/>
              </w:rPr>
            </w:pPr>
            <w:r>
              <w:rPr>
                <w:rFonts w:hint="eastAsia"/>
                <w:color w:val="auto"/>
              </w:rPr>
              <w:t>2.2</w:t>
            </w:r>
          </w:p>
        </w:tc>
        <w:tc>
          <w:tcPr>
            <w:tcW w:w="361" w:type="pct"/>
            <w:noWrap/>
            <w:vAlign w:val="bottom"/>
          </w:tcPr>
          <w:p>
            <w:pPr>
              <w:pStyle w:val="199"/>
              <w:rPr>
                <w:color w:val="auto"/>
              </w:rPr>
            </w:pPr>
            <w:r>
              <w:rPr>
                <w:rFonts w:hint="eastAsia"/>
                <w:color w:val="auto"/>
              </w:rPr>
              <w:t>3.07</w:t>
            </w:r>
          </w:p>
        </w:tc>
        <w:tc>
          <w:tcPr>
            <w:tcW w:w="361" w:type="pct"/>
            <w:noWrap/>
            <w:vAlign w:val="bottom"/>
          </w:tcPr>
          <w:p>
            <w:pPr>
              <w:pStyle w:val="199"/>
              <w:rPr>
                <w:color w:val="auto"/>
              </w:rPr>
            </w:pPr>
            <w:r>
              <w:rPr>
                <w:rFonts w:hint="eastAsia"/>
                <w:color w:val="auto"/>
              </w:rPr>
              <w:t>4.14</w:t>
            </w:r>
          </w:p>
        </w:tc>
        <w:tc>
          <w:tcPr>
            <w:tcW w:w="361" w:type="pct"/>
            <w:noWrap/>
            <w:vAlign w:val="bottom"/>
          </w:tcPr>
          <w:p>
            <w:pPr>
              <w:pStyle w:val="199"/>
              <w:rPr>
                <w:color w:val="auto"/>
              </w:rPr>
            </w:pPr>
            <w:r>
              <w:rPr>
                <w:rFonts w:hint="eastAsia"/>
                <w:color w:val="auto"/>
              </w:rPr>
              <w:t>5.24</w:t>
            </w:r>
          </w:p>
        </w:tc>
        <w:tc>
          <w:tcPr>
            <w:tcW w:w="360" w:type="pct"/>
            <w:noWrap/>
            <w:vAlign w:val="bottom"/>
          </w:tcPr>
          <w:p>
            <w:pPr>
              <w:pStyle w:val="199"/>
              <w:rPr>
                <w:color w:val="auto"/>
              </w:rPr>
            </w:pPr>
            <w:r>
              <w:rPr>
                <w:rFonts w:hint="eastAsia"/>
                <w:color w:val="auto"/>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W</w:t>
            </w:r>
          </w:p>
        </w:tc>
        <w:tc>
          <w:tcPr>
            <w:tcW w:w="360" w:type="pct"/>
            <w:noWrap/>
            <w:vAlign w:val="bottom"/>
          </w:tcPr>
          <w:p>
            <w:pPr>
              <w:pStyle w:val="199"/>
              <w:rPr>
                <w:color w:val="auto"/>
              </w:rPr>
            </w:pPr>
            <w:r>
              <w:rPr>
                <w:rFonts w:hint="eastAsia"/>
                <w:color w:val="auto"/>
              </w:rPr>
              <w:t>6.46</w:t>
            </w:r>
          </w:p>
        </w:tc>
        <w:tc>
          <w:tcPr>
            <w:tcW w:w="360" w:type="pct"/>
            <w:noWrap/>
            <w:vAlign w:val="bottom"/>
          </w:tcPr>
          <w:p>
            <w:pPr>
              <w:pStyle w:val="199"/>
              <w:rPr>
                <w:color w:val="auto"/>
              </w:rPr>
            </w:pPr>
            <w:r>
              <w:rPr>
                <w:rFonts w:hint="eastAsia"/>
                <w:color w:val="auto"/>
              </w:rPr>
              <w:t>10.73</w:t>
            </w:r>
          </w:p>
        </w:tc>
        <w:tc>
          <w:tcPr>
            <w:tcW w:w="360" w:type="pct"/>
            <w:noWrap/>
            <w:vAlign w:val="bottom"/>
          </w:tcPr>
          <w:p>
            <w:pPr>
              <w:pStyle w:val="199"/>
              <w:rPr>
                <w:color w:val="auto"/>
              </w:rPr>
            </w:pPr>
            <w:r>
              <w:rPr>
                <w:rFonts w:hint="eastAsia"/>
                <w:color w:val="auto"/>
              </w:rPr>
              <w:t>11.28</w:t>
            </w:r>
          </w:p>
        </w:tc>
        <w:tc>
          <w:tcPr>
            <w:tcW w:w="361" w:type="pct"/>
            <w:noWrap/>
            <w:vAlign w:val="bottom"/>
          </w:tcPr>
          <w:p>
            <w:pPr>
              <w:pStyle w:val="199"/>
              <w:rPr>
                <w:color w:val="auto"/>
              </w:rPr>
            </w:pPr>
            <w:r>
              <w:rPr>
                <w:rFonts w:hint="eastAsia"/>
                <w:color w:val="auto"/>
              </w:rPr>
              <w:t>11.83</w:t>
            </w:r>
          </w:p>
        </w:tc>
        <w:tc>
          <w:tcPr>
            <w:tcW w:w="361" w:type="pct"/>
            <w:noWrap/>
            <w:vAlign w:val="bottom"/>
          </w:tcPr>
          <w:p>
            <w:pPr>
              <w:pStyle w:val="199"/>
              <w:rPr>
                <w:color w:val="auto"/>
              </w:rPr>
            </w:pPr>
            <w:r>
              <w:rPr>
                <w:rFonts w:hint="eastAsia"/>
                <w:color w:val="auto"/>
              </w:rPr>
              <w:t>6.9</w:t>
            </w:r>
          </w:p>
        </w:tc>
        <w:tc>
          <w:tcPr>
            <w:tcW w:w="361" w:type="pct"/>
            <w:noWrap/>
            <w:vAlign w:val="bottom"/>
          </w:tcPr>
          <w:p>
            <w:pPr>
              <w:pStyle w:val="199"/>
              <w:rPr>
                <w:color w:val="auto"/>
              </w:rPr>
            </w:pPr>
            <w:r>
              <w:rPr>
                <w:rFonts w:hint="eastAsia"/>
                <w:color w:val="auto"/>
              </w:rPr>
              <w:t>3.39</w:t>
            </w:r>
          </w:p>
        </w:tc>
        <w:tc>
          <w:tcPr>
            <w:tcW w:w="361" w:type="pct"/>
            <w:noWrap/>
            <w:vAlign w:val="bottom"/>
          </w:tcPr>
          <w:p>
            <w:pPr>
              <w:pStyle w:val="199"/>
              <w:rPr>
                <w:color w:val="auto"/>
              </w:rPr>
            </w:pPr>
            <w:r>
              <w:rPr>
                <w:rFonts w:hint="eastAsia"/>
                <w:color w:val="auto"/>
              </w:rPr>
              <w:t>2.84</w:t>
            </w:r>
          </w:p>
        </w:tc>
        <w:tc>
          <w:tcPr>
            <w:tcW w:w="361" w:type="pct"/>
            <w:noWrap/>
            <w:vAlign w:val="bottom"/>
          </w:tcPr>
          <w:p>
            <w:pPr>
              <w:pStyle w:val="199"/>
              <w:rPr>
                <w:color w:val="auto"/>
              </w:rPr>
            </w:pPr>
            <w:r>
              <w:rPr>
                <w:rFonts w:hint="eastAsia"/>
                <w:color w:val="auto"/>
              </w:rPr>
              <w:t>1.91</w:t>
            </w:r>
          </w:p>
        </w:tc>
        <w:tc>
          <w:tcPr>
            <w:tcW w:w="361" w:type="pct"/>
            <w:noWrap/>
            <w:vAlign w:val="bottom"/>
          </w:tcPr>
          <w:p>
            <w:pPr>
              <w:pStyle w:val="199"/>
              <w:rPr>
                <w:color w:val="auto"/>
              </w:rPr>
            </w:pPr>
            <w:r>
              <w:rPr>
                <w:rFonts w:hint="eastAsia"/>
                <w:color w:val="auto"/>
              </w:rPr>
              <w:t>1.76</w:t>
            </w:r>
          </w:p>
        </w:tc>
        <w:tc>
          <w:tcPr>
            <w:tcW w:w="361" w:type="pct"/>
            <w:noWrap/>
            <w:vAlign w:val="bottom"/>
          </w:tcPr>
          <w:p>
            <w:pPr>
              <w:pStyle w:val="199"/>
              <w:rPr>
                <w:color w:val="auto"/>
              </w:rPr>
            </w:pPr>
            <w:r>
              <w:rPr>
                <w:rFonts w:hint="eastAsia"/>
                <w:color w:val="auto"/>
              </w:rPr>
              <w:t>2.03</w:t>
            </w:r>
          </w:p>
        </w:tc>
        <w:tc>
          <w:tcPr>
            <w:tcW w:w="361" w:type="pct"/>
            <w:noWrap/>
            <w:vAlign w:val="bottom"/>
          </w:tcPr>
          <w:p>
            <w:pPr>
              <w:pStyle w:val="199"/>
              <w:rPr>
                <w:color w:val="auto"/>
              </w:rPr>
            </w:pPr>
            <w:r>
              <w:rPr>
                <w:rFonts w:hint="eastAsia"/>
                <w:color w:val="auto"/>
              </w:rPr>
              <w:t>5.03</w:t>
            </w:r>
          </w:p>
        </w:tc>
        <w:tc>
          <w:tcPr>
            <w:tcW w:w="361" w:type="pct"/>
            <w:noWrap/>
            <w:vAlign w:val="bottom"/>
          </w:tcPr>
          <w:p>
            <w:pPr>
              <w:pStyle w:val="199"/>
              <w:rPr>
                <w:color w:val="auto"/>
              </w:rPr>
            </w:pPr>
            <w:r>
              <w:rPr>
                <w:rFonts w:hint="eastAsia"/>
                <w:color w:val="auto"/>
              </w:rPr>
              <w:t>4.17</w:t>
            </w:r>
          </w:p>
        </w:tc>
        <w:tc>
          <w:tcPr>
            <w:tcW w:w="360" w:type="pct"/>
            <w:noWrap/>
            <w:vAlign w:val="bottom"/>
          </w:tcPr>
          <w:p>
            <w:pPr>
              <w:pStyle w:val="199"/>
              <w:rPr>
                <w:color w:val="auto"/>
              </w:rPr>
            </w:pPr>
            <w:r>
              <w:rPr>
                <w:rFonts w:hint="eastAsia"/>
                <w:color w:val="auto"/>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WNW</w:t>
            </w:r>
          </w:p>
        </w:tc>
        <w:tc>
          <w:tcPr>
            <w:tcW w:w="360" w:type="pct"/>
            <w:noWrap/>
            <w:vAlign w:val="bottom"/>
          </w:tcPr>
          <w:p>
            <w:pPr>
              <w:pStyle w:val="199"/>
              <w:rPr>
                <w:color w:val="auto"/>
              </w:rPr>
            </w:pPr>
            <w:r>
              <w:rPr>
                <w:rFonts w:hint="eastAsia"/>
                <w:color w:val="auto"/>
              </w:rPr>
              <w:t>4.62</w:t>
            </w:r>
          </w:p>
        </w:tc>
        <w:tc>
          <w:tcPr>
            <w:tcW w:w="360" w:type="pct"/>
            <w:noWrap/>
            <w:vAlign w:val="bottom"/>
          </w:tcPr>
          <w:p>
            <w:pPr>
              <w:pStyle w:val="199"/>
              <w:rPr>
                <w:color w:val="auto"/>
              </w:rPr>
            </w:pPr>
            <w:r>
              <w:rPr>
                <w:rFonts w:hint="eastAsia"/>
                <w:color w:val="auto"/>
              </w:rPr>
              <w:t>5.98</w:t>
            </w:r>
          </w:p>
        </w:tc>
        <w:tc>
          <w:tcPr>
            <w:tcW w:w="360" w:type="pct"/>
            <w:noWrap/>
            <w:vAlign w:val="bottom"/>
          </w:tcPr>
          <w:p>
            <w:pPr>
              <w:pStyle w:val="199"/>
              <w:rPr>
                <w:color w:val="auto"/>
              </w:rPr>
            </w:pPr>
            <w:r>
              <w:rPr>
                <w:rFonts w:hint="eastAsia"/>
                <w:color w:val="auto"/>
              </w:rPr>
              <w:t>6.49</w:t>
            </w:r>
          </w:p>
        </w:tc>
        <w:tc>
          <w:tcPr>
            <w:tcW w:w="361" w:type="pct"/>
            <w:noWrap/>
            <w:vAlign w:val="bottom"/>
          </w:tcPr>
          <w:p>
            <w:pPr>
              <w:pStyle w:val="199"/>
              <w:rPr>
                <w:color w:val="auto"/>
              </w:rPr>
            </w:pPr>
            <w:r>
              <w:rPr>
                <w:rFonts w:hint="eastAsia"/>
                <w:color w:val="auto"/>
              </w:rPr>
              <w:t>6.23</w:t>
            </w:r>
          </w:p>
        </w:tc>
        <w:tc>
          <w:tcPr>
            <w:tcW w:w="361" w:type="pct"/>
            <w:noWrap/>
            <w:vAlign w:val="bottom"/>
          </w:tcPr>
          <w:p>
            <w:pPr>
              <w:pStyle w:val="199"/>
              <w:rPr>
                <w:color w:val="auto"/>
              </w:rPr>
            </w:pPr>
            <w:r>
              <w:rPr>
                <w:rFonts w:hint="eastAsia"/>
                <w:color w:val="auto"/>
              </w:rPr>
              <w:t>4.44</w:t>
            </w:r>
          </w:p>
        </w:tc>
        <w:tc>
          <w:tcPr>
            <w:tcW w:w="361" w:type="pct"/>
            <w:noWrap/>
            <w:vAlign w:val="bottom"/>
          </w:tcPr>
          <w:p>
            <w:pPr>
              <w:pStyle w:val="199"/>
              <w:rPr>
                <w:color w:val="auto"/>
              </w:rPr>
            </w:pPr>
            <w:r>
              <w:rPr>
                <w:rFonts w:hint="eastAsia"/>
                <w:color w:val="auto"/>
              </w:rPr>
              <w:t>2.22</w:t>
            </w:r>
          </w:p>
        </w:tc>
        <w:tc>
          <w:tcPr>
            <w:tcW w:w="361" w:type="pct"/>
            <w:noWrap/>
            <w:vAlign w:val="bottom"/>
          </w:tcPr>
          <w:p>
            <w:pPr>
              <w:pStyle w:val="199"/>
              <w:rPr>
                <w:color w:val="auto"/>
              </w:rPr>
            </w:pPr>
            <w:r>
              <w:rPr>
                <w:rFonts w:hint="eastAsia"/>
                <w:color w:val="auto"/>
              </w:rPr>
              <w:t>2.89</w:t>
            </w:r>
          </w:p>
        </w:tc>
        <w:tc>
          <w:tcPr>
            <w:tcW w:w="361" w:type="pct"/>
            <w:noWrap/>
            <w:vAlign w:val="bottom"/>
          </w:tcPr>
          <w:p>
            <w:pPr>
              <w:pStyle w:val="199"/>
              <w:rPr>
                <w:color w:val="auto"/>
              </w:rPr>
            </w:pPr>
            <w:r>
              <w:rPr>
                <w:rFonts w:hint="eastAsia"/>
                <w:color w:val="auto"/>
              </w:rPr>
              <w:t>2.56</w:t>
            </w:r>
          </w:p>
        </w:tc>
        <w:tc>
          <w:tcPr>
            <w:tcW w:w="361" w:type="pct"/>
            <w:noWrap/>
            <w:vAlign w:val="bottom"/>
          </w:tcPr>
          <w:p>
            <w:pPr>
              <w:pStyle w:val="199"/>
              <w:rPr>
                <w:color w:val="auto"/>
              </w:rPr>
            </w:pPr>
            <w:r>
              <w:rPr>
                <w:rFonts w:hint="eastAsia"/>
                <w:color w:val="auto"/>
              </w:rPr>
              <w:t>1.95</w:t>
            </w:r>
          </w:p>
        </w:tc>
        <w:tc>
          <w:tcPr>
            <w:tcW w:w="361" w:type="pct"/>
            <w:noWrap/>
            <w:vAlign w:val="bottom"/>
          </w:tcPr>
          <w:p>
            <w:pPr>
              <w:pStyle w:val="199"/>
              <w:rPr>
                <w:color w:val="auto"/>
              </w:rPr>
            </w:pPr>
            <w:r>
              <w:rPr>
                <w:rFonts w:hint="eastAsia"/>
                <w:color w:val="auto"/>
              </w:rPr>
              <w:t>2.56</w:t>
            </w:r>
          </w:p>
        </w:tc>
        <w:tc>
          <w:tcPr>
            <w:tcW w:w="361" w:type="pct"/>
            <w:noWrap/>
            <w:vAlign w:val="bottom"/>
          </w:tcPr>
          <w:p>
            <w:pPr>
              <w:pStyle w:val="199"/>
              <w:rPr>
                <w:color w:val="auto"/>
              </w:rPr>
            </w:pPr>
            <w:r>
              <w:rPr>
                <w:rFonts w:hint="eastAsia"/>
                <w:color w:val="auto"/>
              </w:rPr>
              <w:t>4.58</w:t>
            </w:r>
          </w:p>
        </w:tc>
        <w:tc>
          <w:tcPr>
            <w:tcW w:w="361" w:type="pct"/>
            <w:noWrap/>
            <w:vAlign w:val="bottom"/>
          </w:tcPr>
          <w:p>
            <w:pPr>
              <w:pStyle w:val="199"/>
              <w:rPr>
                <w:color w:val="auto"/>
              </w:rPr>
            </w:pPr>
            <w:r>
              <w:rPr>
                <w:rFonts w:hint="eastAsia"/>
                <w:color w:val="auto"/>
              </w:rPr>
              <w:t>4.21</w:t>
            </w:r>
          </w:p>
        </w:tc>
        <w:tc>
          <w:tcPr>
            <w:tcW w:w="360" w:type="pct"/>
            <w:noWrap/>
            <w:vAlign w:val="bottom"/>
          </w:tcPr>
          <w:p>
            <w:pPr>
              <w:pStyle w:val="199"/>
              <w:rPr>
                <w:color w:val="auto"/>
              </w:rPr>
            </w:pPr>
            <w:r>
              <w:rPr>
                <w:rFonts w:hint="eastAsia"/>
                <w:color w:val="auto"/>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NW</w:t>
            </w:r>
          </w:p>
        </w:tc>
        <w:tc>
          <w:tcPr>
            <w:tcW w:w="360" w:type="pct"/>
            <w:noWrap/>
            <w:vAlign w:val="bottom"/>
          </w:tcPr>
          <w:p>
            <w:pPr>
              <w:pStyle w:val="199"/>
              <w:rPr>
                <w:color w:val="auto"/>
              </w:rPr>
            </w:pPr>
            <w:r>
              <w:rPr>
                <w:rFonts w:hint="eastAsia"/>
                <w:color w:val="auto"/>
              </w:rPr>
              <w:t>5.28</w:t>
            </w:r>
          </w:p>
        </w:tc>
        <w:tc>
          <w:tcPr>
            <w:tcW w:w="360" w:type="pct"/>
            <w:noWrap/>
            <w:vAlign w:val="bottom"/>
          </w:tcPr>
          <w:p>
            <w:pPr>
              <w:pStyle w:val="199"/>
              <w:rPr>
                <w:color w:val="auto"/>
              </w:rPr>
            </w:pPr>
            <w:r>
              <w:rPr>
                <w:rFonts w:hint="eastAsia"/>
                <w:color w:val="auto"/>
              </w:rPr>
              <w:t>5.83</w:t>
            </w:r>
          </w:p>
        </w:tc>
        <w:tc>
          <w:tcPr>
            <w:tcW w:w="360" w:type="pct"/>
            <w:noWrap/>
            <w:vAlign w:val="bottom"/>
          </w:tcPr>
          <w:p>
            <w:pPr>
              <w:pStyle w:val="199"/>
              <w:rPr>
                <w:color w:val="auto"/>
              </w:rPr>
            </w:pPr>
            <w:r>
              <w:rPr>
                <w:rFonts w:hint="eastAsia"/>
                <w:color w:val="auto"/>
              </w:rPr>
              <w:t>5.08</w:t>
            </w:r>
          </w:p>
        </w:tc>
        <w:tc>
          <w:tcPr>
            <w:tcW w:w="361" w:type="pct"/>
            <w:noWrap/>
            <w:vAlign w:val="bottom"/>
          </w:tcPr>
          <w:p>
            <w:pPr>
              <w:pStyle w:val="199"/>
              <w:rPr>
                <w:color w:val="auto"/>
              </w:rPr>
            </w:pPr>
            <w:r>
              <w:rPr>
                <w:rFonts w:hint="eastAsia"/>
                <w:color w:val="auto"/>
              </w:rPr>
              <w:t>4.88</w:t>
            </w:r>
          </w:p>
        </w:tc>
        <w:tc>
          <w:tcPr>
            <w:tcW w:w="361" w:type="pct"/>
            <w:noWrap/>
            <w:vAlign w:val="bottom"/>
          </w:tcPr>
          <w:p>
            <w:pPr>
              <w:pStyle w:val="199"/>
              <w:rPr>
                <w:color w:val="auto"/>
              </w:rPr>
            </w:pPr>
            <w:r>
              <w:rPr>
                <w:rFonts w:hint="eastAsia"/>
                <w:color w:val="auto"/>
              </w:rPr>
              <w:t>3.49</w:t>
            </w:r>
          </w:p>
        </w:tc>
        <w:tc>
          <w:tcPr>
            <w:tcW w:w="361" w:type="pct"/>
            <w:noWrap/>
            <w:vAlign w:val="bottom"/>
          </w:tcPr>
          <w:p>
            <w:pPr>
              <w:pStyle w:val="199"/>
              <w:rPr>
                <w:color w:val="auto"/>
              </w:rPr>
            </w:pPr>
            <w:r>
              <w:rPr>
                <w:rFonts w:hint="eastAsia"/>
                <w:color w:val="auto"/>
              </w:rPr>
              <w:t>2.38</w:t>
            </w:r>
          </w:p>
        </w:tc>
        <w:tc>
          <w:tcPr>
            <w:tcW w:w="361" w:type="pct"/>
            <w:noWrap/>
            <w:vAlign w:val="bottom"/>
          </w:tcPr>
          <w:p>
            <w:pPr>
              <w:pStyle w:val="199"/>
              <w:rPr>
                <w:color w:val="auto"/>
              </w:rPr>
            </w:pPr>
            <w:r>
              <w:rPr>
                <w:rFonts w:hint="eastAsia"/>
                <w:color w:val="auto"/>
              </w:rPr>
              <w:t>4</w:t>
            </w:r>
          </w:p>
        </w:tc>
        <w:tc>
          <w:tcPr>
            <w:tcW w:w="361" w:type="pct"/>
            <w:noWrap/>
            <w:vAlign w:val="bottom"/>
          </w:tcPr>
          <w:p>
            <w:pPr>
              <w:pStyle w:val="199"/>
              <w:rPr>
                <w:color w:val="auto"/>
              </w:rPr>
            </w:pPr>
            <w:r>
              <w:rPr>
                <w:rFonts w:hint="eastAsia"/>
                <w:color w:val="auto"/>
              </w:rPr>
              <w:t>4.7</w:t>
            </w:r>
          </w:p>
        </w:tc>
        <w:tc>
          <w:tcPr>
            <w:tcW w:w="361" w:type="pct"/>
            <w:noWrap/>
            <w:vAlign w:val="bottom"/>
          </w:tcPr>
          <w:p>
            <w:pPr>
              <w:pStyle w:val="199"/>
              <w:rPr>
                <w:color w:val="auto"/>
              </w:rPr>
            </w:pPr>
            <w:r>
              <w:rPr>
                <w:rFonts w:hint="eastAsia"/>
                <w:color w:val="auto"/>
              </w:rPr>
              <w:t>3.08</w:t>
            </w:r>
          </w:p>
        </w:tc>
        <w:tc>
          <w:tcPr>
            <w:tcW w:w="361" w:type="pct"/>
            <w:noWrap/>
            <w:vAlign w:val="bottom"/>
          </w:tcPr>
          <w:p>
            <w:pPr>
              <w:pStyle w:val="199"/>
              <w:rPr>
                <w:color w:val="auto"/>
              </w:rPr>
            </w:pPr>
            <w:r>
              <w:rPr>
                <w:rFonts w:hint="eastAsia"/>
                <w:color w:val="auto"/>
              </w:rPr>
              <w:t>2.83</w:t>
            </w:r>
          </w:p>
        </w:tc>
        <w:tc>
          <w:tcPr>
            <w:tcW w:w="361" w:type="pct"/>
            <w:noWrap/>
            <w:vAlign w:val="bottom"/>
          </w:tcPr>
          <w:p>
            <w:pPr>
              <w:pStyle w:val="199"/>
              <w:rPr>
                <w:color w:val="auto"/>
              </w:rPr>
            </w:pPr>
            <w:r>
              <w:rPr>
                <w:rFonts w:hint="eastAsia"/>
                <w:color w:val="auto"/>
              </w:rPr>
              <w:t>4.7</w:t>
            </w:r>
          </w:p>
        </w:tc>
        <w:tc>
          <w:tcPr>
            <w:tcW w:w="361" w:type="pct"/>
            <w:noWrap/>
            <w:vAlign w:val="bottom"/>
          </w:tcPr>
          <w:p>
            <w:pPr>
              <w:pStyle w:val="199"/>
              <w:rPr>
                <w:color w:val="auto"/>
              </w:rPr>
            </w:pPr>
            <w:r>
              <w:rPr>
                <w:rFonts w:hint="eastAsia"/>
                <w:color w:val="auto"/>
              </w:rPr>
              <w:t>4.51</w:t>
            </w:r>
          </w:p>
        </w:tc>
        <w:tc>
          <w:tcPr>
            <w:tcW w:w="360" w:type="pct"/>
            <w:noWrap/>
            <w:vAlign w:val="bottom"/>
          </w:tcPr>
          <w:p>
            <w:pPr>
              <w:pStyle w:val="199"/>
              <w:rPr>
                <w:color w:val="auto"/>
              </w:rPr>
            </w:pPr>
            <w:r>
              <w:rPr>
                <w:rFonts w:hint="eastAsia"/>
                <w:color w:val="auto"/>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NNW</w:t>
            </w:r>
          </w:p>
        </w:tc>
        <w:tc>
          <w:tcPr>
            <w:tcW w:w="360" w:type="pct"/>
            <w:noWrap/>
            <w:vAlign w:val="bottom"/>
          </w:tcPr>
          <w:p>
            <w:pPr>
              <w:pStyle w:val="199"/>
              <w:rPr>
                <w:color w:val="auto"/>
              </w:rPr>
            </w:pPr>
            <w:r>
              <w:rPr>
                <w:rFonts w:hint="eastAsia"/>
                <w:color w:val="auto"/>
              </w:rPr>
              <w:t>2.99</w:t>
            </w:r>
          </w:p>
        </w:tc>
        <w:tc>
          <w:tcPr>
            <w:tcW w:w="360" w:type="pct"/>
            <w:noWrap/>
            <w:vAlign w:val="bottom"/>
          </w:tcPr>
          <w:p>
            <w:pPr>
              <w:pStyle w:val="199"/>
              <w:rPr>
                <w:color w:val="auto"/>
              </w:rPr>
            </w:pPr>
            <w:r>
              <w:rPr>
                <w:rFonts w:hint="eastAsia"/>
                <w:color w:val="auto"/>
              </w:rPr>
              <w:t>3.07</w:t>
            </w:r>
          </w:p>
        </w:tc>
        <w:tc>
          <w:tcPr>
            <w:tcW w:w="360" w:type="pct"/>
            <w:noWrap/>
            <w:vAlign w:val="bottom"/>
          </w:tcPr>
          <w:p>
            <w:pPr>
              <w:pStyle w:val="199"/>
              <w:rPr>
                <w:color w:val="auto"/>
              </w:rPr>
            </w:pPr>
            <w:r>
              <w:rPr>
                <w:rFonts w:hint="eastAsia"/>
                <w:color w:val="auto"/>
              </w:rPr>
              <w:t>3</w:t>
            </w:r>
          </w:p>
        </w:tc>
        <w:tc>
          <w:tcPr>
            <w:tcW w:w="361" w:type="pct"/>
            <w:noWrap/>
            <w:vAlign w:val="bottom"/>
          </w:tcPr>
          <w:p>
            <w:pPr>
              <w:pStyle w:val="199"/>
              <w:rPr>
                <w:color w:val="auto"/>
              </w:rPr>
            </w:pPr>
            <w:r>
              <w:rPr>
                <w:rFonts w:hint="eastAsia"/>
                <w:color w:val="auto"/>
              </w:rPr>
              <w:t>2.63</w:t>
            </w:r>
          </w:p>
        </w:tc>
        <w:tc>
          <w:tcPr>
            <w:tcW w:w="361" w:type="pct"/>
            <w:noWrap/>
            <w:vAlign w:val="bottom"/>
          </w:tcPr>
          <w:p>
            <w:pPr>
              <w:pStyle w:val="199"/>
              <w:rPr>
                <w:color w:val="auto"/>
              </w:rPr>
            </w:pPr>
            <w:r>
              <w:rPr>
                <w:rFonts w:hint="eastAsia"/>
                <w:color w:val="auto"/>
              </w:rPr>
              <w:t>2.62</w:t>
            </w:r>
          </w:p>
        </w:tc>
        <w:tc>
          <w:tcPr>
            <w:tcW w:w="361" w:type="pct"/>
            <w:noWrap/>
            <w:vAlign w:val="bottom"/>
          </w:tcPr>
          <w:p>
            <w:pPr>
              <w:pStyle w:val="199"/>
              <w:rPr>
                <w:color w:val="auto"/>
              </w:rPr>
            </w:pPr>
            <w:r>
              <w:rPr>
                <w:rFonts w:hint="eastAsia"/>
                <w:color w:val="auto"/>
              </w:rPr>
              <w:t>1.36</w:t>
            </w:r>
          </w:p>
        </w:tc>
        <w:tc>
          <w:tcPr>
            <w:tcW w:w="361" w:type="pct"/>
            <w:noWrap/>
            <w:vAlign w:val="bottom"/>
          </w:tcPr>
          <w:p>
            <w:pPr>
              <w:pStyle w:val="199"/>
              <w:rPr>
                <w:color w:val="auto"/>
              </w:rPr>
            </w:pPr>
            <w:r>
              <w:rPr>
                <w:rFonts w:hint="eastAsia"/>
                <w:color w:val="auto"/>
              </w:rPr>
              <w:t>2.22</w:t>
            </w:r>
          </w:p>
        </w:tc>
        <w:tc>
          <w:tcPr>
            <w:tcW w:w="361" w:type="pct"/>
            <w:noWrap/>
            <w:vAlign w:val="bottom"/>
          </w:tcPr>
          <w:p>
            <w:pPr>
              <w:pStyle w:val="199"/>
              <w:rPr>
                <w:color w:val="auto"/>
              </w:rPr>
            </w:pPr>
            <w:r>
              <w:rPr>
                <w:rFonts w:hint="eastAsia"/>
                <w:color w:val="auto"/>
              </w:rPr>
              <w:t>2.91</w:t>
            </w:r>
          </w:p>
        </w:tc>
        <w:tc>
          <w:tcPr>
            <w:tcW w:w="361" w:type="pct"/>
            <w:noWrap/>
            <w:vAlign w:val="bottom"/>
          </w:tcPr>
          <w:p>
            <w:pPr>
              <w:pStyle w:val="199"/>
              <w:rPr>
                <w:color w:val="auto"/>
              </w:rPr>
            </w:pPr>
            <w:r>
              <w:rPr>
                <w:rFonts w:hint="eastAsia"/>
                <w:color w:val="auto"/>
              </w:rPr>
              <w:t>1.89</w:t>
            </w:r>
          </w:p>
        </w:tc>
        <w:tc>
          <w:tcPr>
            <w:tcW w:w="361" w:type="pct"/>
            <w:noWrap/>
            <w:vAlign w:val="bottom"/>
          </w:tcPr>
          <w:p>
            <w:pPr>
              <w:pStyle w:val="199"/>
              <w:rPr>
                <w:color w:val="auto"/>
              </w:rPr>
            </w:pPr>
            <w:r>
              <w:rPr>
                <w:rFonts w:hint="eastAsia"/>
                <w:color w:val="auto"/>
              </w:rPr>
              <w:t>2.32</w:t>
            </w:r>
          </w:p>
        </w:tc>
        <w:tc>
          <w:tcPr>
            <w:tcW w:w="361" w:type="pct"/>
            <w:noWrap/>
            <w:vAlign w:val="bottom"/>
          </w:tcPr>
          <w:p>
            <w:pPr>
              <w:pStyle w:val="199"/>
              <w:rPr>
                <w:color w:val="auto"/>
              </w:rPr>
            </w:pPr>
            <w:r>
              <w:rPr>
                <w:rFonts w:hint="eastAsia"/>
                <w:color w:val="auto"/>
              </w:rPr>
              <w:t>3.38</w:t>
            </w:r>
          </w:p>
        </w:tc>
        <w:tc>
          <w:tcPr>
            <w:tcW w:w="361" w:type="pct"/>
            <w:noWrap/>
            <w:vAlign w:val="bottom"/>
          </w:tcPr>
          <w:p>
            <w:pPr>
              <w:pStyle w:val="199"/>
              <w:rPr>
                <w:color w:val="auto"/>
              </w:rPr>
            </w:pPr>
            <w:r>
              <w:rPr>
                <w:rFonts w:hint="eastAsia"/>
                <w:color w:val="auto"/>
              </w:rPr>
              <w:t>3.44</w:t>
            </w:r>
          </w:p>
        </w:tc>
        <w:tc>
          <w:tcPr>
            <w:tcW w:w="360" w:type="pct"/>
            <w:noWrap/>
            <w:vAlign w:val="bottom"/>
          </w:tcPr>
          <w:p>
            <w:pPr>
              <w:pStyle w:val="199"/>
              <w:rPr>
                <w:color w:val="auto"/>
              </w:rPr>
            </w:pPr>
            <w:r>
              <w:rPr>
                <w:rFonts w:hint="eastAsia"/>
                <w:color w:val="auto"/>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N</w:t>
            </w:r>
          </w:p>
        </w:tc>
        <w:tc>
          <w:tcPr>
            <w:tcW w:w="360" w:type="pct"/>
            <w:noWrap/>
            <w:vAlign w:val="bottom"/>
          </w:tcPr>
          <w:p>
            <w:pPr>
              <w:pStyle w:val="199"/>
              <w:rPr>
                <w:color w:val="auto"/>
              </w:rPr>
            </w:pPr>
            <w:r>
              <w:rPr>
                <w:rFonts w:hint="eastAsia"/>
                <w:color w:val="auto"/>
              </w:rPr>
              <w:t>1.6</w:t>
            </w:r>
          </w:p>
        </w:tc>
        <w:tc>
          <w:tcPr>
            <w:tcW w:w="360" w:type="pct"/>
            <w:noWrap/>
            <w:vAlign w:val="bottom"/>
          </w:tcPr>
          <w:p>
            <w:pPr>
              <w:pStyle w:val="199"/>
              <w:rPr>
                <w:color w:val="auto"/>
              </w:rPr>
            </w:pPr>
            <w:r>
              <w:rPr>
                <w:rFonts w:hint="eastAsia"/>
                <w:color w:val="auto"/>
              </w:rPr>
              <w:t>1.78</w:t>
            </w:r>
          </w:p>
        </w:tc>
        <w:tc>
          <w:tcPr>
            <w:tcW w:w="360" w:type="pct"/>
            <w:noWrap/>
            <w:vAlign w:val="bottom"/>
          </w:tcPr>
          <w:p>
            <w:pPr>
              <w:pStyle w:val="199"/>
              <w:rPr>
                <w:color w:val="auto"/>
              </w:rPr>
            </w:pPr>
            <w:r>
              <w:rPr>
                <w:rFonts w:hint="eastAsia"/>
                <w:color w:val="auto"/>
              </w:rPr>
              <w:t>1.87</w:t>
            </w:r>
          </w:p>
        </w:tc>
        <w:tc>
          <w:tcPr>
            <w:tcW w:w="361" w:type="pct"/>
            <w:noWrap/>
            <w:vAlign w:val="bottom"/>
          </w:tcPr>
          <w:p>
            <w:pPr>
              <w:pStyle w:val="199"/>
              <w:rPr>
                <w:color w:val="auto"/>
              </w:rPr>
            </w:pPr>
            <w:r>
              <w:rPr>
                <w:rFonts w:hint="eastAsia"/>
                <w:color w:val="auto"/>
              </w:rPr>
              <w:t>2.18</w:t>
            </w:r>
          </w:p>
        </w:tc>
        <w:tc>
          <w:tcPr>
            <w:tcW w:w="361" w:type="pct"/>
            <w:noWrap/>
            <w:vAlign w:val="bottom"/>
          </w:tcPr>
          <w:p>
            <w:pPr>
              <w:pStyle w:val="199"/>
              <w:rPr>
                <w:color w:val="auto"/>
              </w:rPr>
            </w:pPr>
            <w:r>
              <w:rPr>
                <w:rFonts w:hint="eastAsia"/>
                <w:color w:val="auto"/>
              </w:rPr>
              <w:t>2</w:t>
            </w:r>
          </w:p>
        </w:tc>
        <w:tc>
          <w:tcPr>
            <w:tcW w:w="361" w:type="pct"/>
            <w:noWrap/>
            <w:vAlign w:val="bottom"/>
          </w:tcPr>
          <w:p>
            <w:pPr>
              <w:pStyle w:val="199"/>
              <w:rPr>
                <w:color w:val="auto"/>
              </w:rPr>
            </w:pPr>
            <w:r>
              <w:rPr>
                <w:rFonts w:hint="eastAsia"/>
                <w:color w:val="auto"/>
              </w:rPr>
              <w:t>2.16</w:t>
            </w:r>
          </w:p>
        </w:tc>
        <w:tc>
          <w:tcPr>
            <w:tcW w:w="361" w:type="pct"/>
            <w:noWrap/>
            <w:vAlign w:val="bottom"/>
          </w:tcPr>
          <w:p>
            <w:pPr>
              <w:pStyle w:val="199"/>
              <w:rPr>
                <w:color w:val="auto"/>
              </w:rPr>
            </w:pPr>
            <w:r>
              <w:rPr>
                <w:rFonts w:hint="eastAsia"/>
                <w:color w:val="auto"/>
              </w:rPr>
              <w:t>2.72</w:t>
            </w:r>
          </w:p>
        </w:tc>
        <w:tc>
          <w:tcPr>
            <w:tcW w:w="361" w:type="pct"/>
            <w:noWrap/>
            <w:vAlign w:val="bottom"/>
          </w:tcPr>
          <w:p>
            <w:pPr>
              <w:pStyle w:val="199"/>
              <w:rPr>
                <w:color w:val="auto"/>
              </w:rPr>
            </w:pPr>
            <w:r>
              <w:rPr>
                <w:rFonts w:hint="eastAsia"/>
                <w:color w:val="auto"/>
              </w:rPr>
              <w:t>2.44</w:t>
            </w:r>
          </w:p>
        </w:tc>
        <w:tc>
          <w:tcPr>
            <w:tcW w:w="361" w:type="pct"/>
            <w:noWrap/>
            <w:vAlign w:val="bottom"/>
          </w:tcPr>
          <w:p>
            <w:pPr>
              <w:pStyle w:val="199"/>
              <w:rPr>
                <w:color w:val="auto"/>
              </w:rPr>
            </w:pPr>
            <w:r>
              <w:rPr>
                <w:rFonts w:hint="eastAsia"/>
                <w:color w:val="auto"/>
              </w:rPr>
              <w:t>2.16</w:t>
            </w:r>
          </w:p>
        </w:tc>
        <w:tc>
          <w:tcPr>
            <w:tcW w:w="361" w:type="pct"/>
            <w:noWrap/>
            <w:vAlign w:val="bottom"/>
          </w:tcPr>
          <w:p>
            <w:pPr>
              <w:pStyle w:val="199"/>
              <w:rPr>
                <w:color w:val="auto"/>
              </w:rPr>
            </w:pPr>
            <w:r>
              <w:rPr>
                <w:rFonts w:hint="eastAsia"/>
                <w:color w:val="auto"/>
              </w:rPr>
              <w:t>1.49</w:t>
            </w:r>
          </w:p>
        </w:tc>
        <w:tc>
          <w:tcPr>
            <w:tcW w:w="361" w:type="pct"/>
            <w:noWrap/>
            <w:vAlign w:val="bottom"/>
          </w:tcPr>
          <w:p>
            <w:pPr>
              <w:pStyle w:val="199"/>
              <w:rPr>
                <w:color w:val="auto"/>
              </w:rPr>
            </w:pPr>
            <w:r>
              <w:rPr>
                <w:rFonts w:hint="eastAsia"/>
                <w:color w:val="auto"/>
              </w:rPr>
              <w:t>1.81</w:t>
            </w:r>
          </w:p>
        </w:tc>
        <w:tc>
          <w:tcPr>
            <w:tcW w:w="361" w:type="pct"/>
            <w:noWrap/>
            <w:vAlign w:val="bottom"/>
          </w:tcPr>
          <w:p>
            <w:pPr>
              <w:pStyle w:val="199"/>
              <w:rPr>
                <w:color w:val="auto"/>
              </w:rPr>
            </w:pPr>
            <w:r>
              <w:rPr>
                <w:rFonts w:hint="eastAsia"/>
                <w:color w:val="auto"/>
              </w:rPr>
              <w:t>1.63</w:t>
            </w:r>
          </w:p>
        </w:tc>
        <w:tc>
          <w:tcPr>
            <w:tcW w:w="360" w:type="pct"/>
            <w:noWrap/>
            <w:vAlign w:val="bottom"/>
          </w:tcPr>
          <w:p>
            <w:pPr>
              <w:pStyle w:val="199"/>
              <w:rPr>
                <w:color w:val="auto"/>
              </w:rPr>
            </w:pPr>
            <w:r>
              <w:rPr>
                <w:rFonts w:hint="eastAsia"/>
                <w:color w:val="auto"/>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12" w:type="pct"/>
            <w:noWrap/>
            <w:vAlign w:val="center"/>
          </w:tcPr>
          <w:p>
            <w:pPr>
              <w:pStyle w:val="199"/>
              <w:rPr>
                <w:color w:val="auto"/>
              </w:rPr>
            </w:pPr>
            <w:r>
              <w:rPr>
                <w:rFonts w:hint="eastAsia"/>
                <w:color w:val="auto"/>
              </w:rPr>
              <w:t>C</w:t>
            </w:r>
          </w:p>
        </w:tc>
        <w:tc>
          <w:tcPr>
            <w:tcW w:w="360" w:type="pct"/>
            <w:noWrap/>
            <w:vAlign w:val="bottom"/>
          </w:tcPr>
          <w:p>
            <w:pPr>
              <w:pStyle w:val="199"/>
              <w:rPr>
                <w:color w:val="auto"/>
              </w:rPr>
            </w:pPr>
            <w:r>
              <w:rPr>
                <w:rFonts w:hint="eastAsia"/>
                <w:color w:val="auto"/>
              </w:rPr>
              <w:t>16.35</w:t>
            </w:r>
          </w:p>
        </w:tc>
        <w:tc>
          <w:tcPr>
            <w:tcW w:w="360" w:type="pct"/>
            <w:noWrap/>
            <w:vAlign w:val="bottom"/>
          </w:tcPr>
          <w:p>
            <w:pPr>
              <w:pStyle w:val="199"/>
              <w:rPr>
                <w:color w:val="auto"/>
              </w:rPr>
            </w:pPr>
            <w:r>
              <w:rPr>
                <w:rFonts w:hint="eastAsia"/>
                <w:color w:val="auto"/>
              </w:rPr>
              <w:t>13.39</w:t>
            </w:r>
          </w:p>
        </w:tc>
        <w:tc>
          <w:tcPr>
            <w:tcW w:w="360" w:type="pct"/>
            <w:noWrap/>
            <w:vAlign w:val="bottom"/>
          </w:tcPr>
          <w:p>
            <w:pPr>
              <w:pStyle w:val="199"/>
              <w:rPr>
                <w:color w:val="auto"/>
              </w:rPr>
            </w:pPr>
            <w:r>
              <w:rPr>
                <w:rFonts w:hint="eastAsia"/>
                <w:color w:val="auto"/>
              </w:rPr>
              <w:t>11.25</w:t>
            </w:r>
          </w:p>
        </w:tc>
        <w:tc>
          <w:tcPr>
            <w:tcW w:w="361" w:type="pct"/>
            <w:noWrap/>
            <w:vAlign w:val="bottom"/>
          </w:tcPr>
          <w:p>
            <w:pPr>
              <w:pStyle w:val="199"/>
              <w:rPr>
                <w:color w:val="auto"/>
              </w:rPr>
            </w:pPr>
            <w:r>
              <w:rPr>
                <w:rFonts w:hint="eastAsia"/>
                <w:color w:val="auto"/>
              </w:rPr>
              <w:t>10.45</w:t>
            </w:r>
          </w:p>
        </w:tc>
        <w:tc>
          <w:tcPr>
            <w:tcW w:w="361" w:type="pct"/>
            <w:noWrap/>
            <w:vAlign w:val="bottom"/>
          </w:tcPr>
          <w:p>
            <w:pPr>
              <w:pStyle w:val="199"/>
              <w:rPr>
                <w:color w:val="auto"/>
              </w:rPr>
            </w:pPr>
            <w:r>
              <w:rPr>
                <w:rFonts w:hint="eastAsia"/>
                <w:color w:val="auto"/>
              </w:rPr>
              <w:t>8.54</w:t>
            </w:r>
          </w:p>
        </w:tc>
        <w:tc>
          <w:tcPr>
            <w:tcW w:w="361" w:type="pct"/>
            <w:noWrap/>
            <w:vAlign w:val="bottom"/>
          </w:tcPr>
          <w:p>
            <w:pPr>
              <w:pStyle w:val="199"/>
              <w:rPr>
                <w:color w:val="auto"/>
              </w:rPr>
            </w:pPr>
            <w:r>
              <w:rPr>
                <w:rFonts w:hint="eastAsia"/>
                <w:color w:val="auto"/>
              </w:rPr>
              <w:t>6.16</w:t>
            </w:r>
          </w:p>
        </w:tc>
        <w:tc>
          <w:tcPr>
            <w:tcW w:w="361" w:type="pct"/>
            <w:noWrap/>
            <w:vAlign w:val="bottom"/>
          </w:tcPr>
          <w:p>
            <w:pPr>
              <w:pStyle w:val="199"/>
              <w:rPr>
                <w:color w:val="auto"/>
              </w:rPr>
            </w:pPr>
            <w:r>
              <w:rPr>
                <w:rFonts w:hint="eastAsia"/>
                <w:color w:val="auto"/>
              </w:rPr>
              <w:t>13.81</w:t>
            </w:r>
          </w:p>
        </w:tc>
        <w:tc>
          <w:tcPr>
            <w:tcW w:w="361" w:type="pct"/>
            <w:noWrap/>
            <w:vAlign w:val="bottom"/>
          </w:tcPr>
          <w:p>
            <w:pPr>
              <w:pStyle w:val="199"/>
              <w:rPr>
                <w:color w:val="auto"/>
              </w:rPr>
            </w:pPr>
            <w:r>
              <w:rPr>
                <w:rFonts w:hint="eastAsia"/>
                <w:color w:val="auto"/>
              </w:rPr>
              <w:t>17.75</w:t>
            </w:r>
          </w:p>
        </w:tc>
        <w:tc>
          <w:tcPr>
            <w:tcW w:w="361" w:type="pct"/>
            <w:noWrap/>
            <w:vAlign w:val="bottom"/>
          </w:tcPr>
          <w:p>
            <w:pPr>
              <w:pStyle w:val="199"/>
              <w:rPr>
                <w:color w:val="auto"/>
              </w:rPr>
            </w:pPr>
            <w:r>
              <w:rPr>
                <w:rFonts w:hint="eastAsia"/>
                <w:color w:val="auto"/>
              </w:rPr>
              <w:t>18.55</w:t>
            </w:r>
          </w:p>
        </w:tc>
        <w:tc>
          <w:tcPr>
            <w:tcW w:w="361" w:type="pct"/>
            <w:noWrap/>
            <w:vAlign w:val="bottom"/>
          </w:tcPr>
          <w:p>
            <w:pPr>
              <w:pStyle w:val="199"/>
              <w:rPr>
                <w:color w:val="auto"/>
              </w:rPr>
            </w:pPr>
            <w:r>
              <w:rPr>
                <w:rFonts w:hint="eastAsia"/>
                <w:color w:val="auto"/>
              </w:rPr>
              <w:t>17.25</w:t>
            </w:r>
          </w:p>
        </w:tc>
        <w:tc>
          <w:tcPr>
            <w:tcW w:w="361" w:type="pct"/>
            <w:noWrap/>
            <w:vAlign w:val="bottom"/>
          </w:tcPr>
          <w:p>
            <w:pPr>
              <w:pStyle w:val="199"/>
              <w:rPr>
                <w:color w:val="auto"/>
              </w:rPr>
            </w:pPr>
            <w:r>
              <w:rPr>
                <w:rFonts w:hint="eastAsia"/>
                <w:color w:val="auto"/>
              </w:rPr>
              <w:t>19.6</w:t>
            </w:r>
          </w:p>
        </w:tc>
        <w:tc>
          <w:tcPr>
            <w:tcW w:w="361" w:type="pct"/>
            <w:noWrap/>
            <w:vAlign w:val="bottom"/>
          </w:tcPr>
          <w:p>
            <w:pPr>
              <w:pStyle w:val="199"/>
              <w:rPr>
                <w:color w:val="auto"/>
              </w:rPr>
            </w:pPr>
            <w:r>
              <w:rPr>
                <w:rFonts w:hint="eastAsia"/>
                <w:color w:val="auto"/>
              </w:rPr>
              <w:t>17.38</w:t>
            </w:r>
          </w:p>
        </w:tc>
        <w:tc>
          <w:tcPr>
            <w:tcW w:w="360" w:type="pct"/>
            <w:noWrap/>
            <w:vAlign w:val="bottom"/>
          </w:tcPr>
          <w:p>
            <w:pPr>
              <w:pStyle w:val="199"/>
              <w:rPr>
                <w:color w:val="auto"/>
              </w:rPr>
            </w:pPr>
            <w:r>
              <w:rPr>
                <w:rFonts w:hint="eastAsia"/>
                <w:color w:val="auto"/>
              </w:rPr>
              <w:t>14.21</w:t>
            </w:r>
          </w:p>
        </w:tc>
      </w:tr>
    </w:tbl>
    <w:p>
      <w:pPr>
        <w:pStyle w:val="8"/>
        <w:keepNext/>
        <w:keepLines/>
        <w:pageBreakBefore w:val="0"/>
        <w:widowControl w:val="0"/>
        <w:kinsoku/>
        <w:wordWrap/>
        <w:overflowPunct/>
        <w:topLinePunct w:val="0"/>
        <w:autoSpaceDE/>
        <w:autoSpaceDN/>
        <w:bidi w:val="0"/>
        <w:adjustRightInd/>
        <w:snapToGrid/>
        <w:spacing w:before="0" w:beforeLines="50" w:after="0" w:line="360" w:lineRule="auto"/>
        <w:ind w:firstLine="0" w:firstLineChars="0"/>
        <w:textAlignment w:val="auto"/>
        <w:rPr>
          <w:rFonts w:ascii="Times New Roman" w:hAnsi="Times New Roman" w:eastAsia="宋体"/>
          <w:color w:val="auto"/>
          <w:kern w:val="21"/>
          <w:sz w:val="24"/>
          <w:szCs w:val="24"/>
        </w:rPr>
      </w:pPr>
      <w:r>
        <w:rPr>
          <w:rFonts w:ascii="Times New Roman" w:hAnsi="Times New Roman" w:eastAsia="宋体"/>
          <w:color w:val="auto"/>
          <w:kern w:val="21"/>
          <w:sz w:val="24"/>
          <w:szCs w:val="24"/>
        </w:rPr>
        <w:t>4.1.6水文、水系</w:t>
      </w:r>
    </w:p>
    <w:p>
      <w:pPr>
        <w:ind w:firstLine="482"/>
        <w:rPr>
          <w:b/>
          <w:bCs/>
          <w:color w:val="auto"/>
          <w:kern w:val="21"/>
        </w:rPr>
      </w:pPr>
      <w:r>
        <w:rPr>
          <w:b/>
          <w:bCs/>
          <w:color w:val="auto"/>
          <w:kern w:val="21"/>
        </w:rPr>
        <w:t>1、地表水</w:t>
      </w:r>
    </w:p>
    <w:p>
      <w:pPr>
        <w:pStyle w:val="23"/>
        <w:spacing w:after="0" w:line="360" w:lineRule="auto"/>
        <w:ind w:left="0" w:leftChars="0" w:firstLine="480"/>
        <w:rPr>
          <w:color w:val="auto"/>
          <w:kern w:val="21"/>
          <w:lang w:bidi="ar"/>
        </w:rPr>
      </w:pPr>
      <w:r>
        <w:rPr>
          <w:color w:val="auto"/>
          <w:kern w:val="21"/>
          <w:lang w:bidi="ar"/>
        </w:rPr>
        <w:t>本项目附近的地表水主要为龙川江、青龙河。龙川江是流经楚雄市东部坝区及楚雄粮、烟生产区的一条灌溉河流，发源于南华县天申堂苴力铺，经向阳冲及毛板桥水库调节，往东过南华城及楚雄城北，往北经大海波水库及黑井峡谷，至正兴坝进入元谋坝子，由黄瓜园至江边汇入金沙江。龙川江全长244.9km，落差1725m，平均坡降5.1‰，汇水面积约9225km</w:t>
      </w:r>
      <w:r>
        <w:rPr>
          <w:color w:val="auto"/>
          <w:kern w:val="21"/>
          <w:vertAlign w:val="superscript"/>
          <w:lang w:bidi="ar"/>
        </w:rPr>
        <w:t>2</w:t>
      </w:r>
      <w:r>
        <w:rPr>
          <w:color w:val="auto"/>
          <w:kern w:val="21"/>
          <w:lang w:bidi="ar"/>
        </w:rPr>
        <w:t>。龙川江在楚雄市境内流长60km，在与青龙河汇合口以上干流径流面积1521.7km</w:t>
      </w:r>
      <w:r>
        <w:rPr>
          <w:color w:val="auto"/>
          <w:kern w:val="21"/>
          <w:vertAlign w:val="superscript"/>
          <w:lang w:bidi="ar"/>
        </w:rPr>
        <w:t>2</w:t>
      </w:r>
      <w:r>
        <w:rPr>
          <w:color w:val="auto"/>
          <w:kern w:val="21"/>
          <w:lang w:bidi="ar"/>
        </w:rPr>
        <w:t>，年平均产水量为4亿m</w:t>
      </w:r>
      <w:r>
        <w:rPr>
          <w:color w:val="auto"/>
          <w:kern w:val="21"/>
          <w:vertAlign w:val="superscript"/>
          <w:lang w:bidi="ar"/>
        </w:rPr>
        <w:t>3</w:t>
      </w:r>
      <w:r>
        <w:rPr>
          <w:color w:val="auto"/>
          <w:kern w:val="21"/>
          <w:lang w:bidi="ar"/>
        </w:rPr>
        <w:t>，河道防洪标准按三十年一遇标准设计，多年平均水位为1766.2m，设计防洪水位为1780.53～1782.04m。龙川江流域呈扇形分布，水系发育，大小支流有30余条，主要支流有紫甸河、龙川河、勐岗河、蜻蛉河等。根据云南省水文站小河口分站监测资料，龙川江多年平均径流量8.80m</w:t>
      </w:r>
      <w:r>
        <w:rPr>
          <w:color w:val="auto"/>
          <w:kern w:val="21"/>
          <w:vertAlign w:val="superscript"/>
          <w:lang w:bidi="ar"/>
        </w:rPr>
        <w:t>3</w:t>
      </w:r>
      <w:r>
        <w:rPr>
          <w:color w:val="auto"/>
          <w:kern w:val="21"/>
          <w:lang w:bidi="ar"/>
        </w:rPr>
        <w:t>/s，多年最枯月平均流量4.53m</w:t>
      </w:r>
      <w:r>
        <w:rPr>
          <w:color w:val="auto"/>
          <w:kern w:val="21"/>
          <w:vertAlign w:val="superscript"/>
          <w:lang w:bidi="ar"/>
        </w:rPr>
        <w:t>3</w:t>
      </w:r>
      <w:r>
        <w:rPr>
          <w:color w:val="auto"/>
          <w:kern w:val="21"/>
          <w:lang w:bidi="ar"/>
        </w:rPr>
        <w:t>/s。</w:t>
      </w:r>
    </w:p>
    <w:p>
      <w:pPr>
        <w:pStyle w:val="155"/>
        <w:ind w:firstLine="480"/>
        <w:rPr>
          <w:color w:val="auto"/>
          <w:kern w:val="21"/>
        </w:rPr>
      </w:pPr>
      <w:r>
        <w:rPr>
          <w:color w:val="auto"/>
          <w:kern w:val="21"/>
        </w:rPr>
        <w:t>青龙河是龙川江的一级支流，主要功能为工业用水、农业用水，</w:t>
      </w:r>
      <w:r>
        <w:rPr>
          <w:color w:val="auto"/>
          <w:kern w:val="21"/>
          <w:lang w:bidi="ar"/>
        </w:rPr>
        <w:t>自南向北从项目西侧流过，</w:t>
      </w:r>
      <w:r>
        <w:rPr>
          <w:color w:val="auto"/>
          <w:kern w:val="21"/>
        </w:rPr>
        <w:t>位于项目</w:t>
      </w:r>
      <w:r>
        <w:rPr>
          <w:color w:val="auto"/>
          <w:kern w:val="21"/>
          <w:lang w:bidi="ar"/>
        </w:rPr>
        <w:t>西面3.65km</w:t>
      </w:r>
      <w:r>
        <w:rPr>
          <w:color w:val="auto"/>
          <w:kern w:val="21"/>
        </w:rPr>
        <w:t>。青龙河发源于中石坝水库，海拔高程2325m～2029m，由南向北流经大桥头、黑邑仓、田心、富民下村、杨旗屯、黑泥坝、下白庙村、范家、马家园、下王村、中所、黄家村、上黄泥坝、下黄泥坝、鲍家村、坛罐窑、平山村、郑家凹、麦家凹等地后汇入龙川江。青龙河与龙川江汇入口以上径流面积266.3km</w:t>
      </w:r>
      <w:r>
        <w:rPr>
          <w:color w:val="auto"/>
          <w:kern w:val="21"/>
          <w:vertAlign w:val="superscript"/>
        </w:rPr>
        <w:t>2</w:t>
      </w:r>
      <w:r>
        <w:rPr>
          <w:color w:val="auto"/>
          <w:kern w:val="21"/>
        </w:rPr>
        <w:t>，主河道长50.25km。</w:t>
      </w:r>
    </w:p>
    <w:p>
      <w:pPr>
        <w:pStyle w:val="155"/>
        <w:ind w:firstLine="480"/>
        <w:rPr>
          <w:color w:val="auto"/>
          <w:kern w:val="21"/>
        </w:rPr>
      </w:pPr>
      <w:r>
        <w:rPr>
          <w:color w:val="auto"/>
          <w:kern w:val="21"/>
        </w:rPr>
        <w:t>青龙河</w:t>
      </w:r>
      <w:r>
        <w:rPr>
          <w:rFonts w:hint="eastAsia"/>
          <w:color w:val="auto"/>
          <w:lang w:eastAsia="zh-CN"/>
        </w:rPr>
        <w:t>区域</w:t>
      </w:r>
      <w:r>
        <w:rPr>
          <w:color w:val="auto"/>
          <w:kern w:val="21"/>
        </w:rPr>
        <w:t>内雨季主要出现在5-10月，流量主要来自降雨产生的雨水</w:t>
      </w:r>
      <w:r>
        <w:rPr>
          <w:rFonts w:hint="eastAsia"/>
          <w:color w:val="auto"/>
          <w:kern w:val="21"/>
        </w:rPr>
        <w:t>、上游水库、坝塘下泄流量及</w:t>
      </w:r>
      <w:r>
        <w:rPr>
          <w:color w:val="auto"/>
          <w:kern w:val="21"/>
        </w:rPr>
        <w:t>地表径流</w:t>
      </w:r>
      <w:r>
        <w:rPr>
          <w:rFonts w:hint="eastAsia"/>
          <w:color w:val="auto"/>
          <w:kern w:val="21"/>
        </w:rPr>
        <w:t>，</w:t>
      </w:r>
      <w:r>
        <w:rPr>
          <w:color w:val="auto"/>
          <w:kern w:val="21"/>
        </w:rPr>
        <w:t>流域水系见</w:t>
      </w:r>
      <w:r>
        <w:rPr>
          <w:rFonts w:hint="eastAsia"/>
          <w:color w:val="auto"/>
          <w:kern w:val="21"/>
          <w:lang w:eastAsia="zh-CN"/>
        </w:rPr>
        <w:t>下图</w:t>
      </w:r>
      <w:r>
        <w:rPr>
          <w:color w:val="auto"/>
          <w:kern w:val="21"/>
        </w:rPr>
        <w:t>。</w:t>
      </w:r>
    </w:p>
    <w:p>
      <w:pPr>
        <w:widowControl/>
        <w:ind w:firstLine="0" w:firstLineChars="0"/>
        <w:jc w:val="center"/>
        <w:rPr>
          <w:color w:val="auto"/>
          <w:kern w:val="21"/>
        </w:rPr>
      </w:pPr>
      <w:r>
        <w:rPr>
          <w:color w:val="auto"/>
          <w:kern w:val="21"/>
        </w:rPr>
        <w:drawing>
          <wp:inline distT="0" distB="0" distL="0" distR="0">
            <wp:extent cx="4808220" cy="6739890"/>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noChangeArrowheads="1"/>
                    </pic:cNvPicPr>
                  </pic:nvPicPr>
                  <pic:blipFill>
                    <a:blip r:embed="rId37" cstate="print">
                      <a:extLst>
                        <a:ext uri="{28A0092B-C50C-407E-A947-70E740481C1C}">
                          <a14:useLocalDpi xmlns:a14="http://schemas.microsoft.com/office/drawing/2010/main" val="0"/>
                        </a:ext>
                      </a:extLst>
                    </a:blip>
                    <a:srcRect b="597"/>
                    <a:stretch>
                      <a:fillRect/>
                    </a:stretch>
                  </pic:blipFill>
                  <pic:spPr>
                    <a:xfrm>
                      <a:off x="0" y="0"/>
                      <a:ext cx="4808220" cy="6739890"/>
                    </a:xfrm>
                    <a:prstGeom prst="rect">
                      <a:avLst/>
                    </a:prstGeom>
                    <a:noFill/>
                    <a:ln>
                      <a:noFill/>
                    </a:ln>
                    <a:effectLst/>
                  </pic:spPr>
                </pic:pic>
              </a:graphicData>
            </a:graphic>
          </wp:inline>
        </w:drawing>
      </w:r>
    </w:p>
    <w:p>
      <w:pPr>
        <w:keepNext w:val="0"/>
        <w:keepLines w:val="0"/>
        <w:pageBreakBefore w:val="0"/>
        <w:widowControl/>
        <w:numPr>
          <w:ilvl w:val="0"/>
          <w:numId w:val="8"/>
        </w:numPr>
        <w:kinsoku/>
        <w:wordWrap w:val="0"/>
        <w:overflowPunct/>
        <w:topLinePunct/>
        <w:autoSpaceDE/>
        <w:autoSpaceDN/>
        <w:bidi w:val="0"/>
        <w:adjustRightInd w:val="0"/>
        <w:snapToGrid w:val="0"/>
        <w:ind w:left="0" w:leftChars="0" w:firstLine="0" w:firstLineChars="0"/>
        <w:jc w:val="center"/>
        <w:textAlignment w:val="auto"/>
        <w:rPr>
          <w:b/>
          <w:bCs/>
          <w:color w:val="auto"/>
          <w:kern w:val="21"/>
        </w:rPr>
      </w:pPr>
      <w:r>
        <w:rPr>
          <w:rFonts w:eastAsia="宋体"/>
          <w:b/>
          <w:bCs/>
          <w:color w:val="auto"/>
          <w:kern w:val="21"/>
        </w:rPr>
        <w:t>青龙河流域水系图</w:t>
      </w:r>
    </w:p>
    <w:p>
      <w:pPr>
        <w:widowControl/>
        <w:ind w:firstLine="480"/>
        <w:jc w:val="left"/>
        <w:rPr>
          <w:color w:val="auto"/>
          <w:kern w:val="21"/>
        </w:rPr>
      </w:pPr>
      <w:r>
        <w:rPr>
          <w:color w:val="auto"/>
          <w:kern w:val="21"/>
          <w:lang w:bidi="ar"/>
        </w:rPr>
        <w:t>青龙河控制径流面积约266km</w:t>
      </w:r>
      <w:r>
        <w:rPr>
          <w:color w:val="auto"/>
          <w:kern w:val="21"/>
          <w:vertAlign w:val="superscript"/>
          <w:lang w:bidi="ar"/>
        </w:rPr>
        <w:t>2</w:t>
      </w:r>
      <w:r>
        <w:rPr>
          <w:color w:val="auto"/>
          <w:kern w:val="21"/>
          <w:lang w:bidi="ar"/>
        </w:rPr>
        <w:t>，河道全长42.2km，河道平均比降为3.4‰，三十年一遇洪峰流量为218m</w:t>
      </w:r>
      <w:r>
        <w:rPr>
          <w:color w:val="auto"/>
          <w:kern w:val="21"/>
          <w:vertAlign w:val="superscript"/>
          <w:lang w:bidi="ar"/>
        </w:rPr>
        <w:t>3</w:t>
      </w:r>
      <w:r>
        <w:rPr>
          <w:color w:val="auto"/>
          <w:kern w:val="21"/>
          <w:lang w:bidi="ar"/>
        </w:rPr>
        <w:t>/s，五十年一遇洪峰流量为262m</w:t>
      </w:r>
      <w:r>
        <w:rPr>
          <w:color w:val="auto"/>
          <w:kern w:val="21"/>
          <w:vertAlign w:val="superscript"/>
          <w:lang w:bidi="ar"/>
        </w:rPr>
        <w:t>3</w:t>
      </w:r>
      <w:r>
        <w:rPr>
          <w:color w:val="auto"/>
          <w:kern w:val="21"/>
          <w:lang w:bidi="ar"/>
        </w:rPr>
        <w:t>/s，主汛期为每年的五</w:t>
      </w:r>
      <w:r>
        <w:rPr>
          <w:rFonts w:hint="eastAsia"/>
          <w:color w:val="auto"/>
          <w:kern w:val="21"/>
          <w:lang w:bidi="ar"/>
        </w:rPr>
        <w:t>至</w:t>
      </w:r>
      <w:r>
        <w:rPr>
          <w:color w:val="auto"/>
          <w:kern w:val="21"/>
          <w:lang w:bidi="ar"/>
        </w:rPr>
        <w:t>十月</w:t>
      </w:r>
      <w:r>
        <w:rPr>
          <w:rFonts w:hint="eastAsia"/>
          <w:color w:val="auto"/>
          <w:kern w:val="21"/>
          <w:lang w:bidi="ar"/>
        </w:rPr>
        <w:t>，</w:t>
      </w:r>
      <w:r>
        <w:rPr>
          <w:color w:val="auto"/>
          <w:kern w:val="21"/>
          <w:lang w:bidi="ar"/>
        </w:rPr>
        <w:t>多年平均径流量</w:t>
      </w:r>
      <w:r>
        <w:rPr>
          <w:rFonts w:hint="eastAsia"/>
          <w:color w:val="auto"/>
          <w:kern w:val="21"/>
          <w:lang w:bidi="ar"/>
        </w:rPr>
        <w:t>3369万m</w:t>
      </w:r>
      <w:r>
        <w:rPr>
          <w:rFonts w:hint="eastAsia"/>
          <w:color w:val="auto"/>
          <w:kern w:val="21"/>
          <w:vertAlign w:val="superscript"/>
          <w:lang w:bidi="ar"/>
        </w:rPr>
        <w:t>3</w:t>
      </w:r>
      <w:r>
        <w:rPr>
          <w:rFonts w:hint="eastAsia"/>
          <w:color w:val="auto"/>
          <w:kern w:val="21"/>
          <w:lang w:bidi="ar"/>
        </w:rPr>
        <w:t>。</w:t>
      </w:r>
    </w:p>
    <w:p>
      <w:pPr>
        <w:pStyle w:val="116"/>
        <w:adjustRightInd/>
        <w:snapToGrid/>
        <w:ind w:firstLine="480" w:firstLineChars="200"/>
        <w:rPr>
          <w:snapToGrid/>
          <w:color w:val="auto"/>
          <w:kern w:val="21"/>
        </w:rPr>
      </w:pPr>
      <w:r>
        <w:rPr>
          <w:snapToGrid/>
          <w:color w:val="auto"/>
          <w:kern w:val="21"/>
        </w:rPr>
        <w:t>项目所在地区域水系见附图2。</w:t>
      </w:r>
    </w:p>
    <w:p>
      <w:pPr>
        <w:ind w:firstLine="482"/>
        <w:rPr>
          <w:b/>
          <w:bCs/>
          <w:color w:val="auto"/>
          <w:kern w:val="21"/>
        </w:rPr>
      </w:pPr>
      <w:r>
        <w:rPr>
          <w:b/>
          <w:bCs/>
          <w:color w:val="auto"/>
          <w:kern w:val="21"/>
        </w:rPr>
        <w:t>2、地下水</w:t>
      </w:r>
    </w:p>
    <w:p>
      <w:pPr>
        <w:widowControl/>
        <w:ind w:firstLine="480"/>
        <w:jc w:val="left"/>
        <w:rPr>
          <w:color w:val="auto"/>
          <w:kern w:val="21"/>
        </w:rPr>
      </w:pPr>
      <w:r>
        <w:rPr>
          <w:color w:val="auto"/>
          <w:kern w:val="21"/>
          <w:lang w:bidi="ar"/>
        </w:rPr>
        <w:t>根据</w:t>
      </w:r>
      <w:r>
        <w:rPr>
          <w:color w:val="auto"/>
          <w:kern w:val="21"/>
        </w:rPr>
        <w:t>《楚雄市富民工业园区工业污水处理厂项目场地岩土工程勘察</w:t>
      </w:r>
      <w:r>
        <w:rPr>
          <w:bCs/>
          <w:color w:val="auto"/>
          <w:kern w:val="21"/>
          <w:szCs w:val="48"/>
        </w:rPr>
        <w:t>报告</w:t>
      </w:r>
      <w:r>
        <w:rPr>
          <w:color w:val="auto"/>
          <w:kern w:val="21"/>
        </w:rPr>
        <w:t>》</w:t>
      </w:r>
      <w:r>
        <w:rPr>
          <w:color w:val="auto"/>
          <w:kern w:val="21"/>
          <w:lang w:bidi="ar"/>
        </w:rPr>
        <w:t>，项目区地表主要为第四系填土层，其下为第四系冲洪层</w:t>
      </w:r>
      <w:r>
        <w:rPr>
          <w:rFonts w:hint="eastAsia"/>
          <w:color w:val="auto"/>
          <w:kern w:val="21"/>
          <w:lang w:bidi="ar"/>
        </w:rPr>
        <w:t>（</w:t>
      </w:r>
      <w:r>
        <w:rPr>
          <w:color w:val="auto"/>
          <w:kern w:val="21"/>
          <w:lang w:bidi="ar"/>
        </w:rPr>
        <w:t>Q4al+pl</w:t>
      </w:r>
      <w:r>
        <w:rPr>
          <w:rFonts w:hint="eastAsia"/>
          <w:color w:val="auto"/>
          <w:kern w:val="21"/>
          <w:lang w:bidi="ar"/>
        </w:rPr>
        <w:t>）</w:t>
      </w:r>
      <w:r>
        <w:rPr>
          <w:color w:val="auto"/>
          <w:kern w:val="21"/>
          <w:lang w:bidi="ar"/>
        </w:rPr>
        <w:t>粘性土、粉土、粉砂及圆砾层，下伏基岩为白垩系下统普昌河组（K1p）泥岩。区内水文地质条件主要受地层岩性、地质构造和地形地貌等因素控制。勘察区含水层（组）均与区外紧密相连，未构成独立的水文地质单元。根据场地内地下水的赋存条件、水动力特征，结合含水介质的组合状况，将区内地下水类型划分为松散岩类孔隙潜水和碎屑岩裂隙潜水两种类型：</w:t>
      </w:r>
    </w:p>
    <w:p>
      <w:pPr>
        <w:widowControl/>
        <w:adjustRightInd w:val="0"/>
        <w:ind w:firstLine="480"/>
        <w:jc w:val="left"/>
        <w:rPr>
          <w:color w:val="auto"/>
          <w:kern w:val="21"/>
        </w:rPr>
      </w:pPr>
      <w:r>
        <w:rPr>
          <w:color w:val="auto"/>
          <w:kern w:val="21"/>
          <w:lang w:bidi="ar"/>
        </w:rPr>
        <w:t>①松散岩类孔隙潜水：主要分布在第四系冲洪积层，主要含水介质为③粉砂、③1粉土④圆砾，场地内含水层均为透镜状，分布不连续，总体富水性弱～中等，水量贫乏～中等，透水中等。场地内回填土较厚，疏松多孔，透水但不含水，与第四系孔隙水水力联系密切。此类地下水主要接受降雨入渗补给，此外尚接受地下水的侧向补给。由南向北沿孔隙径流，主要以地下水径流形式补给下游含水层地下水形式排泄，排泄条件一般。</w:t>
      </w:r>
    </w:p>
    <w:p>
      <w:pPr>
        <w:widowControl/>
        <w:adjustRightInd w:val="0"/>
        <w:ind w:firstLine="480"/>
        <w:jc w:val="left"/>
        <w:rPr>
          <w:color w:val="auto"/>
          <w:kern w:val="21"/>
          <w:lang w:bidi="ar"/>
        </w:rPr>
      </w:pPr>
      <w:r>
        <w:rPr>
          <w:color w:val="auto"/>
          <w:kern w:val="21"/>
          <w:lang w:bidi="ar"/>
        </w:rPr>
        <w:t>②碎屑岩裂隙潜水：赋存于白垩系下统普昌河组（K1p）泥岩的风化裂隙及部分溶蚀孔隙中，含水层主要为强～中风化泥岩，富水性弱，总体水量贫乏，溶孔发育地段水量中等。局部具微承压性，据勘察期间量测，其承压水头低于松散岩类孔隙水，故可不考虑其承压水头影响。</w:t>
      </w:r>
    </w:p>
    <w:p>
      <w:pPr>
        <w:widowControl/>
        <w:adjustRightInd w:val="0"/>
        <w:snapToGrid w:val="0"/>
        <w:ind w:firstLine="480"/>
        <w:jc w:val="left"/>
        <w:rPr>
          <w:color w:val="auto"/>
          <w:kern w:val="21"/>
        </w:rPr>
      </w:pPr>
      <w:r>
        <w:rPr>
          <w:color w:val="auto"/>
          <w:kern w:val="21"/>
          <w:lang w:bidi="ar"/>
        </w:rPr>
        <w:t>此类地下水主要接受上层第四系松散岩类孔隙水垂向补给及上游含水层地下水的侧向径流补给，补给条件较差，主要在重力作用下沿裂隙、孔隙径流，主要以地下水径流形式补给下游含水层地下水形式排泄，排泄条件差。</w:t>
      </w:r>
    </w:p>
    <w:p>
      <w:pPr>
        <w:widowControl/>
        <w:adjustRightInd w:val="0"/>
        <w:snapToGrid w:val="0"/>
        <w:ind w:firstLine="480"/>
        <w:rPr>
          <w:color w:val="auto"/>
          <w:kern w:val="21"/>
        </w:rPr>
      </w:pPr>
      <w:r>
        <w:rPr>
          <w:color w:val="auto"/>
          <w:kern w:val="21"/>
          <w:lang w:bidi="ar"/>
        </w:rPr>
        <w:t>本次勘察期间属旱季，地下水位处于较低水位。本次勘察对各个钻孔进行24小时以上稳定水位观测，稳定水位埋深5.30～10.20m，地下水位1814.94～1812.14m。动态随季节变化明显，旱雨季水位变化幅度一般1～2m。场地内岩土层埋深变化较大，水文地质结构较复杂，地下水类型相对单一，含水层数量较少，但含水层性质差异较大，富水性及透水性差异较大，水文地质条件复杂程度中等。</w:t>
      </w:r>
    </w:p>
    <w:p>
      <w:pPr>
        <w:ind w:firstLine="480"/>
        <w:rPr>
          <w:color w:val="auto"/>
          <w:kern w:val="21"/>
        </w:rPr>
      </w:pPr>
      <w:r>
        <w:rPr>
          <w:color w:val="auto"/>
          <w:kern w:val="21"/>
        </w:rPr>
        <w:t>项目所在区域水文地质图见附图5。</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4.1.7土壤</w:t>
      </w:r>
    </w:p>
    <w:p>
      <w:pPr>
        <w:pStyle w:val="11"/>
        <w:spacing w:line="360" w:lineRule="auto"/>
        <w:ind w:firstLine="480"/>
        <w:rPr>
          <w:color w:val="auto"/>
          <w:kern w:val="21"/>
          <w:sz w:val="24"/>
        </w:rPr>
      </w:pPr>
      <w:bookmarkStart w:id="208" w:name="_Toc28505"/>
      <w:r>
        <w:rPr>
          <w:color w:val="auto"/>
          <w:kern w:val="21"/>
          <w:sz w:val="24"/>
        </w:rPr>
        <w:t>楚雄市土地以</w:t>
      </w:r>
      <w:r>
        <w:rPr>
          <w:color w:val="auto"/>
        </w:rPr>
        <w:fldChar w:fldCharType="begin"/>
      </w:r>
      <w:r>
        <w:rPr>
          <w:color w:val="auto"/>
        </w:rPr>
        <w:instrText xml:space="preserve"> HYPERLINK "http://baike.sogou.com/lemma/ShowInnerLink.htm?lemmaId=89568&amp;ss_c=ssc.citiao.link" \t "http://baike.sogou.com/_blank" </w:instrText>
      </w:r>
      <w:r>
        <w:rPr>
          <w:color w:val="auto"/>
        </w:rPr>
        <w:fldChar w:fldCharType="separate"/>
      </w:r>
      <w:r>
        <w:rPr>
          <w:color w:val="auto"/>
          <w:kern w:val="21"/>
          <w:sz w:val="24"/>
        </w:rPr>
        <w:t>紫色土</w:t>
      </w:r>
      <w:r>
        <w:rPr>
          <w:color w:val="auto"/>
          <w:kern w:val="21"/>
          <w:sz w:val="24"/>
        </w:rPr>
        <w:fldChar w:fldCharType="end"/>
      </w:r>
      <w:r>
        <w:rPr>
          <w:color w:val="auto"/>
          <w:kern w:val="21"/>
          <w:sz w:val="24"/>
        </w:rPr>
        <w:t>、</w:t>
      </w:r>
      <w:r>
        <w:rPr>
          <w:color w:val="auto"/>
        </w:rPr>
        <w:fldChar w:fldCharType="begin"/>
      </w:r>
      <w:r>
        <w:rPr>
          <w:color w:val="auto"/>
        </w:rPr>
        <w:instrText xml:space="preserve"> HYPERLINK "http://baike.sogou.com/lemma/ShowInnerLink.htm?lemmaId=89686" \t "http://baike.sogou.com/_blank" </w:instrText>
      </w:r>
      <w:r>
        <w:rPr>
          <w:color w:val="auto"/>
        </w:rPr>
        <w:fldChar w:fldCharType="separate"/>
      </w:r>
      <w:r>
        <w:rPr>
          <w:color w:val="auto"/>
          <w:kern w:val="21"/>
          <w:sz w:val="24"/>
        </w:rPr>
        <w:t>水稻土</w:t>
      </w:r>
      <w:r>
        <w:rPr>
          <w:color w:val="auto"/>
          <w:kern w:val="21"/>
          <w:sz w:val="24"/>
        </w:rPr>
        <w:fldChar w:fldCharType="end"/>
      </w:r>
      <w:r>
        <w:rPr>
          <w:color w:val="auto"/>
          <w:kern w:val="21"/>
          <w:sz w:val="24"/>
        </w:rPr>
        <w:t>、红壤和</w:t>
      </w:r>
      <w:r>
        <w:rPr>
          <w:color w:val="auto"/>
        </w:rPr>
        <w:fldChar w:fldCharType="begin"/>
      </w:r>
      <w:r>
        <w:rPr>
          <w:color w:val="auto"/>
        </w:rPr>
        <w:instrText xml:space="preserve"> HYPERLINK "http://baike.sogou.com/lemma/ShowInnerLink.htm?lemmaId=6194683&amp;ss_c=ssc.citiao.link" \t "http://baike.sogou.com/_blank" </w:instrText>
      </w:r>
      <w:r>
        <w:rPr>
          <w:color w:val="auto"/>
        </w:rPr>
        <w:fldChar w:fldCharType="separate"/>
      </w:r>
      <w:r>
        <w:rPr>
          <w:color w:val="auto"/>
          <w:kern w:val="21"/>
          <w:sz w:val="24"/>
        </w:rPr>
        <w:t>黄棕壤</w:t>
      </w:r>
      <w:r>
        <w:rPr>
          <w:color w:val="auto"/>
          <w:kern w:val="21"/>
          <w:sz w:val="24"/>
        </w:rPr>
        <w:fldChar w:fldCharType="end"/>
      </w:r>
      <w:r>
        <w:rPr>
          <w:color w:val="auto"/>
          <w:kern w:val="21"/>
          <w:sz w:val="24"/>
        </w:rPr>
        <w:t>为主，紫色土主要分布于海拔1900～2300米的东部坝区，占土地面积的32.4%；</w:t>
      </w:r>
      <w:r>
        <w:rPr>
          <w:color w:val="auto"/>
        </w:rPr>
        <w:fldChar w:fldCharType="begin"/>
      </w:r>
      <w:r>
        <w:rPr>
          <w:color w:val="auto"/>
        </w:rPr>
        <w:instrText xml:space="preserve"> HYPERLINK "http://baike.sogou.com/lemma/ShowInnerLink.htm?lemmaId=89686" \t "http://baike.sogou.com/_blank" </w:instrText>
      </w:r>
      <w:r>
        <w:rPr>
          <w:color w:val="auto"/>
        </w:rPr>
        <w:fldChar w:fldCharType="separate"/>
      </w:r>
      <w:r>
        <w:rPr>
          <w:color w:val="auto"/>
          <w:kern w:val="21"/>
          <w:sz w:val="24"/>
        </w:rPr>
        <w:t>水稻土</w:t>
      </w:r>
      <w:r>
        <w:rPr>
          <w:color w:val="auto"/>
          <w:kern w:val="21"/>
          <w:sz w:val="24"/>
        </w:rPr>
        <w:fldChar w:fldCharType="end"/>
      </w:r>
      <w:r>
        <w:rPr>
          <w:color w:val="auto"/>
          <w:kern w:val="21"/>
          <w:sz w:val="24"/>
        </w:rPr>
        <w:t>占耕地面积的62%；红壤占26.1%；黄棕壤分布于海拔2300米以上的冷凉地带，土层较厚，占8%。</w:t>
      </w:r>
    </w:p>
    <w:bookmarkEnd w:id="208"/>
    <w:p>
      <w:pPr>
        <w:ind w:firstLine="480"/>
        <w:rPr>
          <w:color w:val="auto"/>
          <w:kern w:val="21"/>
        </w:rPr>
      </w:pPr>
      <w:r>
        <w:rPr>
          <w:color w:val="auto"/>
          <w:kern w:val="21"/>
        </w:rPr>
        <w:t>经现场调查，项目区土壤以黄棕壤、红壤为主</w:t>
      </w:r>
      <w:r>
        <w:rPr>
          <w:rFonts w:hint="eastAsia"/>
          <w:color w:val="auto"/>
          <w:kern w:val="21"/>
        </w:rPr>
        <w:t>。</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4.1.8环境敏感区</w:t>
      </w:r>
    </w:p>
    <w:p>
      <w:pPr>
        <w:ind w:firstLine="480"/>
        <w:rPr>
          <w:color w:val="auto"/>
          <w:kern w:val="21"/>
        </w:rPr>
      </w:pPr>
      <w:r>
        <w:rPr>
          <w:color w:val="auto"/>
          <w:kern w:val="21"/>
        </w:rPr>
        <w:t>经调查核实，</w:t>
      </w:r>
      <w:r>
        <w:rPr>
          <w:color w:val="auto"/>
          <w:kern w:val="21"/>
          <w:lang w:bidi="ar"/>
        </w:rPr>
        <w:t>评价区域无自然保护区、风景名胜区、世界文化和自然遗产地、</w:t>
      </w:r>
      <w:r>
        <w:rPr>
          <w:color w:val="auto"/>
          <w:kern w:val="21"/>
        </w:rPr>
        <w:t>饮用水水源保护区、</w:t>
      </w:r>
      <w:r>
        <w:rPr>
          <w:color w:val="auto"/>
          <w:kern w:val="21"/>
          <w:lang w:bidi="ar"/>
        </w:rPr>
        <w:t>基本农田保护区、森林公园、地质公园、珍稀濒危野生动植物天然集中分布区等生态环境敏感区分布。</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4.1.9楚雄工业园区总体规划修改（2018-2035）概述</w:t>
      </w:r>
    </w:p>
    <w:p>
      <w:pPr>
        <w:adjustRightInd w:val="0"/>
        <w:snapToGrid w:val="0"/>
        <w:ind w:firstLine="360" w:firstLineChars="150"/>
        <w:rPr>
          <w:color w:val="auto"/>
          <w:kern w:val="21"/>
        </w:rPr>
      </w:pPr>
      <w:r>
        <w:rPr>
          <w:color w:val="auto"/>
          <w:kern w:val="21"/>
        </w:rPr>
        <w:t>（一）规划期限</w:t>
      </w:r>
    </w:p>
    <w:p>
      <w:pPr>
        <w:adjustRightInd w:val="0"/>
        <w:snapToGrid w:val="0"/>
        <w:ind w:firstLine="360" w:firstLineChars="150"/>
        <w:rPr>
          <w:color w:val="auto"/>
          <w:kern w:val="21"/>
        </w:rPr>
      </w:pPr>
      <w:r>
        <w:rPr>
          <w:color w:val="auto"/>
          <w:kern w:val="21"/>
        </w:rPr>
        <w:t>本规划的规划期限与楚雄市城市总体规划修改的规划期限保持一致，即2018-2035其中分为三个发展时期：</w:t>
      </w:r>
    </w:p>
    <w:p>
      <w:pPr>
        <w:adjustRightInd w:val="0"/>
        <w:snapToGrid w:val="0"/>
        <w:ind w:firstLine="480"/>
        <w:rPr>
          <w:color w:val="auto"/>
          <w:kern w:val="21"/>
        </w:rPr>
      </w:pPr>
      <w:r>
        <w:rPr>
          <w:color w:val="auto"/>
          <w:kern w:val="21"/>
        </w:rPr>
        <w:t>启动引导期：2018-2025年；</w:t>
      </w:r>
    </w:p>
    <w:p>
      <w:pPr>
        <w:adjustRightInd w:val="0"/>
        <w:snapToGrid w:val="0"/>
        <w:ind w:firstLine="480"/>
        <w:rPr>
          <w:color w:val="auto"/>
          <w:kern w:val="21"/>
        </w:rPr>
      </w:pPr>
      <w:r>
        <w:rPr>
          <w:color w:val="auto"/>
          <w:kern w:val="21"/>
        </w:rPr>
        <w:t>发展扩展期：2026-2035年；</w:t>
      </w:r>
    </w:p>
    <w:p>
      <w:pPr>
        <w:adjustRightInd w:val="0"/>
        <w:snapToGrid w:val="0"/>
        <w:ind w:firstLine="480"/>
        <w:rPr>
          <w:color w:val="auto"/>
          <w:kern w:val="21"/>
        </w:rPr>
      </w:pPr>
      <w:r>
        <w:rPr>
          <w:color w:val="auto"/>
          <w:kern w:val="21"/>
        </w:rPr>
        <w:t>远景展望期：2036-2050年。</w:t>
      </w:r>
    </w:p>
    <w:p>
      <w:pPr>
        <w:adjustRightInd w:val="0"/>
        <w:snapToGrid w:val="0"/>
        <w:ind w:firstLine="480"/>
        <w:rPr>
          <w:color w:val="auto"/>
          <w:kern w:val="21"/>
        </w:rPr>
      </w:pPr>
      <w:r>
        <w:rPr>
          <w:color w:val="auto"/>
          <w:kern w:val="21"/>
        </w:rPr>
        <w:t>（二）规划范围</w:t>
      </w:r>
    </w:p>
    <w:p>
      <w:pPr>
        <w:adjustRightInd w:val="0"/>
        <w:snapToGrid w:val="0"/>
        <w:ind w:firstLine="480"/>
        <w:rPr>
          <w:color w:val="auto"/>
          <w:kern w:val="21"/>
        </w:rPr>
      </w:pPr>
      <w:r>
        <w:rPr>
          <w:color w:val="auto"/>
          <w:kern w:val="21"/>
        </w:rPr>
        <w:t>1、赵家湾桃园工业区</w:t>
      </w:r>
    </w:p>
    <w:p>
      <w:pPr>
        <w:adjustRightInd w:val="0"/>
        <w:snapToGrid w:val="0"/>
        <w:ind w:firstLine="480"/>
        <w:rPr>
          <w:color w:val="auto"/>
          <w:kern w:val="21"/>
        </w:rPr>
      </w:pPr>
      <w:r>
        <w:rPr>
          <w:color w:val="auto"/>
          <w:kern w:val="21"/>
        </w:rPr>
        <w:t>赵家湾桃园工业区位于楚雄工业园区北部，其中：赵家湾地块呈带状分布于楚雄经济开发区北部，紧邻安楚高速公路旁，即南起安楚高速公路，北至团山水库，两侧宽约400-800m的山陵缓坡地带，与城市连接靠安楚高速公路下穿的三个出入口联系，规划用地面积约为91.1070hm</w:t>
      </w:r>
      <w:r>
        <w:rPr>
          <w:color w:val="auto"/>
          <w:kern w:val="21"/>
          <w:vertAlign w:val="superscript"/>
        </w:rPr>
        <w:t>2</w:t>
      </w:r>
      <w:r>
        <w:rPr>
          <w:color w:val="auto"/>
          <w:kern w:val="21"/>
        </w:rPr>
        <w:t>；桃园地块位于安楚高速公路以北、楚南一级公路以南，东至楚雄市第二污水处理厂以西，规划用地面积约为263.9382hm</w:t>
      </w:r>
      <w:r>
        <w:rPr>
          <w:color w:val="auto"/>
          <w:kern w:val="21"/>
          <w:vertAlign w:val="superscript"/>
        </w:rPr>
        <w:t>2</w:t>
      </w:r>
      <w:r>
        <w:rPr>
          <w:color w:val="auto"/>
          <w:kern w:val="21"/>
        </w:rPr>
        <w:t>。</w:t>
      </w:r>
    </w:p>
    <w:p>
      <w:pPr>
        <w:adjustRightInd w:val="0"/>
        <w:snapToGrid w:val="0"/>
        <w:ind w:firstLine="480"/>
        <w:rPr>
          <w:color w:val="auto"/>
          <w:kern w:val="21"/>
        </w:rPr>
      </w:pPr>
      <w:r>
        <w:rPr>
          <w:color w:val="auto"/>
          <w:kern w:val="21"/>
        </w:rPr>
        <w:t>2、富民庄甸工业区</w:t>
      </w:r>
    </w:p>
    <w:p>
      <w:pPr>
        <w:adjustRightInd w:val="0"/>
        <w:snapToGrid w:val="0"/>
        <w:ind w:firstLine="480"/>
        <w:rPr>
          <w:color w:val="auto"/>
          <w:kern w:val="21"/>
        </w:rPr>
      </w:pPr>
      <w:r>
        <w:rPr>
          <w:color w:val="auto"/>
          <w:kern w:val="21"/>
        </w:rPr>
        <w:t>富民庄甸工业区位于楚雄市东部，广大铁路以南，南起320国道，北至富民耳东电村，西至彝海东路，东至彝海社区外干村，东升路从规划区中部穿过，规划用地面积约为973.2817hm</w:t>
      </w:r>
      <w:r>
        <w:rPr>
          <w:color w:val="auto"/>
          <w:kern w:val="21"/>
          <w:vertAlign w:val="superscript"/>
        </w:rPr>
        <w:t>2</w:t>
      </w:r>
      <w:r>
        <w:rPr>
          <w:color w:val="auto"/>
          <w:kern w:val="21"/>
        </w:rPr>
        <w:t>。</w:t>
      </w:r>
    </w:p>
    <w:p>
      <w:pPr>
        <w:adjustRightInd w:val="0"/>
        <w:snapToGrid w:val="0"/>
        <w:ind w:firstLine="480"/>
        <w:rPr>
          <w:color w:val="auto"/>
          <w:kern w:val="21"/>
        </w:rPr>
      </w:pPr>
      <w:r>
        <w:rPr>
          <w:color w:val="auto"/>
          <w:kern w:val="21"/>
        </w:rPr>
        <w:t>3、苍岭工业区</w:t>
      </w:r>
    </w:p>
    <w:p>
      <w:pPr>
        <w:adjustRightInd w:val="0"/>
        <w:snapToGrid w:val="0"/>
        <w:ind w:firstLine="360" w:firstLineChars="150"/>
        <w:rPr>
          <w:color w:val="auto"/>
          <w:kern w:val="21"/>
        </w:rPr>
      </w:pPr>
      <w:r>
        <w:rPr>
          <w:color w:val="auto"/>
          <w:kern w:val="21"/>
        </w:rPr>
        <w:t>位于楚雄市苍岭镇，结合工业企业项目的选址要求及《土地利用总体规划》的布局，楚雄工业园区苍岭工业区共分为三个地块，分别为智明地块、黄草地块及云甸地块，规划用地面积约为3374.5201hm</w:t>
      </w:r>
      <w:r>
        <w:rPr>
          <w:color w:val="auto"/>
          <w:kern w:val="21"/>
          <w:vertAlign w:val="superscript"/>
        </w:rPr>
        <w:t>2</w:t>
      </w:r>
      <w:r>
        <w:rPr>
          <w:color w:val="auto"/>
          <w:kern w:val="21"/>
        </w:rPr>
        <w:t>。</w:t>
      </w:r>
    </w:p>
    <w:p>
      <w:pPr>
        <w:adjustRightInd w:val="0"/>
        <w:snapToGrid w:val="0"/>
        <w:ind w:firstLine="480"/>
        <w:rPr>
          <w:color w:val="auto"/>
          <w:kern w:val="21"/>
        </w:rPr>
      </w:pPr>
      <w:r>
        <w:rPr>
          <w:color w:val="auto"/>
          <w:kern w:val="21"/>
        </w:rPr>
        <w:t>（1）智明地块</w:t>
      </w:r>
    </w:p>
    <w:p>
      <w:pPr>
        <w:adjustRightInd w:val="0"/>
        <w:snapToGrid w:val="0"/>
        <w:ind w:firstLine="480"/>
        <w:rPr>
          <w:color w:val="auto"/>
          <w:kern w:val="21"/>
        </w:rPr>
      </w:pPr>
      <w:r>
        <w:rPr>
          <w:color w:val="auto"/>
          <w:kern w:val="21"/>
        </w:rPr>
        <w:t>位于苍岭工业区北侧，主要包括智明村委会部分用地，北至泛亚铁路西线（泛亚铁路西线复线），南至谢柳屯村，西临楚南路，智明地块规划用地面积约864.0698hm</w:t>
      </w:r>
      <w:r>
        <w:rPr>
          <w:color w:val="auto"/>
          <w:kern w:val="21"/>
          <w:vertAlign w:val="superscript"/>
        </w:rPr>
        <w:t>2</w:t>
      </w:r>
      <w:r>
        <w:rPr>
          <w:color w:val="auto"/>
          <w:kern w:val="21"/>
        </w:rPr>
        <w:t>。</w:t>
      </w:r>
    </w:p>
    <w:p>
      <w:pPr>
        <w:adjustRightInd w:val="0"/>
        <w:snapToGrid w:val="0"/>
        <w:ind w:firstLine="480"/>
        <w:rPr>
          <w:color w:val="auto"/>
          <w:kern w:val="21"/>
        </w:rPr>
      </w:pPr>
      <w:r>
        <w:rPr>
          <w:color w:val="auto"/>
          <w:kern w:val="21"/>
        </w:rPr>
        <w:t>（2）黄草地块</w:t>
      </w:r>
    </w:p>
    <w:p>
      <w:pPr>
        <w:adjustRightInd w:val="0"/>
        <w:snapToGrid w:val="0"/>
        <w:ind w:firstLine="480"/>
        <w:rPr>
          <w:color w:val="auto"/>
          <w:kern w:val="21"/>
        </w:rPr>
      </w:pPr>
      <w:r>
        <w:rPr>
          <w:color w:val="auto"/>
          <w:kern w:val="21"/>
        </w:rPr>
        <w:t>位于云甸地块西部，主要是黄草村委会的部分用地，黄草地块规划用地面积约203.5878hm</w:t>
      </w:r>
      <w:r>
        <w:rPr>
          <w:color w:val="auto"/>
          <w:kern w:val="21"/>
          <w:vertAlign w:val="superscript"/>
        </w:rPr>
        <w:t>2</w:t>
      </w:r>
      <w:r>
        <w:rPr>
          <w:color w:val="auto"/>
          <w:kern w:val="21"/>
        </w:rPr>
        <w:t>。</w:t>
      </w:r>
    </w:p>
    <w:p>
      <w:pPr>
        <w:adjustRightInd w:val="0"/>
        <w:snapToGrid w:val="0"/>
        <w:ind w:firstLine="480"/>
        <w:rPr>
          <w:color w:val="auto"/>
          <w:kern w:val="21"/>
        </w:rPr>
      </w:pPr>
      <w:r>
        <w:rPr>
          <w:color w:val="auto"/>
          <w:kern w:val="21"/>
        </w:rPr>
        <w:t>（3）云甸地块</w:t>
      </w:r>
    </w:p>
    <w:p>
      <w:pPr>
        <w:adjustRightInd w:val="0"/>
        <w:snapToGrid w:val="0"/>
        <w:ind w:firstLine="480"/>
        <w:rPr>
          <w:color w:val="auto"/>
          <w:kern w:val="21"/>
        </w:rPr>
      </w:pPr>
      <w:r>
        <w:rPr>
          <w:color w:val="auto"/>
          <w:kern w:val="21"/>
        </w:rPr>
        <w:t>云甸地块位于苍岭镇南部，用地主要位于云甸村委会。规划地块北至320国道、黄草冲、上村、冲心沟，南到水井村、张家村、云甸小学一线，东至罗文村，西至秧田冲水库，云甸地块规划用地面积约2306.8625hm</w:t>
      </w:r>
      <w:r>
        <w:rPr>
          <w:color w:val="auto"/>
          <w:kern w:val="21"/>
          <w:vertAlign w:val="superscript"/>
        </w:rPr>
        <w:t>2</w:t>
      </w:r>
      <w:r>
        <w:rPr>
          <w:color w:val="auto"/>
          <w:kern w:val="21"/>
        </w:rPr>
        <w:t>。</w:t>
      </w:r>
    </w:p>
    <w:p>
      <w:pPr>
        <w:adjustRightInd w:val="0"/>
        <w:snapToGrid w:val="0"/>
        <w:ind w:firstLine="480"/>
        <w:rPr>
          <w:color w:val="auto"/>
          <w:kern w:val="21"/>
        </w:rPr>
      </w:pPr>
      <w:r>
        <w:rPr>
          <w:color w:val="auto"/>
          <w:kern w:val="21"/>
        </w:rPr>
        <w:t>（三）发展定位</w:t>
      </w:r>
    </w:p>
    <w:p>
      <w:pPr>
        <w:adjustRightInd w:val="0"/>
        <w:snapToGrid w:val="0"/>
        <w:ind w:firstLine="480"/>
        <w:rPr>
          <w:color w:val="auto"/>
          <w:kern w:val="21"/>
        </w:rPr>
      </w:pPr>
      <w:r>
        <w:rPr>
          <w:color w:val="auto"/>
          <w:kern w:val="21"/>
        </w:rPr>
        <w:t>楚雄工业园区经济社会发展的定位是：着力打造“一核四基地一区”，即：将楚雄工业园区建设成为滇中城市经济圈西部增长极的核心引擎，全省乃至全国重要的先进装备制造业基地、生物产业基地、高原特色农产品加工基地、商贸物流基地，全州乃至全省产城融合发展的示范区。</w:t>
      </w:r>
    </w:p>
    <w:p>
      <w:pPr>
        <w:adjustRightInd w:val="0"/>
        <w:snapToGrid w:val="0"/>
        <w:ind w:firstLine="480"/>
        <w:rPr>
          <w:color w:val="auto"/>
          <w:kern w:val="21"/>
        </w:rPr>
      </w:pPr>
      <w:r>
        <w:rPr>
          <w:color w:val="auto"/>
          <w:kern w:val="21"/>
        </w:rPr>
        <w:t>（四）发展目标</w:t>
      </w:r>
    </w:p>
    <w:p>
      <w:pPr>
        <w:adjustRightInd w:val="0"/>
        <w:snapToGrid w:val="0"/>
        <w:ind w:firstLine="480"/>
        <w:rPr>
          <w:color w:val="auto"/>
          <w:kern w:val="21"/>
        </w:rPr>
      </w:pPr>
      <w:r>
        <w:rPr>
          <w:color w:val="auto"/>
          <w:kern w:val="21"/>
        </w:rPr>
        <w:t>楚雄工业园区经济社会发展的总体目标是：“一高于两升级”，即：到规划期末，主要经济指标增速高于省州市平均水平，综合实力跻身全省开发区（工业园区）前列，将百亿元园区升级为千亿元以上园区。</w:t>
      </w:r>
    </w:p>
    <w:p>
      <w:pPr>
        <w:adjustRightInd w:val="0"/>
        <w:snapToGrid w:val="0"/>
        <w:ind w:firstLine="360" w:firstLineChars="150"/>
        <w:rPr>
          <w:color w:val="auto"/>
          <w:kern w:val="21"/>
        </w:rPr>
      </w:pPr>
      <w:r>
        <w:rPr>
          <w:color w:val="auto"/>
          <w:kern w:val="21"/>
        </w:rPr>
        <w:t>（五）发展模式</w:t>
      </w:r>
    </w:p>
    <w:p>
      <w:pPr>
        <w:adjustRightInd w:val="0"/>
        <w:snapToGrid w:val="0"/>
        <w:ind w:firstLine="360" w:firstLineChars="150"/>
        <w:rPr>
          <w:color w:val="auto"/>
          <w:kern w:val="21"/>
        </w:rPr>
      </w:pPr>
      <w:r>
        <w:rPr>
          <w:color w:val="auto"/>
          <w:kern w:val="21"/>
        </w:rPr>
        <w:t>楚雄工业园区分3个工业区，赵家湾桃园工业区、富民庄甸工业区、苍岭工业区，赵家湾桃园工业区位于楚雄经济开发区内，富民庄甸工业区位于楚雄市东南片区富民镇，苍岭工业区位于区域的东北部，楚雄工业园区在空间上形成“分片区、分地块、分组团”的发展模式。未来楚雄工业园区将会形成“一园三区六地块”的空间结构。</w:t>
      </w:r>
    </w:p>
    <w:p>
      <w:pPr>
        <w:adjustRightInd w:val="0"/>
        <w:snapToGrid w:val="0"/>
        <w:ind w:firstLine="360" w:firstLineChars="150"/>
        <w:rPr>
          <w:color w:val="auto"/>
          <w:kern w:val="21"/>
        </w:rPr>
      </w:pPr>
      <w:r>
        <w:rPr>
          <w:color w:val="auto"/>
          <w:kern w:val="21"/>
        </w:rPr>
        <w:t>（六）产业定位</w:t>
      </w:r>
    </w:p>
    <w:p>
      <w:pPr>
        <w:adjustRightInd w:val="0"/>
        <w:snapToGrid w:val="0"/>
        <w:ind w:firstLine="360" w:firstLineChars="150"/>
        <w:rPr>
          <w:color w:val="auto"/>
          <w:kern w:val="21"/>
        </w:rPr>
      </w:pPr>
      <w:r>
        <w:rPr>
          <w:color w:val="auto"/>
          <w:kern w:val="21"/>
        </w:rPr>
        <w:t>赵家湾：生物产业</w:t>
      </w:r>
    </w:p>
    <w:p>
      <w:pPr>
        <w:adjustRightInd w:val="0"/>
        <w:snapToGrid w:val="0"/>
        <w:ind w:firstLine="360" w:firstLineChars="150"/>
        <w:rPr>
          <w:color w:val="auto"/>
          <w:kern w:val="21"/>
        </w:rPr>
      </w:pPr>
      <w:r>
        <w:rPr>
          <w:color w:val="auto"/>
          <w:kern w:val="21"/>
        </w:rPr>
        <w:t>桃园：治金化工产业、先进装备制造产业等；</w:t>
      </w:r>
    </w:p>
    <w:p>
      <w:pPr>
        <w:adjustRightInd w:val="0"/>
        <w:snapToGrid w:val="0"/>
        <w:ind w:firstLine="360" w:firstLineChars="150"/>
        <w:rPr>
          <w:color w:val="auto"/>
          <w:kern w:val="21"/>
        </w:rPr>
      </w:pPr>
      <w:r>
        <w:rPr>
          <w:color w:val="auto"/>
          <w:kern w:val="21"/>
        </w:rPr>
        <w:t>富民：烟草及配套、生物产业、先进装备制造、新材料新型建材等； </w:t>
      </w:r>
    </w:p>
    <w:p>
      <w:pPr>
        <w:adjustRightInd w:val="0"/>
        <w:snapToGrid w:val="0"/>
        <w:ind w:firstLine="360" w:firstLineChars="150"/>
        <w:rPr>
          <w:color w:val="auto"/>
          <w:kern w:val="21"/>
        </w:rPr>
      </w:pPr>
      <w:r>
        <w:rPr>
          <w:color w:val="auto"/>
          <w:kern w:val="21"/>
        </w:rPr>
        <w:t>庄甸：生物产业；</w:t>
      </w:r>
    </w:p>
    <w:p>
      <w:pPr>
        <w:adjustRightInd w:val="0"/>
        <w:snapToGrid w:val="0"/>
        <w:ind w:firstLine="360" w:firstLineChars="150"/>
        <w:rPr>
          <w:color w:val="auto"/>
          <w:kern w:val="21"/>
        </w:rPr>
      </w:pPr>
      <w:r>
        <w:rPr>
          <w:color w:val="auto"/>
          <w:kern w:val="21"/>
        </w:rPr>
        <w:t>智明：先进装备制造、生物产业等；</w:t>
      </w:r>
    </w:p>
    <w:p>
      <w:pPr>
        <w:adjustRightInd w:val="0"/>
        <w:snapToGrid w:val="0"/>
        <w:ind w:firstLine="360" w:firstLineChars="150"/>
        <w:rPr>
          <w:color w:val="auto"/>
          <w:kern w:val="21"/>
        </w:rPr>
      </w:pPr>
      <w:r>
        <w:rPr>
          <w:color w:val="auto"/>
          <w:kern w:val="21"/>
        </w:rPr>
        <w:t>黄草：再生资源加工利用；</w:t>
      </w:r>
    </w:p>
    <w:p>
      <w:pPr>
        <w:adjustRightInd w:val="0"/>
        <w:snapToGrid w:val="0"/>
        <w:ind w:firstLine="240" w:firstLineChars="100"/>
        <w:rPr>
          <w:color w:val="auto"/>
          <w:kern w:val="21"/>
        </w:rPr>
      </w:pPr>
      <w:r>
        <w:rPr>
          <w:color w:val="auto"/>
          <w:kern w:val="21"/>
        </w:rPr>
        <w:t>云甸：冶金化工、新材料新型建材产业和创业小镇。</w:t>
      </w:r>
    </w:p>
    <w:p>
      <w:pPr>
        <w:adjustRightInd w:val="0"/>
        <w:snapToGrid w:val="0"/>
        <w:ind w:firstLine="240" w:firstLineChars="100"/>
        <w:rPr>
          <w:color w:val="auto"/>
          <w:kern w:val="21"/>
        </w:rPr>
      </w:pPr>
      <w:r>
        <w:rPr>
          <w:color w:val="auto"/>
          <w:kern w:val="21"/>
        </w:rPr>
        <w:t>（七）各产业详述如下：</w:t>
      </w:r>
    </w:p>
    <w:p>
      <w:pPr>
        <w:adjustRightInd w:val="0"/>
        <w:snapToGrid w:val="0"/>
        <w:ind w:firstLine="240" w:firstLineChars="100"/>
        <w:rPr>
          <w:color w:val="auto"/>
          <w:kern w:val="21"/>
        </w:rPr>
      </w:pPr>
      <w:r>
        <w:rPr>
          <w:color w:val="auto"/>
          <w:kern w:val="21"/>
        </w:rPr>
        <w:t>1、赵家湾桃园工业区</w:t>
      </w:r>
    </w:p>
    <w:p>
      <w:pPr>
        <w:ind w:firstLine="480"/>
        <w:rPr>
          <w:color w:val="auto"/>
          <w:kern w:val="21"/>
        </w:rPr>
      </w:pPr>
      <w:r>
        <w:rPr>
          <w:color w:val="auto"/>
          <w:kern w:val="21"/>
        </w:rPr>
        <w:t>在赵家湾工业地块，以巩固提升现有生物医药和绿色食品企业规模、推进宜业宜城市一体化建设为重点，大力推动已有招商落地项目加快建设进度，鼓励企业兼并重组资源优化整合，不断做大产业规模，将该地块建设成为生物医药、绿色食品、高原特色农产品加工的示范产业基地。同时，进一步建设完善基础配套设施功能，实现生产空同集约高效，促进生物医药和绿色食品加工与城市建设的高度融合发展。</w:t>
      </w:r>
    </w:p>
    <w:p>
      <w:pPr>
        <w:ind w:firstLine="480"/>
        <w:rPr>
          <w:color w:val="auto"/>
          <w:kern w:val="21"/>
        </w:rPr>
      </w:pPr>
      <w:r>
        <w:rPr>
          <w:color w:val="auto"/>
          <w:kern w:val="21"/>
        </w:rPr>
        <w:t>在桃园地块，以产业转型升级为重点，对现有企业进行技术</w:t>
      </w:r>
      <w:r>
        <w:rPr>
          <w:rFonts w:hint="eastAsia"/>
          <w:color w:val="auto"/>
          <w:kern w:val="21"/>
          <w:lang w:eastAsia="zh-CN"/>
        </w:rPr>
        <w:t>设置</w:t>
      </w:r>
      <w:r>
        <w:rPr>
          <w:color w:val="auto"/>
          <w:kern w:val="21"/>
        </w:rPr>
        <w:t>，提高企业质量益，完善企业环保措施。将该地块规划为冶金化工产业、先进装备制造产业组团，积极引进发展新能源汽车及配套、电力设备、电子电器等先进装备制造产业，完善科研配套服务，帮助企业转型升级，打造“政企联动”、“商企互动”的互联平台。</w:t>
      </w:r>
    </w:p>
    <w:p>
      <w:pPr>
        <w:adjustRightInd w:val="0"/>
        <w:snapToGrid w:val="0"/>
        <w:ind w:firstLine="480"/>
        <w:rPr>
          <w:color w:val="auto"/>
          <w:kern w:val="21"/>
        </w:rPr>
      </w:pPr>
      <w:r>
        <w:rPr>
          <w:color w:val="auto"/>
          <w:kern w:val="21"/>
        </w:rPr>
        <w:t>2、富民庄甸工业区</w:t>
      </w:r>
    </w:p>
    <w:p>
      <w:pPr>
        <w:adjustRightInd w:val="0"/>
        <w:snapToGrid w:val="0"/>
        <w:ind w:firstLine="480"/>
        <w:rPr>
          <w:color w:val="auto"/>
          <w:kern w:val="21"/>
        </w:rPr>
      </w:pPr>
      <w:r>
        <w:rPr>
          <w:color w:val="auto"/>
          <w:kern w:val="21"/>
        </w:rPr>
        <w:t>在富民工业组团，以强工、兴商、拓城为重点，坚持产、城发展并重，二、三产业发展并举，把发展卷烟及其配套、生物产业、先进装备制造、新材料新型建材产业作为该工业组团的主体功能，优化空间规划，提升基础设施建设水平，强化产业发展支撑；在庄甸工业组团，集中发展生物产业，配套完善关联产业，以科技创新示范为重点，用足用活云南省创新创业示范基地、国家中医药产业化基地各项优惠扶持政策，继续加大院士工作站、重点实验室、企业技术中心建设力度，加大高新技术企业培育力度，不断推动企业在产品升级换代、新品研发、专利申报、创业创新方面取得新进展，通过盘活停产、停建企业，优化整合存量，促进企业在提质增效、做大做强、增强核心竞争力上取得新进展，把庄甸医药组团建设成为楚雄州乃至云南省影响力较大的、重要的生物医药产业聚集基地。</w:t>
      </w:r>
    </w:p>
    <w:p>
      <w:pPr>
        <w:ind w:firstLine="480"/>
        <w:rPr>
          <w:color w:val="auto"/>
          <w:kern w:val="21"/>
        </w:rPr>
      </w:pPr>
      <w:r>
        <w:rPr>
          <w:color w:val="auto"/>
          <w:kern w:val="21"/>
        </w:rPr>
        <w:t>3、苍岭工业区</w:t>
      </w:r>
    </w:p>
    <w:p>
      <w:pPr>
        <w:ind w:firstLine="480"/>
        <w:rPr>
          <w:color w:val="auto"/>
          <w:kern w:val="21"/>
        </w:rPr>
      </w:pPr>
      <w:r>
        <w:rPr>
          <w:color w:val="auto"/>
          <w:kern w:val="21"/>
        </w:rPr>
        <w:t>是楚雄市工业经济发展的主要承载区，要创新工业区建设管理模式，突破行政区划界限制约，积极探索苍岭云甸、智明广通物流园区联动融合发展，着力构建“空间优化、分工有序、产业相联、产销一体、相互依存、相互促进”的产业发展新格局。根据全省全州工业发展空间布局总体规划，在苍岭云甸重点发展冶金化工、新材料新型建材产业；智明联动禄丰广通，重点发展生物产业、先进装备制造两大优势产业，并依托公路、铁路优势，配套保税物流功能；在黄草重点进行再生资源加工利用。在推动传统支柱产业升级换代的同时，更加重视与战略性新兴产业、新兴业态的融合发展、交又发展，推进产业组织结构创新，采取招大引强、延伸产业链、打造产业联盟、引进新业态等措施，构建优势产业集群。坚持产城融合、绿色发展的原则，全面提升工业区生活配套、服务配套、生产配套能力，力争到规划期末，将苍岭工业区初步建成有工有商、有街有景、有山有水的工业新城。</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4.1.10楚雄工业园富民片区控制性详细规划概述</w:t>
      </w:r>
    </w:p>
    <w:p>
      <w:pPr>
        <w:widowControl/>
        <w:ind w:firstLine="480"/>
        <w:jc w:val="left"/>
        <w:rPr>
          <w:color w:val="auto"/>
          <w:kern w:val="21"/>
        </w:rPr>
      </w:pPr>
      <w:r>
        <w:rPr>
          <w:color w:val="auto"/>
          <w:kern w:val="21"/>
          <w:lang w:bidi="ar"/>
        </w:rPr>
        <w:t>（一）功能定位</w:t>
      </w:r>
    </w:p>
    <w:p>
      <w:pPr>
        <w:widowControl/>
        <w:ind w:firstLine="480"/>
        <w:jc w:val="left"/>
        <w:rPr>
          <w:color w:val="auto"/>
          <w:kern w:val="21"/>
        </w:rPr>
      </w:pPr>
      <w:r>
        <w:rPr>
          <w:color w:val="auto"/>
          <w:kern w:val="21"/>
          <w:lang w:bidi="ar"/>
        </w:rPr>
        <w:t>围绕云南省传统资源型产业开发创新和战略性新兴产业发展，发挥楚雄资源优势，创新资源开发理念和思路，以新技术应用为基本特征，发展精深加工产品，延长产业链，提高产品附加值，打造产业集群为根本目标，以产业融合发展为基本业态，以发展循环经济为根本要求，坚持高端引领，重点培育战略性新兴产业，将富民片区打造成为烟草及配套产业、先进装备制造、新型建材新材料制造、生物产业资源开发创新片区和特色优势产业聚集区，加快传统产业</w:t>
      </w:r>
      <w:r>
        <w:rPr>
          <w:rFonts w:hint="eastAsia"/>
          <w:color w:val="auto"/>
          <w:kern w:val="21"/>
          <w:lang w:eastAsia="zh-CN" w:bidi="ar"/>
        </w:rPr>
        <w:t>设置</w:t>
      </w:r>
      <w:r>
        <w:rPr>
          <w:color w:val="auto"/>
          <w:kern w:val="21"/>
          <w:lang w:bidi="ar"/>
        </w:rPr>
        <w:t>提升，深化节能减排，推行绿色制造，着力推进绿色发展、循环发展、低碳发展、低碳化</w:t>
      </w:r>
      <w:r>
        <w:rPr>
          <w:rFonts w:hint="eastAsia"/>
          <w:color w:val="auto"/>
          <w:kern w:val="21"/>
          <w:lang w:eastAsia="zh-CN" w:bidi="ar"/>
        </w:rPr>
        <w:t>设置</w:t>
      </w:r>
      <w:r>
        <w:rPr>
          <w:color w:val="auto"/>
          <w:kern w:val="21"/>
          <w:lang w:bidi="ar"/>
        </w:rPr>
        <w:t>，鼓励生产和研发轻质材料、节能环保等低碳产品，加强企业项目建设和生产全过程的节能管理，通过优化上下游产业布局，实现土地集约利用、废物交换利用、能量梯级利用、废水循环利用和污染物集中处理，构筑循环经济发展的产业。</w:t>
      </w:r>
    </w:p>
    <w:p>
      <w:pPr>
        <w:widowControl/>
        <w:adjustRightInd w:val="0"/>
        <w:snapToGrid w:val="0"/>
        <w:ind w:firstLine="480"/>
        <w:jc w:val="left"/>
        <w:rPr>
          <w:color w:val="auto"/>
          <w:kern w:val="21"/>
        </w:rPr>
      </w:pPr>
      <w:r>
        <w:rPr>
          <w:color w:val="auto"/>
          <w:kern w:val="21"/>
          <w:lang w:bidi="ar"/>
        </w:rPr>
        <w:t>1、产业发展定位</w:t>
      </w:r>
    </w:p>
    <w:p>
      <w:pPr>
        <w:widowControl/>
        <w:adjustRightInd w:val="0"/>
        <w:snapToGrid w:val="0"/>
        <w:ind w:firstLine="480"/>
        <w:jc w:val="left"/>
        <w:rPr>
          <w:color w:val="auto"/>
          <w:kern w:val="21"/>
        </w:rPr>
      </w:pPr>
      <w:r>
        <w:rPr>
          <w:color w:val="auto"/>
          <w:kern w:val="21"/>
          <w:lang w:bidi="ar"/>
        </w:rPr>
        <w:t>发展烟草及配套产业、先进装备制造、新型建材新材料制造、生物产业，实施纵向一体化战略，拉长生物产业链，完善楚雄市产业技术体系。</w:t>
      </w:r>
    </w:p>
    <w:p>
      <w:pPr>
        <w:widowControl/>
        <w:adjustRightInd w:val="0"/>
        <w:snapToGrid w:val="0"/>
        <w:ind w:firstLine="480"/>
        <w:jc w:val="left"/>
        <w:rPr>
          <w:color w:val="auto"/>
          <w:kern w:val="21"/>
        </w:rPr>
      </w:pPr>
      <w:r>
        <w:rPr>
          <w:color w:val="auto"/>
          <w:kern w:val="21"/>
          <w:lang w:bidi="ar"/>
        </w:rPr>
        <w:t>2、产业发展模式</w:t>
      </w:r>
    </w:p>
    <w:p>
      <w:pPr>
        <w:widowControl/>
        <w:adjustRightInd w:val="0"/>
        <w:snapToGrid w:val="0"/>
        <w:ind w:firstLine="480"/>
        <w:jc w:val="left"/>
        <w:rPr>
          <w:color w:val="auto"/>
          <w:kern w:val="21"/>
          <w:lang w:bidi="ar"/>
        </w:rPr>
      </w:pPr>
      <w:r>
        <w:rPr>
          <w:color w:val="auto"/>
          <w:kern w:val="21"/>
          <w:lang w:bidi="ar"/>
        </w:rPr>
        <w:t>依托资源、统一规划、集约发展、分步实施、整体推进。以产业集群的方式，优化配置建材资源、技术资源、人力资源，品牌资源，按照“集约化经营、专业化分工、社会化服务”模式，构建具有特色的产业发展模式，打造以生产加工、物流贸易、社会化专业综合配套服务于一体的的产业集群。</w:t>
      </w:r>
    </w:p>
    <w:p>
      <w:pPr>
        <w:widowControl/>
        <w:adjustRightInd w:val="0"/>
        <w:snapToGrid w:val="0"/>
        <w:ind w:firstLine="480"/>
        <w:jc w:val="left"/>
        <w:rPr>
          <w:color w:val="auto"/>
          <w:kern w:val="21"/>
        </w:rPr>
      </w:pPr>
      <w:r>
        <w:rPr>
          <w:color w:val="auto"/>
          <w:kern w:val="21"/>
          <w:lang w:bidi="ar"/>
        </w:rPr>
        <w:t>（二）规模</w:t>
      </w:r>
    </w:p>
    <w:p>
      <w:pPr>
        <w:widowControl/>
        <w:adjustRightInd w:val="0"/>
        <w:snapToGrid w:val="0"/>
        <w:ind w:firstLine="480"/>
        <w:jc w:val="left"/>
        <w:rPr>
          <w:color w:val="auto"/>
          <w:kern w:val="21"/>
        </w:rPr>
      </w:pPr>
      <w:r>
        <w:rPr>
          <w:color w:val="auto"/>
          <w:kern w:val="21"/>
          <w:lang w:bidi="ar"/>
        </w:rPr>
        <w:t>1、用地规模：规划区用地面积为819.6881公顷，预留发展用地为111.6846公顷，本次控制性详细规划重点研宄用地面积为708.0035公顷。</w:t>
      </w:r>
    </w:p>
    <w:p>
      <w:pPr>
        <w:widowControl/>
        <w:adjustRightInd w:val="0"/>
        <w:snapToGrid w:val="0"/>
        <w:ind w:firstLine="480"/>
        <w:jc w:val="left"/>
        <w:rPr>
          <w:color w:val="auto"/>
          <w:kern w:val="21"/>
        </w:rPr>
      </w:pPr>
      <w:r>
        <w:rPr>
          <w:color w:val="auto"/>
          <w:kern w:val="21"/>
          <w:lang w:bidi="ar"/>
        </w:rPr>
        <w:t>2、人口规模</w:t>
      </w:r>
    </w:p>
    <w:p>
      <w:pPr>
        <w:widowControl/>
        <w:adjustRightInd w:val="0"/>
        <w:snapToGrid w:val="0"/>
        <w:ind w:firstLine="480"/>
        <w:jc w:val="left"/>
        <w:rPr>
          <w:color w:val="auto"/>
          <w:kern w:val="21"/>
        </w:rPr>
      </w:pPr>
      <w:r>
        <w:rPr>
          <w:color w:val="auto"/>
          <w:kern w:val="21"/>
          <w:lang w:bidi="ar"/>
        </w:rPr>
        <w:t>工业区职工人口密度变化具有两个趋势：一是随着工业企业资金与技术含量提高，职工密度将降低；二是随着土地集约使用程度的提高，职工密度可能增加，而其综合趋势将取决于两者的合力。综合富民片区发展现状及参照其它工业区和国家有关统计资料，规划按每公顷工业用地职工60-100人计算，以规划工业用地461.0276公顷计，工业职工在28000-46000人之间。</w:t>
      </w:r>
    </w:p>
    <w:p>
      <w:pPr>
        <w:widowControl/>
        <w:adjustRightInd w:val="0"/>
        <w:snapToGrid w:val="0"/>
        <w:ind w:firstLine="480"/>
        <w:jc w:val="left"/>
        <w:rPr>
          <w:color w:val="auto"/>
          <w:kern w:val="21"/>
        </w:rPr>
      </w:pPr>
      <w:r>
        <w:rPr>
          <w:color w:val="auto"/>
          <w:kern w:val="21"/>
          <w:lang w:bidi="ar"/>
        </w:rPr>
        <w:t>（三）产业发展定位</w:t>
      </w:r>
    </w:p>
    <w:p>
      <w:pPr>
        <w:widowControl/>
        <w:adjustRightInd w:val="0"/>
        <w:snapToGrid w:val="0"/>
        <w:ind w:firstLine="480"/>
        <w:jc w:val="left"/>
        <w:rPr>
          <w:color w:val="auto"/>
          <w:kern w:val="21"/>
        </w:rPr>
      </w:pPr>
      <w:r>
        <w:rPr>
          <w:color w:val="auto"/>
          <w:kern w:val="21"/>
          <w:lang w:bidi="ar"/>
        </w:rPr>
        <w:t>着力发展卷烟及其配套产业、先进装备制造产业、生物产业、新材料新型建材产业四重点产业，全力推进产业转型升级。</w:t>
      </w:r>
    </w:p>
    <w:p>
      <w:pPr>
        <w:widowControl/>
        <w:adjustRightInd w:val="0"/>
        <w:snapToGrid w:val="0"/>
        <w:ind w:firstLine="480"/>
        <w:jc w:val="left"/>
        <w:rPr>
          <w:color w:val="auto"/>
          <w:kern w:val="21"/>
        </w:rPr>
      </w:pPr>
      <w:r>
        <w:rPr>
          <w:color w:val="auto"/>
          <w:kern w:val="21"/>
          <w:lang w:bidi="ar"/>
        </w:rPr>
        <w:t>1、烟草及配套产业</w:t>
      </w:r>
    </w:p>
    <w:p>
      <w:pPr>
        <w:widowControl/>
        <w:adjustRightInd w:val="0"/>
        <w:snapToGrid w:val="0"/>
        <w:ind w:firstLine="480"/>
        <w:jc w:val="left"/>
        <w:rPr>
          <w:color w:val="auto"/>
          <w:kern w:val="21"/>
        </w:rPr>
      </w:pPr>
      <w:r>
        <w:rPr>
          <w:color w:val="auto"/>
          <w:kern w:val="21"/>
          <w:lang w:bidi="ar"/>
        </w:rPr>
        <w:t>以卷烟制造、包装印刷、辅料制造、烟草机械，以科技创新、品牌打造、市场拓展为主要措施，提高产品科技含量和质量，提升卷烟品牌价值。积极支持新型包装印刷等烟草配套产业发展，打造卷烟生产和配套产业为一体的产业集群。</w:t>
      </w:r>
    </w:p>
    <w:p>
      <w:pPr>
        <w:widowControl/>
        <w:adjustRightInd w:val="0"/>
        <w:snapToGrid w:val="0"/>
        <w:ind w:firstLine="480"/>
        <w:jc w:val="left"/>
        <w:rPr>
          <w:color w:val="auto"/>
          <w:kern w:val="21"/>
        </w:rPr>
      </w:pPr>
      <w:r>
        <w:rPr>
          <w:color w:val="auto"/>
          <w:kern w:val="21"/>
          <w:lang w:bidi="ar"/>
        </w:rPr>
        <w:t>2、先进装备制造产业</w:t>
      </w:r>
    </w:p>
    <w:p>
      <w:pPr>
        <w:widowControl/>
        <w:adjustRightInd w:val="0"/>
        <w:snapToGrid w:val="0"/>
        <w:ind w:firstLine="480"/>
        <w:jc w:val="left"/>
        <w:rPr>
          <w:color w:val="auto"/>
          <w:kern w:val="21"/>
        </w:rPr>
      </w:pPr>
      <w:r>
        <w:rPr>
          <w:color w:val="auto"/>
          <w:kern w:val="21"/>
          <w:lang w:bidi="ar"/>
        </w:rPr>
        <w:t>积极承接东、中部发达地区，特别是京津冀产业转移，加快发展以新能源汽车及配套、电器设备、汽车零配件、太阳能等为重点的先进装备制造业。</w:t>
      </w:r>
    </w:p>
    <w:p>
      <w:pPr>
        <w:widowControl/>
        <w:adjustRightInd w:val="0"/>
        <w:snapToGrid w:val="0"/>
        <w:ind w:firstLine="480"/>
        <w:jc w:val="left"/>
        <w:rPr>
          <w:color w:val="auto"/>
          <w:kern w:val="21"/>
        </w:rPr>
      </w:pPr>
      <w:r>
        <w:rPr>
          <w:color w:val="auto"/>
          <w:kern w:val="21"/>
          <w:lang w:bidi="ar"/>
        </w:rPr>
        <w:t>3、生物产业</w:t>
      </w:r>
    </w:p>
    <w:p>
      <w:pPr>
        <w:widowControl/>
        <w:adjustRightInd w:val="0"/>
        <w:snapToGrid w:val="0"/>
        <w:ind w:firstLine="480"/>
        <w:jc w:val="left"/>
        <w:rPr>
          <w:color w:val="auto"/>
          <w:kern w:val="21"/>
        </w:rPr>
      </w:pPr>
      <w:r>
        <w:rPr>
          <w:color w:val="auto"/>
          <w:kern w:val="21"/>
          <w:lang w:bidi="ar"/>
        </w:rPr>
        <w:t>充分发挥生物资源优势，以市场开拓、创新研发为重点，延伸产业链，巩固壮大生物产业实力，以“大麻产业”为重点，积极发展保健食品、药用化妆品和植物提取物，构建结构合理、覆盖面广、产业链全的生物医药产业体系。</w:t>
      </w:r>
    </w:p>
    <w:p>
      <w:pPr>
        <w:widowControl/>
        <w:adjustRightInd w:val="0"/>
        <w:snapToGrid w:val="0"/>
        <w:ind w:firstLine="480"/>
        <w:jc w:val="left"/>
        <w:rPr>
          <w:color w:val="auto"/>
          <w:kern w:val="21"/>
        </w:rPr>
      </w:pPr>
      <w:r>
        <w:rPr>
          <w:color w:val="auto"/>
          <w:kern w:val="21"/>
          <w:lang w:bidi="ar"/>
        </w:rPr>
        <w:t>4、新材料新型建材产业</w:t>
      </w:r>
    </w:p>
    <w:p>
      <w:pPr>
        <w:widowControl/>
        <w:adjustRightInd w:val="0"/>
        <w:snapToGrid w:val="0"/>
        <w:ind w:firstLine="480"/>
        <w:jc w:val="left"/>
        <w:rPr>
          <w:color w:val="auto"/>
          <w:kern w:val="21"/>
        </w:rPr>
      </w:pPr>
      <w:r>
        <w:rPr>
          <w:color w:val="auto"/>
          <w:kern w:val="21"/>
          <w:lang w:bidi="ar"/>
        </w:rPr>
        <w:t>按照国家可持续发展战略倡导的节能、节地、减少资源消耗、保护生态环境的要求，积极新材料产业，引进先进技术，加大资源整合力度，提高企业技术装备水平，提升产品质量和等级，延长新材料新型建材产业链。</w:t>
      </w:r>
    </w:p>
    <w:p>
      <w:pPr>
        <w:widowControl/>
        <w:adjustRightInd w:val="0"/>
        <w:snapToGrid w:val="0"/>
        <w:ind w:firstLine="480"/>
        <w:jc w:val="left"/>
        <w:rPr>
          <w:color w:val="auto"/>
          <w:kern w:val="21"/>
        </w:rPr>
      </w:pPr>
      <w:r>
        <w:rPr>
          <w:color w:val="auto"/>
          <w:kern w:val="21"/>
          <w:lang w:bidi="ar"/>
        </w:rPr>
        <w:t>（四）排水工程规划</w:t>
      </w:r>
    </w:p>
    <w:p>
      <w:pPr>
        <w:widowControl/>
        <w:adjustRightInd w:val="0"/>
        <w:snapToGrid w:val="0"/>
        <w:ind w:firstLine="480"/>
        <w:jc w:val="left"/>
        <w:rPr>
          <w:color w:val="auto"/>
          <w:kern w:val="21"/>
        </w:rPr>
      </w:pPr>
      <w:r>
        <w:rPr>
          <w:color w:val="auto"/>
          <w:kern w:val="21"/>
          <w:lang w:bidi="ar"/>
        </w:rPr>
        <w:t>1、水量标准及污水总量</w:t>
      </w:r>
    </w:p>
    <w:p>
      <w:pPr>
        <w:widowControl/>
        <w:adjustRightInd w:val="0"/>
        <w:snapToGrid w:val="0"/>
        <w:ind w:firstLine="480"/>
        <w:jc w:val="left"/>
        <w:rPr>
          <w:color w:val="auto"/>
          <w:kern w:val="21"/>
        </w:rPr>
      </w:pPr>
      <w:r>
        <w:rPr>
          <w:color w:val="auto"/>
          <w:kern w:val="21"/>
          <w:lang w:bidi="ar"/>
        </w:rPr>
        <w:t>（1）污水量标准按给水量标准的85%计；</w:t>
      </w:r>
    </w:p>
    <w:p>
      <w:pPr>
        <w:widowControl/>
        <w:adjustRightInd w:val="0"/>
        <w:snapToGrid w:val="0"/>
        <w:ind w:firstLine="480"/>
        <w:jc w:val="left"/>
        <w:rPr>
          <w:color w:val="auto"/>
          <w:kern w:val="21"/>
        </w:rPr>
      </w:pPr>
      <w:r>
        <w:rPr>
          <w:color w:val="auto"/>
          <w:kern w:val="21"/>
          <w:lang w:bidi="ar"/>
        </w:rPr>
        <w:t>（2）预测富民片区规划范围污水总量为：5.92万m³/d</w:t>
      </w:r>
      <w:r>
        <w:rPr>
          <w:rFonts w:hint="eastAsia"/>
          <w:color w:val="auto"/>
          <w:kern w:val="21"/>
          <w:lang w:bidi="ar"/>
        </w:rPr>
        <w:t>（</w:t>
      </w:r>
      <w:r>
        <w:rPr>
          <w:color w:val="auto"/>
          <w:kern w:val="21"/>
          <w:lang w:bidi="ar"/>
        </w:rPr>
        <w:t>不考虑循环用水），考虑循环用水污水量为4.11万m³/d。</w:t>
      </w:r>
    </w:p>
    <w:p>
      <w:pPr>
        <w:widowControl/>
        <w:adjustRightInd w:val="0"/>
        <w:snapToGrid w:val="0"/>
        <w:ind w:firstLine="480"/>
        <w:jc w:val="left"/>
        <w:rPr>
          <w:color w:val="auto"/>
          <w:kern w:val="21"/>
        </w:rPr>
      </w:pPr>
      <w:r>
        <w:rPr>
          <w:color w:val="auto"/>
          <w:kern w:val="21"/>
          <w:lang w:bidi="ar"/>
        </w:rPr>
        <w:t>2、管网布置</w:t>
      </w:r>
    </w:p>
    <w:p>
      <w:pPr>
        <w:widowControl/>
        <w:adjustRightInd w:val="0"/>
        <w:snapToGrid w:val="0"/>
        <w:ind w:firstLine="480"/>
        <w:jc w:val="left"/>
        <w:rPr>
          <w:color w:val="auto"/>
          <w:kern w:val="21"/>
        </w:rPr>
      </w:pPr>
      <w:r>
        <w:rPr>
          <w:color w:val="auto"/>
          <w:kern w:val="21"/>
          <w:lang w:bidi="ar"/>
        </w:rPr>
        <w:t>规划区内地势为东南高西北低，考虑到工业企业由于生产工艺的不同，用水水质复杂，水质难以确定，因此工业废水不能直接排入市政污水管网，各类工业企业废水必须在各自厂内经过预处理。规划在片区内共设2座工业污水处理厂，一处位于东升路西侧，建设规模为2.2万m³/d，另一处位于规划区最南部，为远期片区建设所考虑，建设规模为2.0m³/d，工业废水经过各厂区污水处理站预处理之后，达到《污水排入城镇下水道水质标准》一级A排放标准，才能将处理达标后的污水排入市政污水管，根据地形及道路坡向汇集至规划的两处工业污水处理厂处理后，最终排放至青龙河，生活用水可直接排入市政污水管。</w:t>
      </w:r>
    </w:p>
    <w:p>
      <w:pPr>
        <w:widowControl/>
        <w:adjustRightInd w:val="0"/>
        <w:snapToGrid w:val="0"/>
        <w:ind w:firstLine="480"/>
        <w:jc w:val="left"/>
        <w:rPr>
          <w:color w:val="auto"/>
          <w:kern w:val="21"/>
        </w:rPr>
      </w:pPr>
      <w:r>
        <w:rPr>
          <w:color w:val="auto"/>
          <w:kern w:val="21"/>
          <w:lang w:bidi="ar"/>
        </w:rPr>
        <w:t>3、污水分区</w:t>
      </w:r>
    </w:p>
    <w:p>
      <w:pPr>
        <w:widowControl/>
        <w:adjustRightInd w:val="0"/>
        <w:snapToGrid w:val="0"/>
        <w:ind w:firstLine="480"/>
        <w:jc w:val="left"/>
        <w:rPr>
          <w:color w:val="auto"/>
          <w:kern w:val="21"/>
        </w:rPr>
      </w:pPr>
      <w:r>
        <w:rPr>
          <w:color w:val="auto"/>
          <w:kern w:val="21"/>
          <w:lang w:bidi="ar"/>
        </w:rPr>
        <w:t>规划结合工业区现状地形情况，将规划区排污分区划分为2个排污分区，结合污水分区在规划区内设2座工业污水处理厂。</w:t>
      </w:r>
    </w:p>
    <w:p>
      <w:pPr>
        <w:widowControl/>
        <w:adjustRightInd w:val="0"/>
        <w:snapToGrid w:val="0"/>
        <w:ind w:firstLine="480"/>
        <w:jc w:val="left"/>
        <w:rPr>
          <w:color w:val="auto"/>
          <w:kern w:val="21"/>
        </w:rPr>
      </w:pPr>
      <w:r>
        <w:rPr>
          <w:color w:val="auto"/>
          <w:kern w:val="21"/>
          <w:lang w:bidi="ar"/>
        </w:rPr>
        <w:t>4、污水管网</w:t>
      </w:r>
    </w:p>
    <w:p>
      <w:pPr>
        <w:widowControl/>
        <w:adjustRightInd w:val="0"/>
        <w:snapToGrid w:val="0"/>
        <w:ind w:firstLine="480"/>
        <w:rPr>
          <w:color w:val="auto"/>
          <w:kern w:val="21"/>
        </w:rPr>
      </w:pPr>
      <w:r>
        <w:rPr>
          <w:color w:val="auto"/>
          <w:kern w:val="21"/>
          <w:lang w:bidi="ar"/>
        </w:rPr>
        <w:t>管网布置根据工业区内河流走向和地形特点，考虑建成区情况及总体规划用地布置情况，本规划区污水由支管收集进入工业区干管。规划污水管径为DN300—DN600。</w:t>
      </w:r>
    </w:p>
    <w:p>
      <w:pPr>
        <w:pStyle w:val="5"/>
        <w:rPr>
          <w:color w:val="auto"/>
          <w:kern w:val="21"/>
          <w:sz w:val="28"/>
        </w:rPr>
      </w:pPr>
      <w:bookmarkStart w:id="209" w:name="_Toc8540"/>
      <w:r>
        <w:rPr>
          <w:color w:val="auto"/>
          <w:kern w:val="21"/>
          <w:sz w:val="28"/>
        </w:rPr>
        <w:t>4.2环境质量现状调查与评价</w:t>
      </w:r>
      <w:bookmarkEnd w:id="209"/>
    </w:p>
    <w:p>
      <w:pPr>
        <w:pStyle w:val="6"/>
        <w:spacing w:after="0"/>
        <w:rPr>
          <w:rFonts w:eastAsia="宋体"/>
          <w:color w:val="auto"/>
          <w:kern w:val="21"/>
          <w:sz w:val="24"/>
          <w:szCs w:val="24"/>
        </w:rPr>
      </w:pPr>
      <w:bookmarkStart w:id="210" w:name="_Toc107649759"/>
      <w:bookmarkStart w:id="211" w:name="_Toc107557081"/>
      <w:bookmarkStart w:id="212" w:name="_Toc112890430"/>
      <w:bookmarkStart w:id="213" w:name="_Toc107650161"/>
      <w:bookmarkStart w:id="214" w:name="_Toc107650379"/>
      <w:bookmarkStart w:id="215" w:name="_Toc107557306"/>
      <w:bookmarkStart w:id="216" w:name="_Toc112903043"/>
      <w:bookmarkStart w:id="217" w:name="_Toc4913"/>
      <w:bookmarkStart w:id="218" w:name="_Toc107546795"/>
      <w:bookmarkStart w:id="219" w:name="_Toc107556850"/>
      <w:bookmarkStart w:id="220" w:name="_Toc113790776"/>
      <w:r>
        <w:rPr>
          <w:rFonts w:eastAsia="宋体"/>
          <w:color w:val="auto"/>
          <w:kern w:val="21"/>
          <w:sz w:val="24"/>
          <w:szCs w:val="24"/>
        </w:rPr>
        <w:t>4.2.1环境空气质量现状调查</w:t>
      </w:r>
      <w:bookmarkEnd w:id="210"/>
      <w:bookmarkEnd w:id="211"/>
      <w:bookmarkEnd w:id="212"/>
      <w:bookmarkEnd w:id="213"/>
      <w:bookmarkEnd w:id="214"/>
      <w:bookmarkEnd w:id="215"/>
      <w:bookmarkEnd w:id="216"/>
      <w:bookmarkEnd w:id="217"/>
      <w:bookmarkEnd w:id="218"/>
      <w:bookmarkEnd w:id="219"/>
      <w:bookmarkEnd w:id="220"/>
    </w:p>
    <w:p>
      <w:pPr>
        <w:adjustRightInd w:val="0"/>
        <w:ind w:firstLine="482"/>
        <w:rPr>
          <w:b/>
          <w:color w:val="auto"/>
          <w:kern w:val="21"/>
        </w:rPr>
      </w:pPr>
      <w:r>
        <w:rPr>
          <w:b/>
          <w:color w:val="auto"/>
          <w:kern w:val="21"/>
        </w:rPr>
        <w:t>1、环境空气质量达标区判断</w:t>
      </w:r>
    </w:p>
    <w:p>
      <w:pPr>
        <w:ind w:firstLine="480" w:firstLineChars="0"/>
        <w:rPr>
          <w:color w:val="auto"/>
          <w:kern w:val="21"/>
          <w:szCs w:val="20"/>
        </w:rPr>
      </w:pPr>
      <w:r>
        <w:rPr>
          <w:color w:val="auto"/>
          <w:kern w:val="21"/>
          <w:szCs w:val="20"/>
        </w:rPr>
        <w:t>根据《环境影响评价技术导则</w:t>
      </w:r>
      <w:r>
        <w:rPr>
          <w:rFonts w:hint="eastAsia"/>
          <w:color w:val="auto"/>
          <w:kern w:val="21"/>
          <w:szCs w:val="20"/>
        </w:rPr>
        <w:t xml:space="preserve"> </w:t>
      </w:r>
      <w:r>
        <w:rPr>
          <w:color w:val="auto"/>
          <w:kern w:val="21"/>
          <w:szCs w:val="20"/>
        </w:rPr>
        <w:t>大气环境》（HJ2.2-2018）6.2.1.3，评价范围内没有环境空气质量监测网数据或公开发布的环境空气质量现状数据的，可选择符合HJ664规定，并且与评价范围地理位置邻近，地形、气候条件相近的环境空气质量城市点或区域点监测数据。</w:t>
      </w:r>
    </w:p>
    <w:p>
      <w:pPr>
        <w:adjustRightInd w:val="0"/>
        <w:snapToGrid w:val="0"/>
        <w:spacing w:line="360" w:lineRule="auto"/>
        <w:ind w:firstLine="482"/>
        <w:rPr>
          <w:color w:val="auto"/>
        </w:rPr>
      </w:pPr>
      <w:r>
        <w:rPr>
          <w:color w:val="auto"/>
        </w:rPr>
        <w:t>根据</w:t>
      </w:r>
      <w:r>
        <w:rPr>
          <w:rFonts w:hint="eastAsia"/>
          <w:color w:val="auto"/>
        </w:rPr>
        <w:t>2020年楚雄州环境监测站（</w:t>
      </w:r>
      <w:r>
        <w:rPr>
          <w:color w:val="auto"/>
        </w:rPr>
        <w:t>E:101°32'58.62"、N25°02'27.65"）</w:t>
      </w:r>
      <w:r>
        <w:rPr>
          <w:rFonts w:hint="eastAsia"/>
          <w:color w:val="auto"/>
        </w:rPr>
        <w:t>自动监测数据，六项基本污染物年均浓度均达标及在相应24小时百分位数平均浓度均达</w:t>
      </w:r>
      <w:r>
        <w:rPr>
          <w:color w:val="auto"/>
        </w:rPr>
        <w:t>到了《环境空气质量标准》中二级标准限值的要求</w:t>
      </w:r>
      <w:r>
        <w:rPr>
          <w:rFonts w:hint="eastAsia"/>
          <w:color w:val="auto"/>
        </w:rPr>
        <w:t>，判定本项目位于环境空气质量达标区标</w:t>
      </w:r>
      <w:r>
        <w:rPr>
          <w:color w:val="auto"/>
        </w:rPr>
        <w:t>。</w:t>
      </w:r>
    </w:p>
    <w:p>
      <w:pPr>
        <w:numPr>
          <w:ilvl w:val="0"/>
          <w:numId w:val="9"/>
        </w:numPr>
        <w:ind w:left="0" w:leftChars="0" w:firstLine="0" w:firstLineChars="0"/>
        <w:jc w:val="center"/>
        <w:rPr>
          <w:b/>
          <w:color w:val="auto"/>
          <w:kern w:val="21"/>
          <w:szCs w:val="20"/>
        </w:rPr>
      </w:pPr>
      <w:r>
        <w:rPr>
          <w:rFonts w:hint="eastAsia"/>
          <w:b/>
          <w:color w:val="auto"/>
          <w:kern w:val="21"/>
          <w:szCs w:val="20"/>
        </w:rPr>
        <w:t xml:space="preserve"> </w:t>
      </w:r>
      <w:r>
        <w:rPr>
          <w:b/>
          <w:color w:val="auto"/>
          <w:kern w:val="21"/>
          <w:szCs w:val="20"/>
        </w:rPr>
        <w:t>20</w:t>
      </w:r>
      <w:r>
        <w:rPr>
          <w:rFonts w:hint="eastAsia"/>
          <w:b/>
          <w:color w:val="auto"/>
          <w:kern w:val="21"/>
          <w:szCs w:val="20"/>
        </w:rPr>
        <w:t>20</w:t>
      </w:r>
      <w:r>
        <w:rPr>
          <w:b/>
          <w:color w:val="auto"/>
          <w:kern w:val="21"/>
          <w:szCs w:val="20"/>
        </w:rPr>
        <w:t>年楚雄市基本污染物环境质量现状</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2359"/>
        <w:gridCol w:w="1557"/>
        <w:gridCol w:w="1301"/>
        <w:gridCol w:w="1351"/>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color w:val="auto"/>
                <w:sz w:val="21"/>
                <w:szCs w:val="21"/>
              </w:rPr>
            </w:pPr>
            <w:r>
              <w:rPr>
                <w:b/>
                <w:bCs/>
                <w:color w:val="auto"/>
                <w:sz w:val="21"/>
                <w:szCs w:val="21"/>
              </w:rPr>
              <w:t>污染物</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color w:val="auto"/>
                <w:sz w:val="21"/>
                <w:szCs w:val="21"/>
              </w:rPr>
            </w:pPr>
            <w:r>
              <w:rPr>
                <w:b/>
                <w:bCs/>
                <w:color w:val="auto"/>
                <w:sz w:val="21"/>
                <w:szCs w:val="21"/>
              </w:rPr>
              <w:t>年评价指标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color w:val="auto"/>
                <w:sz w:val="21"/>
                <w:szCs w:val="21"/>
              </w:rPr>
            </w:pPr>
            <w:r>
              <w:rPr>
                <w:b/>
                <w:bCs/>
                <w:color w:val="auto"/>
                <w:sz w:val="21"/>
                <w:szCs w:val="21"/>
              </w:rPr>
              <w:t>现状浓度/(</w:t>
            </w:r>
            <w:r>
              <w:rPr>
                <w:b/>
                <w:bCs/>
                <w:color w:val="auto"/>
                <w:sz w:val="21"/>
                <w:szCs w:val="21"/>
                <w:shd w:val="clear" w:color="auto" w:fill="FFFFFF"/>
              </w:rPr>
              <w:t>μg/m</w:t>
            </w:r>
            <w:r>
              <w:rPr>
                <w:b/>
                <w:bCs/>
                <w:color w:val="auto"/>
                <w:sz w:val="21"/>
                <w:szCs w:val="21"/>
                <w:shd w:val="clear" w:color="auto" w:fill="FFFFFF"/>
                <w:vertAlign w:val="superscript"/>
              </w:rPr>
              <w:t>3</w:t>
            </w:r>
            <w:r>
              <w:rPr>
                <w:b/>
                <w:bCs/>
                <w:color w:val="auto"/>
                <w:sz w:val="21"/>
                <w:szCs w:val="21"/>
              </w:rPr>
              <w:t>)</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color w:val="auto"/>
                <w:sz w:val="21"/>
                <w:szCs w:val="21"/>
              </w:rPr>
            </w:pPr>
            <w:r>
              <w:rPr>
                <w:b/>
                <w:bCs/>
                <w:color w:val="auto"/>
                <w:sz w:val="21"/>
                <w:szCs w:val="21"/>
              </w:rPr>
              <w:t>标准值/（</w:t>
            </w:r>
            <w:r>
              <w:rPr>
                <w:b/>
                <w:bCs/>
                <w:color w:val="auto"/>
                <w:sz w:val="21"/>
                <w:szCs w:val="21"/>
                <w:shd w:val="clear" w:color="auto" w:fill="FFFFFF"/>
              </w:rPr>
              <w:t>μg/m</w:t>
            </w:r>
            <w:r>
              <w:rPr>
                <w:b/>
                <w:bCs/>
                <w:color w:val="auto"/>
                <w:sz w:val="21"/>
                <w:szCs w:val="21"/>
                <w:shd w:val="clear" w:color="auto" w:fill="FFFFFF"/>
                <w:vertAlign w:val="superscript"/>
              </w:rPr>
              <w:t>3</w:t>
            </w:r>
            <w:r>
              <w:rPr>
                <w:b/>
                <w:bCs/>
                <w:color w:val="auto"/>
                <w:sz w:val="21"/>
                <w:szCs w:val="21"/>
              </w:rPr>
              <w:t>）</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color w:val="auto"/>
                <w:sz w:val="21"/>
                <w:szCs w:val="21"/>
              </w:rPr>
            </w:pPr>
            <w:r>
              <w:rPr>
                <w:b/>
                <w:bCs/>
                <w:color w:val="auto"/>
                <w:sz w:val="21"/>
                <w:szCs w:val="21"/>
              </w:rPr>
              <w:t>占标率/%</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color w:val="auto"/>
                <w:sz w:val="21"/>
                <w:szCs w:val="21"/>
              </w:rPr>
            </w:pPr>
            <w:r>
              <w:rPr>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z w:val="21"/>
                <w:szCs w:val="21"/>
              </w:rPr>
              <w:t>SO</w:t>
            </w:r>
            <w:r>
              <w:rPr>
                <w:color w:val="auto"/>
                <w:sz w:val="21"/>
                <w:szCs w:val="21"/>
                <w:vertAlign w:val="subscript"/>
              </w:rPr>
              <w:t>2</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z w:val="21"/>
                <w:szCs w:val="21"/>
              </w:rPr>
              <w:t>年平均质量浓度</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9.33</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60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15.54</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pacing w:val="-6"/>
                <w:sz w:val="21"/>
                <w:szCs w:val="21"/>
              </w:rPr>
              <w:t>第98百分位数日平均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21.39</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150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14.26</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z w:val="21"/>
                <w:szCs w:val="21"/>
              </w:rPr>
              <w:t>NO</w:t>
            </w:r>
            <w:r>
              <w:rPr>
                <w:color w:val="auto"/>
                <w:sz w:val="21"/>
                <w:szCs w:val="21"/>
                <w:vertAlign w:val="subscript"/>
              </w:rPr>
              <w:t>2</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z w:val="21"/>
                <w:szCs w:val="21"/>
              </w:rPr>
              <w:t>年平均质量浓度</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15.24</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40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19.05</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pacing w:val="-6"/>
                <w:sz w:val="21"/>
                <w:szCs w:val="21"/>
              </w:rPr>
              <w:t>第98百分位数日平均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38.21</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80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47.76</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z w:val="21"/>
                <w:szCs w:val="21"/>
              </w:rPr>
              <w:t>PM</w:t>
            </w:r>
            <w:r>
              <w:rPr>
                <w:color w:val="auto"/>
                <w:sz w:val="21"/>
                <w:szCs w:val="21"/>
                <w:vertAlign w:val="subscript"/>
              </w:rPr>
              <w:t>10</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z w:val="21"/>
                <w:szCs w:val="21"/>
              </w:rPr>
              <w:t>年平均质量浓度</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25.87</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70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36.96</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pacing w:val="-6"/>
                <w:sz w:val="21"/>
                <w:szCs w:val="21"/>
              </w:rPr>
              <w:t>第95百分位数日平均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53.82</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150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35.88</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z w:val="21"/>
                <w:szCs w:val="21"/>
              </w:rPr>
              <w:t>PM</w:t>
            </w:r>
            <w:r>
              <w:rPr>
                <w:color w:val="auto"/>
                <w:sz w:val="21"/>
                <w:szCs w:val="21"/>
                <w:vertAlign w:val="subscript"/>
              </w:rPr>
              <w:t>2.5</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z w:val="21"/>
                <w:szCs w:val="21"/>
              </w:rPr>
              <w:t>年平均质量浓度</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17.17</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35</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49.06</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pacing w:val="-6"/>
                <w:sz w:val="21"/>
                <w:szCs w:val="21"/>
              </w:rPr>
              <w:t>第95百分位数日平均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39.82</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75</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53.09</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z w:val="21"/>
                <w:szCs w:val="21"/>
              </w:rPr>
              <w:t>CO</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pacing w:val="-6"/>
                <w:sz w:val="21"/>
                <w:szCs w:val="21"/>
              </w:rPr>
            </w:pPr>
            <w:r>
              <w:rPr>
                <w:color w:val="auto"/>
                <w:spacing w:val="-6"/>
                <w:sz w:val="21"/>
                <w:szCs w:val="21"/>
              </w:rPr>
              <w:t>第95百分位数日平均</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0.89</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4000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0.02</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color w:val="auto"/>
                <w:sz w:val="21"/>
                <w:szCs w:val="21"/>
              </w:rPr>
              <w:t>O</w:t>
            </w:r>
            <w:r>
              <w:rPr>
                <w:color w:val="auto"/>
                <w:sz w:val="21"/>
                <w:szCs w:val="21"/>
                <w:vertAlign w:val="subscript"/>
              </w:rPr>
              <w:t>3</w:t>
            </w:r>
          </w:p>
        </w:tc>
        <w:tc>
          <w:tcPr>
            <w:tcW w:w="23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pacing w:val="-6"/>
                <w:sz w:val="21"/>
                <w:szCs w:val="21"/>
              </w:rPr>
            </w:pPr>
            <w:r>
              <w:rPr>
                <w:color w:val="auto"/>
                <w:spacing w:val="-6"/>
                <w:sz w:val="21"/>
                <w:szCs w:val="21"/>
              </w:rPr>
              <w:t>最大8小时滑动平均值的第90百分位数</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105.5</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160</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65.94</w:t>
            </w: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rPr>
            </w:pPr>
            <w:r>
              <w:rPr>
                <w:rFonts w:hint="eastAsia"/>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before="0" w:beforeLines="50"/>
        <w:ind w:firstLine="482"/>
        <w:textAlignment w:val="auto"/>
        <w:rPr>
          <w:b/>
          <w:bCs/>
          <w:color w:val="auto"/>
          <w:kern w:val="21"/>
        </w:rPr>
      </w:pPr>
      <w:r>
        <w:rPr>
          <w:b/>
          <w:bCs/>
          <w:color w:val="auto"/>
          <w:kern w:val="21"/>
        </w:rPr>
        <w:t>2、</w:t>
      </w:r>
      <w:r>
        <w:rPr>
          <w:rFonts w:hint="eastAsia"/>
          <w:b/>
          <w:bCs/>
          <w:color w:val="auto"/>
          <w:kern w:val="21"/>
        </w:rPr>
        <w:t>补充监测</w:t>
      </w:r>
    </w:p>
    <w:p>
      <w:pPr>
        <w:adjustRightInd w:val="0"/>
        <w:snapToGrid w:val="0"/>
        <w:ind w:firstLine="480"/>
        <w:rPr>
          <w:color w:val="auto"/>
          <w:kern w:val="21"/>
        </w:rPr>
      </w:pPr>
      <w:r>
        <w:rPr>
          <w:color w:val="auto"/>
          <w:kern w:val="21"/>
          <w:lang w:bidi="ar"/>
        </w:rPr>
        <w:t>本次</w:t>
      </w:r>
      <w:r>
        <w:rPr>
          <w:rFonts w:hint="eastAsia"/>
          <w:color w:val="auto"/>
          <w:kern w:val="21"/>
          <w:lang w:bidi="ar"/>
        </w:rPr>
        <w:t>大气</w:t>
      </w:r>
      <w:r>
        <w:rPr>
          <w:color w:val="auto"/>
          <w:kern w:val="21"/>
          <w:lang w:bidi="ar"/>
        </w:rPr>
        <w:t>环境质量现状监测工作由</w:t>
      </w:r>
      <w:r>
        <w:rPr>
          <w:bCs/>
          <w:color w:val="auto"/>
          <w:kern w:val="21"/>
        </w:rPr>
        <w:t>云南环绿环境检测技术有限公司</w:t>
      </w:r>
      <w:r>
        <w:rPr>
          <w:color w:val="auto"/>
          <w:kern w:val="21"/>
          <w:lang w:bidi="ar"/>
        </w:rPr>
        <w:t>完成，环境空气采样时间为2020年4月11日~4月17日。</w:t>
      </w:r>
      <w:r>
        <w:rPr>
          <w:color w:val="auto"/>
          <w:kern w:val="21"/>
        </w:rPr>
        <w:t>在大气环境影响评价区内设置了3个监测点对氨、硫化氢及臭气浓度进行了补充监测，补充监测内容及结果如下：</w:t>
      </w:r>
    </w:p>
    <w:p>
      <w:pPr>
        <w:tabs>
          <w:tab w:val="left" w:pos="1070"/>
        </w:tabs>
        <w:adjustRightInd w:val="0"/>
        <w:snapToGrid w:val="0"/>
        <w:ind w:firstLine="480"/>
        <w:jc w:val="left"/>
        <w:rPr>
          <w:color w:val="auto"/>
          <w:kern w:val="21"/>
        </w:rPr>
      </w:pPr>
      <w:r>
        <w:rPr>
          <w:color w:val="auto"/>
          <w:kern w:val="21"/>
        </w:rPr>
        <w:t>（1）监测点布设及监测因子</w:t>
      </w:r>
    </w:p>
    <w:p>
      <w:pPr>
        <w:adjustRightInd w:val="0"/>
        <w:snapToGrid w:val="0"/>
        <w:ind w:firstLine="480"/>
        <w:rPr>
          <w:color w:val="auto"/>
          <w:kern w:val="21"/>
        </w:rPr>
      </w:pPr>
      <w:r>
        <w:rPr>
          <w:bCs/>
          <w:color w:val="auto"/>
          <w:kern w:val="21"/>
        </w:rPr>
        <w:t>本次环评在项目厂址西南面（上风向）、</w:t>
      </w:r>
      <w:r>
        <w:rPr>
          <w:color w:val="auto"/>
          <w:kern w:val="21"/>
        </w:rPr>
        <w:t>迤周村（侧风向）和迤干村（下风向）各布设一个监测点。</w:t>
      </w:r>
    </w:p>
    <w:p>
      <w:pPr>
        <w:adjustRightInd w:val="0"/>
        <w:snapToGrid w:val="0"/>
        <w:ind w:firstLine="480"/>
        <w:rPr>
          <w:bCs/>
          <w:color w:val="auto"/>
          <w:kern w:val="21"/>
        </w:rPr>
      </w:pPr>
      <w:r>
        <w:rPr>
          <w:bCs/>
          <w:color w:val="auto"/>
          <w:kern w:val="21"/>
        </w:rPr>
        <w:t>（2）监测因子：氨、H</w:t>
      </w:r>
      <w:r>
        <w:rPr>
          <w:bCs/>
          <w:color w:val="auto"/>
          <w:kern w:val="21"/>
          <w:vertAlign w:val="subscript"/>
        </w:rPr>
        <w:t>2</w:t>
      </w:r>
      <w:r>
        <w:rPr>
          <w:bCs/>
          <w:color w:val="auto"/>
          <w:kern w:val="21"/>
        </w:rPr>
        <w:t>S和臭气浓度</w:t>
      </w:r>
    </w:p>
    <w:p>
      <w:pPr>
        <w:adjustRightInd w:val="0"/>
        <w:snapToGrid w:val="0"/>
        <w:ind w:firstLine="480"/>
        <w:rPr>
          <w:bCs/>
          <w:color w:val="auto"/>
          <w:kern w:val="21"/>
        </w:rPr>
      </w:pPr>
      <w:r>
        <w:rPr>
          <w:bCs/>
          <w:color w:val="auto"/>
          <w:kern w:val="21"/>
        </w:rPr>
        <w:t>（3）监测时间与频率</w:t>
      </w:r>
    </w:p>
    <w:p>
      <w:pPr>
        <w:adjustRightInd w:val="0"/>
        <w:snapToGrid w:val="0"/>
        <w:ind w:firstLine="480"/>
        <w:rPr>
          <w:color w:val="auto"/>
          <w:kern w:val="21"/>
        </w:rPr>
      </w:pPr>
      <w:r>
        <w:rPr>
          <w:color w:val="auto"/>
          <w:kern w:val="21"/>
        </w:rPr>
        <w:t>监测时间为2020年4月11日~4月17日，均连续采样7天。采样监测同时记录风向、风速、气压、气温、风频等常规气象要素。</w:t>
      </w:r>
    </w:p>
    <w:p>
      <w:pPr>
        <w:tabs>
          <w:tab w:val="left" w:pos="1070"/>
        </w:tabs>
        <w:ind w:firstLine="480"/>
        <w:jc w:val="left"/>
        <w:rPr>
          <w:bCs/>
          <w:color w:val="auto"/>
          <w:kern w:val="21"/>
        </w:rPr>
      </w:pPr>
      <w:r>
        <w:rPr>
          <w:bCs/>
          <w:color w:val="auto"/>
          <w:kern w:val="21"/>
        </w:rPr>
        <w:t>（4）采样分析方法</w:t>
      </w:r>
    </w:p>
    <w:p>
      <w:pPr>
        <w:tabs>
          <w:tab w:val="left" w:pos="1070"/>
        </w:tabs>
        <w:ind w:firstLine="480"/>
        <w:jc w:val="left"/>
        <w:rPr>
          <w:bCs/>
          <w:color w:val="auto"/>
          <w:kern w:val="21"/>
        </w:rPr>
      </w:pPr>
      <w:r>
        <w:rPr>
          <w:bCs/>
          <w:color w:val="auto"/>
          <w:kern w:val="21"/>
        </w:rPr>
        <w:t>本次大气分析方法见</w:t>
      </w:r>
      <w:r>
        <w:rPr>
          <w:rFonts w:hint="eastAsia"/>
          <w:bCs/>
          <w:color w:val="auto"/>
          <w:kern w:val="21"/>
          <w:lang w:eastAsia="zh-CN"/>
        </w:rPr>
        <w:t>下表</w:t>
      </w:r>
      <w:r>
        <w:rPr>
          <w:bCs/>
          <w:color w:val="auto"/>
          <w:kern w:val="21"/>
        </w:rPr>
        <w:t>。</w:t>
      </w:r>
    </w:p>
    <w:p>
      <w:pPr>
        <w:numPr>
          <w:ilvl w:val="0"/>
          <w:numId w:val="9"/>
        </w:numPr>
        <w:ind w:left="0" w:leftChars="0" w:firstLine="0" w:firstLineChars="0"/>
        <w:jc w:val="center"/>
        <w:rPr>
          <w:b/>
          <w:color w:val="auto"/>
          <w:kern w:val="21"/>
          <w:lang w:bidi="he-IL"/>
        </w:rPr>
      </w:pPr>
      <w:r>
        <w:rPr>
          <w:b/>
          <w:color w:val="auto"/>
          <w:kern w:val="21"/>
          <w:lang w:bidi="he-IL"/>
        </w:rPr>
        <w:t>大气检测项目、方法、设备一览表</w:t>
      </w:r>
    </w:p>
    <w:tbl>
      <w:tblPr>
        <w:tblStyle w:val="51"/>
        <w:tblW w:w="826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942"/>
        <w:gridCol w:w="3288"/>
        <w:gridCol w:w="1620"/>
        <w:gridCol w:w="918"/>
        <w:gridCol w:w="14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3" w:hRule="atLeast"/>
          <w:jc w:val="center"/>
        </w:trPr>
        <w:tc>
          <w:tcPr>
            <w:tcW w:w="942" w:type="dxa"/>
            <w:vAlign w:val="center"/>
          </w:tcPr>
          <w:p>
            <w:pPr>
              <w:widowControl/>
              <w:spacing w:line="300" w:lineRule="exact"/>
              <w:ind w:firstLine="0" w:firstLineChars="0"/>
              <w:jc w:val="center"/>
              <w:rPr>
                <w:b/>
                <w:bCs/>
                <w:color w:val="auto"/>
                <w:kern w:val="21"/>
                <w:sz w:val="21"/>
                <w:szCs w:val="21"/>
              </w:rPr>
            </w:pPr>
            <w:r>
              <w:rPr>
                <w:b/>
                <w:bCs/>
                <w:color w:val="auto"/>
                <w:kern w:val="21"/>
                <w:sz w:val="21"/>
                <w:szCs w:val="21"/>
              </w:rPr>
              <w:t>检测</w:t>
            </w:r>
          </w:p>
          <w:p>
            <w:pPr>
              <w:widowControl/>
              <w:spacing w:line="300" w:lineRule="exact"/>
              <w:ind w:firstLine="0" w:firstLineChars="0"/>
              <w:jc w:val="center"/>
              <w:rPr>
                <w:b/>
                <w:bCs/>
                <w:color w:val="auto"/>
                <w:kern w:val="21"/>
                <w:sz w:val="21"/>
                <w:szCs w:val="21"/>
              </w:rPr>
            </w:pPr>
            <w:r>
              <w:rPr>
                <w:b/>
                <w:bCs/>
                <w:color w:val="auto"/>
                <w:kern w:val="21"/>
                <w:sz w:val="21"/>
                <w:szCs w:val="21"/>
              </w:rPr>
              <w:t>项目</w:t>
            </w:r>
          </w:p>
        </w:tc>
        <w:tc>
          <w:tcPr>
            <w:tcW w:w="3288" w:type="dxa"/>
            <w:vAlign w:val="center"/>
          </w:tcPr>
          <w:p>
            <w:pPr>
              <w:widowControl/>
              <w:spacing w:line="300" w:lineRule="exact"/>
              <w:ind w:firstLine="0" w:firstLineChars="0"/>
              <w:jc w:val="center"/>
              <w:rPr>
                <w:b/>
                <w:bCs/>
                <w:color w:val="auto"/>
                <w:kern w:val="21"/>
                <w:sz w:val="21"/>
                <w:szCs w:val="21"/>
              </w:rPr>
            </w:pPr>
            <w:r>
              <w:rPr>
                <w:b/>
                <w:bCs/>
                <w:color w:val="auto"/>
                <w:kern w:val="21"/>
                <w:sz w:val="21"/>
                <w:szCs w:val="21"/>
                <w:lang w:bidi="he-IL"/>
              </w:rPr>
              <w:t>检测依据/标准名称</w:t>
            </w:r>
          </w:p>
        </w:tc>
        <w:tc>
          <w:tcPr>
            <w:tcW w:w="1620" w:type="dxa"/>
            <w:vAlign w:val="center"/>
          </w:tcPr>
          <w:p>
            <w:pPr>
              <w:widowControl/>
              <w:spacing w:line="300" w:lineRule="exact"/>
              <w:ind w:firstLine="0" w:firstLineChars="0"/>
              <w:jc w:val="center"/>
              <w:rPr>
                <w:b/>
                <w:bCs/>
                <w:color w:val="auto"/>
                <w:kern w:val="21"/>
                <w:sz w:val="21"/>
                <w:szCs w:val="21"/>
              </w:rPr>
            </w:pPr>
            <w:r>
              <w:rPr>
                <w:b/>
                <w:bCs/>
                <w:color w:val="auto"/>
                <w:kern w:val="21"/>
                <w:sz w:val="21"/>
                <w:szCs w:val="21"/>
              </w:rPr>
              <w:t>检测仪器设备</w:t>
            </w:r>
          </w:p>
          <w:p>
            <w:pPr>
              <w:widowControl/>
              <w:spacing w:line="300" w:lineRule="exact"/>
              <w:ind w:firstLine="0" w:firstLineChars="0"/>
              <w:jc w:val="center"/>
              <w:rPr>
                <w:b/>
                <w:bCs/>
                <w:color w:val="auto"/>
                <w:kern w:val="21"/>
                <w:sz w:val="21"/>
                <w:szCs w:val="21"/>
              </w:rPr>
            </w:pPr>
            <w:r>
              <w:rPr>
                <w:b/>
                <w:bCs/>
                <w:color w:val="auto"/>
                <w:kern w:val="21"/>
                <w:sz w:val="21"/>
                <w:szCs w:val="21"/>
              </w:rPr>
              <w:t>名称/型号</w:t>
            </w:r>
          </w:p>
        </w:tc>
        <w:tc>
          <w:tcPr>
            <w:tcW w:w="918" w:type="dxa"/>
            <w:vAlign w:val="center"/>
          </w:tcPr>
          <w:p>
            <w:pPr>
              <w:widowControl/>
              <w:spacing w:line="300" w:lineRule="exact"/>
              <w:ind w:firstLine="0" w:firstLineChars="0"/>
              <w:jc w:val="center"/>
              <w:rPr>
                <w:b/>
                <w:bCs/>
                <w:color w:val="auto"/>
                <w:kern w:val="21"/>
                <w:sz w:val="21"/>
                <w:szCs w:val="21"/>
              </w:rPr>
            </w:pPr>
            <w:r>
              <w:rPr>
                <w:b/>
                <w:bCs/>
                <w:color w:val="auto"/>
                <w:kern w:val="21"/>
                <w:sz w:val="21"/>
                <w:szCs w:val="21"/>
              </w:rPr>
              <w:t>设备</w:t>
            </w:r>
          </w:p>
          <w:p>
            <w:pPr>
              <w:widowControl/>
              <w:spacing w:line="300" w:lineRule="exact"/>
              <w:ind w:firstLine="0" w:firstLineChars="0"/>
              <w:jc w:val="center"/>
              <w:rPr>
                <w:b/>
                <w:bCs/>
                <w:color w:val="auto"/>
                <w:kern w:val="21"/>
                <w:sz w:val="21"/>
                <w:szCs w:val="21"/>
              </w:rPr>
            </w:pPr>
            <w:r>
              <w:rPr>
                <w:b/>
                <w:bCs/>
                <w:color w:val="auto"/>
                <w:kern w:val="21"/>
                <w:sz w:val="21"/>
                <w:szCs w:val="21"/>
              </w:rPr>
              <w:t>编号</w:t>
            </w:r>
          </w:p>
        </w:tc>
        <w:tc>
          <w:tcPr>
            <w:tcW w:w="1495" w:type="dxa"/>
            <w:vAlign w:val="center"/>
          </w:tcPr>
          <w:p>
            <w:pPr>
              <w:widowControl/>
              <w:spacing w:line="300" w:lineRule="exact"/>
              <w:ind w:firstLine="211" w:firstLineChars="100"/>
              <w:rPr>
                <w:b/>
                <w:bCs/>
                <w:color w:val="auto"/>
                <w:kern w:val="21"/>
                <w:sz w:val="21"/>
                <w:szCs w:val="21"/>
              </w:rPr>
            </w:pPr>
            <w:r>
              <w:rPr>
                <w:b/>
                <w:bCs/>
                <w:color w:val="auto"/>
                <w:kern w:val="21"/>
                <w:sz w:val="21"/>
                <w:szCs w:val="21"/>
              </w:rPr>
              <w:t>最低检出限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3" w:hRule="atLeast"/>
          <w:jc w:val="center"/>
        </w:trPr>
        <w:tc>
          <w:tcPr>
            <w:tcW w:w="942" w:type="dxa"/>
            <w:vAlign w:val="center"/>
          </w:tcPr>
          <w:p>
            <w:pPr>
              <w:widowControl/>
              <w:spacing w:line="300" w:lineRule="exact"/>
              <w:ind w:firstLine="0" w:firstLineChars="0"/>
              <w:jc w:val="center"/>
              <w:rPr>
                <w:b/>
                <w:color w:val="auto"/>
                <w:kern w:val="21"/>
                <w:sz w:val="21"/>
                <w:szCs w:val="21"/>
                <w:lang w:bidi="he-IL"/>
              </w:rPr>
            </w:pPr>
            <w:r>
              <w:rPr>
                <w:b/>
                <w:color w:val="auto"/>
                <w:kern w:val="21"/>
                <w:sz w:val="21"/>
                <w:szCs w:val="21"/>
                <w:lang w:bidi="he-IL"/>
              </w:rPr>
              <w:t>氨</w:t>
            </w:r>
          </w:p>
        </w:tc>
        <w:tc>
          <w:tcPr>
            <w:tcW w:w="3288" w:type="dxa"/>
            <w:vAlign w:val="center"/>
          </w:tcPr>
          <w:p>
            <w:pPr>
              <w:widowControl/>
              <w:spacing w:line="300" w:lineRule="exact"/>
              <w:ind w:firstLine="0" w:firstLineChars="0"/>
              <w:jc w:val="center"/>
              <w:rPr>
                <w:color w:val="auto"/>
                <w:kern w:val="21"/>
                <w:sz w:val="21"/>
                <w:szCs w:val="21"/>
              </w:rPr>
            </w:pPr>
            <w:r>
              <w:rPr>
                <w:color w:val="auto"/>
                <w:kern w:val="21"/>
                <w:sz w:val="21"/>
                <w:szCs w:val="21"/>
              </w:rPr>
              <w:t>HJ533-2009</w:t>
            </w:r>
          </w:p>
          <w:p>
            <w:pPr>
              <w:widowControl/>
              <w:spacing w:line="300" w:lineRule="exact"/>
              <w:ind w:firstLine="0" w:firstLineChars="0"/>
              <w:jc w:val="center"/>
              <w:rPr>
                <w:color w:val="auto"/>
                <w:kern w:val="21"/>
                <w:sz w:val="21"/>
                <w:szCs w:val="21"/>
              </w:rPr>
            </w:pPr>
            <w:r>
              <w:rPr>
                <w:color w:val="auto"/>
                <w:kern w:val="21"/>
                <w:sz w:val="21"/>
                <w:szCs w:val="21"/>
              </w:rPr>
              <w:t>环境空气和废气氨的测定</w:t>
            </w:r>
          </w:p>
          <w:p>
            <w:pPr>
              <w:widowControl/>
              <w:spacing w:line="300" w:lineRule="exact"/>
              <w:ind w:firstLine="0" w:firstLineChars="0"/>
              <w:jc w:val="center"/>
              <w:rPr>
                <w:b/>
                <w:bCs/>
                <w:color w:val="auto"/>
                <w:kern w:val="21"/>
                <w:sz w:val="21"/>
                <w:szCs w:val="21"/>
                <w:lang w:bidi="he-IL"/>
              </w:rPr>
            </w:pPr>
            <w:r>
              <w:rPr>
                <w:color w:val="auto"/>
                <w:kern w:val="21"/>
                <w:sz w:val="21"/>
                <w:szCs w:val="21"/>
              </w:rPr>
              <w:t>纳氏试剂分光光度法</w:t>
            </w:r>
          </w:p>
        </w:tc>
        <w:tc>
          <w:tcPr>
            <w:tcW w:w="1620" w:type="dxa"/>
            <w:vAlign w:val="center"/>
          </w:tcPr>
          <w:p>
            <w:pPr>
              <w:widowControl/>
              <w:spacing w:line="300" w:lineRule="exact"/>
              <w:ind w:firstLine="0" w:firstLineChars="0"/>
              <w:jc w:val="center"/>
              <w:rPr>
                <w:color w:val="auto"/>
                <w:kern w:val="21"/>
                <w:sz w:val="21"/>
                <w:szCs w:val="21"/>
              </w:rPr>
            </w:pPr>
            <w:r>
              <w:rPr>
                <w:color w:val="auto"/>
                <w:kern w:val="21"/>
                <w:sz w:val="21"/>
                <w:szCs w:val="21"/>
              </w:rPr>
              <w:t>UV1901PC型</w:t>
            </w:r>
          </w:p>
          <w:p>
            <w:pPr>
              <w:widowControl/>
              <w:spacing w:line="300" w:lineRule="exact"/>
              <w:ind w:firstLine="0" w:firstLineChars="0"/>
              <w:jc w:val="center"/>
              <w:rPr>
                <w:b/>
                <w:bCs/>
                <w:color w:val="auto"/>
                <w:kern w:val="21"/>
                <w:sz w:val="21"/>
                <w:szCs w:val="21"/>
              </w:rPr>
            </w:pPr>
            <w:r>
              <w:rPr>
                <w:color w:val="auto"/>
                <w:kern w:val="21"/>
                <w:sz w:val="21"/>
                <w:szCs w:val="21"/>
              </w:rPr>
              <w:t>双光束紫外可见分光光度计</w:t>
            </w:r>
          </w:p>
        </w:tc>
        <w:tc>
          <w:tcPr>
            <w:tcW w:w="918" w:type="dxa"/>
            <w:vAlign w:val="center"/>
          </w:tcPr>
          <w:p>
            <w:pPr>
              <w:widowControl/>
              <w:spacing w:line="300" w:lineRule="exact"/>
              <w:ind w:firstLine="0" w:firstLineChars="0"/>
              <w:jc w:val="center"/>
              <w:rPr>
                <w:b/>
                <w:bCs/>
                <w:color w:val="auto"/>
                <w:kern w:val="21"/>
                <w:sz w:val="21"/>
                <w:szCs w:val="21"/>
              </w:rPr>
            </w:pPr>
            <w:r>
              <w:rPr>
                <w:color w:val="auto"/>
                <w:kern w:val="21"/>
                <w:sz w:val="21"/>
                <w:szCs w:val="21"/>
              </w:rPr>
              <w:t>HL-136</w:t>
            </w:r>
          </w:p>
        </w:tc>
        <w:tc>
          <w:tcPr>
            <w:tcW w:w="1495" w:type="dxa"/>
            <w:vAlign w:val="center"/>
          </w:tcPr>
          <w:p>
            <w:pPr>
              <w:widowControl/>
              <w:spacing w:line="300" w:lineRule="exact"/>
              <w:ind w:firstLine="0" w:firstLineChars="0"/>
              <w:jc w:val="center"/>
              <w:rPr>
                <w:b/>
                <w:bCs/>
                <w:color w:val="auto"/>
                <w:kern w:val="21"/>
                <w:sz w:val="21"/>
                <w:szCs w:val="21"/>
              </w:rPr>
            </w:pPr>
            <w:r>
              <w:rPr>
                <w:color w:val="auto"/>
                <w:kern w:val="21"/>
                <w:sz w:val="21"/>
                <w:szCs w:val="21"/>
                <w:lang w:bidi="he-IL"/>
              </w:rPr>
              <w:t>0.01mg/m</w:t>
            </w:r>
            <w:r>
              <w:rPr>
                <w:color w:val="auto"/>
                <w:kern w:val="21"/>
                <w:sz w:val="21"/>
                <w:szCs w:val="21"/>
                <w:vertAlign w:val="superscript"/>
                <w:lang w:bidi="he-IL"/>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3" w:hRule="atLeast"/>
          <w:jc w:val="center"/>
        </w:trPr>
        <w:tc>
          <w:tcPr>
            <w:tcW w:w="942" w:type="dxa"/>
            <w:vAlign w:val="center"/>
          </w:tcPr>
          <w:p>
            <w:pPr>
              <w:widowControl/>
              <w:spacing w:line="300" w:lineRule="exact"/>
              <w:ind w:firstLine="0" w:firstLineChars="0"/>
              <w:jc w:val="center"/>
              <w:rPr>
                <w:b/>
                <w:color w:val="auto"/>
                <w:kern w:val="21"/>
                <w:sz w:val="21"/>
                <w:szCs w:val="21"/>
                <w:lang w:bidi="he-IL"/>
              </w:rPr>
            </w:pPr>
            <w:r>
              <w:rPr>
                <w:b/>
                <w:color w:val="auto"/>
                <w:kern w:val="21"/>
                <w:sz w:val="21"/>
                <w:szCs w:val="21"/>
                <w:lang w:bidi="he-IL"/>
              </w:rPr>
              <w:t>硫化氢</w:t>
            </w:r>
          </w:p>
        </w:tc>
        <w:tc>
          <w:tcPr>
            <w:tcW w:w="3288" w:type="dxa"/>
            <w:vAlign w:val="center"/>
          </w:tcPr>
          <w:p>
            <w:pPr>
              <w:widowControl/>
              <w:spacing w:line="300" w:lineRule="exact"/>
              <w:ind w:firstLine="0" w:firstLineChars="0"/>
              <w:jc w:val="center"/>
              <w:rPr>
                <w:b/>
                <w:bCs/>
                <w:color w:val="auto"/>
                <w:kern w:val="21"/>
                <w:sz w:val="21"/>
                <w:szCs w:val="21"/>
                <w:lang w:bidi="he-IL"/>
              </w:rPr>
            </w:pPr>
            <w:r>
              <w:rPr>
                <w:color w:val="auto"/>
                <w:kern w:val="21"/>
                <w:sz w:val="21"/>
                <w:szCs w:val="21"/>
                <w:lang w:bidi="he-IL"/>
              </w:rPr>
              <w:t>环境空气和废气硫化氢亚甲基蓝分光光度法《空气和废气监测分析方法》（第四版）国家环保总局</w:t>
            </w:r>
            <w:r>
              <w:rPr>
                <w:rFonts w:hint="eastAsia"/>
                <w:color w:val="auto"/>
                <w:kern w:val="21"/>
                <w:sz w:val="21"/>
                <w:szCs w:val="21"/>
                <w:lang w:bidi="he-IL"/>
              </w:rPr>
              <w:t>（</w:t>
            </w:r>
            <w:r>
              <w:rPr>
                <w:color w:val="auto"/>
                <w:kern w:val="21"/>
                <w:sz w:val="21"/>
                <w:szCs w:val="21"/>
                <w:lang w:bidi="he-IL"/>
              </w:rPr>
              <w:t>2003</w:t>
            </w:r>
            <w:r>
              <w:rPr>
                <w:rFonts w:hint="eastAsia"/>
                <w:color w:val="auto"/>
                <w:kern w:val="21"/>
                <w:sz w:val="21"/>
                <w:szCs w:val="21"/>
                <w:lang w:bidi="he-IL"/>
              </w:rPr>
              <w:t>）</w:t>
            </w:r>
          </w:p>
        </w:tc>
        <w:tc>
          <w:tcPr>
            <w:tcW w:w="1620" w:type="dxa"/>
            <w:vAlign w:val="center"/>
          </w:tcPr>
          <w:p>
            <w:pPr>
              <w:widowControl/>
              <w:spacing w:line="300" w:lineRule="exact"/>
              <w:ind w:firstLine="0" w:firstLineChars="0"/>
              <w:jc w:val="center"/>
              <w:rPr>
                <w:color w:val="auto"/>
                <w:kern w:val="21"/>
                <w:sz w:val="21"/>
                <w:szCs w:val="21"/>
              </w:rPr>
            </w:pPr>
            <w:r>
              <w:rPr>
                <w:color w:val="auto"/>
                <w:kern w:val="21"/>
                <w:sz w:val="21"/>
                <w:szCs w:val="21"/>
              </w:rPr>
              <w:t>723型</w:t>
            </w:r>
          </w:p>
          <w:p>
            <w:pPr>
              <w:widowControl/>
              <w:spacing w:line="300" w:lineRule="exact"/>
              <w:ind w:firstLine="0" w:firstLineChars="0"/>
              <w:jc w:val="center"/>
              <w:rPr>
                <w:b/>
                <w:bCs/>
                <w:color w:val="auto"/>
                <w:kern w:val="21"/>
                <w:sz w:val="21"/>
                <w:szCs w:val="21"/>
              </w:rPr>
            </w:pPr>
            <w:r>
              <w:rPr>
                <w:color w:val="auto"/>
                <w:kern w:val="21"/>
                <w:sz w:val="21"/>
                <w:szCs w:val="21"/>
              </w:rPr>
              <w:t>可见分光光度计</w:t>
            </w:r>
          </w:p>
        </w:tc>
        <w:tc>
          <w:tcPr>
            <w:tcW w:w="918" w:type="dxa"/>
            <w:vAlign w:val="center"/>
          </w:tcPr>
          <w:p>
            <w:pPr>
              <w:widowControl/>
              <w:spacing w:line="300" w:lineRule="exact"/>
              <w:ind w:firstLine="0" w:firstLineChars="0"/>
              <w:jc w:val="center"/>
              <w:rPr>
                <w:b/>
                <w:bCs/>
                <w:color w:val="auto"/>
                <w:kern w:val="21"/>
                <w:sz w:val="21"/>
                <w:szCs w:val="21"/>
              </w:rPr>
            </w:pPr>
            <w:r>
              <w:rPr>
                <w:color w:val="auto"/>
                <w:kern w:val="21"/>
                <w:sz w:val="21"/>
                <w:szCs w:val="21"/>
              </w:rPr>
              <w:t>HL-155</w:t>
            </w:r>
          </w:p>
        </w:tc>
        <w:tc>
          <w:tcPr>
            <w:tcW w:w="1495" w:type="dxa"/>
            <w:vAlign w:val="center"/>
          </w:tcPr>
          <w:p>
            <w:pPr>
              <w:widowControl/>
              <w:spacing w:line="300" w:lineRule="exact"/>
              <w:ind w:firstLine="0" w:firstLineChars="0"/>
              <w:jc w:val="center"/>
              <w:rPr>
                <w:b/>
                <w:bCs/>
                <w:color w:val="auto"/>
                <w:kern w:val="21"/>
                <w:sz w:val="21"/>
                <w:szCs w:val="21"/>
              </w:rPr>
            </w:pPr>
            <w:r>
              <w:rPr>
                <w:color w:val="auto"/>
                <w:kern w:val="21"/>
                <w:sz w:val="21"/>
                <w:szCs w:val="21"/>
                <w:lang w:bidi="he-IL"/>
              </w:rPr>
              <w:t>0.001mg/m</w:t>
            </w:r>
            <w:r>
              <w:rPr>
                <w:color w:val="auto"/>
                <w:kern w:val="21"/>
                <w:sz w:val="21"/>
                <w:szCs w:val="21"/>
                <w:vertAlign w:val="superscript"/>
                <w:lang w:bidi="he-IL"/>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3" w:hRule="atLeast"/>
          <w:jc w:val="center"/>
        </w:trPr>
        <w:tc>
          <w:tcPr>
            <w:tcW w:w="942" w:type="dxa"/>
            <w:vAlign w:val="center"/>
          </w:tcPr>
          <w:p>
            <w:pPr>
              <w:widowControl/>
              <w:spacing w:line="300" w:lineRule="exact"/>
              <w:ind w:firstLine="0" w:firstLineChars="0"/>
              <w:jc w:val="center"/>
              <w:rPr>
                <w:b/>
                <w:color w:val="auto"/>
                <w:kern w:val="21"/>
                <w:sz w:val="21"/>
                <w:szCs w:val="21"/>
                <w:lang w:bidi="he-IL"/>
              </w:rPr>
            </w:pPr>
            <w:r>
              <w:rPr>
                <w:b/>
                <w:color w:val="auto"/>
                <w:kern w:val="21"/>
                <w:sz w:val="21"/>
                <w:szCs w:val="21"/>
                <w:lang w:bidi="he-IL"/>
              </w:rPr>
              <w:t>臭气浓度</w:t>
            </w:r>
          </w:p>
        </w:tc>
        <w:tc>
          <w:tcPr>
            <w:tcW w:w="3288" w:type="dxa"/>
            <w:vAlign w:val="center"/>
          </w:tcPr>
          <w:p>
            <w:pPr>
              <w:widowControl/>
              <w:spacing w:line="300" w:lineRule="exact"/>
              <w:ind w:firstLine="0" w:firstLineChars="0"/>
              <w:jc w:val="center"/>
              <w:rPr>
                <w:color w:val="auto"/>
                <w:kern w:val="21"/>
                <w:sz w:val="21"/>
                <w:szCs w:val="21"/>
                <w:lang w:bidi="he-IL"/>
              </w:rPr>
            </w:pPr>
            <w:r>
              <w:rPr>
                <w:color w:val="auto"/>
                <w:kern w:val="21"/>
                <w:sz w:val="21"/>
                <w:szCs w:val="21"/>
                <w:lang w:bidi="he-IL"/>
              </w:rPr>
              <w:t>GB/T14675-1993</w:t>
            </w:r>
          </w:p>
          <w:p>
            <w:pPr>
              <w:widowControl/>
              <w:spacing w:line="300" w:lineRule="exact"/>
              <w:ind w:firstLine="0" w:firstLineChars="0"/>
              <w:jc w:val="center"/>
              <w:rPr>
                <w:color w:val="auto"/>
                <w:kern w:val="21"/>
                <w:sz w:val="21"/>
                <w:szCs w:val="21"/>
                <w:lang w:bidi="he-IL"/>
              </w:rPr>
            </w:pPr>
            <w:r>
              <w:rPr>
                <w:color w:val="auto"/>
                <w:kern w:val="21"/>
                <w:sz w:val="21"/>
                <w:szCs w:val="21"/>
                <w:lang w:bidi="he-IL"/>
              </w:rPr>
              <w:t>空气质量</w:t>
            </w:r>
            <w:r>
              <w:rPr>
                <w:rFonts w:hint="eastAsia"/>
                <w:color w:val="auto"/>
                <w:kern w:val="21"/>
                <w:sz w:val="21"/>
                <w:szCs w:val="21"/>
                <w:lang w:bidi="he-IL"/>
              </w:rPr>
              <w:t>臭气</w:t>
            </w:r>
            <w:r>
              <w:rPr>
                <w:color w:val="auto"/>
                <w:kern w:val="21"/>
                <w:sz w:val="21"/>
                <w:szCs w:val="21"/>
                <w:lang w:bidi="he-IL"/>
              </w:rPr>
              <w:t>的测定</w:t>
            </w:r>
          </w:p>
          <w:p>
            <w:pPr>
              <w:widowControl/>
              <w:spacing w:line="300" w:lineRule="exact"/>
              <w:ind w:firstLine="0" w:firstLineChars="0"/>
              <w:jc w:val="center"/>
              <w:rPr>
                <w:b/>
                <w:bCs/>
                <w:color w:val="auto"/>
                <w:kern w:val="21"/>
                <w:sz w:val="21"/>
                <w:szCs w:val="21"/>
                <w:lang w:bidi="he-IL"/>
              </w:rPr>
            </w:pPr>
            <w:r>
              <w:rPr>
                <w:color w:val="auto"/>
                <w:kern w:val="21"/>
                <w:sz w:val="21"/>
                <w:szCs w:val="21"/>
                <w:lang w:bidi="he-IL"/>
              </w:rPr>
              <w:t>三点比较式臭袋法</w:t>
            </w:r>
          </w:p>
        </w:tc>
        <w:tc>
          <w:tcPr>
            <w:tcW w:w="1620" w:type="dxa"/>
            <w:vAlign w:val="center"/>
          </w:tcPr>
          <w:p>
            <w:pPr>
              <w:widowControl/>
              <w:spacing w:line="300" w:lineRule="exact"/>
              <w:ind w:firstLine="0" w:firstLineChars="0"/>
              <w:jc w:val="center"/>
              <w:rPr>
                <w:b/>
                <w:bCs/>
                <w:color w:val="auto"/>
                <w:kern w:val="21"/>
                <w:sz w:val="21"/>
                <w:szCs w:val="21"/>
              </w:rPr>
            </w:pPr>
            <w:r>
              <w:rPr>
                <w:color w:val="auto"/>
                <w:kern w:val="21"/>
                <w:sz w:val="21"/>
                <w:szCs w:val="21"/>
              </w:rPr>
              <w:t>臭气装置</w:t>
            </w:r>
          </w:p>
        </w:tc>
        <w:tc>
          <w:tcPr>
            <w:tcW w:w="918" w:type="dxa"/>
            <w:vAlign w:val="center"/>
          </w:tcPr>
          <w:p>
            <w:pPr>
              <w:widowControl/>
              <w:spacing w:line="300" w:lineRule="exact"/>
              <w:ind w:firstLine="0" w:firstLineChars="0"/>
              <w:jc w:val="center"/>
              <w:rPr>
                <w:b/>
                <w:bCs/>
                <w:color w:val="auto"/>
                <w:kern w:val="21"/>
                <w:sz w:val="21"/>
                <w:szCs w:val="21"/>
              </w:rPr>
            </w:pPr>
            <w:r>
              <w:rPr>
                <w:color w:val="auto"/>
                <w:kern w:val="21"/>
                <w:sz w:val="21"/>
                <w:szCs w:val="21"/>
              </w:rPr>
              <w:t>HL-108</w:t>
            </w:r>
          </w:p>
        </w:tc>
        <w:tc>
          <w:tcPr>
            <w:tcW w:w="1495" w:type="dxa"/>
            <w:vAlign w:val="center"/>
          </w:tcPr>
          <w:p>
            <w:pPr>
              <w:widowControl/>
              <w:spacing w:line="300" w:lineRule="exact"/>
              <w:ind w:firstLine="0" w:firstLineChars="0"/>
              <w:jc w:val="center"/>
              <w:rPr>
                <w:b/>
                <w:bCs/>
                <w:color w:val="auto"/>
                <w:kern w:val="21"/>
                <w:sz w:val="21"/>
                <w:szCs w:val="21"/>
              </w:rPr>
            </w:pPr>
            <w:r>
              <w:rPr>
                <w:color w:val="auto"/>
                <w:kern w:val="21"/>
                <w:sz w:val="21"/>
                <w:szCs w:val="21"/>
                <w:lang w:bidi="he-IL"/>
              </w:rPr>
              <w:t>10</w:t>
            </w:r>
          </w:p>
        </w:tc>
      </w:tr>
    </w:tbl>
    <w:p>
      <w:pPr>
        <w:tabs>
          <w:tab w:val="left" w:pos="1070"/>
        </w:tabs>
        <w:adjustRightInd w:val="0"/>
        <w:snapToGrid w:val="0"/>
        <w:ind w:firstLine="480"/>
        <w:jc w:val="left"/>
        <w:rPr>
          <w:color w:val="auto"/>
          <w:kern w:val="21"/>
        </w:rPr>
      </w:pPr>
      <w:r>
        <w:rPr>
          <w:bCs/>
          <w:color w:val="auto"/>
          <w:kern w:val="21"/>
        </w:rPr>
        <w:t>（5）</w:t>
      </w:r>
      <w:r>
        <w:rPr>
          <w:color w:val="auto"/>
          <w:kern w:val="21"/>
        </w:rPr>
        <w:t>大气环境现状监测结果及评价</w:t>
      </w:r>
    </w:p>
    <w:p>
      <w:pPr>
        <w:adjustRightInd w:val="0"/>
        <w:snapToGrid w:val="0"/>
        <w:ind w:firstLine="480"/>
        <w:rPr>
          <w:bCs/>
          <w:color w:val="auto"/>
          <w:kern w:val="21"/>
        </w:rPr>
      </w:pPr>
      <w:r>
        <w:rPr>
          <w:bCs/>
          <w:color w:val="auto"/>
          <w:kern w:val="21"/>
        </w:rPr>
        <w:fldChar w:fldCharType="begin"/>
      </w:r>
      <w:r>
        <w:rPr>
          <w:bCs/>
          <w:color w:val="auto"/>
          <w:kern w:val="21"/>
        </w:rPr>
        <w:instrText xml:space="preserve"> = 1 \* GB3 \* MERGEFORMAT </w:instrText>
      </w:r>
      <w:r>
        <w:rPr>
          <w:bCs/>
          <w:color w:val="auto"/>
          <w:kern w:val="21"/>
        </w:rPr>
        <w:fldChar w:fldCharType="separate"/>
      </w:r>
      <w:r>
        <w:rPr>
          <w:rFonts w:hint="eastAsia"/>
          <w:color w:val="auto"/>
          <w:kern w:val="21"/>
        </w:rPr>
        <w:t>①</w:t>
      </w:r>
      <w:r>
        <w:rPr>
          <w:bCs/>
          <w:color w:val="auto"/>
          <w:kern w:val="21"/>
        </w:rPr>
        <w:fldChar w:fldCharType="end"/>
      </w:r>
      <w:r>
        <w:rPr>
          <w:bCs/>
          <w:color w:val="auto"/>
          <w:kern w:val="21"/>
        </w:rPr>
        <w:t>监测结果</w:t>
      </w:r>
    </w:p>
    <w:p>
      <w:pPr>
        <w:adjustRightInd w:val="0"/>
        <w:snapToGrid w:val="0"/>
        <w:ind w:firstLine="480"/>
        <w:rPr>
          <w:bCs/>
          <w:color w:val="auto"/>
          <w:kern w:val="21"/>
        </w:rPr>
      </w:pPr>
      <w:r>
        <w:rPr>
          <w:bCs/>
          <w:color w:val="auto"/>
          <w:kern w:val="21"/>
        </w:rPr>
        <w:t>氨、H</w:t>
      </w:r>
      <w:r>
        <w:rPr>
          <w:bCs/>
          <w:color w:val="auto"/>
          <w:kern w:val="21"/>
          <w:vertAlign w:val="subscript"/>
        </w:rPr>
        <w:t>2</w:t>
      </w:r>
      <w:r>
        <w:rPr>
          <w:bCs/>
          <w:color w:val="auto"/>
          <w:kern w:val="21"/>
        </w:rPr>
        <w:t>S和臭气浓度监测结果见</w:t>
      </w:r>
      <w:r>
        <w:rPr>
          <w:rFonts w:hint="eastAsia"/>
          <w:bCs/>
          <w:color w:val="auto"/>
          <w:kern w:val="21"/>
          <w:lang w:eastAsia="zh-CN"/>
        </w:rPr>
        <w:t>下表</w:t>
      </w:r>
      <w:r>
        <w:rPr>
          <w:bCs/>
          <w:color w:val="auto"/>
          <w:kern w:val="21"/>
        </w:rPr>
        <w:t>。</w:t>
      </w:r>
    </w:p>
    <w:p>
      <w:pPr>
        <w:numPr>
          <w:ilvl w:val="0"/>
          <w:numId w:val="9"/>
        </w:numPr>
        <w:ind w:left="0" w:leftChars="0" w:firstLine="0" w:firstLineChars="0"/>
        <w:jc w:val="center"/>
        <w:rPr>
          <w:b/>
          <w:color w:val="auto"/>
          <w:kern w:val="21"/>
        </w:rPr>
      </w:pPr>
      <w:r>
        <w:rPr>
          <w:b/>
          <w:color w:val="auto"/>
          <w:kern w:val="21"/>
        </w:rPr>
        <w:t>氨、</w:t>
      </w:r>
      <w:r>
        <w:rPr>
          <w:b/>
          <w:color w:val="auto"/>
          <w:kern w:val="21"/>
          <w:lang w:bidi="he-IL"/>
        </w:rPr>
        <w:t>H</w:t>
      </w:r>
      <w:r>
        <w:rPr>
          <w:b/>
          <w:color w:val="auto"/>
          <w:kern w:val="21"/>
          <w:vertAlign w:val="subscript"/>
          <w:lang w:bidi="he-IL"/>
        </w:rPr>
        <w:t>2</w:t>
      </w:r>
      <w:r>
        <w:rPr>
          <w:b/>
          <w:color w:val="auto"/>
          <w:kern w:val="21"/>
          <w:lang w:bidi="he-IL"/>
        </w:rPr>
        <w:t>S</w:t>
      </w:r>
      <w:r>
        <w:rPr>
          <w:b/>
          <w:color w:val="auto"/>
          <w:kern w:val="21"/>
        </w:rPr>
        <w:t>和臭气监测结果</w:t>
      </w:r>
    </w:p>
    <w:tbl>
      <w:tblPr>
        <w:tblStyle w:val="51"/>
        <w:tblW w:w="8677" w:type="dxa"/>
        <w:jc w:val="center"/>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1940"/>
        <w:gridCol w:w="1691"/>
        <w:gridCol w:w="1677"/>
        <w:gridCol w:w="1473"/>
        <w:gridCol w:w="1896"/>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tcMar>
              <w:top w:w="15" w:type="dxa"/>
              <w:left w:w="15" w:type="dxa"/>
              <w:bottom w:w="15" w:type="dxa"/>
              <w:right w:w="15" w:type="dxa"/>
            </w:tcMar>
            <w:vAlign w:val="center"/>
          </w:tcPr>
          <w:p>
            <w:pPr>
              <w:adjustRightInd w:val="0"/>
              <w:snapToGrid w:val="0"/>
              <w:spacing w:line="240" w:lineRule="auto"/>
              <w:ind w:firstLine="0" w:firstLineChars="0"/>
              <w:jc w:val="center"/>
              <w:rPr>
                <w:b/>
                <w:color w:val="auto"/>
                <w:kern w:val="21"/>
                <w:sz w:val="21"/>
                <w:szCs w:val="21"/>
              </w:rPr>
            </w:pPr>
            <w:r>
              <w:rPr>
                <w:b/>
                <w:color w:val="auto"/>
                <w:kern w:val="21"/>
                <w:sz w:val="21"/>
                <w:szCs w:val="21"/>
              </w:rPr>
              <w:t>检测点位</w:t>
            </w:r>
          </w:p>
        </w:tc>
        <w:tc>
          <w:tcPr>
            <w:tcW w:w="1691" w:type="dxa"/>
            <w:tcMar>
              <w:top w:w="15" w:type="dxa"/>
              <w:left w:w="15" w:type="dxa"/>
              <w:bottom w:w="15" w:type="dxa"/>
              <w:right w:w="15" w:type="dxa"/>
            </w:tcMar>
            <w:vAlign w:val="center"/>
          </w:tcPr>
          <w:p>
            <w:pPr>
              <w:adjustRightInd w:val="0"/>
              <w:snapToGrid w:val="0"/>
              <w:spacing w:line="240" w:lineRule="auto"/>
              <w:ind w:firstLine="0" w:firstLineChars="0"/>
              <w:jc w:val="center"/>
              <w:rPr>
                <w:b/>
                <w:color w:val="auto"/>
                <w:kern w:val="21"/>
                <w:sz w:val="21"/>
                <w:szCs w:val="21"/>
              </w:rPr>
            </w:pPr>
            <w:r>
              <w:rPr>
                <w:b/>
                <w:color w:val="auto"/>
                <w:kern w:val="21"/>
                <w:sz w:val="21"/>
                <w:szCs w:val="21"/>
              </w:rPr>
              <w:t>检测日期</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r>
              <w:rPr>
                <w:b/>
                <w:bCs/>
                <w:color w:val="auto"/>
                <w:kern w:val="21"/>
                <w:sz w:val="21"/>
                <w:szCs w:val="21"/>
              </w:rPr>
              <w:t>氨（</w:t>
            </w:r>
            <w:r>
              <w:rPr>
                <w:b/>
                <w:color w:val="auto"/>
                <w:kern w:val="21"/>
                <w:sz w:val="21"/>
                <w:szCs w:val="21"/>
              </w:rPr>
              <w:t>mg/m</w:t>
            </w:r>
            <w:r>
              <w:rPr>
                <w:b/>
                <w:color w:val="auto"/>
                <w:kern w:val="21"/>
                <w:sz w:val="21"/>
                <w:szCs w:val="21"/>
                <w:vertAlign w:val="superscript"/>
              </w:rPr>
              <w:t>3</w:t>
            </w:r>
            <w:r>
              <w:rPr>
                <w:b/>
                <w:bCs/>
                <w:color w:val="auto"/>
                <w:kern w:val="21"/>
                <w:sz w:val="21"/>
                <w:szCs w:val="21"/>
              </w:rPr>
              <w:t>）</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r>
              <w:rPr>
                <w:b/>
                <w:bCs/>
                <w:color w:val="auto"/>
                <w:kern w:val="21"/>
                <w:sz w:val="21"/>
                <w:szCs w:val="21"/>
              </w:rPr>
              <w:t>硫化氢（</w:t>
            </w:r>
            <w:r>
              <w:rPr>
                <w:b/>
                <w:color w:val="auto"/>
                <w:kern w:val="21"/>
                <w:sz w:val="21"/>
                <w:szCs w:val="21"/>
              </w:rPr>
              <w:t>µg/m</w:t>
            </w:r>
            <w:r>
              <w:rPr>
                <w:b/>
                <w:color w:val="auto"/>
                <w:kern w:val="21"/>
                <w:sz w:val="21"/>
                <w:szCs w:val="21"/>
                <w:vertAlign w:val="superscript"/>
              </w:rPr>
              <w:t>3</w:t>
            </w:r>
            <w:r>
              <w:rPr>
                <w:b/>
                <w:bCs/>
                <w:color w:val="auto"/>
                <w:kern w:val="21"/>
                <w:sz w:val="21"/>
                <w:szCs w:val="21"/>
              </w:rPr>
              <w:t>）</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r>
              <w:rPr>
                <w:b/>
                <w:bCs/>
                <w:color w:val="auto"/>
                <w:kern w:val="21"/>
                <w:sz w:val="21"/>
                <w:szCs w:val="21"/>
              </w:rPr>
              <w:t>臭气浓度（无量纲）</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restart"/>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厂址</w:t>
            </w:r>
          </w:p>
          <w:p>
            <w:pPr>
              <w:adjustRightInd w:val="0"/>
              <w:snapToGrid w:val="0"/>
              <w:spacing w:line="240" w:lineRule="auto"/>
              <w:ind w:firstLine="0" w:firstLineChars="0"/>
              <w:jc w:val="center"/>
              <w:rPr>
                <w:bCs/>
                <w:color w:val="auto"/>
                <w:kern w:val="21"/>
                <w:sz w:val="21"/>
                <w:szCs w:val="21"/>
              </w:rPr>
            </w:pPr>
            <w:r>
              <w:rPr>
                <w:bCs/>
                <w:color w:val="auto"/>
                <w:kern w:val="21"/>
                <w:sz w:val="21"/>
                <w:szCs w:val="21"/>
              </w:rPr>
              <w:t>（厂址西南面）</w:t>
            </w: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2020/4/11</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0.04</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0.03</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0.02</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2020/4/12</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0.05</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0.04</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0.04</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0.03</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2020/4/13</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0.05</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0.02</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2020/4/14</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0.03</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0.02</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0.03</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0.05</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2020/4/15</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0.03</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0.02</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0.04</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2020/4/16</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0.03</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0.02</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0.05</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2020/4/17</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0.04</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0.02</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0.05</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0.03</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restart"/>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迤周村</w:t>
            </w: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2020/4/11</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0.06</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0.07</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2020/4/12</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0.07</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2020/4/13</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0.07</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0.08</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2020/4/14</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0.08</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2020/4/15</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0.07</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2020/4/16</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0.07</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2020/4/17</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0.07</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0.08</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restart"/>
            <w:tcMar>
              <w:top w:w="15" w:type="dxa"/>
              <w:left w:w="15" w:type="dxa"/>
              <w:bottom w:w="15" w:type="dxa"/>
              <w:right w:w="15" w:type="dxa"/>
            </w:tcMar>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迤干村</w:t>
            </w: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2020/4/11</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0.07</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2020/4/12</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0.08</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0.06</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2020/4/13</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0.08</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0.07</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0.08</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2020/4/14</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6</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0.07</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2020/4/15</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0.08</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2020/4/16</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0.08</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6</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restart"/>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2020/4/17</w:t>
            </w: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0.09</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0.07</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0.11</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jc w:val="center"/>
        </w:trPr>
        <w:tc>
          <w:tcPr>
            <w:tcW w:w="1940" w:type="dxa"/>
            <w:vMerge w:val="continue"/>
            <w:tcMar>
              <w:top w:w="15" w:type="dxa"/>
              <w:left w:w="15" w:type="dxa"/>
              <w:bottom w:w="15" w:type="dxa"/>
              <w:right w:w="15" w:type="dxa"/>
            </w:tcMar>
            <w:vAlign w:val="center"/>
          </w:tcPr>
          <w:p>
            <w:pPr>
              <w:adjustRightInd w:val="0"/>
              <w:snapToGrid w:val="0"/>
              <w:spacing w:line="240" w:lineRule="auto"/>
              <w:ind w:firstLine="0" w:firstLineChars="0"/>
              <w:jc w:val="center"/>
              <w:rPr>
                <w:b/>
                <w:bCs/>
                <w:color w:val="auto"/>
                <w:kern w:val="21"/>
                <w:sz w:val="21"/>
                <w:szCs w:val="21"/>
              </w:rPr>
            </w:pPr>
          </w:p>
        </w:tc>
        <w:tc>
          <w:tcPr>
            <w:tcW w:w="1691" w:type="dxa"/>
            <w:vMerge w:val="continue"/>
            <w:tcMar>
              <w:top w:w="15" w:type="dxa"/>
              <w:left w:w="15" w:type="dxa"/>
              <w:bottom w:w="15" w:type="dxa"/>
              <w:right w:w="15" w:type="dxa"/>
            </w:tcMar>
            <w:vAlign w:val="center"/>
          </w:tcPr>
          <w:p>
            <w:pPr>
              <w:autoSpaceDN w:val="0"/>
              <w:adjustRightInd w:val="0"/>
              <w:snapToGrid w:val="0"/>
              <w:spacing w:line="240" w:lineRule="auto"/>
              <w:ind w:firstLine="0" w:firstLineChars="0"/>
              <w:jc w:val="center"/>
              <w:textAlignment w:val="center"/>
              <w:rPr>
                <w:color w:val="auto"/>
                <w:kern w:val="21"/>
                <w:sz w:val="21"/>
                <w:szCs w:val="21"/>
              </w:rPr>
            </w:pPr>
          </w:p>
        </w:tc>
        <w:tc>
          <w:tcPr>
            <w:tcW w:w="1677"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0.10</w:t>
            </w:r>
          </w:p>
        </w:tc>
        <w:tc>
          <w:tcPr>
            <w:tcW w:w="1473"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896" w:type="dxa"/>
            <w:tcMar>
              <w:top w:w="15" w:type="dxa"/>
              <w:left w:w="15" w:type="dxa"/>
              <w:bottom w:w="15" w:type="dxa"/>
              <w:right w:w="15" w:type="dxa"/>
            </w:tcMar>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10L</w:t>
            </w:r>
          </w:p>
        </w:tc>
      </w:tr>
    </w:tbl>
    <w:p>
      <w:pPr>
        <w:adjustRightInd w:val="0"/>
        <w:snapToGrid w:val="0"/>
        <w:ind w:firstLine="480"/>
        <w:rPr>
          <w:bCs/>
          <w:color w:val="auto"/>
          <w:kern w:val="21"/>
        </w:rPr>
      </w:pPr>
      <w:r>
        <w:rPr>
          <w:bCs/>
          <w:color w:val="auto"/>
          <w:kern w:val="21"/>
        </w:rPr>
        <w:fldChar w:fldCharType="begin"/>
      </w:r>
      <w:r>
        <w:rPr>
          <w:bCs/>
          <w:color w:val="auto"/>
          <w:kern w:val="21"/>
        </w:rPr>
        <w:instrText xml:space="preserve"> = 2 \* GB3 \* MERGEFORMAT </w:instrText>
      </w:r>
      <w:r>
        <w:rPr>
          <w:bCs/>
          <w:color w:val="auto"/>
          <w:kern w:val="21"/>
        </w:rPr>
        <w:fldChar w:fldCharType="separate"/>
      </w:r>
      <w:r>
        <w:rPr>
          <w:rFonts w:hint="eastAsia"/>
          <w:color w:val="auto"/>
          <w:kern w:val="21"/>
        </w:rPr>
        <w:t>②</w:t>
      </w:r>
      <w:r>
        <w:rPr>
          <w:bCs/>
          <w:color w:val="auto"/>
          <w:kern w:val="21"/>
        </w:rPr>
        <w:fldChar w:fldCharType="end"/>
      </w:r>
      <w:r>
        <w:rPr>
          <w:bCs/>
          <w:color w:val="auto"/>
          <w:kern w:val="21"/>
        </w:rPr>
        <w:t>评价方法</w:t>
      </w:r>
    </w:p>
    <w:p>
      <w:pPr>
        <w:adjustRightInd w:val="0"/>
        <w:snapToGrid w:val="0"/>
        <w:ind w:firstLine="480"/>
        <w:rPr>
          <w:color w:val="auto"/>
          <w:kern w:val="21"/>
        </w:rPr>
      </w:pPr>
      <w:r>
        <w:rPr>
          <w:color w:val="auto"/>
          <w:kern w:val="21"/>
        </w:rPr>
        <w:t>根据《环境影响评价技术导则——大气环境》（HJ2.2-2018）中附录C3.2对区域空气质量现状进行评价。</w:t>
      </w:r>
    </w:p>
    <w:p>
      <w:pPr>
        <w:adjustRightInd w:val="0"/>
        <w:snapToGrid w:val="0"/>
        <w:ind w:firstLine="480"/>
        <w:rPr>
          <w:bCs/>
          <w:color w:val="auto"/>
          <w:kern w:val="21"/>
        </w:rPr>
      </w:pPr>
      <w:r>
        <w:rPr>
          <w:bCs/>
          <w:color w:val="auto"/>
          <w:kern w:val="21"/>
        </w:rPr>
        <w:fldChar w:fldCharType="begin"/>
      </w:r>
      <w:r>
        <w:rPr>
          <w:bCs/>
          <w:color w:val="auto"/>
          <w:kern w:val="21"/>
        </w:rPr>
        <w:instrText xml:space="preserve"> = 3 \* GB3 \* MERGEFORMAT </w:instrText>
      </w:r>
      <w:r>
        <w:rPr>
          <w:bCs/>
          <w:color w:val="auto"/>
          <w:kern w:val="21"/>
        </w:rPr>
        <w:fldChar w:fldCharType="separate"/>
      </w:r>
      <w:r>
        <w:rPr>
          <w:rFonts w:hint="eastAsia"/>
          <w:color w:val="auto"/>
          <w:kern w:val="21"/>
        </w:rPr>
        <w:t>③</w:t>
      </w:r>
      <w:r>
        <w:rPr>
          <w:bCs/>
          <w:color w:val="auto"/>
          <w:kern w:val="21"/>
        </w:rPr>
        <w:fldChar w:fldCharType="end"/>
      </w:r>
      <w:r>
        <w:rPr>
          <w:bCs/>
          <w:color w:val="auto"/>
          <w:kern w:val="21"/>
        </w:rPr>
        <w:t>评价结果</w:t>
      </w:r>
    </w:p>
    <w:p>
      <w:pPr>
        <w:autoSpaceDE w:val="0"/>
        <w:autoSpaceDN w:val="0"/>
        <w:adjustRightInd w:val="0"/>
        <w:snapToGrid w:val="0"/>
        <w:ind w:firstLine="480"/>
        <w:jc w:val="left"/>
        <w:rPr>
          <w:color w:val="auto"/>
          <w:kern w:val="21"/>
        </w:rPr>
      </w:pPr>
      <w:r>
        <w:rPr>
          <w:color w:val="auto"/>
          <w:kern w:val="21"/>
        </w:rPr>
        <w:t>根据上述评价标准与评价方法，得到的评价结果见</w:t>
      </w:r>
      <w:r>
        <w:rPr>
          <w:rFonts w:hint="eastAsia"/>
          <w:color w:val="auto"/>
          <w:kern w:val="21"/>
          <w:lang w:eastAsia="zh-CN"/>
        </w:rPr>
        <w:t>下表</w:t>
      </w:r>
      <w:r>
        <w:rPr>
          <w:color w:val="auto"/>
          <w:kern w:val="21"/>
        </w:rPr>
        <w:t>。</w:t>
      </w:r>
    </w:p>
    <w:p>
      <w:pPr>
        <w:numPr>
          <w:ilvl w:val="0"/>
          <w:numId w:val="9"/>
        </w:numPr>
        <w:ind w:left="0" w:leftChars="0" w:firstLine="0" w:firstLineChars="0"/>
        <w:jc w:val="center"/>
        <w:rPr>
          <w:b/>
          <w:bCs/>
          <w:color w:val="auto"/>
          <w:kern w:val="21"/>
          <w:lang w:val="zh-CN" w:bidi="zh-CN"/>
        </w:rPr>
      </w:pPr>
      <w:r>
        <w:rPr>
          <w:b/>
          <w:bCs/>
          <w:color w:val="auto"/>
          <w:kern w:val="21"/>
          <w:lang w:val="zh-CN" w:bidi="zh-CN"/>
        </w:rPr>
        <w:t>区域空气质量现状评价表</w:t>
      </w:r>
    </w:p>
    <w:tbl>
      <w:tblPr>
        <w:tblStyle w:val="51"/>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972"/>
        <w:gridCol w:w="984"/>
        <w:gridCol w:w="876"/>
        <w:gridCol w:w="720"/>
        <w:gridCol w:w="1020"/>
        <w:gridCol w:w="1008"/>
        <w:gridCol w:w="1008"/>
        <w:gridCol w:w="756"/>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点位名称</w:t>
            </w:r>
          </w:p>
        </w:tc>
        <w:tc>
          <w:tcPr>
            <w:tcW w:w="1956" w:type="dxa"/>
            <w:gridSpan w:val="2"/>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监测点位坐标</w:t>
            </w:r>
          </w:p>
        </w:tc>
        <w:tc>
          <w:tcPr>
            <w:tcW w:w="876"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污染物</w:t>
            </w:r>
          </w:p>
        </w:tc>
        <w:tc>
          <w:tcPr>
            <w:tcW w:w="720"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年评价指标</w:t>
            </w:r>
          </w:p>
        </w:tc>
        <w:tc>
          <w:tcPr>
            <w:tcW w:w="1020"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评价标准/μg/m</w:t>
            </w:r>
            <w:r>
              <w:rPr>
                <w:color w:val="auto"/>
                <w:kern w:val="21"/>
                <w:sz w:val="21"/>
                <w:szCs w:val="21"/>
                <w:vertAlign w:val="superscript"/>
              </w:rPr>
              <w:t>3</w:t>
            </w:r>
          </w:p>
        </w:tc>
        <w:tc>
          <w:tcPr>
            <w:tcW w:w="1008"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现状最大浓度/μg/m</w:t>
            </w:r>
            <w:r>
              <w:rPr>
                <w:color w:val="auto"/>
                <w:kern w:val="21"/>
                <w:sz w:val="21"/>
                <w:szCs w:val="21"/>
                <w:vertAlign w:val="superscript"/>
              </w:rPr>
              <w:t>3</w:t>
            </w:r>
          </w:p>
        </w:tc>
        <w:tc>
          <w:tcPr>
            <w:tcW w:w="1008"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最大浓度占标率%</w:t>
            </w:r>
          </w:p>
        </w:tc>
        <w:tc>
          <w:tcPr>
            <w:tcW w:w="756"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超标率/%</w:t>
            </w:r>
          </w:p>
        </w:tc>
        <w:tc>
          <w:tcPr>
            <w:tcW w:w="804"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pPr>
              <w:adjustRightInd w:val="0"/>
              <w:snapToGrid w:val="0"/>
              <w:spacing w:line="240" w:lineRule="auto"/>
              <w:ind w:firstLine="0" w:firstLineChars="0"/>
              <w:jc w:val="center"/>
              <w:rPr>
                <w:color w:val="auto"/>
                <w:kern w:val="21"/>
                <w:sz w:val="21"/>
                <w:szCs w:val="21"/>
              </w:rPr>
            </w:pPr>
          </w:p>
        </w:tc>
        <w:tc>
          <w:tcPr>
            <w:tcW w:w="97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经度</w:t>
            </w:r>
          </w:p>
        </w:tc>
        <w:tc>
          <w:tcPr>
            <w:tcW w:w="98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纬度</w:t>
            </w:r>
          </w:p>
        </w:tc>
        <w:tc>
          <w:tcPr>
            <w:tcW w:w="876" w:type="dxa"/>
            <w:vMerge w:val="continue"/>
            <w:vAlign w:val="center"/>
          </w:tcPr>
          <w:p>
            <w:pPr>
              <w:adjustRightInd w:val="0"/>
              <w:snapToGrid w:val="0"/>
              <w:spacing w:line="240" w:lineRule="auto"/>
              <w:ind w:firstLine="0" w:firstLineChars="0"/>
              <w:jc w:val="center"/>
              <w:rPr>
                <w:color w:val="auto"/>
                <w:kern w:val="21"/>
                <w:sz w:val="21"/>
                <w:szCs w:val="21"/>
              </w:rPr>
            </w:pPr>
          </w:p>
        </w:tc>
        <w:tc>
          <w:tcPr>
            <w:tcW w:w="720" w:type="dxa"/>
            <w:vMerge w:val="continue"/>
            <w:vAlign w:val="center"/>
          </w:tcPr>
          <w:p>
            <w:pPr>
              <w:adjustRightInd w:val="0"/>
              <w:snapToGrid w:val="0"/>
              <w:spacing w:line="240" w:lineRule="auto"/>
              <w:ind w:firstLine="0" w:firstLineChars="0"/>
              <w:jc w:val="center"/>
              <w:rPr>
                <w:color w:val="auto"/>
                <w:kern w:val="21"/>
                <w:sz w:val="21"/>
                <w:szCs w:val="21"/>
              </w:rPr>
            </w:pPr>
          </w:p>
        </w:tc>
        <w:tc>
          <w:tcPr>
            <w:tcW w:w="1020" w:type="dxa"/>
            <w:vMerge w:val="continue"/>
            <w:vAlign w:val="center"/>
          </w:tcPr>
          <w:p>
            <w:pPr>
              <w:adjustRightInd w:val="0"/>
              <w:snapToGrid w:val="0"/>
              <w:spacing w:line="240" w:lineRule="auto"/>
              <w:ind w:firstLine="0" w:firstLineChars="0"/>
              <w:jc w:val="center"/>
              <w:rPr>
                <w:color w:val="auto"/>
                <w:kern w:val="21"/>
                <w:sz w:val="21"/>
                <w:szCs w:val="21"/>
              </w:rPr>
            </w:pPr>
          </w:p>
        </w:tc>
        <w:tc>
          <w:tcPr>
            <w:tcW w:w="1008" w:type="dxa"/>
            <w:vMerge w:val="continue"/>
            <w:vAlign w:val="center"/>
          </w:tcPr>
          <w:p>
            <w:pPr>
              <w:adjustRightInd w:val="0"/>
              <w:snapToGrid w:val="0"/>
              <w:spacing w:line="240" w:lineRule="auto"/>
              <w:ind w:firstLine="0" w:firstLineChars="0"/>
              <w:jc w:val="center"/>
              <w:rPr>
                <w:color w:val="auto"/>
                <w:kern w:val="21"/>
                <w:sz w:val="21"/>
                <w:szCs w:val="21"/>
              </w:rPr>
            </w:pPr>
          </w:p>
        </w:tc>
        <w:tc>
          <w:tcPr>
            <w:tcW w:w="1008" w:type="dxa"/>
            <w:vMerge w:val="continue"/>
            <w:vAlign w:val="center"/>
          </w:tcPr>
          <w:p>
            <w:pPr>
              <w:adjustRightInd w:val="0"/>
              <w:snapToGrid w:val="0"/>
              <w:spacing w:line="240" w:lineRule="auto"/>
              <w:ind w:firstLine="0" w:firstLineChars="0"/>
              <w:jc w:val="center"/>
              <w:rPr>
                <w:color w:val="auto"/>
                <w:kern w:val="21"/>
                <w:sz w:val="21"/>
                <w:szCs w:val="21"/>
              </w:rPr>
            </w:pPr>
          </w:p>
        </w:tc>
        <w:tc>
          <w:tcPr>
            <w:tcW w:w="756" w:type="dxa"/>
            <w:vMerge w:val="continue"/>
            <w:vAlign w:val="center"/>
          </w:tcPr>
          <w:p>
            <w:pPr>
              <w:adjustRightInd w:val="0"/>
              <w:snapToGrid w:val="0"/>
              <w:spacing w:line="240" w:lineRule="auto"/>
              <w:ind w:firstLine="0" w:firstLineChars="0"/>
              <w:jc w:val="center"/>
              <w:rPr>
                <w:color w:val="auto"/>
                <w:kern w:val="21"/>
                <w:sz w:val="21"/>
                <w:szCs w:val="21"/>
              </w:rPr>
            </w:pPr>
          </w:p>
        </w:tc>
        <w:tc>
          <w:tcPr>
            <w:tcW w:w="804"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厂址</w:t>
            </w:r>
          </w:p>
          <w:p>
            <w:pPr>
              <w:adjustRightInd w:val="0"/>
              <w:snapToGrid w:val="0"/>
              <w:spacing w:line="240" w:lineRule="auto"/>
              <w:ind w:firstLine="0" w:firstLineChars="0"/>
              <w:jc w:val="center"/>
              <w:rPr>
                <w:color w:val="auto"/>
                <w:kern w:val="21"/>
                <w:sz w:val="21"/>
                <w:szCs w:val="21"/>
              </w:rPr>
            </w:pPr>
            <w:r>
              <w:rPr>
                <w:color w:val="auto"/>
                <w:kern w:val="21"/>
                <w:sz w:val="21"/>
                <w:szCs w:val="21"/>
              </w:rPr>
              <w:t>（厂址西南面）</w:t>
            </w:r>
          </w:p>
        </w:tc>
        <w:tc>
          <w:tcPr>
            <w:tcW w:w="972"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101.603333333</w:t>
            </w:r>
          </w:p>
        </w:tc>
        <w:tc>
          <w:tcPr>
            <w:tcW w:w="984"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25.021111111</w:t>
            </w:r>
          </w:p>
        </w:tc>
        <w:tc>
          <w:tcPr>
            <w:tcW w:w="87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氨</w:t>
            </w:r>
          </w:p>
        </w:tc>
        <w:tc>
          <w:tcPr>
            <w:tcW w:w="72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w:t>
            </w:r>
          </w:p>
        </w:tc>
        <w:tc>
          <w:tcPr>
            <w:tcW w:w="1020"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200</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50</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25%</w:t>
            </w:r>
          </w:p>
        </w:tc>
        <w:tc>
          <w:tcPr>
            <w:tcW w:w="75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w:t>
            </w:r>
          </w:p>
        </w:tc>
        <w:tc>
          <w:tcPr>
            <w:tcW w:w="80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83" w:type="dxa"/>
            <w:vMerge w:val="continue"/>
            <w:vAlign w:val="center"/>
          </w:tcPr>
          <w:p>
            <w:pPr>
              <w:adjustRightInd w:val="0"/>
              <w:snapToGrid w:val="0"/>
              <w:spacing w:line="240" w:lineRule="auto"/>
              <w:ind w:firstLine="0" w:firstLineChars="0"/>
              <w:jc w:val="center"/>
              <w:rPr>
                <w:color w:val="auto"/>
                <w:kern w:val="21"/>
                <w:sz w:val="21"/>
                <w:szCs w:val="21"/>
              </w:rPr>
            </w:pPr>
          </w:p>
        </w:tc>
        <w:tc>
          <w:tcPr>
            <w:tcW w:w="972" w:type="dxa"/>
            <w:vMerge w:val="continue"/>
            <w:vAlign w:val="center"/>
          </w:tcPr>
          <w:p>
            <w:pPr>
              <w:adjustRightInd w:val="0"/>
              <w:snapToGrid w:val="0"/>
              <w:spacing w:line="240" w:lineRule="auto"/>
              <w:ind w:firstLine="0" w:firstLineChars="0"/>
              <w:jc w:val="center"/>
              <w:rPr>
                <w:color w:val="auto"/>
                <w:kern w:val="21"/>
                <w:sz w:val="21"/>
                <w:szCs w:val="21"/>
              </w:rPr>
            </w:pPr>
          </w:p>
        </w:tc>
        <w:tc>
          <w:tcPr>
            <w:tcW w:w="984" w:type="dxa"/>
            <w:vMerge w:val="continue"/>
            <w:vAlign w:val="center"/>
          </w:tcPr>
          <w:p>
            <w:pPr>
              <w:adjustRightInd w:val="0"/>
              <w:snapToGrid w:val="0"/>
              <w:spacing w:line="240" w:lineRule="auto"/>
              <w:ind w:firstLine="0" w:firstLineChars="0"/>
              <w:jc w:val="center"/>
              <w:rPr>
                <w:color w:val="auto"/>
                <w:kern w:val="21"/>
                <w:sz w:val="21"/>
                <w:szCs w:val="21"/>
              </w:rPr>
            </w:pPr>
          </w:p>
        </w:tc>
        <w:tc>
          <w:tcPr>
            <w:tcW w:w="87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H</w:t>
            </w:r>
            <w:r>
              <w:rPr>
                <w:color w:val="auto"/>
                <w:kern w:val="21"/>
                <w:sz w:val="21"/>
                <w:szCs w:val="21"/>
                <w:vertAlign w:val="subscript"/>
              </w:rPr>
              <w:t>2</w:t>
            </w:r>
            <w:r>
              <w:rPr>
                <w:color w:val="auto"/>
                <w:kern w:val="21"/>
                <w:sz w:val="21"/>
                <w:szCs w:val="21"/>
              </w:rPr>
              <w:t>S</w:t>
            </w:r>
          </w:p>
        </w:tc>
        <w:tc>
          <w:tcPr>
            <w:tcW w:w="72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w:t>
            </w:r>
          </w:p>
        </w:tc>
        <w:tc>
          <w:tcPr>
            <w:tcW w:w="1020"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10</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5</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50%</w:t>
            </w:r>
          </w:p>
        </w:tc>
        <w:tc>
          <w:tcPr>
            <w:tcW w:w="75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w:t>
            </w:r>
          </w:p>
        </w:tc>
        <w:tc>
          <w:tcPr>
            <w:tcW w:w="80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迤周村</w:t>
            </w:r>
          </w:p>
        </w:tc>
        <w:tc>
          <w:tcPr>
            <w:tcW w:w="972" w:type="dxa"/>
            <w:vMerge w:val="restart"/>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rPr>
              <w:t>101.605000000</w:t>
            </w:r>
          </w:p>
        </w:tc>
        <w:tc>
          <w:tcPr>
            <w:tcW w:w="984" w:type="dxa"/>
            <w:vMerge w:val="restart"/>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rPr>
              <w:t>25.021527777</w:t>
            </w:r>
          </w:p>
        </w:tc>
        <w:tc>
          <w:tcPr>
            <w:tcW w:w="87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氨</w:t>
            </w:r>
          </w:p>
        </w:tc>
        <w:tc>
          <w:tcPr>
            <w:tcW w:w="72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w:t>
            </w:r>
          </w:p>
        </w:tc>
        <w:tc>
          <w:tcPr>
            <w:tcW w:w="1020"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200</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110</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55%</w:t>
            </w:r>
          </w:p>
        </w:tc>
        <w:tc>
          <w:tcPr>
            <w:tcW w:w="75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w:t>
            </w:r>
          </w:p>
        </w:tc>
        <w:tc>
          <w:tcPr>
            <w:tcW w:w="80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83" w:type="dxa"/>
            <w:vMerge w:val="continue"/>
            <w:vAlign w:val="center"/>
          </w:tcPr>
          <w:p>
            <w:pPr>
              <w:adjustRightInd w:val="0"/>
              <w:snapToGrid w:val="0"/>
              <w:spacing w:line="240" w:lineRule="auto"/>
              <w:ind w:firstLine="0" w:firstLineChars="0"/>
              <w:jc w:val="center"/>
              <w:rPr>
                <w:color w:val="auto"/>
                <w:kern w:val="21"/>
                <w:sz w:val="21"/>
                <w:szCs w:val="21"/>
              </w:rPr>
            </w:pPr>
          </w:p>
        </w:tc>
        <w:tc>
          <w:tcPr>
            <w:tcW w:w="972" w:type="dxa"/>
            <w:vMerge w:val="continue"/>
            <w:vAlign w:val="center"/>
          </w:tcPr>
          <w:p>
            <w:pPr>
              <w:adjustRightInd w:val="0"/>
              <w:snapToGrid w:val="0"/>
              <w:spacing w:line="240" w:lineRule="auto"/>
              <w:ind w:firstLine="0" w:firstLineChars="0"/>
              <w:jc w:val="center"/>
              <w:rPr>
                <w:color w:val="auto"/>
                <w:kern w:val="21"/>
                <w:sz w:val="21"/>
                <w:szCs w:val="21"/>
              </w:rPr>
            </w:pPr>
          </w:p>
        </w:tc>
        <w:tc>
          <w:tcPr>
            <w:tcW w:w="984" w:type="dxa"/>
            <w:vMerge w:val="continue"/>
            <w:vAlign w:val="center"/>
          </w:tcPr>
          <w:p>
            <w:pPr>
              <w:adjustRightInd w:val="0"/>
              <w:snapToGrid w:val="0"/>
              <w:spacing w:line="240" w:lineRule="auto"/>
              <w:ind w:firstLine="0" w:firstLineChars="0"/>
              <w:jc w:val="center"/>
              <w:rPr>
                <w:color w:val="auto"/>
                <w:kern w:val="21"/>
                <w:sz w:val="21"/>
                <w:szCs w:val="21"/>
              </w:rPr>
            </w:pPr>
          </w:p>
        </w:tc>
        <w:tc>
          <w:tcPr>
            <w:tcW w:w="87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H</w:t>
            </w:r>
            <w:r>
              <w:rPr>
                <w:color w:val="auto"/>
                <w:kern w:val="21"/>
                <w:sz w:val="21"/>
                <w:szCs w:val="21"/>
                <w:vertAlign w:val="subscript"/>
              </w:rPr>
              <w:t>2</w:t>
            </w:r>
            <w:r>
              <w:rPr>
                <w:color w:val="auto"/>
                <w:kern w:val="21"/>
                <w:sz w:val="21"/>
                <w:szCs w:val="21"/>
              </w:rPr>
              <w:t>S</w:t>
            </w:r>
          </w:p>
        </w:tc>
        <w:tc>
          <w:tcPr>
            <w:tcW w:w="72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w:t>
            </w:r>
          </w:p>
        </w:tc>
        <w:tc>
          <w:tcPr>
            <w:tcW w:w="1020"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10</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5</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50%</w:t>
            </w:r>
          </w:p>
        </w:tc>
        <w:tc>
          <w:tcPr>
            <w:tcW w:w="75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w:t>
            </w:r>
          </w:p>
        </w:tc>
        <w:tc>
          <w:tcPr>
            <w:tcW w:w="80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pPr>
              <w:adjustRightInd w:val="0"/>
              <w:snapToGrid w:val="0"/>
              <w:spacing w:line="240" w:lineRule="auto"/>
              <w:ind w:firstLine="0" w:firstLineChars="0"/>
              <w:jc w:val="center"/>
              <w:rPr>
                <w:color w:val="auto"/>
                <w:kern w:val="21"/>
                <w:sz w:val="21"/>
                <w:szCs w:val="21"/>
              </w:rPr>
            </w:pPr>
            <w:r>
              <w:rPr>
                <w:rFonts w:hint="eastAsia"/>
                <w:color w:val="auto"/>
                <w:kern w:val="21"/>
                <w:sz w:val="21"/>
                <w:szCs w:val="21"/>
              </w:rPr>
              <w:t>迤</w:t>
            </w:r>
            <w:r>
              <w:rPr>
                <w:color w:val="auto"/>
                <w:kern w:val="21"/>
                <w:sz w:val="21"/>
                <w:szCs w:val="21"/>
              </w:rPr>
              <w:t>干村</w:t>
            </w:r>
          </w:p>
        </w:tc>
        <w:tc>
          <w:tcPr>
            <w:tcW w:w="972" w:type="dxa"/>
            <w:vMerge w:val="restart"/>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rPr>
              <w:t>101.605300000</w:t>
            </w:r>
          </w:p>
        </w:tc>
        <w:tc>
          <w:tcPr>
            <w:tcW w:w="984" w:type="dxa"/>
            <w:vMerge w:val="restart"/>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rPr>
              <w:t>25.024855555</w:t>
            </w:r>
          </w:p>
        </w:tc>
        <w:tc>
          <w:tcPr>
            <w:tcW w:w="87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氨</w:t>
            </w:r>
          </w:p>
        </w:tc>
        <w:tc>
          <w:tcPr>
            <w:tcW w:w="72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w:t>
            </w:r>
          </w:p>
        </w:tc>
        <w:tc>
          <w:tcPr>
            <w:tcW w:w="1020"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200</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110</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55%</w:t>
            </w:r>
          </w:p>
        </w:tc>
        <w:tc>
          <w:tcPr>
            <w:tcW w:w="75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w:t>
            </w:r>
          </w:p>
        </w:tc>
        <w:tc>
          <w:tcPr>
            <w:tcW w:w="80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83" w:type="dxa"/>
            <w:vMerge w:val="continue"/>
            <w:vAlign w:val="center"/>
          </w:tcPr>
          <w:p>
            <w:pPr>
              <w:adjustRightInd w:val="0"/>
              <w:snapToGrid w:val="0"/>
              <w:spacing w:line="240" w:lineRule="auto"/>
              <w:ind w:firstLine="0" w:firstLineChars="0"/>
              <w:jc w:val="center"/>
              <w:rPr>
                <w:color w:val="auto"/>
                <w:kern w:val="21"/>
                <w:sz w:val="21"/>
                <w:szCs w:val="21"/>
              </w:rPr>
            </w:pPr>
          </w:p>
        </w:tc>
        <w:tc>
          <w:tcPr>
            <w:tcW w:w="972" w:type="dxa"/>
            <w:vMerge w:val="continue"/>
            <w:vAlign w:val="center"/>
          </w:tcPr>
          <w:p>
            <w:pPr>
              <w:adjustRightInd w:val="0"/>
              <w:snapToGrid w:val="0"/>
              <w:spacing w:line="240" w:lineRule="auto"/>
              <w:ind w:firstLine="0" w:firstLineChars="0"/>
              <w:jc w:val="center"/>
              <w:rPr>
                <w:color w:val="auto"/>
                <w:kern w:val="21"/>
                <w:sz w:val="21"/>
                <w:szCs w:val="21"/>
              </w:rPr>
            </w:pPr>
          </w:p>
        </w:tc>
        <w:tc>
          <w:tcPr>
            <w:tcW w:w="984" w:type="dxa"/>
            <w:vMerge w:val="continue"/>
            <w:vAlign w:val="center"/>
          </w:tcPr>
          <w:p>
            <w:pPr>
              <w:adjustRightInd w:val="0"/>
              <w:snapToGrid w:val="0"/>
              <w:spacing w:line="240" w:lineRule="auto"/>
              <w:ind w:firstLine="0" w:firstLineChars="0"/>
              <w:jc w:val="center"/>
              <w:rPr>
                <w:color w:val="auto"/>
                <w:kern w:val="21"/>
                <w:sz w:val="21"/>
                <w:szCs w:val="21"/>
              </w:rPr>
            </w:pPr>
          </w:p>
        </w:tc>
        <w:tc>
          <w:tcPr>
            <w:tcW w:w="87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H</w:t>
            </w:r>
            <w:r>
              <w:rPr>
                <w:color w:val="auto"/>
                <w:kern w:val="21"/>
                <w:sz w:val="21"/>
                <w:szCs w:val="21"/>
                <w:vertAlign w:val="subscript"/>
              </w:rPr>
              <w:t>2</w:t>
            </w:r>
            <w:r>
              <w:rPr>
                <w:color w:val="auto"/>
                <w:kern w:val="21"/>
                <w:sz w:val="21"/>
                <w:szCs w:val="21"/>
              </w:rPr>
              <w:t>S</w:t>
            </w:r>
          </w:p>
        </w:tc>
        <w:tc>
          <w:tcPr>
            <w:tcW w:w="720"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w:t>
            </w:r>
          </w:p>
        </w:tc>
        <w:tc>
          <w:tcPr>
            <w:tcW w:w="1020"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10</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6</w:t>
            </w:r>
          </w:p>
        </w:tc>
        <w:tc>
          <w:tcPr>
            <w:tcW w:w="1008" w:type="dxa"/>
            <w:vAlign w:val="center"/>
          </w:tcPr>
          <w:p>
            <w:pPr>
              <w:adjustRightInd w:val="0"/>
              <w:snapToGrid w:val="0"/>
              <w:spacing w:line="240" w:lineRule="auto"/>
              <w:ind w:left="138" w:firstLine="0" w:firstLineChars="0"/>
              <w:jc w:val="center"/>
              <w:rPr>
                <w:color w:val="auto"/>
                <w:kern w:val="21"/>
                <w:sz w:val="21"/>
                <w:szCs w:val="21"/>
              </w:rPr>
            </w:pPr>
            <w:r>
              <w:rPr>
                <w:color w:val="auto"/>
                <w:kern w:val="21"/>
                <w:sz w:val="21"/>
                <w:szCs w:val="21"/>
              </w:rPr>
              <w:t>60%</w:t>
            </w:r>
          </w:p>
        </w:tc>
        <w:tc>
          <w:tcPr>
            <w:tcW w:w="756"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0</w:t>
            </w:r>
          </w:p>
        </w:tc>
        <w:tc>
          <w:tcPr>
            <w:tcW w:w="80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w:t>
            </w:r>
          </w:p>
        </w:tc>
      </w:tr>
    </w:tbl>
    <w:p>
      <w:pPr>
        <w:ind w:firstLine="480"/>
        <w:rPr>
          <w:color w:val="auto"/>
          <w:kern w:val="21"/>
        </w:rPr>
      </w:pPr>
      <w:r>
        <w:rPr>
          <w:color w:val="auto"/>
          <w:kern w:val="21"/>
        </w:rPr>
        <w:t>根据上表可知，项目区域环境空气质量现状评价因子氨和H</w:t>
      </w:r>
      <w:r>
        <w:rPr>
          <w:color w:val="auto"/>
          <w:kern w:val="21"/>
          <w:vertAlign w:val="subscript"/>
        </w:rPr>
        <w:t>2</w:t>
      </w:r>
      <w:r>
        <w:rPr>
          <w:color w:val="auto"/>
          <w:kern w:val="21"/>
        </w:rPr>
        <w:t>S小时浓度满足《环境影响评价技术导则大气环境》（HJ2.2-2018）附录D其他污染物空气质量浓度参考限值要求。</w:t>
      </w:r>
    </w:p>
    <w:p>
      <w:pPr>
        <w:pStyle w:val="6"/>
        <w:spacing w:after="0"/>
        <w:rPr>
          <w:rFonts w:eastAsia="宋体"/>
          <w:color w:val="auto"/>
          <w:kern w:val="21"/>
          <w:sz w:val="24"/>
          <w:szCs w:val="24"/>
        </w:rPr>
      </w:pPr>
      <w:bookmarkStart w:id="221" w:name="_Toc17987"/>
      <w:r>
        <w:rPr>
          <w:rFonts w:eastAsia="宋体"/>
          <w:color w:val="auto"/>
          <w:kern w:val="21"/>
          <w:sz w:val="24"/>
          <w:szCs w:val="24"/>
        </w:rPr>
        <w:t>4.2.2地表水环境现状监测与评价</w:t>
      </w:r>
      <w:bookmarkEnd w:id="221"/>
    </w:p>
    <w:p>
      <w:pPr>
        <w:widowControl/>
        <w:ind w:firstLine="480"/>
        <w:jc w:val="left"/>
        <w:rPr>
          <w:color w:val="auto"/>
          <w:kern w:val="21"/>
          <w:lang w:bidi="ar"/>
        </w:rPr>
      </w:pPr>
      <w:r>
        <w:rPr>
          <w:color w:val="auto"/>
          <w:kern w:val="21"/>
          <w:lang w:bidi="ar"/>
        </w:rPr>
        <w:t>项目</w:t>
      </w:r>
      <w:r>
        <w:rPr>
          <w:rFonts w:hint="eastAsia"/>
          <w:color w:val="auto"/>
          <w:kern w:val="21"/>
          <w:lang w:bidi="ar"/>
        </w:rPr>
        <w:t>纳污河流为</w:t>
      </w:r>
      <w:r>
        <w:rPr>
          <w:color w:val="auto"/>
          <w:kern w:val="21"/>
          <w:lang w:bidi="ar"/>
        </w:rPr>
        <w:t>青龙河，属龙川江的一级支流。本次环评地表水质评价采用资料调查和实测相结合的方式进行水质评价。</w:t>
      </w:r>
    </w:p>
    <w:p>
      <w:pPr>
        <w:widowControl/>
        <w:adjustRightInd w:val="0"/>
        <w:snapToGrid w:val="0"/>
        <w:ind w:firstLine="480"/>
        <w:jc w:val="left"/>
        <w:rPr>
          <w:color w:val="auto"/>
          <w:kern w:val="21"/>
        </w:rPr>
      </w:pPr>
      <w:r>
        <w:rPr>
          <w:rFonts w:hint="eastAsia"/>
          <w:color w:val="auto"/>
          <w:kern w:val="21"/>
        </w:rPr>
        <w:t>1</w:t>
      </w:r>
      <w:r>
        <w:rPr>
          <w:color w:val="auto"/>
          <w:kern w:val="21"/>
        </w:rPr>
        <w:t>、</w:t>
      </w:r>
      <w:r>
        <w:rPr>
          <w:rFonts w:hint="eastAsia"/>
          <w:color w:val="auto"/>
          <w:kern w:val="21"/>
        </w:rPr>
        <w:t>现状监测</w:t>
      </w:r>
    </w:p>
    <w:p>
      <w:pPr>
        <w:widowControl/>
        <w:adjustRightInd w:val="0"/>
        <w:snapToGrid w:val="0"/>
        <w:ind w:firstLine="480"/>
        <w:jc w:val="left"/>
        <w:rPr>
          <w:color w:val="auto"/>
          <w:kern w:val="21"/>
          <w:lang w:bidi="ar"/>
        </w:rPr>
      </w:pPr>
      <w:r>
        <w:rPr>
          <w:color w:val="auto"/>
          <w:kern w:val="21"/>
          <w:lang w:bidi="ar"/>
        </w:rPr>
        <w:t>为了解青龙河</w:t>
      </w:r>
      <w:r>
        <w:rPr>
          <w:rFonts w:hint="eastAsia"/>
          <w:color w:val="auto"/>
          <w:kern w:val="21"/>
          <w:lang w:bidi="ar"/>
        </w:rPr>
        <w:t>最新</w:t>
      </w:r>
      <w:r>
        <w:rPr>
          <w:color w:val="auto"/>
          <w:kern w:val="21"/>
          <w:lang w:bidi="ar"/>
        </w:rPr>
        <w:t>水质现状</w:t>
      </w:r>
      <w:r>
        <w:rPr>
          <w:rFonts w:hint="eastAsia"/>
          <w:color w:val="auto"/>
          <w:kern w:val="21"/>
          <w:lang w:bidi="ar"/>
        </w:rPr>
        <w:t>，本次环评引用污水处理厂二期环境现状监测报告，建设单位委托</w:t>
      </w:r>
      <w:r>
        <w:rPr>
          <w:rFonts w:hint="eastAsia"/>
          <w:color w:val="auto"/>
          <w:kern w:val="21"/>
          <w:lang w:eastAsia="zh-CN" w:bidi="ar"/>
        </w:rPr>
        <w:t>云南中科检测技术</w:t>
      </w:r>
      <w:r>
        <w:rPr>
          <w:rFonts w:hint="eastAsia"/>
          <w:color w:val="auto"/>
          <w:kern w:val="21"/>
          <w:lang w:bidi="ar"/>
        </w:rPr>
        <w:t>有限公司分别对青龙河水质进行监测，见附件9。</w:t>
      </w:r>
    </w:p>
    <w:p>
      <w:pPr>
        <w:widowControl/>
        <w:adjustRightInd w:val="0"/>
        <w:snapToGrid w:val="0"/>
        <w:ind w:firstLine="480"/>
        <w:jc w:val="left"/>
        <w:rPr>
          <w:color w:val="auto"/>
          <w:kern w:val="21"/>
          <w:lang w:bidi="ar"/>
        </w:rPr>
      </w:pPr>
      <w:r>
        <w:rPr>
          <w:rFonts w:hint="eastAsia"/>
          <w:color w:val="auto"/>
          <w:kern w:val="21"/>
          <w:lang w:bidi="ar"/>
        </w:rPr>
        <w:t>（1）</w:t>
      </w:r>
      <w:r>
        <w:rPr>
          <w:rFonts w:hint="eastAsia"/>
          <w:color w:val="auto"/>
          <w:kern w:val="21"/>
        </w:rPr>
        <w:t>青龙河水质</w:t>
      </w:r>
      <w:r>
        <w:rPr>
          <w:rFonts w:hint="eastAsia"/>
          <w:color w:val="auto"/>
          <w:kern w:val="21"/>
          <w:lang w:bidi="ar"/>
        </w:rPr>
        <w:t>监测</w:t>
      </w:r>
    </w:p>
    <w:p>
      <w:pPr>
        <w:widowControl/>
        <w:adjustRightInd w:val="0"/>
        <w:snapToGrid w:val="0"/>
        <w:ind w:firstLine="480"/>
        <w:jc w:val="left"/>
        <w:rPr>
          <w:color w:val="auto"/>
          <w:kern w:val="21"/>
        </w:rPr>
      </w:pPr>
      <w:r>
        <w:rPr>
          <w:color w:val="auto"/>
          <w:kern w:val="21"/>
          <w:lang w:bidi="ar"/>
        </w:rPr>
        <w:t>1）</w:t>
      </w:r>
      <w:r>
        <w:rPr>
          <w:color w:val="auto"/>
          <w:kern w:val="21"/>
        </w:rPr>
        <w:t>监测时间和频率</w:t>
      </w:r>
    </w:p>
    <w:p>
      <w:pPr>
        <w:autoSpaceDN w:val="0"/>
        <w:adjustRightInd w:val="0"/>
        <w:snapToGrid w:val="0"/>
        <w:ind w:firstLine="480"/>
        <w:textAlignment w:val="center"/>
        <w:rPr>
          <w:color w:val="auto"/>
          <w:kern w:val="21"/>
        </w:rPr>
      </w:pPr>
      <w:r>
        <w:rPr>
          <w:color w:val="auto"/>
          <w:kern w:val="21"/>
        </w:rPr>
        <w:t>监测时间为202</w:t>
      </w:r>
      <w:r>
        <w:rPr>
          <w:rFonts w:hint="eastAsia"/>
          <w:color w:val="auto"/>
          <w:kern w:val="21"/>
        </w:rPr>
        <w:t>1</w:t>
      </w:r>
      <w:r>
        <w:rPr>
          <w:color w:val="auto"/>
          <w:kern w:val="21"/>
        </w:rPr>
        <w:t>年</w:t>
      </w:r>
      <w:r>
        <w:rPr>
          <w:rFonts w:hint="eastAsia"/>
          <w:color w:val="auto"/>
          <w:kern w:val="21"/>
        </w:rPr>
        <w:t>5</w:t>
      </w:r>
      <w:r>
        <w:rPr>
          <w:color w:val="auto"/>
          <w:kern w:val="21"/>
        </w:rPr>
        <w:t>月</w:t>
      </w:r>
      <w:r>
        <w:rPr>
          <w:rFonts w:hint="eastAsia"/>
          <w:color w:val="auto"/>
          <w:kern w:val="21"/>
        </w:rPr>
        <w:t>06</w:t>
      </w:r>
      <w:r>
        <w:rPr>
          <w:color w:val="auto"/>
          <w:kern w:val="21"/>
        </w:rPr>
        <w:t>日～202</w:t>
      </w:r>
      <w:r>
        <w:rPr>
          <w:rFonts w:hint="eastAsia"/>
          <w:color w:val="auto"/>
          <w:kern w:val="21"/>
        </w:rPr>
        <w:t>1</w:t>
      </w:r>
      <w:r>
        <w:rPr>
          <w:color w:val="auto"/>
          <w:kern w:val="21"/>
        </w:rPr>
        <w:t>年</w:t>
      </w:r>
      <w:r>
        <w:rPr>
          <w:rFonts w:hint="eastAsia"/>
          <w:color w:val="auto"/>
          <w:kern w:val="21"/>
        </w:rPr>
        <w:t>5</w:t>
      </w:r>
      <w:r>
        <w:rPr>
          <w:color w:val="auto"/>
          <w:kern w:val="21"/>
        </w:rPr>
        <w:t>月</w:t>
      </w:r>
      <w:r>
        <w:rPr>
          <w:rFonts w:hint="eastAsia"/>
          <w:color w:val="auto"/>
          <w:kern w:val="21"/>
        </w:rPr>
        <w:t>08</w:t>
      </w:r>
      <w:r>
        <w:rPr>
          <w:color w:val="auto"/>
          <w:kern w:val="21"/>
        </w:rPr>
        <w:t>日，连续采样3天，每天采样监测1次。</w:t>
      </w:r>
    </w:p>
    <w:p>
      <w:pPr>
        <w:widowControl/>
        <w:adjustRightInd w:val="0"/>
        <w:snapToGrid w:val="0"/>
        <w:ind w:firstLine="480"/>
        <w:jc w:val="left"/>
        <w:rPr>
          <w:color w:val="auto"/>
          <w:kern w:val="21"/>
        </w:rPr>
      </w:pPr>
      <w:r>
        <w:rPr>
          <w:color w:val="auto"/>
          <w:kern w:val="21"/>
        </w:rPr>
        <w:t>2）</w:t>
      </w:r>
      <w:r>
        <w:rPr>
          <w:color w:val="auto"/>
          <w:kern w:val="21"/>
          <w:lang w:bidi="ar"/>
        </w:rPr>
        <w:t>监测断面布设</w:t>
      </w:r>
    </w:p>
    <w:p>
      <w:pPr>
        <w:widowControl/>
        <w:adjustRightInd w:val="0"/>
        <w:snapToGrid w:val="0"/>
        <w:ind w:firstLine="480"/>
        <w:jc w:val="left"/>
        <w:rPr>
          <w:color w:val="auto"/>
          <w:kern w:val="21"/>
          <w:lang w:bidi="ar"/>
        </w:rPr>
      </w:pPr>
      <w:r>
        <w:rPr>
          <w:color w:val="auto"/>
          <w:kern w:val="21"/>
          <w:lang w:bidi="ar"/>
        </w:rPr>
        <w:t>地表水监测断面布设情况见</w:t>
      </w:r>
      <w:r>
        <w:rPr>
          <w:rFonts w:hint="eastAsia"/>
          <w:color w:val="auto"/>
          <w:kern w:val="21"/>
          <w:lang w:eastAsia="zh-CN" w:bidi="ar"/>
        </w:rPr>
        <w:t>下表</w:t>
      </w:r>
      <w:r>
        <w:rPr>
          <w:color w:val="auto"/>
          <w:kern w:val="21"/>
          <w:lang w:bidi="ar"/>
        </w:rPr>
        <w:t>。</w:t>
      </w:r>
    </w:p>
    <w:p>
      <w:pPr>
        <w:pStyle w:val="2"/>
        <w:rPr>
          <w:color w:val="auto"/>
        </w:rPr>
      </w:pPr>
    </w:p>
    <w:p>
      <w:pPr>
        <w:numPr>
          <w:ilvl w:val="0"/>
          <w:numId w:val="9"/>
        </w:numPr>
        <w:ind w:left="0" w:leftChars="0" w:firstLine="0" w:firstLineChars="0"/>
        <w:jc w:val="center"/>
        <w:rPr>
          <w:b/>
          <w:bCs/>
          <w:color w:val="auto"/>
          <w:kern w:val="21"/>
        </w:rPr>
      </w:pPr>
      <w:r>
        <w:rPr>
          <w:b/>
          <w:bCs/>
          <w:color w:val="auto"/>
          <w:kern w:val="21"/>
          <w:lang w:val="zh-CN" w:bidi="zh-CN"/>
        </w:rPr>
        <w:t>地表水</w:t>
      </w:r>
      <w:r>
        <w:rPr>
          <w:b/>
          <w:bCs/>
          <w:color w:val="auto"/>
          <w:kern w:val="21"/>
          <w:lang w:bidi="ar"/>
        </w:rPr>
        <w:t>监测断面布设情况</w:t>
      </w:r>
    </w:p>
    <w:tbl>
      <w:tblPr>
        <w:tblStyle w:val="51"/>
        <w:tblW w:w="8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4105"/>
        <w:gridCol w:w="3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utoSpaceDN w:val="0"/>
              <w:adjustRightInd w:val="0"/>
              <w:snapToGrid w:val="0"/>
              <w:ind w:firstLine="0" w:firstLineChars="0"/>
              <w:jc w:val="center"/>
              <w:textAlignment w:val="center"/>
              <w:rPr>
                <w:color w:val="auto"/>
                <w:kern w:val="21"/>
                <w:sz w:val="21"/>
                <w:szCs w:val="21"/>
              </w:rPr>
            </w:pPr>
            <w:r>
              <w:rPr>
                <w:color w:val="auto"/>
                <w:kern w:val="21"/>
                <w:sz w:val="21"/>
                <w:szCs w:val="21"/>
              </w:rPr>
              <w:t>序号</w:t>
            </w:r>
          </w:p>
        </w:tc>
        <w:tc>
          <w:tcPr>
            <w:tcW w:w="4105" w:type="dxa"/>
            <w:vAlign w:val="center"/>
          </w:tcPr>
          <w:p>
            <w:pPr>
              <w:autoSpaceDN w:val="0"/>
              <w:adjustRightInd w:val="0"/>
              <w:snapToGrid w:val="0"/>
              <w:ind w:firstLine="0" w:firstLineChars="0"/>
              <w:jc w:val="center"/>
              <w:textAlignment w:val="center"/>
              <w:rPr>
                <w:color w:val="auto"/>
                <w:kern w:val="21"/>
                <w:sz w:val="21"/>
                <w:szCs w:val="21"/>
              </w:rPr>
            </w:pPr>
            <w:r>
              <w:rPr>
                <w:color w:val="auto"/>
                <w:kern w:val="21"/>
                <w:sz w:val="21"/>
                <w:szCs w:val="21"/>
              </w:rPr>
              <w:t>监测断面</w:t>
            </w:r>
          </w:p>
        </w:tc>
        <w:tc>
          <w:tcPr>
            <w:tcW w:w="3084" w:type="dxa"/>
            <w:vAlign w:val="center"/>
          </w:tcPr>
          <w:p>
            <w:pPr>
              <w:autoSpaceDN w:val="0"/>
              <w:adjustRightInd w:val="0"/>
              <w:snapToGrid w:val="0"/>
              <w:ind w:firstLine="0" w:firstLineChars="0"/>
              <w:jc w:val="center"/>
              <w:textAlignment w:val="center"/>
              <w:rPr>
                <w:color w:val="auto"/>
                <w:kern w:val="21"/>
                <w:sz w:val="21"/>
                <w:szCs w:val="21"/>
              </w:rPr>
            </w:pPr>
            <w:r>
              <w:rPr>
                <w:color w:val="auto"/>
                <w:kern w:val="21"/>
                <w:sz w:val="21"/>
                <w:szCs w:val="21"/>
              </w:rPr>
              <w:t>水环境功能要求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1</w:t>
            </w:r>
          </w:p>
        </w:tc>
        <w:tc>
          <w:tcPr>
            <w:tcW w:w="4105" w:type="dxa"/>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lang w:bidi="ar"/>
              </w:rPr>
              <w:t>项目青龙河排水口上游500m（</w:t>
            </w:r>
            <w:r>
              <w:rPr>
                <w:rFonts w:hint="eastAsia"/>
                <w:color w:val="auto"/>
                <w:kern w:val="21"/>
                <w:sz w:val="21"/>
                <w:szCs w:val="21"/>
                <w:lang w:bidi="ar"/>
              </w:rPr>
              <w:t>W1</w:t>
            </w:r>
            <w:r>
              <w:rPr>
                <w:color w:val="auto"/>
                <w:kern w:val="21"/>
                <w:sz w:val="21"/>
                <w:szCs w:val="21"/>
                <w:lang w:bidi="ar"/>
              </w:rPr>
              <w:t>）</w:t>
            </w:r>
          </w:p>
        </w:tc>
        <w:tc>
          <w:tcPr>
            <w:tcW w:w="3084" w:type="dxa"/>
            <w:vMerge w:val="restart"/>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《地表水环境质量标准》（GB3838-2002）</w:t>
            </w:r>
            <w:r>
              <w:rPr>
                <w:color w:val="auto"/>
                <w:kern w:val="21"/>
                <w:sz w:val="21"/>
                <w:szCs w:val="21"/>
                <w:lang w:bidi="ar"/>
              </w:rPr>
              <w:fldChar w:fldCharType="begin"/>
            </w:r>
            <w:r>
              <w:rPr>
                <w:color w:val="auto"/>
                <w:kern w:val="21"/>
                <w:sz w:val="21"/>
                <w:szCs w:val="21"/>
                <w:lang w:bidi="ar"/>
              </w:rPr>
              <w:instrText xml:space="preserve"> = 4 \* ROMAN \* MERGEFORMAT </w:instrText>
            </w:r>
            <w:r>
              <w:rPr>
                <w:color w:val="auto"/>
                <w:kern w:val="21"/>
                <w:sz w:val="21"/>
                <w:szCs w:val="21"/>
                <w:lang w:bidi="ar"/>
              </w:rPr>
              <w:fldChar w:fldCharType="separate"/>
            </w:r>
            <w:r>
              <w:rPr>
                <w:color w:val="auto"/>
                <w:kern w:val="21"/>
                <w:sz w:val="21"/>
                <w:szCs w:val="21"/>
              </w:rPr>
              <w:t>IV</w:t>
            </w:r>
            <w:r>
              <w:rPr>
                <w:color w:val="auto"/>
                <w:kern w:val="21"/>
                <w:sz w:val="21"/>
                <w:szCs w:val="21"/>
                <w:lang w:bidi="ar"/>
              </w:rPr>
              <w:fldChar w:fldCharType="end"/>
            </w:r>
            <w:r>
              <w:rPr>
                <w:color w:val="auto"/>
                <w:kern w:val="21"/>
                <w:sz w:val="21"/>
                <w:szCs w:val="21"/>
                <w:lang w:bidi="ar"/>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2</w:t>
            </w:r>
          </w:p>
        </w:tc>
        <w:tc>
          <w:tcPr>
            <w:tcW w:w="4105" w:type="dxa"/>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lang w:bidi="ar"/>
              </w:rPr>
              <w:t>项目青龙河排水口下游1</w:t>
            </w:r>
            <w:r>
              <w:rPr>
                <w:rFonts w:hint="eastAsia"/>
                <w:color w:val="auto"/>
                <w:kern w:val="21"/>
                <w:sz w:val="21"/>
                <w:szCs w:val="21"/>
                <w:lang w:bidi="ar"/>
              </w:rPr>
              <w:t>000</w:t>
            </w:r>
            <w:r>
              <w:rPr>
                <w:color w:val="auto"/>
                <w:kern w:val="21"/>
                <w:sz w:val="21"/>
                <w:szCs w:val="21"/>
                <w:lang w:bidi="ar"/>
              </w:rPr>
              <w:t>m（</w:t>
            </w:r>
            <w:r>
              <w:rPr>
                <w:rFonts w:hint="eastAsia"/>
                <w:color w:val="auto"/>
                <w:kern w:val="21"/>
                <w:sz w:val="21"/>
                <w:szCs w:val="21"/>
                <w:lang w:bidi="ar"/>
              </w:rPr>
              <w:t>W2</w:t>
            </w:r>
            <w:r>
              <w:rPr>
                <w:color w:val="auto"/>
                <w:kern w:val="21"/>
                <w:sz w:val="21"/>
                <w:szCs w:val="21"/>
                <w:lang w:bidi="ar"/>
              </w:rPr>
              <w:t>）</w:t>
            </w:r>
          </w:p>
        </w:tc>
        <w:tc>
          <w:tcPr>
            <w:tcW w:w="3084" w:type="dxa"/>
            <w:vMerge w:val="continue"/>
            <w:vAlign w:val="center"/>
          </w:tcPr>
          <w:p>
            <w:pPr>
              <w:autoSpaceDN w:val="0"/>
              <w:adjustRightInd w:val="0"/>
              <w:snapToGrid w:val="0"/>
              <w:ind w:firstLine="0" w:firstLineChars="0"/>
              <w:jc w:val="center"/>
              <w:textAlignment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7" w:type="dxa"/>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rPr>
              <w:t>3</w:t>
            </w:r>
          </w:p>
        </w:tc>
        <w:tc>
          <w:tcPr>
            <w:tcW w:w="4105" w:type="dxa"/>
            <w:vAlign w:val="center"/>
          </w:tcPr>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center"/>
              <w:rPr>
                <w:color w:val="auto"/>
                <w:kern w:val="21"/>
                <w:sz w:val="21"/>
                <w:szCs w:val="21"/>
              </w:rPr>
            </w:pPr>
            <w:r>
              <w:rPr>
                <w:color w:val="auto"/>
                <w:kern w:val="21"/>
                <w:sz w:val="21"/>
                <w:szCs w:val="21"/>
                <w:lang w:bidi="ar"/>
              </w:rPr>
              <w:t>项目青龙河排水口下游</w:t>
            </w:r>
            <w:r>
              <w:rPr>
                <w:rFonts w:hint="eastAsia"/>
                <w:color w:val="auto"/>
                <w:kern w:val="21"/>
                <w:sz w:val="21"/>
                <w:szCs w:val="21"/>
                <w:lang w:bidi="ar"/>
              </w:rPr>
              <w:t>2000</w:t>
            </w:r>
            <w:r>
              <w:rPr>
                <w:color w:val="auto"/>
                <w:kern w:val="21"/>
                <w:sz w:val="21"/>
                <w:szCs w:val="21"/>
                <w:lang w:bidi="ar"/>
              </w:rPr>
              <w:t>m（</w:t>
            </w:r>
            <w:r>
              <w:rPr>
                <w:rFonts w:hint="eastAsia"/>
                <w:color w:val="auto"/>
                <w:kern w:val="21"/>
                <w:sz w:val="21"/>
                <w:szCs w:val="21"/>
                <w:lang w:bidi="ar"/>
              </w:rPr>
              <w:t>W3</w:t>
            </w:r>
            <w:r>
              <w:rPr>
                <w:color w:val="auto"/>
                <w:kern w:val="21"/>
                <w:sz w:val="21"/>
                <w:szCs w:val="21"/>
                <w:lang w:bidi="ar"/>
              </w:rPr>
              <w:t>）</w:t>
            </w:r>
          </w:p>
        </w:tc>
        <w:tc>
          <w:tcPr>
            <w:tcW w:w="3084" w:type="dxa"/>
            <w:vMerge w:val="continue"/>
            <w:vAlign w:val="center"/>
          </w:tcPr>
          <w:p>
            <w:pPr>
              <w:autoSpaceDN w:val="0"/>
              <w:adjustRightInd w:val="0"/>
              <w:snapToGrid w:val="0"/>
              <w:ind w:firstLine="0" w:firstLineChars="0"/>
              <w:jc w:val="center"/>
              <w:textAlignment w:val="center"/>
              <w:rPr>
                <w:color w:val="auto"/>
                <w:kern w:val="21"/>
                <w:sz w:val="21"/>
                <w:szCs w:val="21"/>
              </w:rPr>
            </w:pPr>
          </w:p>
        </w:tc>
      </w:tr>
    </w:tbl>
    <w:p>
      <w:pPr>
        <w:autoSpaceDN w:val="0"/>
        <w:ind w:firstLine="480"/>
        <w:textAlignment w:val="center"/>
        <w:rPr>
          <w:color w:val="auto"/>
          <w:kern w:val="21"/>
        </w:rPr>
      </w:pPr>
      <w:r>
        <w:rPr>
          <w:color w:val="auto"/>
          <w:kern w:val="21"/>
        </w:rPr>
        <w:t>3）监测因子</w:t>
      </w:r>
    </w:p>
    <w:p>
      <w:pPr>
        <w:autoSpaceDN w:val="0"/>
        <w:ind w:firstLine="480"/>
        <w:textAlignment w:val="center"/>
        <w:rPr>
          <w:color w:val="auto"/>
          <w:kern w:val="21"/>
        </w:rPr>
      </w:pPr>
      <w:r>
        <w:rPr>
          <w:color w:val="auto"/>
          <w:kern w:val="21"/>
        </w:rPr>
        <w:t>监测因子为</w:t>
      </w:r>
      <w:r>
        <w:rPr>
          <w:rFonts w:hint="eastAsia"/>
          <w:color w:val="auto"/>
          <w:kern w:val="21"/>
        </w:rPr>
        <w:t>水温、</w:t>
      </w:r>
      <w:r>
        <w:rPr>
          <w:color w:val="auto"/>
          <w:kern w:val="21"/>
        </w:rPr>
        <w:t>pH、</w:t>
      </w:r>
      <w:r>
        <w:rPr>
          <w:rFonts w:hint="eastAsia"/>
          <w:color w:val="auto"/>
          <w:kern w:val="21"/>
        </w:rPr>
        <w:t>溶解氧、</w:t>
      </w:r>
      <w:r>
        <w:rPr>
          <w:color w:val="auto"/>
          <w:kern w:val="21"/>
        </w:rPr>
        <w:t>BOD</w:t>
      </w:r>
      <w:r>
        <w:rPr>
          <w:color w:val="auto"/>
          <w:kern w:val="21"/>
          <w:vertAlign w:val="subscript"/>
        </w:rPr>
        <w:t>5</w:t>
      </w:r>
      <w:r>
        <w:rPr>
          <w:color w:val="auto"/>
          <w:kern w:val="21"/>
        </w:rPr>
        <w:t>、化学需氧量、悬浮物、石油类、阴离子表面活性剂、氨氮、总氮、总磷、色度、粪大肠菌群、氟化物、硫化物、总汞、总镉、总铬、六价铬、总砷、总铅共</w:t>
      </w:r>
      <w:r>
        <w:rPr>
          <w:rFonts w:hint="eastAsia"/>
          <w:color w:val="auto"/>
          <w:kern w:val="21"/>
        </w:rPr>
        <w:t>21</w:t>
      </w:r>
      <w:r>
        <w:rPr>
          <w:color w:val="auto"/>
          <w:kern w:val="21"/>
        </w:rPr>
        <w:t>项。</w:t>
      </w:r>
    </w:p>
    <w:p>
      <w:pPr>
        <w:ind w:left="480" w:leftChars="200" w:firstLine="0" w:firstLineChars="0"/>
        <w:rPr>
          <w:color w:val="auto"/>
          <w:kern w:val="21"/>
        </w:rPr>
      </w:pPr>
      <w:r>
        <w:rPr>
          <w:rFonts w:hint="eastAsia"/>
          <w:color w:val="auto"/>
          <w:kern w:val="21"/>
        </w:rPr>
        <w:t>4）</w:t>
      </w:r>
      <w:r>
        <w:rPr>
          <w:color w:val="auto"/>
          <w:kern w:val="21"/>
        </w:rPr>
        <w:t>采样分析方法</w:t>
      </w:r>
    </w:p>
    <w:p>
      <w:pPr>
        <w:ind w:firstLine="480"/>
        <w:rPr>
          <w:color w:val="auto"/>
          <w:kern w:val="21"/>
        </w:rPr>
      </w:pPr>
      <w:r>
        <w:rPr>
          <w:color w:val="auto"/>
          <w:kern w:val="21"/>
        </w:rPr>
        <w:t>地表水检测项目、方法、设备见</w:t>
      </w:r>
      <w:r>
        <w:rPr>
          <w:rFonts w:hint="eastAsia"/>
          <w:color w:val="auto"/>
          <w:kern w:val="21"/>
          <w:lang w:eastAsia="zh-CN"/>
        </w:rPr>
        <w:t>下表</w:t>
      </w:r>
      <w:r>
        <w:rPr>
          <w:color w:val="auto"/>
          <w:kern w:val="21"/>
        </w:rPr>
        <w:t>。</w:t>
      </w:r>
    </w:p>
    <w:p>
      <w:pPr>
        <w:numPr>
          <w:ilvl w:val="0"/>
          <w:numId w:val="9"/>
        </w:numPr>
        <w:ind w:left="0" w:leftChars="0" w:firstLine="0" w:firstLineChars="0"/>
        <w:jc w:val="center"/>
        <w:rPr>
          <w:b/>
          <w:bCs/>
          <w:color w:val="auto"/>
          <w:kern w:val="21"/>
        </w:rPr>
      </w:pPr>
      <w:r>
        <w:rPr>
          <w:b/>
          <w:bCs/>
          <w:color w:val="auto"/>
          <w:kern w:val="21"/>
        </w:rPr>
        <w:t>检测项目、方法、设备一览表</w:t>
      </w:r>
    </w:p>
    <w:tbl>
      <w:tblPr>
        <w:tblStyle w:val="51"/>
        <w:tblW w:w="815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1079"/>
        <w:gridCol w:w="3288"/>
        <w:gridCol w:w="1620"/>
        <w:gridCol w:w="918"/>
        <w:gridCol w:w="12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检测项目</w:t>
            </w:r>
          </w:p>
        </w:tc>
        <w:tc>
          <w:tcPr>
            <w:tcW w:w="3288" w:type="dxa"/>
            <w:vAlign w:val="center"/>
          </w:tcPr>
          <w:p>
            <w:pPr>
              <w:spacing w:line="240" w:lineRule="auto"/>
              <w:ind w:firstLine="0" w:firstLineChars="0"/>
              <w:jc w:val="center"/>
              <w:rPr>
                <w:color w:val="auto"/>
                <w:kern w:val="21"/>
                <w:sz w:val="21"/>
                <w:szCs w:val="21"/>
              </w:rPr>
            </w:pPr>
            <w:r>
              <w:rPr>
                <w:color w:val="auto"/>
                <w:kern w:val="21"/>
                <w:sz w:val="21"/>
                <w:szCs w:val="21"/>
              </w:rPr>
              <w:t>检测依据/标准名称</w:t>
            </w:r>
          </w:p>
        </w:tc>
        <w:tc>
          <w:tcPr>
            <w:tcW w:w="1620" w:type="dxa"/>
            <w:vAlign w:val="center"/>
          </w:tcPr>
          <w:p>
            <w:pPr>
              <w:spacing w:line="240" w:lineRule="auto"/>
              <w:ind w:firstLine="0" w:firstLineChars="0"/>
              <w:jc w:val="center"/>
              <w:rPr>
                <w:color w:val="auto"/>
                <w:kern w:val="21"/>
                <w:sz w:val="21"/>
                <w:szCs w:val="21"/>
              </w:rPr>
            </w:pPr>
            <w:r>
              <w:rPr>
                <w:color w:val="auto"/>
                <w:kern w:val="21"/>
                <w:sz w:val="21"/>
                <w:szCs w:val="21"/>
              </w:rPr>
              <w:t>检测仪器设备</w:t>
            </w:r>
          </w:p>
          <w:p>
            <w:pPr>
              <w:spacing w:line="240" w:lineRule="auto"/>
              <w:ind w:firstLine="0" w:firstLineChars="0"/>
              <w:jc w:val="center"/>
              <w:rPr>
                <w:color w:val="auto"/>
                <w:kern w:val="21"/>
                <w:sz w:val="21"/>
                <w:szCs w:val="21"/>
              </w:rPr>
            </w:pPr>
            <w:r>
              <w:rPr>
                <w:color w:val="auto"/>
                <w:kern w:val="21"/>
                <w:sz w:val="21"/>
                <w:szCs w:val="21"/>
              </w:rPr>
              <w:t>名称/型号</w:t>
            </w:r>
          </w:p>
        </w:tc>
        <w:tc>
          <w:tcPr>
            <w:tcW w:w="918" w:type="dxa"/>
            <w:vAlign w:val="center"/>
          </w:tcPr>
          <w:p>
            <w:pPr>
              <w:spacing w:line="240" w:lineRule="auto"/>
              <w:ind w:firstLine="0" w:firstLineChars="0"/>
              <w:jc w:val="center"/>
              <w:rPr>
                <w:color w:val="auto"/>
                <w:kern w:val="21"/>
                <w:sz w:val="21"/>
                <w:szCs w:val="21"/>
              </w:rPr>
            </w:pPr>
            <w:r>
              <w:rPr>
                <w:color w:val="auto"/>
                <w:kern w:val="21"/>
                <w:sz w:val="21"/>
                <w:szCs w:val="21"/>
              </w:rPr>
              <w:t>设备编号</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最低检出限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37" w:hRule="atLeast"/>
          <w:jc w:val="center"/>
        </w:trPr>
        <w:tc>
          <w:tcPr>
            <w:tcW w:w="1079"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水温</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GB 13195-91水质水温的测定</w:t>
            </w:r>
          </w:p>
          <w:p>
            <w:pPr>
              <w:spacing w:line="240" w:lineRule="auto"/>
              <w:ind w:firstLine="0" w:firstLineChars="0"/>
              <w:jc w:val="center"/>
              <w:rPr>
                <w:color w:val="auto"/>
                <w:kern w:val="21"/>
                <w:sz w:val="21"/>
                <w:szCs w:val="21"/>
              </w:rPr>
            </w:pPr>
            <w:r>
              <w:rPr>
                <w:rFonts w:hint="eastAsia"/>
                <w:color w:val="auto"/>
                <w:kern w:val="21"/>
                <w:sz w:val="21"/>
                <w:szCs w:val="21"/>
              </w:rPr>
              <w:t>温度计或颠倒温度计测定法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MC</w:t>
            </w:r>
          </w:p>
          <w:p>
            <w:pPr>
              <w:spacing w:line="240" w:lineRule="auto"/>
              <w:ind w:firstLine="0" w:firstLineChars="0"/>
              <w:jc w:val="center"/>
              <w:rPr>
                <w:color w:val="auto"/>
                <w:kern w:val="21"/>
                <w:sz w:val="21"/>
                <w:szCs w:val="21"/>
              </w:rPr>
            </w:pPr>
            <w:r>
              <w:rPr>
                <w:rFonts w:hint="eastAsia"/>
                <w:color w:val="auto"/>
                <w:kern w:val="21"/>
                <w:sz w:val="21"/>
                <w:szCs w:val="21"/>
              </w:rPr>
              <w:t>水银温度计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STT-XC208</w:t>
            </w:r>
          </w:p>
        </w:tc>
        <w:tc>
          <w:tcPr>
            <w:tcW w:w="125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0.1°C</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pH</w:t>
            </w:r>
          </w:p>
        </w:tc>
        <w:tc>
          <w:tcPr>
            <w:tcW w:w="3288" w:type="dxa"/>
            <w:vAlign w:val="center"/>
          </w:tcPr>
          <w:p>
            <w:pPr>
              <w:spacing w:line="240" w:lineRule="auto"/>
              <w:ind w:firstLine="0" w:firstLineChars="0"/>
              <w:jc w:val="center"/>
              <w:rPr>
                <w:color w:val="auto"/>
                <w:kern w:val="21"/>
                <w:sz w:val="21"/>
                <w:szCs w:val="21"/>
              </w:rPr>
            </w:pPr>
            <w:r>
              <w:rPr>
                <w:color w:val="auto"/>
                <w:kern w:val="21"/>
                <w:sz w:val="21"/>
                <w:szCs w:val="21"/>
              </w:rPr>
              <w:t>GB6920-1986水质pH值的测定玻璃电极法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PHS-3C型pH 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STT-FX091</w:t>
            </w:r>
          </w:p>
        </w:tc>
        <w:tc>
          <w:tcPr>
            <w:tcW w:w="125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0.01pH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95" w:hRule="atLeast"/>
          <w:jc w:val="center"/>
        </w:trPr>
        <w:tc>
          <w:tcPr>
            <w:tcW w:w="1079"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溶解氧</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GB7489-87</w:t>
            </w:r>
          </w:p>
          <w:p>
            <w:pPr>
              <w:spacing w:line="240" w:lineRule="auto"/>
              <w:ind w:firstLine="0" w:firstLineChars="0"/>
              <w:jc w:val="center"/>
              <w:rPr>
                <w:color w:val="auto"/>
                <w:kern w:val="21"/>
                <w:sz w:val="21"/>
                <w:szCs w:val="21"/>
              </w:rPr>
            </w:pPr>
            <w:r>
              <w:rPr>
                <w:rFonts w:hint="eastAsia"/>
                <w:color w:val="auto"/>
                <w:kern w:val="21"/>
                <w:sz w:val="21"/>
                <w:szCs w:val="21"/>
              </w:rPr>
              <w:t>水质 溶解氧的测定碘量法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50mL滴定管</w:t>
            </w:r>
          </w:p>
        </w:tc>
        <w:tc>
          <w:tcPr>
            <w:tcW w:w="918" w:type="dxa"/>
            <w:vAlign w:val="center"/>
          </w:tcPr>
          <w:p>
            <w:pPr>
              <w:spacing w:line="240" w:lineRule="auto"/>
              <w:ind w:firstLine="0" w:firstLineChars="0"/>
              <w:jc w:val="center"/>
              <w:rPr>
                <w:color w:val="auto"/>
                <w:kern w:val="21"/>
                <w:sz w:val="21"/>
                <w:szCs w:val="21"/>
              </w:rPr>
            </w:pPr>
            <w:r>
              <w:rPr>
                <w:color w:val="auto"/>
                <w:kern w:val="21"/>
                <w:sz w:val="21"/>
                <w:szCs w:val="21"/>
              </w:rPr>
              <w:t>/</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w:t>
            </w:r>
            <w:r>
              <w:rPr>
                <w:rFonts w:hint="eastAsia"/>
                <w:color w:val="auto"/>
                <w:kern w:val="21"/>
                <w:sz w:val="21"/>
                <w:szCs w:val="21"/>
              </w:rPr>
              <w:t>2</w:t>
            </w:r>
            <w:r>
              <w:rPr>
                <w:color w:val="auto"/>
                <w:kern w:val="21"/>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化学需氧量</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HJ828-2017</w:t>
            </w:r>
          </w:p>
          <w:p>
            <w:pPr>
              <w:spacing w:line="240" w:lineRule="auto"/>
              <w:ind w:firstLine="0" w:firstLineChars="0"/>
              <w:jc w:val="center"/>
              <w:rPr>
                <w:color w:val="auto"/>
                <w:kern w:val="21"/>
                <w:sz w:val="21"/>
                <w:szCs w:val="21"/>
              </w:rPr>
            </w:pPr>
            <w:r>
              <w:rPr>
                <w:rFonts w:hint="eastAsia"/>
                <w:color w:val="auto"/>
                <w:kern w:val="21"/>
                <w:sz w:val="21"/>
                <w:szCs w:val="21"/>
              </w:rPr>
              <w:t>水质化学需氧量的测定重铬酸盐法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50mL滴定管</w:t>
            </w:r>
          </w:p>
        </w:tc>
        <w:tc>
          <w:tcPr>
            <w:tcW w:w="918" w:type="dxa"/>
            <w:vAlign w:val="center"/>
          </w:tcPr>
          <w:p>
            <w:pPr>
              <w:spacing w:line="240" w:lineRule="auto"/>
              <w:ind w:firstLine="0" w:firstLineChars="0"/>
              <w:jc w:val="center"/>
              <w:rPr>
                <w:color w:val="auto"/>
                <w:kern w:val="21"/>
                <w:sz w:val="21"/>
                <w:szCs w:val="21"/>
              </w:rPr>
            </w:pPr>
            <w:r>
              <w:rPr>
                <w:color w:val="auto"/>
                <w:kern w:val="21"/>
                <w:sz w:val="21"/>
                <w:szCs w:val="21"/>
              </w:rPr>
              <w:t>/</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4mg/L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五日</w:t>
            </w:r>
            <w:r>
              <w:rPr>
                <w:color w:val="auto"/>
                <w:kern w:val="21"/>
                <w:sz w:val="21"/>
                <w:szCs w:val="21"/>
              </w:rPr>
              <w:t>化学需氧量</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HJ505-2009</w:t>
            </w:r>
          </w:p>
          <w:p>
            <w:pPr>
              <w:spacing w:line="240" w:lineRule="auto"/>
              <w:ind w:firstLine="0" w:firstLineChars="0"/>
              <w:jc w:val="center"/>
              <w:rPr>
                <w:color w:val="auto"/>
                <w:kern w:val="21"/>
                <w:sz w:val="21"/>
                <w:szCs w:val="21"/>
              </w:rPr>
            </w:pPr>
            <w:r>
              <w:rPr>
                <w:rFonts w:hint="eastAsia"/>
                <w:color w:val="auto"/>
                <w:kern w:val="21"/>
                <w:sz w:val="21"/>
                <w:szCs w:val="21"/>
              </w:rPr>
              <w:t>水质五日生化需氧量(BOD)的测定</w:t>
            </w:r>
          </w:p>
          <w:p>
            <w:pPr>
              <w:spacing w:line="240" w:lineRule="auto"/>
              <w:ind w:firstLine="0" w:firstLineChars="0"/>
              <w:jc w:val="center"/>
              <w:rPr>
                <w:color w:val="auto"/>
                <w:kern w:val="21"/>
                <w:sz w:val="21"/>
                <w:szCs w:val="21"/>
              </w:rPr>
            </w:pPr>
            <w:r>
              <w:rPr>
                <w:rFonts w:hint="eastAsia"/>
                <w:color w:val="auto"/>
                <w:kern w:val="21"/>
                <w:sz w:val="21"/>
                <w:szCs w:val="21"/>
              </w:rPr>
              <w:t>稀释与接种法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SHP-500生化培养箱</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STT-FX163</w:t>
            </w:r>
          </w:p>
        </w:tc>
        <w:tc>
          <w:tcPr>
            <w:tcW w:w="125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0.5</w:t>
            </w:r>
            <w:r>
              <w:rPr>
                <w:color w:val="auto"/>
                <w:kern w:val="21"/>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悬浮物</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GB 11901-89水质悬浮物的测定</w:t>
            </w:r>
          </w:p>
          <w:p>
            <w:pPr>
              <w:spacing w:line="240" w:lineRule="auto"/>
              <w:ind w:firstLine="0" w:firstLineChars="0"/>
              <w:jc w:val="center"/>
              <w:rPr>
                <w:color w:val="auto"/>
                <w:kern w:val="21"/>
                <w:sz w:val="21"/>
                <w:szCs w:val="21"/>
              </w:rPr>
            </w:pPr>
            <w:r>
              <w:rPr>
                <w:rFonts w:hint="eastAsia"/>
                <w:color w:val="auto"/>
                <w:kern w:val="21"/>
                <w:sz w:val="21"/>
                <w:szCs w:val="21"/>
              </w:rPr>
              <w:t>重量法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JF1004电子天平</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STT-FX086</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4mg/L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石油类</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HJ970-2018水质石油类的测定紫外分光光度法(试行)</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T6新世纪</w:t>
            </w:r>
          </w:p>
          <w:p>
            <w:pPr>
              <w:spacing w:line="240" w:lineRule="auto"/>
              <w:ind w:firstLine="0" w:firstLineChars="0"/>
              <w:jc w:val="center"/>
              <w:rPr>
                <w:color w:val="auto"/>
                <w:kern w:val="21"/>
                <w:sz w:val="21"/>
                <w:szCs w:val="21"/>
              </w:rPr>
            </w:pPr>
            <w:r>
              <w:rPr>
                <w:rFonts w:hint="eastAsia"/>
                <w:color w:val="auto"/>
                <w:kern w:val="21"/>
                <w:sz w:val="21"/>
                <w:szCs w:val="21"/>
              </w:rPr>
              <w:t>紫外可见分光光度计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STT-FX088</w:t>
            </w:r>
          </w:p>
        </w:tc>
        <w:tc>
          <w:tcPr>
            <w:tcW w:w="125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0.01</w:t>
            </w:r>
            <w:r>
              <w:rPr>
                <w:color w:val="auto"/>
                <w:kern w:val="21"/>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阴离子表面活性剂</w:t>
            </w:r>
          </w:p>
        </w:tc>
        <w:tc>
          <w:tcPr>
            <w:tcW w:w="3288" w:type="dxa"/>
            <w:vAlign w:val="center"/>
          </w:tcPr>
          <w:p>
            <w:pPr>
              <w:spacing w:line="240" w:lineRule="auto"/>
              <w:ind w:firstLine="0" w:firstLineChars="0"/>
              <w:jc w:val="center"/>
              <w:rPr>
                <w:color w:val="auto"/>
                <w:kern w:val="21"/>
                <w:sz w:val="21"/>
                <w:szCs w:val="21"/>
              </w:rPr>
            </w:pPr>
            <w:r>
              <w:rPr>
                <w:color w:val="auto"/>
                <w:kern w:val="21"/>
                <w:sz w:val="21"/>
                <w:szCs w:val="21"/>
              </w:rPr>
              <w:t>GB7494-87水质阴离子表面活性剂的测定亚甲蓝分光光度法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T6 新世纪</w:t>
            </w:r>
          </w:p>
          <w:p>
            <w:pPr>
              <w:spacing w:line="240" w:lineRule="auto"/>
              <w:ind w:firstLine="0" w:firstLineChars="0"/>
              <w:jc w:val="center"/>
              <w:rPr>
                <w:color w:val="auto"/>
                <w:kern w:val="21"/>
                <w:sz w:val="21"/>
                <w:szCs w:val="21"/>
              </w:rPr>
            </w:pPr>
            <w:r>
              <w:rPr>
                <w:rFonts w:hint="eastAsia"/>
                <w:color w:val="auto"/>
                <w:kern w:val="21"/>
                <w:sz w:val="21"/>
                <w:szCs w:val="21"/>
              </w:rPr>
              <w:t>紫外可见分光光度计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STT-FX088</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0.05mg/L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氨氮</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 xml:space="preserve"> HJ535-2009水质 氨氮的测定纳氏试剂分光光度法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T6 新世纪</w:t>
            </w:r>
          </w:p>
          <w:p>
            <w:pPr>
              <w:spacing w:line="240" w:lineRule="auto"/>
              <w:ind w:firstLine="0" w:firstLineChars="0"/>
              <w:jc w:val="center"/>
              <w:rPr>
                <w:color w:val="auto"/>
                <w:kern w:val="21"/>
                <w:sz w:val="21"/>
                <w:szCs w:val="21"/>
              </w:rPr>
            </w:pPr>
            <w:r>
              <w:rPr>
                <w:rFonts w:hint="eastAsia"/>
                <w:color w:val="auto"/>
                <w:kern w:val="21"/>
                <w:sz w:val="21"/>
                <w:szCs w:val="21"/>
              </w:rPr>
              <w:t>紫外可见分光光度计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STT-FX088</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0.025mg/L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总氮</w:t>
            </w:r>
          </w:p>
        </w:tc>
        <w:tc>
          <w:tcPr>
            <w:tcW w:w="3288" w:type="dxa"/>
            <w:vAlign w:val="center"/>
          </w:tcPr>
          <w:p>
            <w:pPr>
              <w:spacing w:line="240" w:lineRule="auto"/>
              <w:ind w:firstLine="0" w:firstLineChars="0"/>
              <w:jc w:val="center"/>
              <w:rPr>
                <w:color w:val="auto"/>
                <w:kern w:val="21"/>
                <w:sz w:val="21"/>
                <w:szCs w:val="21"/>
              </w:rPr>
            </w:pPr>
            <w:r>
              <w:rPr>
                <w:color w:val="auto"/>
                <w:kern w:val="21"/>
                <w:sz w:val="21"/>
                <w:szCs w:val="21"/>
              </w:rPr>
              <w:t>HJ636-2012水质总氮的测定碱性过硫酸钾消解紫外分光光度法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T6 新世纪</w:t>
            </w:r>
          </w:p>
          <w:p>
            <w:pPr>
              <w:spacing w:line="240" w:lineRule="auto"/>
              <w:ind w:firstLine="0" w:firstLineChars="0"/>
              <w:jc w:val="center"/>
              <w:rPr>
                <w:color w:val="auto"/>
                <w:kern w:val="21"/>
                <w:sz w:val="21"/>
                <w:szCs w:val="21"/>
              </w:rPr>
            </w:pPr>
            <w:r>
              <w:rPr>
                <w:rFonts w:hint="eastAsia"/>
                <w:color w:val="auto"/>
                <w:kern w:val="21"/>
                <w:sz w:val="21"/>
                <w:szCs w:val="21"/>
              </w:rPr>
              <w:t>紫外可见分光光度计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STT-FX088</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0.05mg/L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总磷</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GB 11893-89水质总磷的测定钼酸铵分光光度法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T6 新世纪</w:t>
            </w:r>
          </w:p>
          <w:p>
            <w:pPr>
              <w:spacing w:line="240" w:lineRule="auto"/>
              <w:ind w:firstLine="0" w:firstLineChars="0"/>
              <w:jc w:val="center"/>
              <w:rPr>
                <w:color w:val="auto"/>
                <w:kern w:val="21"/>
                <w:sz w:val="21"/>
                <w:szCs w:val="21"/>
              </w:rPr>
            </w:pPr>
            <w:r>
              <w:rPr>
                <w:rFonts w:hint="eastAsia"/>
                <w:color w:val="auto"/>
                <w:kern w:val="21"/>
                <w:sz w:val="21"/>
                <w:szCs w:val="21"/>
              </w:rPr>
              <w:t>紫外可见分光光度计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STT-FX088</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0.01mg/L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色度</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 xml:space="preserve"> GB11903-89水质色度的测定</w:t>
            </w:r>
          </w:p>
          <w:p>
            <w:pPr>
              <w:spacing w:line="240" w:lineRule="auto"/>
              <w:ind w:firstLine="0" w:firstLineChars="0"/>
              <w:jc w:val="center"/>
              <w:rPr>
                <w:color w:val="auto"/>
                <w:kern w:val="21"/>
                <w:sz w:val="21"/>
                <w:szCs w:val="21"/>
              </w:rPr>
            </w:pPr>
            <w:r>
              <w:rPr>
                <w:rFonts w:hint="eastAsia"/>
                <w:color w:val="auto"/>
                <w:kern w:val="21"/>
                <w:sz w:val="21"/>
                <w:szCs w:val="21"/>
              </w:rPr>
              <w:t>稀释倍数法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50mL比色管</w:t>
            </w:r>
          </w:p>
        </w:tc>
        <w:tc>
          <w:tcPr>
            <w:tcW w:w="918" w:type="dxa"/>
            <w:vAlign w:val="center"/>
          </w:tcPr>
          <w:p>
            <w:pPr>
              <w:spacing w:line="240" w:lineRule="auto"/>
              <w:ind w:firstLine="0" w:firstLineChars="0"/>
              <w:jc w:val="center"/>
              <w:rPr>
                <w:color w:val="auto"/>
                <w:kern w:val="21"/>
                <w:sz w:val="21"/>
                <w:szCs w:val="21"/>
              </w:rPr>
            </w:pPr>
            <w:r>
              <w:rPr>
                <w:color w:val="auto"/>
                <w:kern w:val="21"/>
                <w:sz w:val="21"/>
                <w:szCs w:val="21"/>
              </w:rPr>
              <w:t>/</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粪大肠菌群</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 xml:space="preserve"> HJ755-2015</w:t>
            </w:r>
          </w:p>
          <w:p>
            <w:pPr>
              <w:spacing w:line="240" w:lineRule="auto"/>
              <w:ind w:firstLine="0" w:firstLineChars="0"/>
              <w:jc w:val="center"/>
              <w:rPr>
                <w:color w:val="auto"/>
                <w:kern w:val="21"/>
                <w:sz w:val="21"/>
                <w:szCs w:val="21"/>
              </w:rPr>
            </w:pPr>
            <w:r>
              <w:rPr>
                <w:rFonts w:hint="eastAsia"/>
                <w:color w:val="auto"/>
                <w:kern w:val="21"/>
                <w:sz w:val="21"/>
                <w:szCs w:val="21"/>
              </w:rPr>
              <w:t>水质 总大肠菌群和类大肠菌群的测定纸片快速法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 xml:space="preserve"> LRH-150</w:t>
            </w:r>
          </w:p>
          <w:p>
            <w:pPr>
              <w:spacing w:line="240" w:lineRule="auto"/>
              <w:ind w:firstLine="0" w:firstLineChars="0"/>
              <w:jc w:val="center"/>
              <w:rPr>
                <w:color w:val="auto"/>
                <w:kern w:val="21"/>
                <w:sz w:val="21"/>
                <w:szCs w:val="21"/>
              </w:rPr>
            </w:pPr>
            <w:r>
              <w:rPr>
                <w:rFonts w:hint="eastAsia"/>
                <w:color w:val="auto"/>
                <w:kern w:val="21"/>
                <w:sz w:val="21"/>
                <w:szCs w:val="21"/>
              </w:rPr>
              <w:t>智能生化培养箱</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STT-FX093</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20MPN/L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氟化物</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GB 7484-87水质 氟化物的测定离子选择电极法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PXS-270离子计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STT-FX092</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0.05mg/L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硫化物</w:t>
            </w:r>
          </w:p>
        </w:tc>
        <w:tc>
          <w:tcPr>
            <w:tcW w:w="3288" w:type="dxa"/>
            <w:vAlign w:val="center"/>
          </w:tcPr>
          <w:p>
            <w:pPr>
              <w:spacing w:line="240" w:lineRule="auto"/>
              <w:ind w:firstLine="0" w:firstLineChars="0"/>
              <w:jc w:val="center"/>
              <w:rPr>
                <w:color w:val="auto"/>
                <w:kern w:val="21"/>
                <w:sz w:val="21"/>
                <w:szCs w:val="21"/>
              </w:rPr>
            </w:pPr>
            <w:r>
              <w:rPr>
                <w:color w:val="auto"/>
                <w:kern w:val="21"/>
                <w:sz w:val="21"/>
                <w:szCs w:val="21"/>
              </w:rPr>
              <w:t>GB/T16489-1996水质硫化物的测定亚甲基蓝分光光度法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SP-752</w:t>
            </w:r>
          </w:p>
          <w:p>
            <w:pPr>
              <w:spacing w:line="240" w:lineRule="auto"/>
              <w:ind w:firstLine="0" w:firstLineChars="0"/>
              <w:jc w:val="center"/>
              <w:rPr>
                <w:color w:val="auto"/>
                <w:kern w:val="21"/>
                <w:sz w:val="21"/>
                <w:szCs w:val="21"/>
              </w:rPr>
            </w:pPr>
            <w:r>
              <w:rPr>
                <w:rFonts w:hint="eastAsia"/>
                <w:color w:val="auto"/>
                <w:kern w:val="21"/>
                <w:sz w:val="21"/>
                <w:szCs w:val="21"/>
              </w:rPr>
              <w:t>紫外可见分光光度计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STT-FX007</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0.005mg/L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总汞</w:t>
            </w:r>
          </w:p>
        </w:tc>
        <w:tc>
          <w:tcPr>
            <w:tcW w:w="3288"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HJ694-2014水质汞、砷、硒、铋和锑的测定原子荧光法</w:t>
            </w:r>
          </w:p>
        </w:tc>
        <w:tc>
          <w:tcPr>
            <w:tcW w:w="1620" w:type="dxa"/>
            <w:vMerge w:val="restart"/>
            <w:vAlign w:val="center"/>
          </w:tcPr>
          <w:p>
            <w:pPr>
              <w:spacing w:line="240" w:lineRule="auto"/>
              <w:ind w:firstLine="0" w:firstLineChars="0"/>
              <w:jc w:val="center"/>
              <w:rPr>
                <w:color w:val="auto"/>
                <w:kern w:val="21"/>
                <w:sz w:val="21"/>
                <w:szCs w:val="21"/>
              </w:rPr>
            </w:pPr>
            <w:r>
              <w:rPr>
                <w:rFonts w:hint="eastAsia"/>
                <w:color w:val="auto"/>
                <w:kern w:val="21"/>
                <w:sz w:val="21"/>
                <w:szCs w:val="21"/>
              </w:rPr>
              <w:t>AFS-8520</w:t>
            </w:r>
          </w:p>
          <w:p>
            <w:pPr>
              <w:spacing w:line="240" w:lineRule="auto"/>
              <w:ind w:firstLine="0" w:firstLineChars="0"/>
              <w:jc w:val="center"/>
              <w:rPr>
                <w:color w:val="auto"/>
                <w:kern w:val="21"/>
                <w:sz w:val="21"/>
                <w:szCs w:val="21"/>
              </w:rPr>
            </w:pPr>
            <w:r>
              <w:rPr>
                <w:rFonts w:hint="eastAsia"/>
                <w:color w:val="auto"/>
                <w:kern w:val="21"/>
                <w:sz w:val="21"/>
                <w:szCs w:val="21"/>
              </w:rPr>
              <w:t>双道原子荧光分光光度计</w:t>
            </w:r>
          </w:p>
        </w:tc>
        <w:tc>
          <w:tcPr>
            <w:tcW w:w="918" w:type="dxa"/>
            <w:vMerge w:val="restart"/>
            <w:vAlign w:val="center"/>
          </w:tcPr>
          <w:p>
            <w:pPr>
              <w:spacing w:line="240" w:lineRule="auto"/>
              <w:ind w:firstLine="0" w:firstLineChars="0"/>
              <w:jc w:val="center"/>
              <w:rPr>
                <w:color w:val="auto"/>
                <w:kern w:val="21"/>
                <w:sz w:val="21"/>
                <w:szCs w:val="21"/>
              </w:rPr>
            </w:pPr>
            <w:r>
              <w:rPr>
                <w:rFonts w:hint="eastAsia"/>
                <w:color w:val="auto"/>
                <w:kern w:val="21"/>
                <w:sz w:val="21"/>
                <w:szCs w:val="21"/>
              </w:rPr>
              <w:t>STT-FX084</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4.0×10</w:t>
            </w:r>
            <w:r>
              <w:rPr>
                <w:color w:val="auto"/>
                <w:kern w:val="21"/>
                <w:sz w:val="21"/>
                <w:szCs w:val="21"/>
                <w:vertAlign w:val="superscript"/>
              </w:rPr>
              <w:t>-5</w:t>
            </w:r>
            <w:r>
              <w:rPr>
                <w:color w:val="auto"/>
                <w:kern w:val="21"/>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总砷</w:t>
            </w:r>
          </w:p>
        </w:tc>
        <w:tc>
          <w:tcPr>
            <w:tcW w:w="3288" w:type="dxa"/>
            <w:vMerge w:val="continue"/>
            <w:vAlign w:val="center"/>
          </w:tcPr>
          <w:p>
            <w:pPr>
              <w:spacing w:line="240" w:lineRule="auto"/>
              <w:ind w:firstLine="0" w:firstLineChars="0"/>
              <w:jc w:val="center"/>
              <w:rPr>
                <w:color w:val="auto"/>
                <w:kern w:val="21"/>
                <w:sz w:val="21"/>
                <w:szCs w:val="21"/>
              </w:rPr>
            </w:pPr>
          </w:p>
        </w:tc>
        <w:tc>
          <w:tcPr>
            <w:tcW w:w="1620" w:type="dxa"/>
            <w:vMerge w:val="continue"/>
            <w:vAlign w:val="center"/>
          </w:tcPr>
          <w:p>
            <w:pPr>
              <w:spacing w:line="240" w:lineRule="auto"/>
              <w:ind w:firstLine="0" w:firstLineChars="0"/>
              <w:jc w:val="center"/>
              <w:rPr>
                <w:color w:val="auto"/>
                <w:kern w:val="21"/>
                <w:sz w:val="21"/>
                <w:szCs w:val="21"/>
              </w:rPr>
            </w:pPr>
          </w:p>
        </w:tc>
        <w:tc>
          <w:tcPr>
            <w:tcW w:w="918" w:type="dxa"/>
            <w:vMerge w:val="continue"/>
            <w:vAlign w:val="center"/>
          </w:tcPr>
          <w:p>
            <w:pPr>
              <w:spacing w:line="240" w:lineRule="auto"/>
              <w:ind w:firstLine="0" w:firstLineChars="0"/>
              <w:jc w:val="center"/>
              <w:rPr>
                <w:color w:val="auto"/>
                <w:kern w:val="21"/>
                <w:sz w:val="21"/>
                <w:szCs w:val="21"/>
              </w:rPr>
            </w:pP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0.0003mg/L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铜</w:t>
            </w:r>
          </w:p>
        </w:tc>
        <w:tc>
          <w:tcPr>
            <w:tcW w:w="3288" w:type="dxa"/>
            <w:vMerge w:val="restart"/>
            <w:vAlign w:val="center"/>
          </w:tcPr>
          <w:p>
            <w:pPr>
              <w:spacing w:line="240" w:lineRule="auto"/>
              <w:ind w:firstLine="0" w:firstLineChars="0"/>
              <w:jc w:val="center"/>
              <w:rPr>
                <w:color w:val="auto"/>
                <w:kern w:val="21"/>
                <w:sz w:val="21"/>
                <w:szCs w:val="21"/>
              </w:rPr>
            </w:pPr>
            <w:r>
              <w:rPr>
                <w:rFonts w:hint="eastAsia"/>
                <w:color w:val="auto"/>
                <w:kern w:val="21"/>
                <w:sz w:val="21"/>
                <w:szCs w:val="21"/>
              </w:rPr>
              <w:t>HJ700-2014</w:t>
            </w:r>
          </w:p>
          <w:p>
            <w:pPr>
              <w:spacing w:line="240" w:lineRule="auto"/>
              <w:ind w:firstLine="0" w:firstLineChars="0"/>
              <w:jc w:val="center"/>
              <w:rPr>
                <w:color w:val="auto"/>
                <w:kern w:val="21"/>
                <w:sz w:val="21"/>
                <w:szCs w:val="21"/>
              </w:rPr>
            </w:pPr>
            <w:r>
              <w:rPr>
                <w:rFonts w:hint="eastAsia"/>
                <w:color w:val="auto"/>
                <w:kern w:val="21"/>
                <w:sz w:val="21"/>
                <w:szCs w:val="21"/>
              </w:rPr>
              <w:t>水质65种元素的测定电感耦合等离子体质谱法</w:t>
            </w:r>
          </w:p>
        </w:tc>
        <w:tc>
          <w:tcPr>
            <w:tcW w:w="1620" w:type="dxa"/>
            <w:vMerge w:val="restart"/>
            <w:vAlign w:val="center"/>
          </w:tcPr>
          <w:p>
            <w:pPr>
              <w:spacing w:line="240" w:lineRule="auto"/>
              <w:ind w:firstLine="0" w:firstLineChars="0"/>
              <w:jc w:val="center"/>
              <w:rPr>
                <w:color w:val="auto"/>
                <w:kern w:val="21"/>
                <w:sz w:val="21"/>
                <w:szCs w:val="21"/>
              </w:rPr>
            </w:pPr>
            <w:r>
              <w:rPr>
                <w:rFonts w:hint="eastAsia"/>
                <w:color w:val="auto"/>
                <w:kern w:val="21"/>
                <w:sz w:val="21"/>
                <w:szCs w:val="21"/>
              </w:rPr>
              <w:t>ICAPRO</w:t>
            </w:r>
          </w:p>
          <w:p>
            <w:pPr>
              <w:spacing w:line="240" w:lineRule="auto"/>
              <w:ind w:firstLine="0" w:firstLineChars="0"/>
              <w:jc w:val="center"/>
              <w:rPr>
                <w:color w:val="auto"/>
                <w:kern w:val="21"/>
                <w:sz w:val="21"/>
                <w:szCs w:val="21"/>
              </w:rPr>
            </w:pPr>
            <w:r>
              <w:rPr>
                <w:rFonts w:hint="eastAsia"/>
                <w:color w:val="auto"/>
                <w:kern w:val="21"/>
                <w:sz w:val="21"/>
                <w:szCs w:val="21"/>
              </w:rPr>
              <w:t>ICP-MS</w:t>
            </w:r>
          </w:p>
        </w:tc>
        <w:tc>
          <w:tcPr>
            <w:tcW w:w="918" w:type="dxa"/>
            <w:vMerge w:val="restart"/>
            <w:vAlign w:val="center"/>
          </w:tcPr>
          <w:p>
            <w:pPr>
              <w:spacing w:line="240" w:lineRule="auto"/>
              <w:ind w:firstLine="0" w:firstLineChars="0"/>
              <w:jc w:val="center"/>
              <w:rPr>
                <w:color w:val="auto"/>
                <w:kern w:val="21"/>
                <w:sz w:val="21"/>
                <w:szCs w:val="21"/>
              </w:rPr>
            </w:pPr>
            <w:r>
              <w:rPr>
                <w:rFonts w:hint="eastAsia"/>
                <w:color w:val="auto"/>
              </w:rPr>
              <w:t>STT-FX149</w:t>
            </w:r>
          </w:p>
        </w:tc>
        <w:tc>
          <w:tcPr>
            <w:tcW w:w="125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0.08</w:t>
            </w:r>
            <w:r>
              <w:rPr>
                <w:color w:val="auto"/>
                <w:kern w:val="21"/>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镉</w:t>
            </w:r>
          </w:p>
        </w:tc>
        <w:tc>
          <w:tcPr>
            <w:tcW w:w="3288" w:type="dxa"/>
            <w:vMerge w:val="continue"/>
            <w:vAlign w:val="center"/>
          </w:tcPr>
          <w:p>
            <w:pPr>
              <w:spacing w:line="240" w:lineRule="auto"/>
              <w:ind w:firstLine="0" w:firstLineChars="0"/>
              <w:jc w:val="center"/>
              <w:rPr>
                <w:color w:val="auto"/>
                <w:kern w:val="21"/>
                <w:sz w:val="21"/>
                <w:szCs w:val="21"/>
              </w:rPr>
            </w:pPr>
          </w:p>
        </w:tc>
        <w:tc>
          <w:tcPr>
            <w:tcW w:w="1620" w:type="dxa"/>
            <w:vMerge w:val="continue"/>
            <w:vAlign w:val="center"/>
          </w:tcPr>
          <w:p>
            <w:pPr>
              <w:spacing w:line="240" w:lineRule="auto"/>
              <w:ind w:firstLine="0" w:firstLineChars="0"/>
              <w:jc w:val="center"/>
              <w:rPr>
                <w:color w:val="auto"/>
                <w:kern w:val="21"/>
                <w:sz w:val="21"/>
                <w:szCs w:val="21"/>
              </w:rPr>
            </w:pPr>
          </w:p>
        </w:tc>
        <w:tc>
          <w:tcPr>
            <w:tcW w:w="918" w:type="dxa"/>
            <w:vMerge w:val="continue"/>
            <w:vAlign w:val="center"/>
          </w:tcPr>
          <w:p>
            <w:pPr>
              <w:spacing w:line="240" w:lineRule="auto"/>
              <w:ind w:firstLine="0" w:firstLineChars="0"/>
              <w:jc w:val="center"/>
              <w:rPr>
                <w:color w:val="auto"/>
                <w:kern w:val="21"/>
                <w:sz w:val="21"/>
                <w:szCs w:val="21"/>
              </w:rPr>
            </w:pP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w:t>
            </w:r>
            <w:r>
              <w:rPr>
                <w:rFonts w:hint="eastAsia"/>
                <w:color w:val="auto"/>
                <w:kern w:val="21"/>
                <w:sz w:val="21"/>
                <w:szCs w:val="21"/>
              </w:rPr>
              <w:t>5</w:t>
            </w:r>
            <w:r>
              <w:rPr>
                <w:color w:val="auto"/>
                <w:kern w:val="21"/>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铅</w:t>
            </w:r>
          </w:p>
        </w:tc>
        <w:tc>
          <w:tcPr>
            <w:tcW w:w="3288" w:type="dxa"/>
            <w:vMerge w:val="continue"/>
            <w:vAlign w:val="center"/>
          </w:tcPr>
          <w:p>
            <w:pPr>
              <w:spacing w:line="240" w:lineRule="auto"/>
              <w:ind w:firstLine="0" w:firstLineChars="0"/>
              <w:jc w:val="center"/>
              <w:rPr>
                <w:color w:val="auto"/>
                <w:kern w:val="21"/>
                <w:sz w:val="21"/>
                <w:szCs w:val="21"/>
              </w:rPr>
            </w:pPr>
          </w:p>
        </w:tc>
        <w:tc>
          <w:tcPr>
            <w:tcW w:w="1620" w:type="dxa"/>
            <w:vMerge w:val="continue"/>
            <w:vAlign w:val="center"/>
          </w:tcPr>
          <w:p>
            <w:pPr>
              <w:spacing w:line="240" w:lineRule="auto"/>
              <w:ind w:firstLine="0" w:firstLineChars="0"/>
              <w:jc w:val="center"/>
              <w:rPr>
                <w:color w:val="auto"/>
                <w:kern w:val="21"/>
                <w:sz w:val="21"/>
                <w:szCs w:val="21"/>
              </w:rPr>
            </w:pPr>
          </w:p>
        </w:tc>
        <w:tc>
          <w:tcPr>
            <w:tcW w:w="918" w:type="dxa"/>
            <w:vMerge w:val="continue"/>
            <w:vAlign w:val="center"/>
          </w:tcPr>
          <w:p>
            <w:pPr>
              <w:spacing w:line="240" w:lineRule="auto"/>
              <w:ind w:firstLine="0" w:firstLineChars="0"/>
              <w:jc w:val="center"/>
              <w:rPr>
                <w:color w:val="auto"/>
                <w:kern w:val="21"/>
                <w:sz w:val="21"/>
                <w:szCs w:val="21"/>
              </w:rPr>
            </w:pP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w:t>
            </w:r>
            <w:r>
              <w:rPr>
                <w:rFonts w:hint="eastAsia"/>
                <w:color w:val="auto"/>
                <w:kern w:val="21"/>
                <w:sz w:val="21"/>
                <w:szCs w:val="21"/>
              </w:rPr>
              <w:t>9</w:t>
            </w:r>
            <w:r>
              <w:rPr>
                <w:color w:val="auto"/>
                <w:kern w:val="21"/>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锌</w:t>
            </w:r>
          </w:p>
        </w:tc>
        <w:tc>
          <w:tcPr>
            <w:tcW w:w="3288" w:type="dxa"/>
            <w:vMerge w:val="continue"/>
            <w:vAlign w:val="center"/>
          </w:tcPr>
          <w:p>
            <w:pPr>
              <w:spacing w:line="240" w:lineRule="auto"/>
              <w:ind w:firstLine="0" w:firstLineChars="0"/>
              <w:jc w:val="center"/>
              <w:rPr>
                <w:color w:val="auto"/>
                <w:kern w:val="21"/>
                <w:sz w:val="21"/>
                <w:szCs w:val="21"/>
              </w:rPr>
            </w:pPr>
          </w:p>
        </w:tc>
        <w:tc>
          <w:tcPr>
            <w:tcW w:w="1620" w:type="dxa"/>
            <w:vMerge w:val="continue"/>
            <w:vAlign w:val="center"/>
          </w:tcPr>
          <w:p>
            <w:pPr>
              <w:spacing w:line="240" w:lineRule="auto"/>
              <w:ind w:firstLine="0" w:firstLineChars="0"/>
              <w:jc w:val="center"/>
              <w:rPr>
                <w:color w:val="auto"/>
                <w:kern w:val="21"/>
                <w:sz w:val="21"/>
                <w:szCs w:val="21"/>
              </w:rPr>
            </w:pPr>
          </w:p>
        </w:tc>
        <w:tc>
          <w:tcPr>
            <w:tcW w:w="918" w:type="dxa"/>
            <w:vMerge w:val="continue"/>
            <w:vAlign w:val="center"/>
          </w:tcPr>
          <w:p>
            <w:pPr>
              <w:spacing w:line="240" w:lineRule="auto"/>
              <w:ind w:firstLine="0" w:firstLineChars="0"/>
              <w:jc w:val="center"/>
              <w:rPr>
                <w:color w:val="auto"/>
                <w:kern w:val="21"/>
                <w:sz w:val="21"/>
                <w:szCs w:val="21"/>
              </w:rPr>
            </w:pP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w:t>
            </w:r>
            <w:r>
              <w:rPr>
                <w:rFonts w:hint="eastAsia"/>
                <w:color w:val="auto"/>
                <w:kern w:val="21"/>
                <w:sz w:val="21"/>
                <w:szCs w:val="21"/>
              </w:rPr>
              <w:t>67</w:t>
            </w:r>
            <w:r>
              <w:rPr>
                <w:color w:val="auto"/>
                <w:kern w:val="21"/>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砷</w:t>
            </w:r>
          </w:p>
        </w:tc>
        <w:tc>
          <w:tcPr>
            <w:tcW w:w="3288" w:type="dxa"/>
            <w:vMerge w:val="continue"/>
            <w:vAlign w:val="center"/>
          </w:tcPr>
          <w:p>
            <w:pPr>
              <w:spacing w:line="240" w:lineRule="auto"/>
              <w:ind w:firstLine="0" w:firstLineChars="0"/>
              <w:jc w:val="center"/>
              <w:rPr>
                <w:color w:val="auto"/>
                <w:kern w:val="21"/>
                <w:sz w:val="21"/>
                <w:szCs w:val="21"/>
              </w:rPr>
            </w:pPr>
          </w:p>
        </w:tc>
        <w:tc>
          <w:tcPr>
            <w:tcW w:w="1620" w:type="dxa"/>
            <w:vMerge w:val="continue"/>
            <w:vAlign w:val="center"/>
          </w:tcPr>
          <w:p>
            <w:pPr>
              <w:spacing w:line="240" w:lineRule="auto"/>
              <w:ind w:firstLine="0" w:firstLineChars="0"/>
              <w:jc w:val="center"/>
              <w:rPr>
                <w:color w:val="auto"/>
                <w:kern w:val="21"/>
                <w:sz w:val="21"/>
                <w:szCs w:val="21"/>
              </w:rPr>
            </w:pPr>
          </w:p>
        </w:tc>
        <w:tc>
          <w:tcPr>
            <w:tcW w:w="918" w:type="dxa"/>
            <w:vMerge w:val="continue"/>
            <w:vAlign w:val="center"/>
          </w:tcPr>
          <w:p>
            <w:pPr>
              <w:spacing w:line="240" w:lineRule="auto"/>
              <w:ind w:firstLine="0" w:firstLineChars="0"/>
              <w:jc w:val="center"/>
              <w:rPr>
                <w:color w:val="auto"/>
                <w:kern w:val="21"/>
                <w:sz w:val="21"/>
                <w:szCs w:val="21"/>
              </w:rPr>
            </w:pP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w:t>
            </w:r>
            <w:r>
              <w:rPr>
                <w:rFonts w:hint="eastAsia"/>
                <w:color w:val="auto"/>
                <w:kern w:val="21"/>
                <w:sz w:val="21"/>
                <w:szCs w:val="21"/>
              </w:rPr>
              <w:t>12</w:t>
            </w:r>
            <w:r>
              <w:rPr>
                <w:color w:val="auto"/>
                <w:kern w:val="21"/>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总铬</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GB 7466-87水质总铬的测定</w:t>
            </w:r>
          </w:p>
          <w:p>
            <w:pPr>
              <w:spacing w:line="240" w:lineRule="auto"/>
              <w:ind w:firstLine="0" w:firstLineChars="0"/>
              <w:jc w:val="center"/>
              <w:rPr>
                <w:color w:val="auto"/>
                <w:kern w:val="21"/>
                <w:sz w:val="21"/>
                <w:szCs w:val="21"/>
              </w:rPr>
            </w:pPr>
            <w:r>
              <w:rPr>
                <w:rFonts w:hint="eastAsia"/>
                <w:color w:val="auto"/>
                <w:kern w:val="21"/>
                <w:sz w:val="21"/>
                <w:szCs w:val="21"/>
              </w:rPr>
              <w:t>高锰酸钾氧化-二苯碳酰二肼分光光度法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 xml:space="preserve"> T6 新世纪</w:t>
            </w:r>
          </w:p>
          <w:p>
            <w:pPr>
              <w:spacing w:line="240" w:lineRule="auto"/>
              <w:ind w:firstLine="0" w:firstLineChars="0"/>
              <w:jc w:val="center"/>
              <w:rPr>
                <w:color w:val="auto"/>
                <w:kern w:val="21"/>
                <w:sz w:val="21"/>
                <w:szCs w:val="21"/>
              </w:rPr>
            </w:pPr>
            <w:r>
              <w:rPr>
                <w:rFonts w:hint="eastAsia"/>
                <w:color w:val="auto"/>
                <w:kern w:val="21"/>
                <w:sz w:val="21"/>
                <w:szCs w:val="21"/>
              </w:rPr>
              <w:t>紫外可见分光光度计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STT-FX088</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0.004mg/L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jc w:val="center"/>
        </w:trPr>
        <w:tc>
          <w:tcPr>
            <w:tcW w:w="1079" w:type="dxa"/>
            <w:vAlign w:val="center"/>
          </w:tcPr>
          <w:p>
            <w:pPr>
              <w:spacing w:line="240" w:lineRule="auto"/>
              <w:ind w:firstLine="0" w:firstLineChars="0"/>
              <w:jc w:val="center"/>
              <w:rPr>
                <w:color w:val="auto"/>
                <w:kern w:val="21"/>
                <w:sz w:val="21"/>
                <w:szCs w:val="21"/>
              </w:rPr>
            </w:pPr>
            <w:r>
              <w:rPr>
                <w:color w:val="auto"/>
                <w:kern w:val="21"/>
                <w:sz w:val="21"/>
                <w:szCs w:val="21"/>
              </w:rPr>
              <w:t>六价铬</w:t>
            </w:r>
          </w:p>
        </w:tc>
        <w:tc>
          <w:tcPr>
            <w:tcW w:w="3288" w:type="dxa"/>
            <w:vAlign w:val="center"/>
          </w:tcPr>
          <w:p>
            <w:pPr>
              <w:spacing w:line="240" w:lineRule="auto"/>
              <w:ind w:firstLine="0" w:firstLineChars="0"/>
              <w:jc w:val="center"/>
              <w:rPr>
                <w:color w:val="auto"/>
                <w:kern w:val="21"/>
                <w:sz w:val="21"/>
                <w:szCs w:val="21"/>
              </w:rPr>
            </w:pPr>
            <w:r>
              <w:rPr>
                <w:color w:val="auto"/>
                <w:kern w:val="21"/>
                <w:sz w:val="21"/>
                <w:szCs w:val="21"/>
              </w:rPr>
              <w:t>GB7467—1987水质六价铬的测定二苯碳酰二肼分光光度法</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 xml:space="preserve"> SP-752</w:t>
            </w:r>
          </w:p>
          <w:p>
            <w:pPr>
              <w:spacing w:line="240" w:lineRule="auto"/>
              <w:ind w:firstLine="0" w:firstLineChars="0"/>
              <w:jc w:val="center"/>
              <w:rPr>
                <w:color w:val="auto"/>
                <w:kern w:val="21"/>
                <w:sz w:val="21"/>
                <w:szCs w:val="21"/>
              </w:rPr>
            </w:pPr>
            <w:r>
              <w:rPr>
                <w:rFonts w:hint="eastAsia"/>
                <w:color w:val="auto"/>
                <w:kern w:val="21"/>
                <w:sz w:val="21"/>
                <w:szCs w:val="21"/>
              </w:rPr>
              <w:t>紫外可见分光光度计</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STT-FX007</w:t>
            </w:r>
          </w:p>
        </w:tc>
        <w:tc>
          <w:tcPr>
            <w:tcW w:w="1250" w:type="dxa"/>
            <w:vAlign w:val="center"/>
          </w:tcPr>
          <w:p>
            <w:pPr>
              <w:spacing w:line="240" w:lineRule="auto"/>
              <w:ind w:firstLine="0" w:firstLineChars="0"/>
              <w:jc w:val="center"/>
              <w:rPr>
                <w:color w:val="auto"/>
                <w:kern w:val="21"/>
                <w:sz w:val="21"/>
                <w:szCs w:val="21"/>
              </w:rPr>
            </w:pPr>
            <w:r>
              <w:rPr>
                <w:color w:val="auto"/>
                <w:kern w:val="21"/>
                <w:sz w:val="21"/>
                <w:szCs w:val="21"/>
              </w:rPr>
              <w:t>0.004mg/L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135" w:hRule="atLeast"/>
          <w:jc w:val="center"/>
        </w:trPr>
        <w:tc>
          <w:tcPr>
            <w:tcW w:w="1079"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动植物油类</w:t>
            </w:r>
          </w:p>
        </w:tc>
        <w:tc>
          <w:tcPr>
            <w:tcW w:w="3288" w:type="dxa"/>
            <w:vMerge w:val="restart"/>
            <w:vAlign w:val="center"/>
          </w:tcPr>
          <w:p>
            <w:pPr>
              <w:spacing w:line="240" w:lineRule="auto"/>
              <w:ind w:firstLine="0" w:firstLineChars="0"/>
              <w:jc w:val="center"/>
              <w:rPr>
                <w:color w:val="auto"/>
                <w:kern w:val="21"/>
                <w:sz w:val="21"/>
                <w:szCs w:val="21"/>
              </w:rPr>
            </w:pPr>
            <w:r>
              <w:rPr>
                <w:rFonts w:hint="eastAsia"/>
                <w:color w:val="auto"/>
                <w:kern w:val="21"/>
                <w:sz w:val="21"/>
                <w:szCs w:val="21"/>
              </w:rPr>
              <w:t>HJ637-2018</w:t>
            </w:r>
          </w:p>
          <w:p>
            <w:pPr>
              <w:spacing w:line="240" w:lineRule="auto"/>
              <w:ind w:firstLine="0" w:firstLineChars="0"/>
              <w:jc w:val="center"/>
              <w:rPr>
                <w:color w:val="auto"/>
                <w:kern w:val="21"/>
                <w:sz w:val="21"/>
                <w:szCs w:val="21"/>
              </w:rPr>
            </w:pPr>
            <w:r>
              <w:rPr>
                <w:rFonts w:hint="eastAsia"/>
                <w:color w:val="auto"/>
                <w:kern w:val="21"/>
                <w:sz w:val="21"/>
                <w:szCs w:val="21"/>
              </w:rPr>
              <w:t>水质石油类和动植物油类的测定</w:t>
            </w:r>
          </w:p>
          <w:p>
            <w:pPr>
              <w:spacing w:line="240" w:lineRule="auto"/>
              <w:ind w:firstLine="0" w:firstLineChars="0"/>
              <w:jc w:val="center"/>
              <w:rPr>
                <w:color w:val="auto"/>
                <w:kern w:val="21"/>
                <w:sz w:val="21"/>
                <w:szCs w:val="21"/>
              </w:rPr>
            </w:pPr>
            <w:r>
              <w:rPr>
                <w:rFonts w:hint="eastAsia"/>
                <w:color w:val="auto"/>
                <w:kern w:val="21"/>
                <w:sz w:val="21"/>
                <w:szCs w:val="21"/>
              </w:rPr>
              <w:t>红外分光光度法</w:t>
            </w:r>
          </w:p>
        </w:tc>
        <w:tc>
          <w:tcPr>
            <w:tcW w:w="1620" w:type="dxa"/>
            <w:vMerge w:val="restart"/>
            <w:vAlign w:val="center"/>
          </w:tcPr>
          <w:p>
            <w:pPr>
              <w:spacing w:line="240" w:lineRule="auto"/>
              <w:ind w:firstLine="0" w:firstLineChars="0"/>
              <w:jc w:val="center"/>
              <w:rPr>
                <w:color w:val="auto"/>
                <w:kern w:val="21"/>
                <w:sz w:val="21"/>
                <w:szCs w:val="21"/>
              </w:rPr>
            </w:pPr>
            <w:r>
              <w:rPr>
                <w:rFonts w:hint="eastAsia"/>
                <w:color w:val="auto"/>
                <w:kern w:val="21"/>
                <w:sz w:val="21"/>
                <w:szCs w:val="21"/>
              </w:rPr>
              <w:t xml:space="preserve">LT-21A红外测油仪 </w:t>
            </w:r>
          </w:p>
        </w:tc>
        <w:tc>
          <w:tcPr>
            <w:tcW w:w="918" w:type="dxa"/>
            <w:vMerge w:val="restart"/>
            <w:vAlign w:val="center"/>
          </w:tcPr>
          <w:p>
            <w:pPr>
              <w:spacing w:line="240" w:lineRule="auto"/>
              <w:ind w:firstLine="0" w:firstLineChars="0"/>
              <w:jc w:val="center"/>
              <w:rPr>
                <w:color w:val="auto"/>
                <w:kern w:val="21"/>
                <w:sz w:val="21"/>
                <w:szCs w:val="21"/>
              </w:rPr>
            </w:pPr>
            <w:r>
              <w:rPr>
                <w:rFonts w:hint="eastAsia"/>
                <w:color w:val="auto"/>
                <w:kern w:val="21"/>
                <w:sz w:val="21"/>
                <w:szCs w:val="21"/>
              </w:rPr>
              <w:t>STT-FX162</w:t>
            </w:r>
          </w:p>
        </w:tc>
        <w:tc>
          <w:tcPr>
            <w:tcW w:w="1250" w:type="dxa"/>
            <w:vMerge w:val="restart"/>
            <w:vAlign w:val="center"/>
          </w:tcPr>
          <w:p>
            <w:pPr>
              <w:spacing w:line="240" w:lineRule="auto"/>
              <w:ind w:firstLine="0" w:firstLineChars="0"/>
              <w:jc w:val="center"/>
              <w:rPr>
                <w:color w:val="auto"/>
                <w:kern w:val="21"/>
                <w:sz w:val="21"/>
                <w:szCs w:val="21"/>
              </w:rPr>
            </w:pPr>
            <w:r>
              <w:rPr>
                <w:rFonts w:hint="eastAsia"/>
                <w:color w:val="auto"/>
                <w:kern w:val="21"/>
                <w:sz w:val="21"/>
                <w:szCs w:val="21"/>
              </w:rPr>
              <w:t>0.06</w:t>
            </w:r>
            <w:r>
              <w:rPr>
                <w:color w:val="auto"/>
                <w:kern w:val="21"/>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135" w:hRule="atLeast"/>
          <w:jc w:val="center"/>
        </w:trPr>
        <w:tc>
          <w:tcPr>
            <w:tcW w:w="1079"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石油类</w:t>
            </w:r>
          </w:p>
        </w:tc>
        <w:tc>
          <w:tcPr>
            <w:tcW w:w="3288" w:type="dxa"/>
            <w:vMerge w:val="continue"/>
            <w:vAlign w:val="center"/>
          </w:tcPr>
          <w:p>
            <w:pPr>
              <w:spacing w:line="240" w:lineRule="auto"/>
              <w:ind w:firstLine="0" w:firstLineChars="0"/>
              <w:jc w:val="center"/>
              <w:rPr>
                <w:color w:val="auto"/>
                <w:kern w:val="21"/>
                <w:sz w:val="21"/>
                <w:szCs w:val="21"/>
              </w:rPr>
            </w:pPr>
          </w:p>
        </w:tc>
        <w:tc>
          <w:tcPr>
            <w:tcW w:w="1620" w:type="dxa"/>
            <w:vMerge w:val="continue"/>
            <w:vAlign w:val="center"/>
          </w:tcPr>
          <w:p>
            <w:pPr>
              <w:spacing w:line="240" w:lineRule="auto"/>
              <w:ind w:firstLine="0" w:firstLineChars="0"/>
              <w:jc w:val="center"/>
              <w:rPr>
                <w:color w:val="auto"/>
                <w:kern w:val="21"/>
                <w:sz w:val="21"/>
                <w:szCs w:val="21"/>
              </w:rPr>
            </w:pPr>
          </w:p>
        </w:tc>
        <w:tc>
          <w:tcPr>
            <w:tcW w:w="918" w:type="dxa"/>
            <w:vMerge w:val="continue"/>
            <w:vAlign w:val="center"/>
          </w:tcPr>
          <w:p>
            <w:pPr>
              <w:spacing w:line="240" w:lineRule="auto"/>
              <w:ind w:firstLine="0" w:firstLineChars="0"/>
              <w:jc w:val="center"/>
              <w:rPr>
                <w:color w:val="auto"/>
                <w:kern w:val="21"/>
                <w:sz w:val="21"/>
                <w:szCs w:val="21"/>
              </w:rPr>
            </w:pPr>
          </w:p>
        </w:tc>
        <w:tc>
          <w:tcPr>
            <w:tcW w:w="1250" w:type="dxa"/>
            <w:vMerge w:val="continue"/>
            <w:vAlign w:val="center"/>
          </w:tcPr>
          <w:p>
            <w:pPr>
              <w:spacing w:line="240" w:lineRule="auto"/>
              <w:ind w:firstLine="0" w:firstLineChars="0"/>
              <w:jc w:val="center"/>
              <w:rPr>
                <w:color w:val="auto"/>
                <w:kern w:val="21"/>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135" w:hRule="atLeast"/>
          <w:jc w:val="center"/>
        </w:trPr>
        <w:tc>
          <w:tcPr>
            <w:tcW w:w="1079"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全盐类</w:t>
            </w:r>
          </w:p>
        </w:tc>
        <w:tc>
          <w:tcPr>
            <w:tcW w:w="328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HJ/T 51-1999水质全盐量的测定</w:t>
            </w:r>
          </w:p>
        </w:tc>
        <w:tc>
          <w:tcPr>
            <w:tcW w:w="162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JF1004电子天平</w:t>
            </w:r>
          </w:p>
        </w:tc>
        <w:tc>
          <w:tcPr>
            <w:tcW w:w="918"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STT-FX086</w:t>
            </w:r>
          </w:p>
        </w:tc>
        <w:tc>
          <w:tcPr>
            <w:tcW w:w="1250"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w:t>
            </w:r>
          </w:p>
        </w:tc>
      </w:tr>
    </w:tbl>
    <w:p>
      <w:pPr>
        <w:widowControl/>
        <w:ind w:firstLine="480"/>
        <w:jc w:val="left"/>
        <w:rPr>
          <w:color w:val="auto"/>
          <w:kern w:val="21"/>
          <w:lang w:bidi="ar"/>
        </w:rPr>
      </w:pPr>
      <w:r>
        <w:rPr>
          <w:color w:val="auto"/>
          <w:kern w:val="21"/>
          <w:lang w:bidi="ar"/>
        </w:rPr>
        <w:t>5）监测及评价结果</w:t>
      </w:r>
    </w:p>
    <w:p>
      <w:pPr>
        <w:widowControl/>
        <w:ind w:firstLine="480"/>
        <w:jc w:val="left"/>
        <w:rPr>
          <w:color w:val="auto"/>
          <w:kern w:val="21"/>
        </w:rPr>
      </w:pPr>
      <w:r>
        <w:rPr>
          <w:color w:val="auto"/>
          <w:kern w:val="21"/>
          <w:lang w:bidi="ar"/>
        </w:rPr>
        <w:t>地表水水质现状监测统计结果和评价结果见</w:t>
      </w:r>
      <w:r>
        <w:rPr>
          <w:rFonts w:hint="eastAsia"/>
          <w:color w:val="auto"/>
          <w:kern w:val="21"/>
          <w:lang w:eastAsia="zh-CN"/>
        </w:rPr>
        <w:t>下表</w:t>
      </w:r>
      <w:r>
        <w:rPr>
          <w:color w:val="auto"/>
          <w:kern w:val="21"/>
        </w:rPr>
        <w:t>。</w:t>
      </w:r>
    </w:p>
    <w:p>
      <w:pPr>
        <w:numPr>
          <w:ilvl w:val="0"/>
          <w:numId w:val="9"/>
        </w:numPr>
        <w:ind w:left="0" w:leftChars="0" w:firstLine="0" w:firstLineChars="0"/>
        <w:jc w:val="center"/>
        <w:rPr>
          <w:b/>
          <w:bCs/>
          <w:color w:val="auto"/>
          <w:kern w:val="21"/>
          <w:lang w:val="zh-CN"/>
        </w:rPr>
      </w:pPr>
      <w:r>
        <w:rPr>
          <w:b/>
          <w:bCs/>
          <w:color w:val="auto"/>
          <w:kern w:val="21"/>
          <w:lang w:val="zh-CN"/>
        </w:rPr>
        <w:t>地表水水质监测结果与评价单位：mg/L</w:t>
      </w:r>
    </w:p>
    <w:tbl>
      <w:tblPr>
        <w:tblStyle w:val="51"/>
        <w:tblW w:w="10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1"/>
        <w:gridCol w:w="1040"/>
        <w:gridCol w:w="1040"/>
        <w:gridCol w:w="1040"/>
        <w:gridCol w:w="1040"/>
        <w:gridCol w:w="1040"/>
        <w:gridCol w:w="1040"/>
        <w:gridCol w:w="1040"/>
        <w:gridCol w:w="1040"/>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781" w:type="dxa"/>
            <w:vMerge w:val="restart"/>
            <w:vAlign w:val="center"/>
          </w:tcPr>
          <w:p>
            <w:pPr>
              <w:adjustRightInd w:val="0"/>
              <w:snapToGrid w:val="0"/>
              <w:spacing w:line="240" w:lineRule="auto"/>
              <w:ind w:firstLine="0" w:firstLineChars="0"/>
              <w:jc w:val="center"/>
              <w:rPr>
                <w:color w:val="auto"/>
                <w:kern w:val="21"/>
                <w:sz w:val="18"/>
                <w:szCs w:val="18"/>
              </w:rPr>
            </w:pPr>
            <w:r>
              <w:rPr>
                <w:color w:val="auto"/>
                <w:kern w:val="21"/>
                <w:sz w:val="18"/>
                <w:szCs w:val="18"/>
              </w:rPr>
              <w:t>检测项目</w:t>
            </w:r>
          </w:p>
        </w:tc>
        <w:tc>
          <w:tcPr>
            <w:tcW w:w="3120" w:type="dxa"/>
            <w:gridSpan w:val="3"/>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项目青龙河排水口上游500m（</w:t>
            </w:r>
            <w:r>
              <w:rPr>
                <w:rFonts w:hint="eastAsia"/>
                <w:color w:val="auto"/>
                <w:kern w:val="21"/>
                <w:sz w:val="18"/>
                <w:szCs w:val="18"/>
                <w:lang w:bidi="ar"/>
              </w:rPr>
              <w:t>W1</w:t>
            </w:r>
            <w:r>
              <w:rPr>
                <w:color w:val="auto"/>
                <w:kern w:val="21"/>
                <w:sz w:val="18"/>
                <w:szCs w:val="18"/>
                <w:lang w:bidi="ar"/>
              </w:rPr>
              <w:t>）</w:t>
            </w:r>
          </w:p>
        </w:tc>
        <w:tc>
          <w:tcPr>
            <w:tcW w:w="3120" w:type="dxa"/>
            <w:gridSpan w:val="3"/>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项目青龙河排水口下游1</w:t>
            </w:r>
            <w:r>
              <w:rPr>
                <w:rFonts w:hint="eastAsia"/>
                <w:color w:val="auto"/>
                <w:kern w:val="21"/>
                <w:sz w:val="18"/>
                <w:szCs w:val="18"/>
                <w:lang w:bidi="ar"/>
              </w:rPr>
              <w:t>000</w:t>
            </w:r>
            <w:r>
              <w:rPr>
                <w:color w:val="auto"/>
                <w:kern w:val="21"/>
                <w:sz w:val="18"/>
                <w:szCs w:val="18"/>
                <w:lang w:bidi="ar"/>
              </w:rPr>
              <w:t>m（</w:t>
            </w:r>
            <w:r>
              <w:rPr>
                <w:rFonts w:hint="eastAsia"/>
                <w:color w:val="auto"/>
                <w:kern w:val="21"/>
                <w:sz w:val="18"/>
                <w:szCs w:val="18"/>
                <w:lang w:bidi="ar"/>
              </w:rPr>
              <w:t>W2</w:t>
            </w:r>
            <w:r>
              <w:rPr>
                <w:color w:val="auto"/>
                <w:kern w:val="21"/>
                <w:sz w:val="18"/>
                <w:szCs w:val="18"/>
                <w:lang w:bidi="ar"/>
              </w:rPr>
              <w:t>）</w:t>
            </w:r>
          </w:p>
        </w:tc>
        <w:tc>
          <w:tcPr>
            <w:tcW w:w="3120" w:type="dxa"/>
            <w:gridSpan w:val="3"/>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项目青龙河排水口下游</w:t>
            </w:r>
            <w:r>
              <w:rPr>
                <w:rFonts w:hint="eastAsia"/>
                <w:color w:val="auto"/>
                <w:kern w:val="21"/>
                <w:sz w:val="18"/>
                <w:szCs w:val="18"/>
                <w:lang w:bidi="ar"/>
              </w:rPr>
              <w:t>2000</w:t>
            </w:r>
            <w:r>
              <w:rPr>
                <w:color w:val="auto"/>
                <w:kern w:val="21"/>
                <w:sz w:val="18"/>
                <w:szCs w:val="18"/>
                <w:lang w:bidi="ar"/>
              </w:rPr>
              <w:t>m（</w:t>
            </w:r>
            <w:r>
              <w:rPr>
                <w:rFonts w:hint="eastAsia"/>
                <w:color w:val="auto"/>
                <w:kern w:val="21"/>
                <w:sz w:val="18"/>
                <w:szCs w:val="18"/>
                <w:lang w:bidi="ar"/>
              </w:rPr>
              <w:t>W3</w:t>
            </w:r>
            <w:r>
              <w:rPr>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781" w:type="dxa"/>
            <w:vMerge w:val="continue"/>
            <w:vAlign w:val="center"/>
          </w:tcPr>
          <w:p>
            <w:pPr>
              <w:adjustRightInd w:val="0"/>
              <w:snapToGrid w:val="0"/>
              <w:spacing w:line="240" w:lineRule="auto"/>
              <w:ind w:firstLine="0" w:firstLineChars="0"/>
              <w:jc w:val="center"/>
              <w:rPr>
                <w:color w:val="auto"/>
                <w:kern w:val="21"/>
                <w:sz w:val="18"/>
                <w:szCs w:val="18"/>
              </w:rPr>
            </w:pPr>
          </w:p>
        </w:tc>
        <w:tc>
          <w:tcPr>
            <w:tcW w:w="1040" w:type="dxa"/>
            <w:vAlign w:val="center"/>
          </w:tcPr>
          <w:p>
            <w:pPr>
              <w:adjustRightInd w:val="0"/>
              <w:snapToGrid w:val="0"/>
              <w:spacing w:line="240" w:lineRule="auto"/>
              <w:ind w:firstLine="0" w:firstLineChars="0"/>
              <w:jc w:val="center"/>
              <w:rPr>
                <w:color w:val="auto"/>
                <w:kern w:val="21"/>
                <w:sz w:val="18"/>
                <w:szCs w:val="18"/>
              </w:rPr>
            </w:pPr>
            <w:r>
              <w:rPr>
                <w:color w:val="auto"/>
                <w:kern w:val="21"/>
                <w:sz w:val="18"/>
                <w:szCs w:val="18"/>
              </w:rPr>
              <w:t>202</w:t>
            </w:r>
            <w:r>
              <w:rPr>
                <w:rFonts w:hint="eastAsia"/>
                <w:color w:val="auto"/>
                <w:kern w:val="21"/>
                <w:sz w:val="18"/>
                <w:szCs w:val="18"/>
              </w:rPr>
              <w:t>1</w:t>
            </w:r>
            <w:r>
              <w:rPr>
                <w:color w:val="auto"/>
                <w:kern w:val="21"/>
                <w:sz w:val="18"/>
                <w:szCs w:val="18"/>
              </w:rPr>
              <w:t>.</w:t>
            </w:r>
            <w:r>
              <w:rPr>
                <w:rFonts w:hint="eastAsia"/>
                <w:color w:val="auto"/>
                <w:kern w:val="21"/>
                <w:sz w:val="18"/>
                <w:szCs w:val="18"/>
              </w:rPr>
              <w:t>5</w:t>
            </w:r>
            <w:r>
              <w:rPr>
                <w:color w:val="auto"/>
                <w:kern w:val="21"/>
                <w:sz w:val="18"/>
                <w:szCs w:val="18"/>
              </w:rPr>
              <w:t>.</w:t>
            </w:r>
            <w:r>
              <w:rPr>
                <w:rFonts w:hint="eastAsia"/>
                <w:color w:val="auto"/>
                <w:kern w:val="21"/>
                <w:sz w:val="18"/>
                <w:szCs w:val="18"/>
              </w:rPr>
              <w:t>06</w:t>
            </w:r>
          </w:p>
        </w:tc>
        <w:tc>
          <w:tcPr>
            <w:tcW w:w="1040" w:type="dxa"/>
            <w:vAlign w:val="center"/>
          </w:tcPr>
          <w:p>
            <w:pPr>
              <w:adjustRightInd w:val="0"/>
              <w:snapToGrid w:val="0"/>
              <w:spacing w:line="240" w:lineRule="auto"/>
              <w:ind w:firstLine="0" w:firstLineChars="0"/>
              <w:jc w:val="center"/>
              <w:rPr>
                <w:color w:val="auto"/>
                <w:kern w:val="21"/>
                <w:sz w:val="18"/>
                <w:szCs w:val="18"/>
              </w:rPr>
            </w:pPr>
            <w:r>
              <w:rPr>
                <w:color w:val="auto"/>
                <w:kern w:val="21"/>
                <w:sz w:val="18"/>
                <w:szCs w:val="18"/>
              </w:rPr>
              <w:t>202</w:t>
            </w:r>
            <w:r>
              <w:rPr>
                <w:rFonts w:hint="eastAsia"/>
                <w:color w:val="auto"/>
                <w:kern w:val="21"/>
                <w:sz w:val="18"/>
                <w:szCs w:val="18"/>
              </w:rPr>
              <w:t>1</w:t>
            </w:r>
            <w:r>
              <w:rPr>
                <w:color w:val="auto"/>
                <w:kern w:val="21"/>
                <w:sz w:val="18"/>
                <w:szCs w:val="18"/>
              </w:rPr>
              <w:t>.</w:t>
            </w:r>
            <w:r>
              <w:rPr>
                <w:rFonts w:hint="eastAsia"/>
                <w:color w:val="auto"/>
                <w:kern w:val="21"/>
                <w:sz w:val="18"/>
                <w:szCs w:val="18"/>
              </w:rPr>
              <w:t>5</w:t>
            </w:r>
            <w:r>
              <w:rPr>
                <w:color w:val="auto"/>
                <w:kern w:val="21"/>
                <w:sz w:val="18"/>
                <w:szCs w:val="18"/>
              </w:rPr>
              <w:t>.</w:t>
            </w:r>
            <w:r>
              <w:rPr>
                <w:rFonts w:hint="eastAsia"/>
                <w:color w:val="auto"/>
                <w:kern w:val="21"/>
                <w:sz w:val="18"/>
                <w:szCs w:val="18"/>
              </w:rPr>
              <w:t>07</w:t>
            </w:r>
          </w:p>
        </w:tc>
        <w:tc>
          <w:tcPr>
            <w:tcW w:w="1040" w:type="dxa"/>
            <w:vAlign w:val="center"/>
          </w:tcPr>
          <w:p>
            <w:pPr>
              <w:adjustRightInd w:val="0"/>
              <w:snapToGrid w:val="0"/>
              <w:spacing w:line="240" w:lineRule="auto"/>
              <w:ind w:firstLine="0" w:firstLineChars="0"/>
              <w:jc w:val="center"/>
              <w:rPr>
                <w:color w:val="auto"/>
                <w:kern w:val="21"/>
                <w:sz w:val="18"/>
                <w:szCs w:val="18"/>
              </w:rPr>
            </w:pPr>
            <w:r>
              <w:rPr>
                <w:color w:val="auto"/>
                <w:kern w:val="21"/>
                <w:sz w:val="18"/>
                <w:szCs w:val="18"/>
              </w:rPr>
              <w:t>202</w:t>
            </w:r>
            <w:r>
              <w:rPr>
                <w:rFonts w:hint="eastAsia"/>
                <w:color w:val="auto"/>
                <w:kern w:val="21"/>
                <w:sz w:val="18"/>
                <w:szCs w:val="18"/>
              </w:rPr>
              <w:t>1</w:t>
            </w:r>
            <w:r>
              <w:rPr>
                <w:color w:val="auto"/>
                <w:kern w:val="21"/>
                <w:sz w:val="18"/>
                <w:szCs w:val="18"/>
              </w:rPr>
              <w:t>.</w:t>
            </w:r>
            <w:r>
              <w:rPr>
                <w:rFonts w:hint="eastAsia"/>
                <w:color w:val="auto"/>
                <w:kern w:val="21"/>
                <w:sz w:val="18"/>
                <w:szCs w:val="18"/>
              </w:rPr>
              <w:t>5</w:t>
            </w:r>
            <w:r>
              <w:rPr>
                <w:color w:val="auto"/>
                <w:kern w:val="21"/>
                <w:sz w:val="18"/>
                <w:szCs w:val="18"/>
              </w:rPr>
              <w:t>.</w:t>
            </w:r>
            <w:r>
              <w:rPr>
                <w:rFonts w:hint="eastAsia"/>
                <w:color w:val="auto"/>
                <w:kern w:val="21"/>
                <w:sz w:val="18"/>
                <w:szCs w:val="18"/>
              </w:rPr>
              <w:t>08</w:t>
            </w:r>
          </w:p>
        </w:tc>
        <w:tc>
          <w:tcPr>
            <w:tcW w:w="1040" w:type="dxa"/>
            <w:vAlign w:val="center"/>
          </w:tcPr>
          <w:p>
            <w:pPr>
              <w:adjustRightInd w:val="0"/>
              <w:snapToGrid w:val="0"/>
              <w:spacing w:line="240" w:lineRule="auto"/>
              <w:ind w:firstLine="0" w:firstLineChars="0"/>
              <w:jc w:val="center"/>
              <w:rPr>
                <w:color w:val="auto"/>
                <w:kern w:val="21"/>
                <w:sz w:val="18"/>
                <w:szCs w:val="18"/>
              </w:rPr>
            </w:pPr>
            <w:r>
              <w:rPr>
                <w:color w:val="auto"/>
                <w:kern w:val="21"/>
                <w:sz w:val="18"/>
                <w:szCs w:val="18"/>
              </w:rPr>
              <w:t>202</w:t>
            </w:r>
            <w:r>
              <w:rPr>
                <w:rFonts w:hint="eastAsia"/>
                <w:color w:val="auto"/>
                <w:kern w:val="21"/>
                <w:sz w:val="18"/>
                <w:szCs w:val="18"/>
              </w:rPr>
              <w:t>1</w:t>
            </w:r>
            <w:r>
              <w:rPr>
                <w:color w:val="auto"/>
                <w:kern w:val="21"/>
                <w:sz w:val="18"/>
                <w:szCs w:val="18"/>
              </w:rPr>
              <w:t>.</w:t>
            </w:r>
            <w:r>
              <w:rPr>
                <w:rFonts w:hint="eastAsia"/>
                <w:color w:val="auto"/>
                <w:kern w:val="21"/>
                <w:sz w:val="18"/>
                <w:szCs w:val="18"/>
              </w:rPr>
              <w:t>5</w:t>
            </w:r>
            <w:r>
              <w:rPr>
                <w:color w:val="auto"/>
                <w:kern w:val="21"/>
                <w:sz w:val="18"/>
                <w:szCs w:val="18"/>
              </w:rPr>
              <w:t>.</w:t>
            </w:r>
            <w:r>
              <w:rPr>
                <w:rFonts w:hint="eastAsia"/>
                <w:color w:val="auto"/>
                <w:kern w:val="21"/>
                <w:sz w:val="18"/>
                <w:szCs w:val="18"/>
              </w:rPr>
              <w:t>06</w:t>
            </w:r>
          </w:p>
        </w:tc>
        <w:tc>
          <w:tcPr>
            <w:tcW w:w="1040" w:type="dxa"/>
            <w:vAlign w:val="center"/>
          </w:tcPr>
          <w:p>
            <w:pPr>
              <w:adjustRightInd w:val="0"/>
              <w:snapToGrid w:val="0"/>
              <w:spacing w:line="240" w:lineRule="auto"/>
              <w:ind w:firstLine="0" w:firstLineChars="0"/>
              <w:jc w:val="center"/>
              <w:rPr>
                <w:color w:val="auto"/>
                <w:kern w:val="21"/>
                <w:sz w:val="18"/>
                <w:szCs w:val="18"/>
              </w:rPr>
            </w:pPr>
            <w:r>
              <w:rPr>
                <w:color w:val="auto"/>
                <w:kern w:val="21"/>
                <w:sz w:val="18"/>
                <w:szCs w:val="18"/>
              </w:rPr>
              <w:t>202</w:t>
            </w:r>
            <w:r>
              <w:rPr>
                <w:rFonts w:hint="eastAsia"/>
                <w:color w:val="auto"/>
                <w:kern w:val="21"/>
                <w:sz w:val="18"/>
                <w:szCs w:val="18"/>
              </w:rPr>
              <w:t>1</w:t>
            </w:r>
            <w:r>
              <w:rPr>
                <w:color w:val="auto"/>
                <w:kern w:val="21"/>
                <w:sz w:val="18"/>
                <w:szCs w:val="18"/>
              </w:rPr>
              <w:t>.</w:t>
            </w:r>
            <w:r>
              <w:rPr>
                <w:rFonts w:hint="eastAsia"/>
                <w:color w:val="auto"/>
                <w:kern w:val="21"/>
                <w:sz w:val="18"/>
                <w:szCs w:val="18"/>
              </w:rPr>
              <w:t>5</w:t>
            </w:r>
            <w:r>
              <w:rPr>
                <w:color w:val="auto"/>
                <w:kern w:val="21"/>
                <w:sz w:val="18"/>
                <w:szCs w:val="18"/>
              </w:rPr>
              <w:t>.</w:t>
            </w:r>
            <w:r>
              <w:rPr>
                <w:rFonts w:hint="eastAsia"/>
                <w:color w:val="auto"/>
                <w:kern w:val="21"/>
                <w:sz w:val="18"/>
                <w:szCs w:val="18"/>
              </w:rPr>
              <w:t>07</w:t>
            </w:r>
          </w:p>
        </w:tc>
        <w:tc>
          <w:tcPr>
            <w:tcW w:w="1040" w:type="dxa"/>
            <w:vAlign w:val="center"/>
          </w:tcPr>
          <w:p>
            <w:pPr>
              <w:adjustRightInd w:val="0"/>
              <w:snapToGrid w:val="0"/>
              <w:spacing w:line="240" w:lineRule="auto"/>
              <w:ind w:firstLine="0" w:firstLineChars="0"/>
              <w:jc w:val="center"/>
              <w:rPr>
                <w:color w:val="auto"/>
                <w:kern w:val="21"/>
                <w:sz w:val="18"/>
                <w:szCs w:val="18"/>
              </w:rPr>
            </w:pPr>
            <w:r>
              <w:rPr>
                <w:color w:val="auto"/>
                <w:kern w:val="21"/>
                <w:sz w:val="18"/>
                <w:szCs w:val="18"/>
              </w:rPr>
              <w:t>202</w:t>
            </w:r>
            <w:r>
              <w:rPr>
                <w:rFonts w:hint="eastAsia"/>
                <w:color w:val="auto"/>
                <w:kern w:val="21"/>
                <w:sz w:val="18"/>
                <w:szCs w:val="18"/>
              </w:rPr>
              <w:t>1</w:t>
            </w:r>
            <w:r>
              <w:rPr>
                <w:color w:val="auto"/>
                <w:kern w:val="21"/>
                <w:sz w:val="18"/>
                <w:szCs w:val="18"/>
              </w:rPr>
              <w:t>.</w:t>
            </w:r>
            <w:r>
              <w:rPr>
                <w:rFonts w:hint="eastAsia"/>
                <w:color w:val="auto"/>
                <w:kern w:val="21"/>
                <w:sz w:val="18"/>
                <w:szCs w:val="18"/>
              </w:rPr>
              <w:t>5</w:t>
            </w:r>
            <w:r>
              <w:rPr>
                <w:color w:val="auto"/>
                <w:kern w:val="21"/>
                <w:sz w:val="18"/>
                <w:szCs w:val="18"/>
              </w:rPr>
              <w:t>.</w:t>
            </w:r>
            <w:r>
              <w:rPr>
                <w:rFonts w:hint="eastAsia"/>
                <w:color w:val="auto"/>
                <w:kern w:val="21"/>
                <w:sz w:val="18"/>
                <w:szCs w:val="18"/>
              </w:rPr>
              <w:t>08</w:t>
            </w:r>
          </w:p>
        </w:tc>
        <w:tc>
          <w:tcPr>
            <w:tcW w:w="1040" w:type="dxa"/>
            <w:vAlign w:val="center"/>
          </w:tcPr>
          <w:p>
            <w:pPr>
              <w:adjustRightInd w:val="0"/>
              <w:snapToGrid w:val="0"/>
              <w:spacing w:line="240" w:lineRule="auto"/>
              <w:ind w:firstLine="0" w:firstLineChars="0"/>
              <w:jc w:val="center"/>
              <w:rPr>
                <w:color w:val="auto"/>
                <w:kern w:val="21"/>
                <w:sz w:val="18"/>
                <w:szCs w:val="18"/>
              </w:rPr>
            </w:pPr>
            <w:r>
              <w:rPr>
                <w:color w:val="auto"/>
                <w:kern w:val="21"/>
                <w:sz w:val="18"/>
                <w:szCs w:val="18"/>
              </w:rPr>
              <w:t>202</w:t>
            </w:r>
            <w:r>
              <w:rPr>
                <w:rFonts w:hint="eastAsia"/>
                <w:color w:val="auto"/>
                <w:kern w:val="21"/>
                <w:sz w:val="18"/>
                <w:szCs w:val="18"/>
              </w:rPr>
              <w:t>1</w:t>
            </w:r>
            <w:r>
              <w:rPr>
                <w:color w:val="auto"/>
                <w:kern w:val="21"/>
                <w:sz w:val="18"/>
                <w:szCs w:val="18"/>
              </w:rPr>
              <w:t>.</w:t>
            </w:r>
            <w:r>
              <w:rPr>
                <w:rFonts w:hint="eastAsia"/>
                <w:color w:val="auto"/>
                <w:kern w:val="21"/>
                <w:sz w:val="18"/>
                <w:szCs w:val="18"/>
              </w:rPr>
              <w:t>5</w:t>
            </w:r>
            <w:r>
              <w:rPr>
                <w:color w:val="auto"/>
                <w:kern w:val="21"/>
                <w:sz w:val="18"/>
                <w:szCs w:val="18"/>
              </w:rPr>
              <w:t>.</w:t>
            </w:r>
            <w:r>
              <w:rPr>
                <w:rFonts w:hint="eastAsia"/>
                <w:color w:val="auto"/>
                <w:kern w:val="21"/>
                <w:sz w:val="18"/>
                <w:szCs w:val="18"/>
              </w:rPr>
              <w:t>06</w:t>
            </w:r>
          </w:p>
        </w:tc>
        <w:tc>
          <w:tcPr>
            <w:tcW w:w="1040" w:type="dxa"/>
            <w:vAlign w:val="center"/>
          </w:tcPr>
          <w:p>
            <w:pPr>
              <w:adjustRightInd w:val="0"/>
              <w:snapToGrid w:val="0"/>
              <w:spacing w:line="240" w:lineRule="auto"/>
              <w:ind w:firstLine="0" w:firstLineChars="0"/>
              <w:jc w:val="center"/>
              <w:rPr>
                <w:color w:val="auto"/>
                <w:kern w:val="21"/>
                <w:sz w:val="18"/>
                <w:szCs w:val="18"/>
              </w:rPr>
            </w:pPr>
            <w:r>
              <w:rPr>
                <w:color w:val="auto"/>
                <w:kern w:val="21"/>
                <w:sz w:val="18"/>
                <w:szCs w:val="18"/>
              </w:rPr>
              <w:t>202</w:t>
            </w:r>
            <w:r>
              <w:rPr>
                <w:rFonts w:hint="eastAsia"/>
                <w:color w:val="auto"/>
                <w:kern w:val="21"/>
                <w:sz w:val="18"/>
                <w:szCs w:val="18"/>
              </w:rPr>
              <w:t>1</w:t>
            </w:r>
            <w:r>
              <w:rPr>
                <w:color w:val="auto"/>
                <w:kern w:val="21"/>
                <w:sz w:val="18"/>
                <w:szCs w:val="18"/>
              </w:rPr>
              <w:t>.</w:t>
            </w:r>
            <w:r>
              <w:rPr>
                <w:rFonts w:hint="eastAsia"/>
                <w:color w:val="auto"/>
                <w:kern w:val="21"/>
                <w:sz w:val="18"/>
                <w:szCs w:val="18"/>
              </w:rPr>
              <w:t>5</w:t>
            </w:r>
            <w:r>
              <w:rPr>
                <w:color w:val="auto"/>
                <w:kern w:val="21"/>
                <w:sz w:val="18"/>
                <w:szCs w:val="18"/>
              </w:rPr>
              <w:t>.</w:t>
            </w:r>
            <w:r>
              <w:rPr>
                <w:rFonts w:hint="eastAsia"/>
                <w:color w:val="auto"/>
                <w:kern w:val="21"/>
                <w:sz w:val="18"/>
                <w:szCs w:val="18"/>
              </w:rPr>
              <w:t>07</w:t>
            </w:r>
          </w:p>
        </w:tc>
        <w:tc>
          <w:tcPr>
            <w:tcW w:w="1040" w:type="dxa"/>
            <w:vAlign w:val="center"/>
          </w:tcPr>
          <w:p>
            <w:pPr>
              <w:adjustRightInd w:val="0"/>
              <w:snapToGrid w:val="0"/>
              <w:spacing w:line="240" w:lineRule="auto"/>
              <w:ind w:firstLine="0" w:firstLineChars="0"/>
              <w:jc w:val="center"/>
              <w:rPr>
                <w:color w:val="auto"/>
                <w:kern w:val="21"/>
                <w:sz w:val="18"/>
                <w:szCs w:val="18"/>
              </w:rPr>
            </w:pPr>
            <w:r>
              <w:rPr>
                <w:color w:val="auto"/>
                <w:kern w:val="21"/>
                <w:sz w:val="18"/>
                <w:szCs w:val="18"/>
              </w:rPr>
              <w:t>202</w:t>
            </w:r>
            <w:r>
              <w:rPr>
                <w:rFonts w:hint="eastAsia"/>
                <w:color w:val="auto"/>
                <w:kern w:val="21"/>
                <w:sz w:val="18"/>
                <w:szCs w:val="18"/>
              </w:rPr>
              <w:t>1</w:t>
            </w:r>
            <w:r>
              <w:rPr>
                <w:color w:val="auto"/>
                <w:kern w:val="21"/>
                <w:sz w:val="18"/>
                <w:szCs w:val="18"/>
              </w:rPr>
              <w:t>.</w:t>
            </w:r>
            <w:r>
              <w:rPr>
                <w:rFonts w:hint="eastAsia"/>
                <w:color w:val="auto"/>
                <w:kern w:val="21"/>
                <w:sz w:val="18"/>
                <w:szCs w:val="18"/>
              </w:rPr>
              <w:t>5</w:t>
            </w:r>
            <w:r>
              <w:rPr>
                <w:color w:val="auto"/>
                <w:kern w:val="21"/>
                <w:sz w:val="18"/>
                <w:szCs w:val="18"/>
              </w:rPr>
              <w:t>.</w:t>
            </w:r>
            <w:r>
              <w:rPr>
                <w:rFonts w:hint="eastAsia"/>
                <w:color w:val="auto"/>
                <w:kern w:val="21"/>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jc w:val="center"/>
        </w:trPr>
        <w:tc>
          <w:tcPr>
            <w:tcW w:w="781" w:type="dxa"/>
            <w:vAlign w:val="center"/>
          </w:tcPr>
          <w:p>
            <w:pPr>
              <w:adjustRightInd w:val="0"/>
              <w:snapToGrid w:val="0"/>
              <w:spacing w:line="240" w:lineRule="auto"/>
              <w:ind w:firstLine="0" w:firstLineChars="0"/>
              <w:jc w:val="center"/>
              <w:rPr>
                <w:color w:val="auto"/>
                <w:kern w:val="21"/>
                <w:sz w:val="18"/>
                <w:szCs w:val="18"/>
              </w:rPr>
            </w:pPr>
            <w:r>
              <w:rPr>
                <w:rFonts w:hint="eastAsia"/>
                <w:color w:val="auto"/>
                <w:kern w:val="21"/>
                <w:sz w:val="18"/>
                <w:szCs w:val="18"/>
              </w:rPr>
              <w:t>水温（°C）</w:t>
            </w:r>
          </w:p>
        </w:tc>
        <w:tc>
          <w:tcPr>
            <w:tcW w:w="1040" w:type="dxa"/>
            <w:vAlign w:val="center"/>
          </w:tcPr>
          <w:p>
            <w:pPr>
              <w:adjustRightInd w:val="0"/>
              <w:snapToGrid w:val="0"/>
              <w:spacing w:line="240" w:lineRule="auto"/>
              <w:ind w:firstLine="0" w:firstLineChars="0"/>
              <w:jc w:val="center"/>
              <w:rPr>
                <w:color w:val="auto"/>
                <w:kern w:val="21"/>
                <w:sz w:val="18"/>
                <w:szCs w:val="18"/>
              </w:rPr>
            </w:pPr>
            <w:r>
              <w:rPr>
                <w:rFonts w:hint="eastAsia"/>
                <w:color w:val="auto"/>
                <w:kern w:val="21"/>
                <w:sz w:val="18"/>
                <w:szCs w:val="18"/>
              </w:rPr>
              <w:t>23.5</w:t>
            </w:r>
          </w:p>
        </w:tc>
        <w:tc>
          <w:tcPr>
            <w:tcW w:w="1040" w:type="dxa"/>
            <w:vAlign w:val="center"/>
          </w:tcPr>
          <w:p>
            <w:pPr>
              <w:adjustRightInd w:val="0"/>
              <w:snapToGrid w:val="0"/>
              <w:spacing w:line="240" w:lineRule="auto"/>
              <w:ind w:firstLine="0" w:firstLineChars="0"/>
              <w:jc w:val="center"/>
              <w:rPr>
                <w:color w:val="auto"/>
                <w:kern w:val="21"/>
                <w:sz w:val="18"/>
                <w:szCs w:val="18"/>
              </w:rPr>
            </w:pPr>
            <w:r>
              <w:rPr>
                <w:rFonts w:hint="eastAsia"/>
                <w:color w:val="auto"/>
                <w:kern w:val="21"/>
                <w:sz w:val="18"/>
                <w:szCs w:val="18"/>
              </w:rPr>
              <w:t>23.1</w:t>
            </w:r>
          </w:p>
        </w:tc>
        <w:tc>
          <w:tcPr>
            <w:tcW w:w="1040" w:type="dxa"/>
            <w:vAlign w:val="center"/>
          </w:tcPr>
          <w:p>
            <w:pPr>
              <w:adjustRightInd w:val="0"/>
              <w:snapToGrid w:val="0"/>
              <w:spacing w:line="240" w:lineRule="auto"/>
              <w:ind w:firstLine="0" w:firstLineChars="0"/>
              <w:jc w:val="center"/>
              <w:rPr>
                <w:color w:val="auto"/>
                <w:kern w:val="21"/>
                <w:sz w:val="18"/>
                <w:szCs w:val="18"/>
              </w:rPr>
            </w:pPr>
            <w:r>
              <w:rPr>
                <w:rFonts w:hint="eastAsia"/>
                <w:color w:val="auto"/>
                <w:kern w:val="21"/>
                <w:sz w:val="18"/>
                <w:szCs w:val="18"/>
              </w:rPr>
              <w:t>22.8</w:t>
            </w:r>
          </w:p>
        </w:tc>
        <w:tc>
          <w:tcPr>
            <w:tcW w:w="1040" w:type="dxa"/>
            <w:vAlign w:val="center"/>
          </w:tcPr>
          <w:p>
            <w:pPr>
              <w:adjustRightInd w:val="0"/>
              <w:snapToGrid w:val="0"/>
              <w:spacing w:line="240" w:lineRule="auto"/>
              <w:ind w:firstLine="0" w:firstLineChars="0"/>
              <w:jc w:val="center"/>
              <w:rPr>
                <w:color w:val="auto"/>
                <w:kern w:val="21"/>
                <w:sz w:val="18"/>
                <w:szCs w:val="18"/>
              </w:rPr>
            </w:pPr>
            <w:r>
              <w:rPr>
                <w:rFonts w:hint="eastAsia"/>
                <w:color w:val="auto"/>
                <w:kern w:val="21"/>
                <w:sz w:val="18"/>
                <w:szCs w:val="18"/>
              </w:rPr>
              <w:t>22.4</w:t>
            </w:r>
          </w:p>
        </w:tc>
        <w:tc>
          <w:tcPr>
            <w:tcW w:w="1040" w:type="dxa"/>
            <w:vAlign w:val="center"/>
          </w:tcPr>
          <w:p>
            <w:pPr>
              <w:adjustRightInd w:val="0"/>
              <w:snapToGrid w:val="0"/>
              <w:spacing w:line="240" w:lineRule="auto"/>
              <w:ind w:firstLine="0" w:firstLineChars="0"/>
              <w:jc w:val="center"/>
              <w:rPr>
                <w:color w:val="auto"/>
                <w:kern w:val="21"/>
                <w:sz w:val="18"/>
                <w:szCs w:val="18"/>
              </w:rPr>
            </w:pPr>
            <w:r>
              <w:rPr>
                <w:rFonts w:hint="eastAsia"/>
                <w:color w:val="auto"/>
                <w:kern w:val="21"/>
                <w:sz w:val="18"/>
                <w:szCs w:val="18"/>
              </w:rPr>
              <w:t>23.1</w:t>
            </w:r>
          </w:p>
        </w:tc>
        <w:tc>
          <w:tcPr>
            <w:tcW w:w="1040" w:type="dxa"/>
            <w:vAlign w:val="center"/>
          </w:tcPr>
          <w:p>
            <w:pPr>
              <w:adjustRightInd w:val="0"/>
              <w:snapToGrid w:val="0"/>
              <w:spacing w:line="240" w:lineRule="auto"/>
              <w:ind w:firstLine="0" w:firstLineChars="0"/>
              <w:jc w:val="center"/>
              <w:rPr>
                <w:color w:val="auto"/>
                <w:kern w:val="21"/>
                <w:sz w:val="18"/>
                <w:szCs w:val="18"/>
              </w:rPr>
            </w:pPr>
            <w:r>
              <w:rPr>
                <w:rFonts w:hint="eastAsia"/>
                <w:color w:val="auto"/>
                <w:kern w:val="21"/>
                <w:sz w:val="18"/>
                <w:szCs w:val="18"/>
              </w:rPr>
              <w:t>22.2</w:t>
            </w:r>
          </w:p>
        </w:tc>
        <w:tc>
          <w:tcPr>
            <w:tcW w:w="1040" w:type="dxa"/>
            <w:vAlign w:val="center"/>
          </w:tcPr>
          <w:p>
            <w:pPr>
              <w:adjustRightInd w:val="0"/>
              <w:snapToGrid w:val="0"/>
              <w:spacing w:line="240" w:lineRule="auto"/>
              <w:ind w:firstLine="0" w:firstLineChars="0"/>
              <w:jc w:val="center"/>
              <w:rPr>
                <w:color w:val="auto"/>
                <w:kern w:val="21"/>
                <w:sz w:val="18"/>
                <w:szCs w:val="18"/>
              </w:rPr>
            </w:pPr>
            <w:r>
              <w:rPr>
                <w:rFonts w:hint="eastAsia"/>
                <w:color w:val="auto"/>
                <w:kern w:val="21"/>
                <w:sz w:val="18"/>
                <w:szCs w:val="18"/>
              </w:rPr>
              <w:t>22.7</w:t>
            </w:r>
          </w:p>
        </w:tc>
        <w:tc>
          <w:tcPr>
            <w:tcW w:w="1040" w:type="dxa"/>
            <w:vAlign w:val="center"/>
          </w:tcPr>
          <w:p>
            <w:pPr>
              <w:adjustRightInd w:val="0"/>
              <w:snapToGrid w:val="0"/>
              <w:spacing w:line="240" w:lineRule="auto"/>
              <w:ind w:firstLine="0" w:firstLineChars="0"/>
              <w:jc w:val="center"/>
              <w:rPr>
                <w:color w:val="auto"/>
                <w:kern w:val="21"/>
                <w:sz w:val="18"/>
                <w:szCs w:val="18"/>
              </w:rPr>
            </w:pPr>
            <w:r>
              <w:rPr>
                <w:rFonts w:hint="eastAsia"/>
                <w:color w:val="auto"/>
                <w:kern w:val="21"/>
                <w:sz w:val="18"/>
                <w:szCs w:val="18"/>
              </w:rPr>
              <w:t>23.4</w:t>
            </w:r>
          </w:p>
        </w:tc>
        <w:tc>
          <w:tcPr>
            <w:tcW w:w="1040" w:type="dxa"/>
            <w:vAlign w:val="center"/>
          </w:tcPr>
          <w:p>
            <w:pPr>
              <w:adjustRightInd w:val="0"/>
              <w:snapToGrid w:val="0"/>
              <w:spacing w:line="240" w:lineRule="auto"/>
              <w:ind w:firstLine="0" w:firstLineChars="0"/>
              <w:jc w:val="center"/>
              <w:rPr>
                <w:color w:val="auto"/>
                <w:kern w:val="21"/>
                <w:sz w:val="18"/>
                <w:szCs w:val="18"/>
              </w:rPr>
            </w:pPr>
            <w:r>
              <w:rPr>
                <w:rFonts w:hint="eastAsia"/>
                <w:color w:val="auto"/>
                <w:kern w:val="21"/>
                <w:sz w:val="18"/>
                <w:szCs w:val="18"/>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pH（无量纲）</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8.23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8.26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8.22</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8.18</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8.19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8.14</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8.19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8.17</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6-9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6-9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6-9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6-9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6-9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6-9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6-9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6-9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BOD</w:t>
            </w:r>
            <w:r>
              <w:rPr>
                <w:color w:val="auto"/>
                <w:kern w:val="21"/>
                <w:sz w:val="18"/>
                <w:szCs w:val="18"/>
                <w:vertAlign w:val="subscript"/>
              </w:rPr>
              <w:t>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5.</w:t>
            </w:r>
            <w:r>
              <w:rPr>
                <w:rFonts w:hint="eastAsia"/>
                <w:color w:val="auto"/>
                <w:kern w:val="21"/>
                <w:sz w:val="18"/>
                <w:szCs w:val="18"/>
                <w:lang w:bidi="ar"/>
              </w:rPr>
              <w:t>2</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5</w:t>
            </w:r>
            <w:r>
              <w:rPr>
                <w:color w:val="auto"/>
                <w:kern w:val="21"/>
                <w:sz w:val="18"/>
                <w:szCs w:val="18"/>
                <w:lang w:bidi="ar"/>
              </w:rPr>
              <w:t>.</w:t>
            </w:r>
            <w:r>
              <w:rPr>
                <w:rFonts w:hint="eastAsia"/>
                <w:color w:val="auto"/>
                <w:kern w:val="21"/>
                <w:sz w:val="18"/>
                <w:szCs w:val="18"/>
                <w:lang w:bidi="ar"/>
              </w:rPr>
              <w:t>8</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5.4</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7.9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8.4</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7.7</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9.1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9.4</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超标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超标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超标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超标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超标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化学需氧量</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26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2</w:t>
            </w:r>
            <w:r>
              <w:rPr>
                <w:rFonts w:hint="eastAsia"/>
                <w:color w:val="auto"/>
                <w:kern w:val="21"/>
                <w:sz w:val="18"/>
                <w:szCs w:val="18"/>
                <w:lang w:bidi="ar"/>
              </w:rPr>
              <w:t>7</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2</w:t>
            </w:r>
            <w:r>
              <w:rPr>
                <w:rFonts w:hint="eastAsia"/>
                <w:color w:val="auto"/>
                <w:kern w:val="21"/>
                <w:sz w:val="18"/>
                <w:szCs w:val="18"/>
                <w:lang w:bidi="ar"/>
              </w:rPr>
              <w:t>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28</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30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27</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32</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3</w:t>
            </w:r>
            <w:r>
              <w:rPr>
                <w:rFonts w:hint="eastAsia"/>
                <w:color w:val="auto"/>
                <w:kern w:val="21"/>
                <w:sz w:val="18"/>
                <w:szCs w:val="18"/>
                <w:lang w:bidi="ar"/>
              </w:rPr>
              <w:t>4</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3</w:t>
            </w:r>
            <w:r>
              <w:rPr>
                <w:rFonts w:hint="eastAsia"/>
                <w:color w:val="auto"/>
                <w:kern w:val="21"/>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≤30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≤30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≤30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≤30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≤30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≤30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≤30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≤30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超标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超标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悬浮物</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7</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8</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7</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4</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10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石油类</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阴离子表面活性剂</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氨氮</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464</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462</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470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478</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483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491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0.579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0.569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总磷</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10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8</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0.04</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7</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08</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09</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pStyle w:val="168"/>
              <w:adjustRightInd w:val="0"/>
              <w:snapToGrid w:val="0"/>
              <w:spacing w:line="240" w:lineRule="auto"/>
              <w:rPr>
                <w:color w:val="auto"/>
                <w:kern w:val="21"/>
                <w:szCs w:val="18"/>
                <w:lang w:bidi="ar"/>
              </w:rPr>
            </w:pPr>
            <w:r>
              <w:rPr>
                <w:color w:val="auto"/>
                <w:kern w:val="21"/>
                <w:szCs w:val="18"/>
              </w:rPr>
              <w:t>≤0.3</w:t>
            </w:r>
          </w:p>
        </w:tc>
        <w:tc>
          <w:tcPr>
            <w:tcW w:w="1040" w:type="dxa"/>
            <w:vAlign w:val="center"/>
          </w:tcPr>
          <w:p>
            <w:pPr>
              <w:pStyle w:val="168"/>
              <w:adjustRightInd w:val="0"/>
              <w:snapToGrid w:val="0"/>
              <w:spacing w:line="240" w:lineRule="auto"/>
              <w:rPr>
                <w:color w:val="auto"/>
                <w:kern w:val="21"/>
                <w:szCs w:val="18"/>
                <w:lang w:bidi="ar"/>
              </w:rPr>
            </w:pPr>
            <w:r>
              <w:rPr>
                <w:color w:val="auto"/>
                <w:kern w:val="21"/>
                <w:szCs w:val="18"/>
              </w:rPr>
              <w:t>≤0.3</w:t>
            </w:r>
          </w:p>
        </w:tc>
        <w:tc>
          <w:tcPr>
            <w:tcW w:w="1040" w:type="dxa"/>
            <w:vAlign w:val="center"/>
          </w:tcPr>
          <w:p>
            <w:pPr>
              <w:pStyle w:val="168"/>
              <w:adjustRightInd w:val="0"/>
              <w:snapToGrid w:val="0"/>
              <w:spacing w:line="240" w:lineRule="auto"/>
              <w:rPr>
                <w:color w:val="auto"/>
                <w:kern w:val="21"/>
                <w:szCs w:val="18"/>
                <w:lang w:bidi="ar"/>
              </w:rPr>
            </w:pPr>
            <w:r>
              <w:rPr>
                <w:color w:val="auto"/>
                <w:kern w:val="21"/>
                <w:szCs w:val="18"/>
              </w:rPr>
              <w:t>≤0.3</w:t>
            </w:r>
          </w:p>
        </w:tc>
        <w:tc>
          <w:tcPr>
            <w:tcW w:w="1040" w:type="dxa"/>
            <w:vAlign w:val="center"/>
          </w:tcPr>
          <w:p>
            <w:pPr>
              <w:pStyle w:val="168"/>
              <w:adjustRightInd w:val="0"/>
              <w:snapToGrid w:val="0"/>
              <w:spacing w:line="240" w:lineRule="auto"/>
              <w:rPr>
                <w:color w:val="auto"/>
                <w:kern w:val="21"/>
                <w:szCs w:val="18"/>
                <w:lang w:bidi="ar"/>
              </w:rPr>
            </w:pPr>
            <w:r>
              <w:rPr>
                <w:color w:val="auto"/>
                <w:kern w:val="21"/>
                <w:szCs w:val="18"/>
              </w:rPr>
              <w:t>≤0.3</w:t>
            </w:r>
          </w:p>
        </w:tc>
        <w:tc>
          <w:tcPr>
            <w:tcW w:w="1040" w:type="dxa"/>
            <w:vAlign w:val="center"/>
          </w:tcPr>
          <w:p>
            <w:pPr>
              <w:pStyle w:val="168"/>
              <w:adjustRightInd w:val="0"/>
              <w:snapToGrid w:val="0"/>
              <w:spacing w:line="240" w:lineRule="auto"/>
              <w:rPr>
                <w:color w:val="auto"/>
                <w:kern w:val="21"/>
                <w:szCs w:val="18"/>
                <w:lang w:bidi="ar"/>
              </w:rPr>
            </w:pPr>
            <w:r>
              <w:rPr>
                <w:color w:val="auto"/>
                <w:kern w:val="21"/>
                <w:szCs w:val="18"/>
              </w:rPr>
              <w:t>≤0.3</w:t>
            </w:r>
          </w:p>
        </w:tc>
        <w:tc>
          <w:tcPr>
            <w:tcW w:w="1040" w:type="dxa"/>
            <w:vAlign w:val="center"/>
          </w:tcPr>
          <w:p>
            <w:pPr>
              <w:pStyle w:val="168"/>
              <w:adjustRightInd w:val="0"/>
              <w:snapToGrid w:val="0"/>
              <w:spacing w:line="240" w:lineRule="auto"/>
              <w:rPr>
                <w:color w:val="auto"/>
                <w:kern w:val="21"/>
                <w:szCs w:val="18"/>
                <w:lang w:bidi="ar"/>
              </w:rPr>
            </w:pPr>
            <w:r>
              <w:rPr>
                <w:color w:val="auto"/>
                <w:kern w:val="21"/>
                <w:szCs w:val="18"/>
              </w:rPr>
              <w:t>≤0.3</w:t>
            </w:r>
          </w:p>
        </w:tc>
        <w:tc>
          <w:tcPr>
            <w:tcW w:w="1040" w:type="dxa"/>
            <w:vAlign w:val="center"/>
          </w:tcPr>
          <w:p>
            <w:pPr>
              <w:pStyle w:val="168"/>
              <w:adjustRightInd w:val="0"/>
              <w:snapToGrid w:val="0"/>
              <w:spacing w:line="240" w:lineRule="auto"/>
              <w:rPr>
                <w:color w:val="auto"/>
                <w:kern w:val="21"/>
                <w:szCs w:val="18"/>
                <w:lang w:bidi="ar"/>
              </w:rPr>
            </w:pPr>
            <w:r>
              <w:rPr>
                <w:color w:val="auto"/>
                <w:kern w:val="21"/>
                <w:szCs w:val="18"/>
              </w:rPr>
              <w:t>≤0.3</w:t>
            </w:r>
          </w:p>
        </w:tc>
        <w:tc>
          <w:tcPr>
            <w:tcW w:w="1040" w:type="dxa"/>
            <w:vAlign w:val="center"/>
          </w:tcPr>
          <w:p>
            <w:pPr>
              <w:pStyle w:val="168"/>
              <w:adjustRightInd w:val="0"/>
              <w:snapToGrid w:val="0"/>
              <w:spacing w:line="240" w:lineRule="auto"/>
              <w:rPr>
                <w:color w:val="auto"/>
                <w:kern w:val="21"/>
                <w:szCs w:val="18"/>
                <w:lang w:bidi="ar"/>
              </w:rPr>
            </w:pPr>
            <w:r>
              <w:rPr>
                <w:color w:val="auto"/>
                <w:kern w:val="21"/>
                <w:szCs w:val="18"/>
              </w:rPr>
              <w:t>≤0.3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色度（度）</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粪大肠菌群MPN/L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1.1×10</w:t>
            </w:r>
            <w:r>
              <w:rPr>
                <w:rFonts w:hint="eastAsia"/>
                <w:color w:val="auto"/>
                <w:kern w:val="21"/>
                <w:sz w:val="18"/>
                <w:szCs w:val="18"/>
                <w:vertAlign w:val="superscript"/>
                <w:lang w:bidi="ar"/>
              </w:rPr>
              <w:t>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1.3×10</w:t>
            </w:r>
            <w:r>
              <w:rPr>
                <w:rFonts w:hint="eastAsia"/>
                <w:color w:val="auto"/>
                <w:kern w:val="21"/>
                <w:sz w:val="18"/>
                <w:szCs w:val="18"/>
                <w:vertAlign w:val="superscript"/>
                <w:lang w:bidi="ar"/>
              </w:rPr>
              <w:t>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1.8×10</w:t>
            </w:r>
            <w:r>
              <w:rPr>
                <w:rFonts w:hint="eastAsia"/>
                <w:color w:val="auto"/>
                <w:kern w:val="21"/>
                <w:sz w:val="18"/>
                <w:szCs w:val="18"/>
                <w:vertAlign w:val="superscript"/>
                <w:lang w:bidi="ar"/>
              </w:rPr>
              <w:t>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1.2×10</w:t>
            </w:r>
            <w:r>
              <w:rPr>
                <w:rFonts w:hint="eastAsia"/>
                <w:color w:val="auto"/>
                <w:kern w:val="21"/>
                <w:sz w:val="18"/>
                <w:szCs w:val="18"/>
                <w:vertAlign w:val="superscript"/>
                <w:lang w:bidi="ar"/>
              </w:rPr>
              <w:t>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1.4×10</w:t>
            </w:r>
            <w:r>
              <w:rPr>
                <w:rFonts w:hint="eastAsia"/>
                <w:color w:val="auto"/>
                <w:kern w:val="21"/>
                <w:sz w:val="18"/>
                <w:szCs w:val="18"/>
                <w:vertAlign w:val="superscript"/>
                <w:lang w:bidi="ar"/>
              </w:rPr>
              <w:t>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1.1×10</w:t>
            </w:r>
            <w:r>
              <w:rPr>
                <w:rFonts w:hint="eastAsia"/>
                <w:color w:val="auto"/>
                <w:kern w:val="21"/>
                <w:sz w:val="18"/>
                <w:szCs w:val="18"/>
                <w:vertAlign w:val="superscript"/>
                <w:lang w:bidi="ar"/>
              </w:rPr>
              <w:t>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1.5×10</w:t>
            </w:r>
            <w:r>
              <w:rPr>
                <w:rFonts w:hint="eastAsia"/>
                <w:color w:val="auto"/>
                <w:kern w:val="21"/>
                <w:sz w:val="18"/>
                <w:szCs w:val="18"/>
                <w:vertAlign w:val="superscript"/>
                <w:lang w:bidi="ar"/>
              </w:rPr>
              <w:t>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1.7×10</w:t>
            </w:r>
            <w:r>
              <w:rPr>
                <w:rFonts w:hint="eastAsia"/>
                <w:color w:val="auto"/>
                <w:kern w:val="21"/>
                <w:sz w:val="18"/>
                <w:szCs w:val="18"/>
                <w:vertAlign w:val="superscript"/>
                <w:lang w:bidi="ar"/>
              </w:rPr>
              <w:t>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lang w:bidi="ar"/>
              </w:rPr>
              <w:t>1.3×10</w:t>
            </w:r>
            <w:r>
              <w:rPr>
                <w:rFonts w:hint="eastAsia"/>
                <w:color w:val="auto"/>
                <w:kern w:val="21"/>
                <w:sz w:val="18"/>
                <w:szCs w:val="18"/>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20000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20000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20000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20000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20000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20000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20000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20000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氟化物</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22</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20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21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0.2</w:t>
            </w:r>
            <w:r>
              <w:rPr>
                <w:rFonts w:hint="eastAsia"/>
                <w:color w:val="auto"/>
                <w:kern w:val="21"/>
                <w:sz w:val="18"/>
                <w:szCs w:val="18"/>
                <w:lang w:bidi="ar"/>
              </w:rPr>
              <w:t>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0.2</w:t>
            </w:r>
            <w:r>
              <w:rPr>
                <w:rFonts w:hint="eastAsia"/>
                <w:color w:val="auto"/>
                <w:kern w:val="21"/>
                <w:sz w:val="18"/>
                <w:szCs w:val="18"/>
                <w:lang w:bidi="ar"/>
              </w:rPr>
              <w:t>8</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0.2</w:t>
            </w:r>
            <w:r>
              <w:rPr>
                <w:rFonts w:hint="eastAsia"/>
                <w:color w:val="auto"/>
                <w:kern w:val="21"/>
                <w:sz w:val="18"/>
                <w:szCs w:val="18"/>
                <w:lang w:bidi="ar"/>
              </w:rPr>
              <w:t>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26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0.3</w:t>
            </w:r>
            <w:r>
              <w:rPr>
                <w:rFonts w:hint="eastAsia"/>
                <w:color w:val="auto"/>
                <w:kern w:val="21"/>
                <w:sz w:val="18"/>
                <w:szCs w:val="18"/>
                <w:lang w:bidi="ar"/>
              </w:rPr>
              <w:t>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w:t>
            </w:r>
            <w:r>
              <w:rPr>
                <w:rFonts w:hint="eastAsia"/>
                <w:color w:val="auto"/>
                <w:kern w:val="21"/>
                <w:sz w:val="18"/>
                <w:szCs w:val="18"/>
                <w:lang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硫化物</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0.005L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总汞</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铜</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0.0808</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0.0771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0.0716</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0.0501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0.0483</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0.0471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0.0390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0.0380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0.0357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1.0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1.0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1.0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1.0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1.0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1.0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1.0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1.0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锌</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2.0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2.0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2.0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2.0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2.0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2.0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2.0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2.0</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w:t>
            </w:r>
            <w:r>
              <w:rPr>
                <w:rFonts w:hint="eastAsia"/>
                <w:color w:val="auto"/>
                <w:kern w:val="21"/>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6.7×10</w:t>
            </w:r>
            <w:r>
              <w:rPr>
                <w:rFonts w:hint="eastAsia"/>
                <w:color w:val="auto"/>
                <w:kern w:val="21"/>
                <w:sz w:val="18"/>
                <w:szCs w:val="18"/>
                <w:vertAlign w:val="superscript"/>
              </w:rPr>
              <w:t>-4</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6.7×10</w:t>
            </w:r>
            <w:r>
              <w:rPr>
                <w:rFonts w:hint="eastAsia"/>
                <w:color w:val="auto"/>
                <w:kern w:val="21"/>
                <w:sz w:val="18"/>
                <w:szCs w:val="18"/>
                <w:vertAlign w:val="superscript"/>
              </w:rPr>
              <w:t>-4</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6.7×10</w:t>
            </w:r>
            <w:r>
              <w:rPr>
                <w:rFonts w:hint="eastAsia"/>
                <w:color w:val="auto"/>
                <w:kern w:val="21"/>
                <w:sz w:val="18"/>
                <w:szCs w:val="18"/>
                <w:vertAlign w:val="superscript"/>
              </w:rPr>
              <w:t>-4</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6.7×10</w:t>
            </w:r>
            <w:r>
              <w:rPr>
                <w:rFonts w:hint="eastAsia"/>
                <w:color w:val="auto"/>
                <w:kern w:val="21"/>
                <w:sz w:val="18"/>
                <w:szCs w:val="18"/>
                <w:vertAlign w:val="superscript"/>
              </w:rPr>
              <w:t>-4</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6.7×10</w:t>
            </w:r>
            <w:r>
              <w:rPr>
                <w:rFonts w:hint="eastAsia"/>
                <w:color w:val="auto"/>
                <w:kern w:val="21"/>
                <w:sz w:val="18"/>
                <w:szCs w:val="18"/>
                <w:vertAlign w:val="superscript"/>
              </w:rPr>
              <w:t>-4</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6.7×10</w:t>
            </w:r>
            <w:r>
              <w:rPr>
                <w:rFonts w:hint="eastAsia"/>
                <w:color w:val="auto"/>
                <w:kern w:val="21"/>
                <w:sz w:val="18"/>
                <w:szCs w:val="18"/>
                <w:vertAlign w:val="superscript"/>
              </w:rPr>
              <w:t>-4</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6.7×10</w:t>
            </w:r>
            <w:r>
              <w:rPr>
                <w:rFonts w:hint="eastAsia"/>
                <w:color w:val="auto"/>
                <w:kern w:val="21"/>
                <w:sz w:val="18"/>
                <w:szCs w:val="18"/>
                <w:vertAlign w:val="superscript"/>
              </w:rPr>
              <w:t>-4</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6.7×10</w:t>
            </w:r>
            <w:r>
              <w:rPr>
                <w:rFonts w:hint="eastAsia"/>
                <w:color w:val="auto"/>
                <w:kern w:val="21"/>
                <w:sz w:val="18"/>
                <w:szCs w:val="18"/>
                <w:vertAlign w:val="superscript"/>
              </w:rPr>
              <w:t>-4</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6.7×10</w:t>
            </w:r>
            <w:r>
              <w:rPr>
                <w:rFonts w:hint="eastAsia"/>
                <w:color w:val="auto"/>
                <w:kern w:val="21"/>
                <w:sz w:val="18"/>
                <w:szCs w:val="18"/>
                <w:vertAlign w:val="superscript"/>
              </w:rPr>
              <w:t>-4</w:t>
            </w:r>
            <w:r>
              <w:rPr>
                <w:color w:val="auto"/>
                <w:kern w:val="21"/>
                <w:sz w:val="18"/>
                <w:szCs w:val="18"/>
                <w:lang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总镉</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w:t>
            </w:r>
            <w:r>
              <w:rPr>
                <w:rFonts w:hint="eastAsia"/>
                <w:color w:val="auto"/>
                <w:kern w:val="21"/>
                <w:sz w:val="18"/>
                <w:szCs w:val="18"/>
                <w:lang w:bidi="ar"/>
              </w:rPr>
              <w:t>005</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w:t>
            </w:r>
            <w:r>
              <w:rPr>
                <w:rFonts w:hint="eastAsia"/>
                <w:color w:val="auto"/>
                <w:kern w:val="21"/>
                <w:sz w:val="18"/>
                <w:szCs w:val="18"/>
                <w:lang w:bidi="ar"/>
              </w:rPr>
              <w:t>005</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w:t>
            </w:r>
            <w:r>
              <w:rPr>
                <w:rFonts w:hint="eastAsia"/>
                <w:color w:val="auto"/>
                <w:kern w:val="21"/>
                <w:sz w:val="18"/>
                <w:szCs w:val="18"/>
                <w:lang w:bidi="ar"/>
              </w:rPr>
              <w:t>005</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w:t>
            </w:r>
            <w:r>
              <w:rPr>
                <w:rFonts w:hint="eastAsia"/>
                <w:color w:val="auto"/>
                <w:kern w:val="21"/>
                <w:sz w:val="18"/>
                <w:szCs w:val="18"/>
                <w:lang w:bidi="ar"/>
              </w:rPr>
              <w:t>005</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w:t>
            </w:r>
            <w:r>
              <w:rPr>
                <w:rFonts w:hint="eastAsia"/>
                <w:color w:val="auto"/>
                <w:kern w:val="21"/>
                <w:sz w:val="18"/>
                <w:szCs w:val="18"/>
                <w:lang w:bidi="ar"/>
              </w:rPr>
              <w:t>005</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w:t>
            </w:r>
            <w:r>
              <w:rPr>
                <w:rFonts w:hint="eastAsia"/>
                <w:color w:val="auto"/>
                <w:kern w:val="21"/>
                <w:sz w:val="18"/>
                <w:szCs w:val="18"/>
                <w:lang w:bidi="ar"/>
              </w:rPr>
              <w:t>005</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w:t>
            </w:r>
            <w:r>
              <w:rPr>
                <w:rFonts w:hint="eastAsia"/>
                <w:color w:val="auto"/>
                <w:kern w:val="21"/>
                <w:sz w:val="18"/>
                <w:szCs w:val="18"/>
                <w:lang w:bidi="ar"/>
              </w:rPr>
              <w:t>005</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w:t>
            </w:r>
            <w:r>
              <w:rPr>
                <w:rFonts w:hint="eastAsia"/>
                <w:color w:val="auto"/>
                <w:kern w:val="21"/>
                <w:sz w:val="18"/>
                <w:szCs w:val="18"/>
                <w:lang w:bidi="ar"/>
              </w:rPr>
              <w:t>005</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w:t>
            </w:r>
            <w:r>
              <w:rPr>
                <w:rFonts w:hint="eastAsia"/>
                <w:color w:val="auto"/>
                <w:kern w:val="21"/>
                <w:sz w:val="18"/>
                <w:szCs w:val="18"/>
                <w:lang w:bidi="ar"/>
              </w:rPr>
              <w:t>005</w:t>
            </w:r>
            <w:r>
              <w:rPr>
                <w:color w:val="auto"/>
                <w:kern w:val="21"/>
                <w:sz w:val="18"/>
                <w:szCs w:val="18"/>
                <w:lang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总铬</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六价铬</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 w:hRule="atLeast"/>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总砷</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5.01×10</w:t>
            </w:r>
            <w:r>
              <w:rPr>
                <w:rFonts w:hint="eastAsia"/>
                <w:color w:val="auto"/>
                <w:kern w:val="21"/>
                <w:sz w:val="18"/>
                <w:szCs w:val="18"/>
                <w:vertAlign w:val="superscript"/>
              </w:rPr>
              <w:t>-3</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4.73×10</w:t>
            </w:r>
            <w:r>
              <w:rPr>
                <w:rFonts w:hint="eastAsia"/>
                <w:color w:val="auto"/>
                <w:kern w:val="21"/>
                <w:sz w:val="18"/>
                <w:szCs w:val="18"/>
                <w:vertAlign w:val="superscript"/>
              </w:rPr>
              <w:t>-3</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5.12×10</w:t>
            </w:r>
            <w:r>
              <w:rPr>
                <w:rFonts w:hint="eastAsia"/>
                <w:color w:val="auto"/>
                <w:kern w:val="21"/>
                <w:sz w:val="18"/>
                <w:szCs w:val="18"/>
                <w:vertAlign w:val="superscript"/>
              </w:rPr>
              <w:t>-3</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4.58×10</w:t>
            </w:r>
            <w:r>
              <w:rPr>
                <w:rFonts w:hint="eastAsia"/>
                <w:color w:val="auto"/>
                <w:kern w:val="21"/>
                <w:sz w:val="18"/>
                <w:szCs w:val="18"/>
                <w:vertAlign w:val="superscript"/>
              </w:rPr>
              <w:t>-3</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4.45×10</w:t>
            </w:r>
            <w:r>
              <w:rPr>
                <w:rFonts w:hint="eastAsia"/>
                <w:color w:val="auto"/>
                <w:kern w:val="21"/>
                <w:sz w:val="18"/>
                <w:szCs w:val="18"/>
                <w:vertAlign w:val="superscript"/>
              </w:rPr>
              <w:t>-3</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4.74×10</w:t>
            </w:r>
            <w:r>
              <w:rPr>
                <w:rFonts w:hint="eastAsia"/>
                <w:color w:val="auto"/>
                <w:kern w:val="21"/>
                <w:sz w:val="18"/>
                <w:szCs w:val="18"/>
                <w:vertAlign w:val="superscript"/>
              </w:rPr>
              <w:t>-3</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3.60×10</w:t>
            </w:r>
            <w:r>
              <w:rPr>
                <w:rFonts w:hint="eastAsia"/>
                <w:color w:val="auto"/>
                <w:kern w:val="21"/>
                <w:sz w:val="18"/>
                <w:szCs w:val="18"/>
                <w:vertAlign w:val="superscript"/>
              </w:rPr>
              <w:t>-3</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3.58×10</w:t>
            </w:r>
            <w:r>
              <w:rPr>
                <w:rFonts w:hint="eastAsia"/>
                <w:color w:val="auto"/>
                <w:kern w:val="21"/>
                <w:sz w:val="18"/>
                <w:szCs w:val="18"/>
                <w:vertAlign w:val="superscript"/>
              </w:rPr>
              <w:t>-3</w:t>
            </w:r>
            <w:r>
              <w:rPr>
                <w:color w:val="auto"/>
                <w:kern w:val="21"/>
                <w:sz w:val="18"/>
                <w:szCs w:val="18"/>
                <w:lang w:bidi="ar"/>
              </w:rPr>
              <w:t>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3.59×10</w:t>
            </w:r>
            <w:r>
              <w:rPr>
                <w:rFonts w:hint="eastAsia"/>
                <w:color w:val="auto"/>
                <w:kern w:val="21"/>
                <w:sz w:val="18"/>
                <w:szCs w:val="18"/>
                <w:vertAlign w:val="superscript"/>
              </w:rPr>
              <w:t>-3</w:t>
            </w:r>
            <w:r>
              <w:rPr>
                <w:color w:val="auto"/>
                <w:kern w:val="21"/>
                <w:sz w:val="18"/>
                <w:szCs w:val="18"/>
                <w:lang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≤0.1</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总铅</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00</w:t>
            </w:r>
            <w:r>
              <w:rPr>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00</w:t>
            </w:r>
            <w:r>
              <w:rPr>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00</w:t>
            </w:r>
            <w:r>
              <w:rPr>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00</w:t>
            </w:r>
            <w:r>
              <w:rPr>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00</w:t>
            </w:r>
            <w:r>
              <w:rPr>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00</w:t>
            </w:r>
            <w:r>
              <w:rPr>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00</w:t>
            </w:r>
            <w:r>
              <w:rPr>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00</w:t>
            </w:r>
            <w:r>
              <w:rPr>
                <w:color w:val="auto"/>
                <w:kern w:val="21"/>
                <w:sz w:val="18"/>
                <w:szCs w:val="18"/>
                <w:lang w:bidi="ar"/>
              </w:rPr>
              <w:t>1L</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rPr>
            </w:pPr>
            <w:r>
              <w:rPr>
                <w:color w:val="auto"/>
                <w:kern w:val="21"/>
                <w:sz w:val="18"/>
                <w:szCs w:val="18"/>
                <w:lang w:bidi="ar"/>
              </w:rPr>
              <w:t>0.0</w:t>
            </w:r>
            <w:r>
              <w:rPr>
                <w:rFonts w:hint="eastAsia"/>
                <w:color w:val="auto"/>
                <w:kern w:val="21"/>
                <w:sz w:val="18"/>
                <w:szCs w:val="18"/>
                <w:lang w:bidi="ar"/>
              </w:rPr>
              <w:t>00</w:t>
            </w:r>
            <w:r>
              <w:rPr>
                <w:color w:val="auto"/>
                <w:kern w:val="21"/>
                <w:sz w:val="18"/>
                <w:szCs w:val="18"/>
                <w:lang w:bidi="ar"/>
              </w:rPr>
              <w:t>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rFonts w:hint="eastAsia"/>
                <w:color w:val="auto"/>
                <w:kern w:val="21"/>
                <w:sz w:val="18"/>
                <w:szCs w:val="18"/>
              </w:rPr>
              <w:t>标准值</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dxa"/>
            <w:vAlign w:val="center"/>
          </w:tcPr>
          <w:p>
            <w:pPr>
              <w:autoSpaceDN w:val="0"/>
              <w:adjustRightInd w:val="0"/>
              <w:snapToGrid w:val="0"/>
              <w:spacing w:line="240" w:lineRule="auto"/>
              <w:ind w:firstLine="0" w:firstLineChars="0"/>
              <w:jc w:val="center"/>
              <w:textAlignment w:val="center"/>
              <w:rPr>
                <w:color w:val="auto"/>
                <w:kern w:val="21"/>
                <w:sz w:val="18"/>
                <w:szCs w:val="18"/>
              </w:rPr>
            </w:pPr>
            <w:r>
              <w:rPr>
                <w:color w:val="auto"/>
                <w:kern w:val="21"/>
                <w:sz w:val="18"/>
                <w:szCs w:val="18"/>
              </w:rPr>
              <w:t>达标情况</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c>
          <w:tcPr>
            <w:tcW w:w="1040" w:type="dxa"/>
            <w:vAlign w:val="center"/>
          </w:tcPr>
          <w:p>
            <w:pPr>
              <w:widowControl/>
              <w:adjustRightInd w:val="0"/>
              <w:snapToGrid w:val="0"/>
              <w:spacing w:line="240" w:lineRule="auto"/>
              <w:ind w:firstLine="0" w:firstLineChars="0"/>
              <w:jc w:val="center"/>
              <w:textAlignment w:val="center"/>
              <w:rPr>
                <w:color w:val="auto"/>
                <w:kern w:val="21"/>
                <w:sz w:val="18"/>
                <w:szCs w:val="18"/>
                <w:lang w:bidi="ar"/>
              </w:rPr>
            </w:pPr>
            <w:r>
              <w:rPr>
                <w:color w:val="auto"/>
                <w:kern w:val="21"/>
                <w:sz w:val="18"/>
                <w:szCs w:val="18"/>
              </w:rPr>
              <w:t>达标</w:t>
            </w:r>
          </w:p>
        </w:tc>
      </w:tr>
    </w:tbl>
    <w:p>
      <w:pPr>
        <w:keepNext w:val="0"/>
        <w:keepLines w:val="0"/>
        <w:pageBreakBefore w:val="0"/>
        <w:widowControl w:val="0"/>
        <w:kinsoku/>
        <w:wordWrap/>
        <w:overflowPunct/>
        <w:topLinePunct w:val="0"/>
        <w:autoSpaceDE/>
        <w:autoSpaceDN/>
        <w:bidi w:val="0"/>
        <w:adjustRightInd/>
        <w:snapToGrid/>
        <w:spacing w:before="0" w:beforeLines="50"/>
        <w:ind w:firstLine="480"/>
        <w:textAlignment w:val="auto"/>
        <w:rPr>
          <w:color w:val="auto"/>
          <w:kern w:val="21"/>
          <w:highlight w:val="none"/>
        </w:rPr>
      </w:pPr>
      <w:r>
        <w:rPr>
          <w:color w:val="auto"/>
          <w:kern w:val="21"/>
          <w:highlight w:val="none"/>
        </w:rPr>
        <w:t>从监测结果可知，青龙河上的W2、W3监测断面中BOD</w:t>
      </w:r>
      <w:r>
        <w:rPr>
          <w:color w:val="auto"/>
          <w:kern w:val="21"/>
          <w:highlight w:val="none"/>
          <w:vertAlign w:val="subscript"/>
        </w:rPr>
        <w:t>5</w:t>
      </w:r>
      <w:r>
        <w:rPr>
          <w:color w:val="auto"/>
          <w:kern w:val="21"/>
          <w:highlight w:val="none"/>
        </w:rPr>
        <w:t>、</w:t>
      </w:r>
      <w:r>
        <w:rPr>
          <w:rFonts w:hint="eastAsia"/>
          <w:color w:val="auto"/>
          <w:kern w:val="21"/>
          <w:highlight w:val="none"/>
        </w:rPr>
        <w:t>COD</w:t>
      </w:r>
      <w:r>
        <w:rPr>
          <w:color w:val="auto"/>
          <w:kern w:val="21"/>
          <w:highlight w:val="none"/>
        </w:rPr>
        <w:t>超过了《地表水环境质量标准》（GB3838-2002）中的Ⅳ类标准值，其余监测因子均达标。</w:t>
      </w:r>
    </w:p>
    <w:p>
      <w:pPr>
        <w:pStyle w:val="16"/>
        <w:adjustRightInd/>
        <w:spacing w:before="0"/>
        <w:ind w:right="0" w:firstLine="480"/>
        <w:rPr>
          <w:rFonts w:ascii="Times New Roman" w:hAnsi="Times New Roman"/>
          <w:color w:val="auto"/>
          <w:kern w:val="21"/>
          <w:sz w:val="24"/>
          <w:szCs w:val="24"/>
        </w:rPr>
      </w:pPr>
      <w:r>
        <w:rPr>
          <w:rFonts w:ascii="Times New Roman" w:hAnsi="Times New Roman"/>
          <w:color w:val="auto"/>
          <w:kern w:val="21"/>
          <w:sz w:val="24"/>
          <w:szCs w:val="24"/>
        </w:rPr>
        <w:t>2、项目受纳水体青龙河水质变化趋势</w:t>
      </w:r>
    </w:p>
    <w:p>
      <w:pPr>
        <w:ind w:firstLine="480"/>
        <w:rPr>
          <w:color w:val="auto"/>
          <w:kern w:val="21"/>
        </w:rPr>
      </w:pPr>
      <w:r>
        <w:rPr>
          <w:color w:val="auto"/>
          <w:kern w:val="21"/>
        </w:rPr>
        <w:t>建设单位收集了2019年12月-2022年6月青龙河部分监测数据，主要来源为楚雄河长</w:t>
      </w:r>
      <w:r>
        <w:rPr>
          <w:rFonts w:hint="eastAsia"/>
          <w:color w:val="auto"/>
          <w:kern w:val="21"/>
        </w:rPr>
        <w:t>办</w:t>
      </w:r>
      <w:r>
        <w:rPr>
          <w:color w:val="auto"/>
          <w:kern w:val="21"/>
        </w:rPr>
        <w:t>水环境质量监测数据，本次评价主要以其跟踪监测的COD、氨氮和总磷来分析近3年来青龙河水质变化情况</w:t>
      </w:r>
      <w:r>
        <w:rPr>
          <w:rFonts w:hint="eastAsia"/>
          <w:color w:val="auto"/>
          <w:kern w:val="21"/>
        </w:rPr>
        <w:t>，见</w:t>
      </w:r>
      <w:r>
        <w:rPr>
          <w:rFonts w:hint="eastAsia"/>
          <w:color w:val="auto"/>
          <w:kern w:val="21"/>
          <w:lang w:eastAsia="zh-CN"/>
        </w:rPr>
        <w:t>下表</w:t>
      </w:r>
      <w:r>
        <w:rPr>
          <w:rFonts w:hint="eastAsia"/>
          <w:color w:val="auto"/>
          <w:kern w:val="21"/>
        </w:rPr>
        <w:t>。</w:t>
      </w:r>
    </w:p>
    <w:p>
      <w:pPr>
        <w:numPr>
          <w:ilvl w:val="0"/>
          <w:numId w:val="9"/>
        </w:numPr>
        <w:ind w:left="0" w:leftChars="0" w:firstLine="0" w:firstLineChars="0"/>
        <w:jc w:val="center"/>
        <w:rPr>
          <w:b/>
          <w:bCs/>
          <w:color w:val="auto"/>
        </w:rPr>
      </w:pPr>
      <w:r>
        <w:rPr>
          <w:rFonts w:hint="eastAsia" w:ascii="Times New Roman" w:hAnsi="Times New Roman"/>
          <w:b/>
          <w:bCs/>
          <w:color w:val="auto"/>
          <w:kern w:val="21"/>
          <w:sz w:val="24"/>
          <w:szCs w:val="24"/>
        </w:rPr>
        <w:t>近3年青龙河各监测断面COD、NH</w:t>
      </w:r>
      <w:r>
        <w:rPr>
          <w:rFonts w:hint="eastAsia" w:ascii="Times New Roman" w:hAnsi="Times New Roman"/>
          <w:b/>
          <w:bCs/>
          <w:color w:val="auto"/>
          <w:kern w:val="21"/>
          <w:sz w:val="24"/>
          <w:szCs w:val="24"/>
          <w:vertAlign w:val="subscript"/>
        </w:rPr>
        <w:t>3</w:t>
      </w:r>
      <w:r>
        <w:rPr>
          <w:rFonts w:hint="eastAsia" w:ascii="Times New Roman" w:hAnsi="Times New Roman"/>
          <w:b/>
          <w:bCs/>
          <w:color w:val="auto"/>
          <w:kern w:val="21"/>
          <w:sz w:val="24"/>
          <w:szCs w:val="24"/>
        </w:rPr>
        <w:t>-N、TP监测值</w:t>
      </w:r>
    </w:p>
    <w:tbl>
      <w:tblPr>
        <w:tblStyle w:val="51"/>
        <w:tblW w:w="8480"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812"/>
        <w:gridCol w:w="821"/>
        <w:gridCol w:w="822"/>
        <w:gridCol w:w="813"/>
        <w:gridCol w:w="822"/>
        <w:gridCol w:w="822"/>
        <w:gridCol w:w="813"/>
        <w:gridCol w:w="847"/>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restart"/>
            <w:vAlign w:val="center"/>
          </w:tcPr>
          <w:p>
            <w:pPr>
              <w:spacing w:line="240" w:lineRule="auto"/>
              <w:ind w:firstLine="0" w:firstLineChars="0"/>
              <w:jc w:val="center"/>
              <w:rPr>
                <w:color w:val="auto"/>
                <w:sz w:val="21"/>
                <w:szCs w:val="21"/>
              </w:rPr>
            </w:pPr>
            <w:r>
              <w:rPr>
                <w:color w:val="auto"/>
                <w:sz w:val="21"/>
                <w:szCs w:val="21"/>
              </w:rPr>
              <w:t>监测月份</w:t>
            </w:r>
          </w:p>
        </w:tc>
        <w:tc>
          <w:tcPr>
            <w:tcW w:w="2455" w:type="dxa"/>
            <w:gridSpan w:val="3"/>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东环线与青龙河交汇点断面</w:t>
            </w:r>
          </w:p>
        </w:tc>
        <w:tc>
          <w:tcPr>
            <w:tcW w:w="2457" w:type="dxa"/>
            <w:gridSpan w:val="3"/>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阳光桥断面</w:t>
            </w:r>
          </w:p>
        </w:tc>
        <w:tc>
          <w:tcPr>
            <w:tcW w:w="2483" w:type="dxa"/>
            <w:gridSpan w:val="3"/>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青龙河入龙川江断面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spacing w:line="240" w:lineRule="auto"/>
              <w:ind w:firstLine="0" w:firstLineChars="0"/>
              <w:jc w:val="center"/>
              <w:rPr>
                <w:color w:val="auto"/>
                <w:sz w:val="21"/>
                <w:szCs w:val="21"/>
              </w:rPr>
            </w:pPr>
          </w:p>
        </w:tc>
        <w:tc>
          <w:tcPr>
            <w:tcW w:w="812"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COD</w:t>
            </w:r>
          </w:p>
        </w:tc>
        <w:tc>
          <w:tcPr>
            <w:tcW w:w="821"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p>
        </w:tc>
        <w:tc>
          <w:tcPr>
            <w:tcW w:w="822"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TP</w:t>
            </w:r>
          </w:p>
        </w:tc>
        <w:tc>
          <w:tcPr>
            <w:tcW w:w="813"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COD</w:t>
            </w:r>
          </w:p>
        </w:tc>
        <w:tc>
          <w:tcPr>
            <w:tcW w:w="822"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p>
        </w:tc>
        <w:tc>
          <w:tcPr>
            <w:tcW w:w="822"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TP</w:t>
            </w:r>
          </w:p>
        </w:tc>
        <w:tc>
          <w:tcPr>
            <w:tcW w:w="813"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COD</w:t>
            </w:r>
          </w:p>
        </w:tc>
        <w:tc>
          <w:tcPr>
            <w:tcW w:w="847"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p>
        </w:tc>
        <w:tc>
          <w:tcPr>
            <w:tcW w:w="823"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2019.12</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821" w:type="dxa"/>
            <w:vAlign w:val="center"/>
          </w:tcPr>
          <w:p>
            <w:pPr>
              <w:widowControl/>
              <w:spacing w:line="240" w:lineRule="auto"/>
              <w:ind w:firstLine="0" w:firstLineChars="0"/>
              <w:jc w:val="center"/>
              <w:textAlignment w:val="center"/>
              <w:rPr>
                <w:color w:val="auto"/>
                <w:sz w:val="21"/>
                <w:szCs w:val="21"/>
              </w:rPr>
            </w:pPr>
            <w:r>
              <w:rPr>
                <w:color w:val="auto"/>
                <w:sz w:val="21"/>
                <w:szCs w:val="21"/>
              </w:rPr>
              <w:t>0.070</w:t>
            </w:r>
          </w:p>
        </w:tc>
        <w:tc>
          <w:tcPr>
            <w:tcW w:w="822"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kern w:val="0"/>
                <w:sz w:val="21"/>
                <w:szCs w:val="21"/>
                <w:lang w:bidi="ar"/>
              </w:rPr>
              <w:t>0.08</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0.62</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0.114</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0.051</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2020.1</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14</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0.038</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0.107</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38</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3.3</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0.339</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38</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0.79</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2020.2</w:t>
            </w:r>
          </w:p>
        </w:tc>
        <w:tc>
          <w:tcPr>
            <w:tcW w:w="812"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w:t>
            </w:r>
          </w:p>
        </w:tc>
        <w:tc>
          <w:tcPr>
            <w:tcW w:w="821"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1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1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47"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2020.3</w:t>
            </w:r>
          </w:p>
        </w:tc>
        <w:tc>
          <w:tcPr>
            <w:tcW w:w="81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1"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1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1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47"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2020.4</w:t>
            </w:r>
          </w:p>
        </w:tc>
        <w:tc>
          <w:tcPr>
            <w:tcW w:w="812"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24</w:t>
            </w:r>
          </w:p>
        </w:tc>
        <w:tc>
          <w:tcPr>
            <w:tcW w:w="821"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0.136</w:t>
            </w:r>
          </w:p>
        </w:tc>
        <w:tc>
          <w:tcPr>
            <w:tcW w:w="822"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0.03</w:t>
            </w:r>
          </w:p>
        </w:tc>
        <w:tc>
          <w:tcPr>
            <w:tcW w:w="813"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13</w:t>
            </w:r>
          </w:p>
        </w:tc>
        <w:tc>
          <w:tcPr>
            <w:tcW w:w="822"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0.159</w:t>
            </w:r>
          </w:p>
        </w:tc>
        <w:tc>
          <w:tcPr>
            <w:tcW w:w="822"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0.04</w:t>
            </w:r>
          </w:p>
        </w:tc>
        <w:tc>
          <w:tcPr>
            <w:tcW w:w="813"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35</w:t>
            </w:r>
          </w:p>
        </w:tc>
        <w:tc>
          <w:tcPr>
            <w:tcW w:w="847"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2.26</w:t>
            </w:r>
          </w:p>
        </w:tc>
        <w:tc>
          <w:tcPr>
            <w:tcW w:w="823" w:type="dxa"/>
            <w:vAlign w:val="center"/>
          </w:tcPr>
          <w:p>
            <w:pPr>
              <w:pStyle w:val="16"/>
              <w:adjustRightInd/>
              <w:spacing w:before="0" w:line="240" w:lineRule="auto"/>
              <w:ind w:right="0" w:firstLine="0" w:firstLineChars="0"/>
              <w:jc w:val="center"/>
              <w:rPr>
                <w:rFonts w:ascii="Times New Roman" w:hAnsi="Times New Roman"/>
                <w:color w:val="auto"/>
                <w:sz w:val="21"/>
                <w:szCs w:val="21"/>
              </w:rPr>
            </w:pPr>
            <w:r>
              <w:rPr>
                <w:rFonts w:ascii="Times New Roman" w:hAnsi="Times New Roman"/>
                <w:color w:val="auto"/>
                <w:sz w:val="21"/>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2020.5</w:t>
            </w:r>
          </w:p>
        </w:tc>
        <w:tc>
          <w:tcPr>
            <w:tcW w:w="81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1"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1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1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47"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2020.6</w:t>
            </w:r>
          </w:p>
        </w:tc>
        <w:tc>
          <w:tcPr>
            <w:tcW w:w="81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1"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1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2"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1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47"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c>
          <w:tcPr>
            <w:tcW w:w="823" w:type="dxa"/>
            <w:vAlign w:val="center"/>
          </w:tcPr>
          <w:p>
            <w:pPr>
              <w:autoSpaceDE w:val="0"/>
              <w:autoSpaceDN w:val="0"/>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2020.7</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18</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0.116</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0.18</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1.38</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0.172</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43</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7.39</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2020.8</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16</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0.097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0.083</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1.35</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0.454</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36</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2.35</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2020.9</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15</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0.074</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0.065</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0.417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0.165</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32</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1.82</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2020.10</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18</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0.038</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0.113</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22</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1.09</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0.313</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5.64</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2020.11</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16</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0.172</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0.061</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1.77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0.093</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24</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8.8</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2020.12</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19</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0.173</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0.105</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23</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0.896</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0.179</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25</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0.874</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2021.1</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12</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0.150</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0.063</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0.137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0.167</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19</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0.559</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2021.2</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14</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0.033</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0.019</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23</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4.19</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0.644</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24</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0.184</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2021.3</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25</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0.053</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0.048</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29</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0.297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0.149</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0.151</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2021.4</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23</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0.042</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0.074</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36</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2.47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0.456</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18</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0.374</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2021.5</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22</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0.163</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0.108</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0.449</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0.193</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0.70</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2021.6</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0.206</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0.158</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73</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3.38</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0.236</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42</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3.25</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2021.7</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24</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0.329</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0.112</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24</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1.63</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0.285</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15</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2.58</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2021.8</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17</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0.134</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0.151</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0.615</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0.181</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27</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1.65</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2021.9</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14</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0.153</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0.092</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0.551</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0.192</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26</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1.95</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2021.10</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18</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0.047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0.070</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22</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0.895</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0.172</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41</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4.15</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2021.11</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32</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1.95</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0.286</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32</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1.95</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0.286</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32</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1.95</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2021.12</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16</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0.188</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0.114</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0.217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0.213</w:t>
            </w:r>
          </w:p>
        </w:tc>
        <w:tc>
          <w:tcPr>
            <w:tcW w:w="81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25</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1.03</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2022.1</w:t>
            </w:r>
          </w:p>
        </w:tc>
        <w:tc>
          <w:tcPr>
            <w:tcW w:w="81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20</w:t>
            </w:r>
          </w:p>
        </w:tc>
        <w:tc>
          <w:tcPr>
            <w:tcW w:w="821"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0.204</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0.154</w:t>
            </w:r>
          </w:p>
        </w:tc>
        <w:tc>
          <w:tcPr>
            <w:tcW w:w="813" w:type="dxa"/>
            <w:vAlign w:val="center"/>
          </w:tcPr>
          <w:p>
            <w:pPr>
              <w:widowControl/>
              <w:spacing w:line="240" w:lineRule="auto"/>
              <w:ind w:firstLine="0" w:firstLineChars="0"/>
              <w:jc w:val="center"/>
              <w:textAlignment w:val="top"/>
              <w:rPr>
                <w:rFonts w:hint="eastAsia" w:eastAsia="宋体"/>
                <w:color w:val="auto"/>
                <w:sz w:val="21"/>
                <w:szCs w:val="21"/>
                <w:lang w:eastAsia="zh-CN"/>
              </w:rPr>
            </w:pPr>
            <w:r>
              <w:rPr>
                <w:color w:val="auto"/>
                <w:kern w:val="0"/>
                <w:sz w:val="21"/>
                <w:szCs w:val="21"/>
                <w:lang w:bidi="ar"/>
              </w:rPr>
              <w:t>17</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0.388</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0.266</w:t>
            </w:r>
          </w:p>
        </w:tc>
        <w:tc>
          <w:tcPr>
            <w:tcW w:w="813" w:type="dxa"/>
            <w:vAlign w:val="center"/>
          </w:tcPr>
          <w:p>
            <w:pPr>
              <w:widowControl/>
              <w:spacing w:line="240" w:lineRule="auto"/>
              <w:ind w:firstLine="0" w:firstLineChars="0"/>
              <w:jc w:val="center"/>
              <w:textAlignment w:val="top"/>
              <w:rPr>
                <w:rFonts w:hint="eastAsia" w:eastAsia="宋体"/>
                <w:color w:val="auto"/>
                <w:sz w:val="21"/>
                <w:szCs w:val="21"/>
                <w:lang w:eastAsia="zh-CN"/>
              </w:rPr>
            </w:pPr>
            <w:r>
              <w:rPr>
                <w:color w:val="auto"/>
                <w:kern w:val="0"/>
                <w:sz w:val="21"/>
                <w:szCs w:val="21"/>
                <w:lang w:bidi="ar"/>
              </w:rPr>
              <w:t>30</w:t>
            </w:r>
          </w:p>
        </w:tc>
        <w:tc>
          <w:tcPr>
            <w:tcW w:w="847"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2.51</w:t>
            </w:r>
          </w:p>
        </w:tc>
        <w:tc>
          <w:tcPr>
            <w:tcW w:w="823"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2022.2</w:t>
            </w:r>
          </w:p>
        </w:tc>
        <w:tc>
          <w:tcPr>
            <w:tcW w:w="81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24</w:t>
            </w:r>
          </w:p>
        </w:tc>
        <w:tc>
          <w:tcPr>
            <w:tcW w:w="821"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0.102</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0.052</w:t>
            </w:r>
          </w:p>
        </w:tc>
        <w:tc>
          <w:tcPr>
            <w:tcW w:w="813" w:type="dxa"/>
            <w:vAlign w:val="center"/>
          </w:tcPr>
          <w:p>
            <w:pPr>
              <w:widowControl/>
              <w:spacing w:line="240" w:lineRule="auto"/>
              <w:ind w:firstLine="0" w:firstLineChars="0"/>
              <w:jc w:val="center"/>
              <w:textAlignment w:val="top"/>
              <w:rPr>
                <w:rFonts w:hint="eastAsia" w:eastAsia="宋体"/>
                <w:color w:val="auto"/>
                <w:sz w:val="21"/>
                <w:szCs w:val="21"/>
                <w:lang w:eastAsia="zh-CN"/>
              </w:rPr>
            </w:pPr>
            <w:r>
              <w:rPr>
                <w:color w:val="auto"/>
                <w:kern w:val="0"/>
                <w:sz w:val="21"/>
                <w:szCs w:val="21"/>
                <w:lang w:bidi="ar"/>
              </w:rPr>
              <w:t>24</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0.997</w:t>
            </w:r>
          </w:p>
        </w:tc>
        <w:tc>
          <w:tcPr>
            <w:tcW w:w="82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0.240</w:t>
            </w:r>
          </w:p>
        </w:tc>
        <w:tc>
          <w:tcPr>
            <w:tcW w:w="813" w:type="dxa"/>
            <w:vAlign w:val="center"/>
          </w:tcPr>
          <w:p>
            <w:pPr>
              <w:widowControl/>
              <w:spacing w:line="240" w:lineRule="auto"/>
              <w:ind w:firstLine="0" w:firstLineChars="0"/>
              <w:jc w:val="center"/>
              <w:textAlignment w:val="top"/>
              <w:rPr>
                <w:rFonts w:hint="eastAsia" w:eastAsia="宋体"/>
                <w:color w:val="auto"/>
                <w:sz w:val="21"/>
                <w:szCs w:val="21"/>
                <w:lang w:eastAsia="zh-CN"/>
              </w:rPr>
            </w:pPr>
            <w:r>
              <w:rPr>
                <w:color w:val="auto"/>
                <w:kern w:val="0"/>
                <w:sz w:val="21"/>
                <w:szCs w:val="21"/>
                <w:lang w:bidi="ar"/>
              </w:rPr>
              <w:t>21</w:t>
            </w:r>
          </w:p>
        </w:tc>
        <w:tc>
          <w:tcPr>
            <w:tcW w:w="847"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1.37</w:t>
            </w:r>
          </w:p>
        </w:tc>
        <w:tc>
          <w:tcPr>
            <w:tcW w:w="823"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2022.3</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22</w:t>
            </w:r>
          </w:p>
        </w:tc>
        <w:tc>
          <w:tcPr>
            <w:tcW w:w="821"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0.058</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0.064</w:t>
            </w:r>
          </w:p>
        </w:tc>
        <w:tc>
          <w:tcPr>
            <w:tcW w:w="813" w:type="dxa"/>
            <w:vAlign w:val="center"/>
          </w:tcPr>
          <w:p>
            <w:pPr>
              <w:widowControl/>
              <w:spacing w:line="240" w:lineRule="auto"/>
              <w:ind w:firstLine="0" w:firstLineChars="0"/>
              <w:jc w:val="center"/>
              <w:textAlignment w:val="center"/>
              <w:rPr>
                <w:rFonts w:hint="eastAsia" w:eastAsia="宋体"/>
                <w:color w:val="auto"/>
                <w:sz w:val="21"/>
                <w:szCs w:val="21"/>
                <w:lang w:eastAsia="zh-CN"/>
              </w:rPr>
            </w:pPr>
            <w:r>
              <w:rPr>
                <w:color w:val="auto"/>
                <w:kern w:val="0"/>
                <w:sz w:val="21"/>
                <w:szCs w:val="21"/>
                <w:lang w:bidi="ar"/>
              </w:rPr>
              <w:t>36</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2.64</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0.487</w:t>
            </w:r>
          </w:p>
        </w:tc>
        <w:tc>
          <w:tcPr>
            <w:tcW w:w="813" w:type="dxa"/>
            <w:vAlign w:val="center"/>
          </w:tcPr>
          <w:p>
            <w:pPr>
              <w:widowControl/>
              <w:spacing w:line="240" w:lineRule="auto"/>
              <w:ind w:firstLine="0" w:firstLineChars="0"/>
              <w:jc w:val="center"/>
              <w:textAlignment w:val="center"/>
              <w:rPr>
                <w:rFonts w:hint="eastAsia" w:eastAsia="宋体"/>
                <w:color w:val="auto"/>
                <w:sz w:val="21"/>
                <w:szCs w:val="21"/>
                <w:lang w:eastAsia="zh-CN"/>
              </w:rPr>
            </w:pPr>
            <w:r>
              <w:rPr>
                <w:color w:val="auto"/>
                <w:kern w:val="0"/>
                <w:sz w:val="21"/>
                <w:szCs w:val="21"/>
                <w:lang w:bidi="ar"/>
              </w:rPr>
              <w:t>34</w:t>
            </w:r>
          </w:p>
        </w:tc>
        <w:tc>
          <w:tcPr>
            <w:tcW w:w="847"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0.575</w:t>
            </w:r>
          </w:p>
        </w:tc>
        <w:tc>
          <w:tcPr>
            <w:tcW w:w="823"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2022.4</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22</w:t>
            </w:r>
          </w:p>
        </w:tc>
        <w:tc>
          <w:tcPr>
            <w:tcW w:w="821"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0.156</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0.065</w:t>
            </w:r>
          </w:p>
        </w:tc>
        <w:tc>
          <w:tcPr>
            <w:tcW w:w="813" w:type="dxa"/>
            <w:vAlign w:val="center"/>
          </w:tcPr>
          <w:p>
            <w:pPr>
              <w:widowControl/>
              <w:spacing w:line="240" w:lineRule="auto"/>
              <w:ind w:firstLine="0" w:firstLineChars="0"/>
              <w:jc w:val="center"/>
              <w:textAlignment w:val="center"/>
              <w:rPr>
                <w:rFonts w:hint="eastAsia" w:eastAsia="宋体"/>
                <w:color w:val="auto"/>
                <w:sz w:val="21"/>
                <w:szCs w:val="21"/>
                <w:lang w:eastAsia="zh-CN"/>
              </w:rPr>
            </w:pPr>
            <w:r>
              <w:rPr>
                <w:color w:val="auto"/>
                <w:kern w:val="0"/>
                <w:sz w:val="21"/>
                <w:szCs w:val="21"/>
                <w:lang w:bidi="ar"/>
              </w:rPr>
              <w:t>26</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3.95</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0.369</w:t>
            </w:r>
          </w:p>
        </w:tc>
        <w:tc>
          <w:tcPr>
            <w:tcW w:w="813" w:type="dxa"/>
            <w:vAlign w:val="center"/>
          </w:tcPr>
          <w:p>
            <w:pPr>
              <w:widowControl/>
              <w:spacing w:line="240" w:lineRule="auto"/>
              <w:ind w:firstLine="0" w:firstLineChars="0"/>
              <w:jc w:val="center"/>
              <w:textAlignment w:val="center"/>
              <w:rPr>
                <w:rFonts w:hint="eastAsia" w:eastAsia="宋体"/>
                <w:color w:val="auto"/>
                <w:sz w:val="21"/>
                <w:szCs w:val="21"/>
                <w:lang w:eastAsia="zh-CN"/>
              </w:rPr>
            </w:pPr>
            <w:r>
              <w:rPr>
                <w:color w:val="auto"/>
                <w:kern w:val="0"/>
                <w:sz w:val="21"/>
                <w:szCs w:val="21"/>
                <w:lang w:bidi="ar"/>
              </w:rPr>
              <w:t>29</w:t>
            </w:r>
          </w:p>
        </w:tc>
        <w:tc>
          <w:tcPr>
            <w:tcW w:w="847"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1.84</w:t>
            </w:r>
          </w:p>
        </w:tc>
        <w:tc>
          <w:tcPr>
            <w:tcW w:w="823"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2022.5</w:t>
            </w:r>
          </w:p>
        </w:tc>
        <w:tc>
          <w:tcPr>
            <w:tcW w:w="812" w:type="dxa"/>
            <w:vAlign w:val="center"/>
          </w:tcPr>
          <w:p>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821"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0.226</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0.156</w:t>
            </w:r>
          </w:p>
        </w:tc>
        <w:tc>
          <w:tcPr>
            <w:tcW w:w="813" w:type="dxa"/>
            <w:vAlign w:val="center"/>
          </w:tcPr>
          <w:p>
            <w:pPr>
              <w:widowControl/>
              <w:spacing w:line="240" w:lineRule="auto"/>
              <w:ind w:firstLine="0" w:firstLineChars="0"/>
              <w:jc w:val="center"/>
              <w:textAlignment w:val="center"/>
              <w:rPr>
                <w:rFonts w:hint="eastAsia" w:eastAsia="宋体"/>
                <w:color w:val="auto"/>
                <w:sz w:val="21"/>
                <w:szCs w:val="21"/>
                <w:lang w:eastAsia="zh-CN"/>
              </w:rPr>
            </w:pPr>
            <w:r>
              <w:rPr>
                <w:color w:val="auto"/>
                <w:kern w:val="0"/>
                <w:sz w:val="21"/>
                <w:szCs w:val="21"/>
                <w:lang w:bidi="ar"/>
              </w:rPr>
              <w:t>33</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0.531</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0.19</w:t>
            </w:r>
          </w:p>
        </w:tc>
        <w:tc>
          <w:tcPr>
            <w:tcW w:w="813" w:type="dxa"/>
            <w:vAlign w:val="center"/>
          </w:tcPr>
          <w:p>
            <w:pPr>
              <w:widowControl/>
              <w:spacing w:line="240" w:lineRule="auto"/>
              <w:ind w:firstLine="0" w:firstLineChars="0"/>
              <w:jc w:val="center"/>
              <w:textAlignment w:val="center"/>
              <w:rPr>
                <w:rFonts w:hint="eastAsia" w:eastAsia="宋体"/>
                <w:color w:val="auto"/>
                <w:sz w:val="21"/>
                <w:szCs w:val="21"/>
                <w:lang w:eastAsia="zh-CN"/>
              </w:rPr>
            </w:pPr>
            <w:r>
              <w:rPr>
                <w:color w:val="auto"/>
                <w:kern w:val="0"/>
                <w:sz w:val="21"/>
                <w:szCs w:val="21"/>
                <w:lang w:bidi="ar"/>
              </w:rPr>
              <w:t>23</w:t>
            </w:r>
          </w:p>
        </w:tc>
        <w:tc>
          <w:tcPr>
            <w:tcW w:w="847"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1.26</w:t>
            </w:r>
          </w:p>
        </w:tc>
        <w:tc>
          <w:tcPr>
            <w:tcW w:w="823"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autoSpaceDE w:val="0"/>
              <w:autoSpaceDN w:val="0"/>
              <w:spacing w:line="240" w:lineRule="auto"/>
              <w:ind w:firstLine="0" w:firstLineChars="0"/>
              <w:jc w:val="center"/>
              <w:rPr>
                <w:color w:val="auto"/>
                <w:sz w:val="21"/>
                <w:szCs w:val="21"/>
              </w:rPr>
            </w:pPr>
            <w:r>
              <w:rPr>
                <w:color w:val="auto"/>
                <w:sz w:val="21"/>
                <w:szCs w:val="21"/>
              </w:rPr>
              <w:t>2022.6</w:t>
            </w:r>
          </w:p>
        </w:tc>
        <w:tc>
          <w:tcPr>
            <w:tcW w:w="812" w:type="dxa"/>
            <w:vAlign w:val="center"/>
          </w:tcPr>
          <w:p>
            <w:pPr>
              <w:widowControl/>
              <w:spacing w:line="240" w:lineRule="auto"/>
              <w:ind w:firstLine="0" w:firstLineChars="0"/>
              <w:jc w:val="center"/>
              <w:textAlignment w:val="center"/>
              <w:rPr>
                <w:rFonts w:hint="eastAsia" w:eastAsia="宋体"/>
                <w:color w:val="auto"/>
                <w:sz w:val="21"/>
                <w:szCs w:val="21"/>
                <w:lang w:eastAsia="zh-CN"/>
              </w:rPr>
            </w:pPr>
            <w:r>
              <w:rPr>
                <w:color w:val="auto"/>
                <w:kern w:val="0"/>
                <w:sz w:val="21"/>
                <w:szCs w:val="21"/>
                <w:lang w:bidi="ar"/>
              </w:rPr>
              <w:t>24</w:t>
            </w:r>
          </w:p>
        </w:tc>
        <w:tc>
          <w:tcPr>
            <w:tcW w:w="821"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0.17</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0.045</w:t>
            </w:r>
          </w:p>
        </w:tc>
        <w:tc>
          <w:tcPr>
            <w:tcW w:w="813" w:type="dxa"/>
            <w:vAlign w:val="center"/>
          </w:tcPr>
          <w:p>
            <w:pPr>
              <w:widowControl/>
              <w:spacing w:line="240" w:lineRule="auto"/>
              <w:ind w:firstLine="0" w:firstLineChars="0"/>
              <w:jc w:val="center"/>
              <w:textAlignment w:val="center"/>
              <w:rPr>
                <w:rFonts w:hint="eastAsia" w:eastAsia="宋体"/>
                <w:color w:val="auto"/>
                <w:sz w:val="21"/>
                <w:szCs w:val="21"/>
                <w:lang w:eastAsia="zh-CN"/>
              </w:rPr>
            </w:pPr>
            <w:r>
              <w:rPr>
                <w:color w:val="auto"/>
                <w:kern w:val="0"/>
                <w:sz w:val="21"/>
                <w:szCs w:val="21"/>
                <w:lang w:bidi="ar"/>
              </w:rPr>
              <w:t>15</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0.142</w:t>
            </w:r>
          </w:p>
        </w:tc>
        <w:tc>
          <w:tcPr>
            <w:tcW w:w="822"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0.131</w:t>
            </w:r>
          </w:p>
        </w:tc>
        <w:tc>
          <w:tcPr>
            <w:tcW w:w="813" w:type="dxa"/>
            <w:vAlign w:val="center"/>
          </w:tcPr>
          <w:p>
            <w:pPr>
              <w:widowControl/>
              <w:spacing w:line="240" w:lineRule="auto"/>
              <w:ind w:firstLine="0" w:firstLineChars="0"/>
              <w:jc w:val="center"/>
              <w:textAlignment w:val="center"/>
              <w:rPr>
                <w:rFonts w:hint="eastAsia" w:eastAsia="宋体"/>
                <w:color w:val="auto"/>
                <w:sz w:val="21"/>
                <w:szCs w:val="21"/>
                <w:lang w:eastAsia="zh-CN"/>
              </w:rPr>
            </w:pPr>
            <w:r>
              <w:rPr>
                <w:color w:val="auto"/>
                <w:kern w:val="0"/>
                <w:sz w:val="21"/>
                <w:szCs w:val="21"/>
                <w:lang w:bidi="ar"/>
              </w:rPr>
              <w:t>20</w:t>
            </w:r>
          </w:p>
        </w:tc>
        <w:tc>
          <w:tcPr>
            <w:tcW w:w="847"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0.263</w:t>
            </w:r>
          </w:p>
        </w:tc>
        <w:tc>
          <w:tcPr>
            <w:tcW w:w="823" w:type="dxa"/>
            <w:vAlign w:val="center"/>
          </w:tcPr>
          <w:p>
            <w:pPr>
              <w:widowControl/>
              <w:spacing w:line="240" w:lineRule="auto"/>
              <w:ind w:firstLine="0" w:firstLineChars="0"/>
              <w:jc w:val="center"/>
              <w:textAlignment w:val="top"/>
              <w:rPr>
                <w:color w:val="auto"/>
                <w:sz w:val="21"/>
                <w:szCs w:val="21"/>
              </w:rPr>
            </w:pPr>
            <w:r>
              <w:rPr>
                <w:color w:val="auto"/>
                <w:kern w:val="0"/>
                <w:sz w:val="21"/>
                <w:szCs w:val="21"/>
                <w:lang w:bidi="ar"/>
              </w:rPr>
              <w:t>0.127</w:t>
            </w:r>
          </w:p>
        </w:tc>
      </w:tr>
    </w:tbl>
    <w:p>
      <w:pPr>
        <w:pStyle w:val="16"/>
        <w:keepNext w:val="0"/>
        <w:keepLines w:val="0"/>
        <w:pageBreakBefore w:val="0"/>
        <w:widowControl w:val="0"/>
        <w:kinsoku/>
        <w:wordWrap/>
        <w:overflowPunct/>
        <w:topLinePunct w:val="0"/>
        <w:autoSpaceDE w:val="0"/>
        <w:autoSpaceDN w:val="0"/>
        <w:bidi w:val="0"/>
        <w:adjustRightInd/>
        <w:snapToGrid/>
        <w:spacing w:before="0" w:beforeLines="50"/>
        <w:ind w:right="0" w:firstLine="480"/>
        <w:jc w:val="both"/>
        <w:textAlignment w:val="auto"/>
        <w:rPr>
          <w:rFonts w:ascii="Times New Roman" w:hAnsi="Times New Roman"/>
          <w:color w:val="auto"/>
          <w:sz w:val="24"/>
          <w:szCs w:val="24"/>
        </w:rPr>
      </w:pPr>
      <w:r>
        <w:rPr>
          <w:rFonts w:ascii="Times New Roman" w:hAnsi="Times New Roman"/>
          <w:color w:val="auto"/>
          <w:sz w:val="24"/>
          <w:szCs w:val="24"/>
        </w:rPr>
        <w:t>由</w:t>
      </w:r>
      <w:r>
        <w:rPr>
          <w:rFonts w:hint="eastAsia" w:ascii="Times New Roman" w:hAnsi="Times New Roman"/>
          <w:color w:val="auto"/>
          <w:sz w:val="24"/>
          <w:szCs w:val="24"/>
          <w:lang w:eastAsia="zh-CN"/>
        </w:rPr>
        <w:t>上表可知</w:t>
      </w:r>
      <w:r>
        <w:rPr>
          <w:rFonts w:ascii="Times New Roman" w:hAnsi="Times New Roman"/>
          <w:color w:val="auto"/>
          <w:sz w:val="24"/>
          <w:szCs w:val="24"/>
        </w:rPr>
        <w:t>，</w:t>
      </w:r>
      <w:r>
        <w:rPr>
          <w:rFonts w:hint="eastAsia" w:ascii="Times New Roman" w:hAnsi="Times New Roman"/>
          <w:color w:val="auto"/>
          <w:sz w:val="24"/>
          <w:szCs w:val="24"/>
          <w:lang w:eastAsia="zh-CN"/>
        </w:rPr>
        <w:t>2019年12月-2022年6月期间，</w:t>
      </w:r>
      <w:r>
        <w:rPr>
          <w:rFonts w:ascii="Times New Roman" w:hAnsi="Times New Roman"/>
          <w:color w:val="auto"/>
          <w:sz w:val="24"/>
          <w:szCs w:val="24"/>
        </w:rPr>
        <w:t>东环线与青龙河交汇点断面</w:t>
      </w:r>
      <w:r>
        <w:rPr>
          <w:rFonts w:hint="eastAsia" w:ascii="Times New Roman" w:hAnsi="Times New Roman"/>
          <w:color w:val="auto"/>
          <w:sz w:val="24"/>
          <w:szCs w:val="24"/>
          <w:lang w:eastAsia="zh-CN"/>
        </w:rPr>
        <w:t>（青龙河上游断面）水质达到Ⅳ类水质要求的时段有</w:t>
      </w:r>
      <w:r>
        <w:rPr>
          <w:rFonts w:hint="eastAsia" w:ascii="Times New Roman" w:hAnsi="Times New Roman"/>
          <w:color w:val="auto"/>
          <w:sz w:val="24"/>
          <w:szCs w:val="24"/>
          <w:lang w:val="en-US" w:eastAsia="zh-CN"/>
        </w:rPr>
        <w:t>26个月</w:t>
      </w:r>
      <w:r>
        <w:rPr>
          <w:rFonts w:hint="eastAsia" w:ascii="Times New Roman" w:hAnsi="Times New Roman"/>
          <w:color w:val="auto"/>
          <w:sz w:val="24"/>
          <w:szCs w:val="24"/>
          <w:lang w:eastAsia="zh-CN"/>
        </w:rPr>
        <w:t>，不达标时段</w:t>
      </w:r>
      <w:r>
        <w:rPr>
          <w:rFonts w:hint="eastAsia" w:ascii="Times New Roman" w:hAnsi="Times New Roman"/>
          <w:color w:val="auto"/>
          <w:sz w:val="24"/>
          <w:szCs w:val="24"/>
          <w:lang w:val="en-US" w:eastAsia="zh-CN"/>
        </w:rPr>
        <w:t>1个月，</w:t>
      </w:r>
      <w:r>
        <w:rPr>
          <w:rFonts w:hint="eastAsia" w:ascii="Times New Roman" w:hAnsi="Times New Roman"/>
          <w:color w:val="auto"/>
          <w:sz w:val="24"/>
          <w:szCs w:val="24"/>
          <w:lang w:eastAsia="zh-CN"/>
        </w:rPr>
        <w:t>不达标时段占标率</w:t>
      </w:r>
      <w:r>
        <w:rPr>
          <w:rFonts w:hint="eastAsia" w:ascii="Times New Roman" w:hAnsi="Times New Roman"/>
          <w:color w:val="auto"/>
          <w:sz w:val="24"/>
          <w:szCs w:val="24"/>
          <w:lang w:val="en-US" w:eastAsia="zh-CN"/>
        </w:rPr>
        <w:t>3.70%</w:t>
      </w:r>
      <w:r>
        <w:rPr>
          <w:rFonts w:hint="eastAsia" w:ascii="Times New Roman" w:hAnsi="Times New Roman"/>
          <w:color w:val="auto"/>
          <w:sz w:val="24"/>
          <w:szCs w:val="24"/>
          <w:lang w:eastAsia="zh-CN"/>
        </w:rPr>
        <w:t>；阳光桥断面（青龙河中间断面）水质达到Ⅳ类水质要求的时段有</w:t>
      </w:r>
      <w:r>
        <w:rPr>
          <w:rFonts w:hint="eastAsia" w:ascii="Times New Roman" w:hAnsi="Times New Roman"/>
          <w:color w:val="auto"/>
          <w:sz w:val="24"/>
          <w:szCs w:val="24"/>
          <w:lang w:val="en-US" w:eastAsia="zh-CN"/>
        </w:rPr>
        <w:t>15个月</w:t>
      </w:r>
      <w:r>
        <w:rPr>
          <w:rFonts w:hint="eastAsia" w:ascii="Times New Roman" w:hAnsi="Times New Roman"/>
          <w:color w:val="auto"/>
          <w:sz w:val="24"/>
          <w:szCs w:val="24"/>
          <w:lang w:eastAsia="zh-CN"/>
        </w:rPr>
        <w:t>，不达标时段</w:t>
      </w:r>
      <w:r>
        <w:rPr>
          <w:rFonts w:hint="eastAsia" w:ascii="Times New Roman" w:hAnsi="Times New Roman"/>
          <w:color w:val="auto"/>
          <w:sz w:val="24"/>
          <w:szCs w:val="24"/>
          <w:lang w:val="en-US" w:eastAsia="zh-CN"/>
        </w:rPr>
        <w:t>12个月，</w:t>
      </w:r>
      <w:r>
        <w:rPr>
          <w:rFonts w:hint="eastAsia" w:ascii="Times New Roman" w:hAnsi="Times New Roman"/>
          <w:color w:val="auto"/>
          <w:sz w:val="24"/>
          <w:szCs w:val="24"/>
          <w:lang w:eastAsia="zh-CN"/>
        </w:rPr>
        <w:t>不达标时段占标率为</w:t>
      </w:r>
      <w:r>
        <w:rPr>
          <w:rFonts w:hint="eastAsia" w:ascii="Times New Roman" w:hAnsi="Times New Roman"/>
          <w:color w:val="auto"/>
          <w:sz w:val="24"/>
          <w:szCs w:val="24"/>
          <w:lang w:val="en-US" w:eastAsia="zh-CN"/>
        </w:rPr>
        <w:t>44.44%；青龙河入龙川江</w:t>
      </w:r>
      <w:r>
        <w:rPr>
          <w:rFonts w:hint="eastAsia" w:ascii="Times New Roman" w:hAnsi="Times New Roman"/>
          <w:color w:val="auto"/>
          <w:sz w:val="24"/>
          <w:szCs w:val="24"/>
          <w:lang w:eastAsia="zh-CN"/>
        </w:rPr>
        <w:t>断面（青龙河下游断面）水质达到Ⅳ类水质要求的时段有</w:t>
      </w:r>
      <w:r>
        <w:rPr>
          <w:rFonts w:hint="eastAsia" w:ascii="Times New Roman" w:hAnsi="Times New Roman"/>
          <w:color w:val="auto"/>
          <w:sz w:val="24"/>
          <w:szCs w:val="24"/>
          <w:lang w:val="en-US" w:eastAsia="zh-CN"/>
        </w:rPr>
        <w:t>11个月</w:t>
      </w:r>
      <w:r>
        <w:rPr>
          <w:rFonts w:hint="eastAsia" w:ascii="Times New Roman" w:hAnsi="Times New Roman"/>
          <w:color w:val="auto"/>
          <w:sz w:val="24"/>
          <w:szCs w:val="24"/>
          <w:lang w:eastAsia="zh-CN"/>
        </w:rPr>
        <w:t>，不达标时段</w:t>
      </w:r>
      <w:r>
        <w:rPr>
          <w:rFonts w:hint="eastAsia" w:ascii="Times New Roman" w:hAnsi="Times New Roman"/>
          <w:color w:val="auto"/>
          <w:sz w:val="24"/>
          <w:szCs w:val="24"/>
          <w:lang w:val="en-US" w:eastAsia="zh-CN"/>
        </w:rPr>
        <w:t>16个月，</w:t>
      </w:r>
      <w:r>
        <w:rPr>
          <w:rFonts w:hint="eastAsia" w:ascii="Times New Roman" w:hAnsi="Times New Roman"/>
          <w:color w:val="auto"/>
          <w:sz w:val="24"/>
          <w:szCs w:val="24"/>
          <w:lang w:eastAsia="zh-CN"/>
        </w:rPr>
        <w:t>不达标时段占标率为</w:t>
      </w:r>
      <w:r>
        <w:rPr>
          <w:rFonts w:hint="eastAsia" w:ascii="Times New Roman" w:hAnsi="Times New Roman"/>
          <w:color w:val="auto"/>
          <w:sz w:val="24"/>
          <w:szCs w:val="24"/>
          <w:lang w:val="en-US" w:eastAsia="zh-CN"/>
        </w:rPr>
        <w:t>59.26%。青龙河自上游而下水质逐渐变差，该青龙河段无其他河流汇入，导致水质变差的主要原因为青龙河作为城市生活污水的纳污水体</w:t>
      </w:r>
      <w:r>
        <w:rPr>
          <w:rFonts w:ascii="Times New Roman" w:hAnsi="Times New Roman"/>
          <w:color w:val="auto"/>
          <w:sz w:val="24"/>
          <w:szCs w:val="24"/>
        </w:rPr>
        <w:t>，承载了几乎</w:t>
      </w:r>
      <w:r>
        <w:rPr>
          <w:rFonts w:hint="eastAsia" w:ascii="Times New Roman" w:hAnsi="Times New Roman"/>
          <w:color w:val="auto"/>
          <w:sz w:val="24"/>
          <w:szCs w:val="24"/>
          <w:lang w:eastAsia="zh-CN"/>
        </w:rPr>
        <w:t>区域所有</w:t>
      </w:r>
      <w:r>
        <w:rPr>
          <w:rFonts w:ascii="Times New Roman" w:hAnsi="Times New Roman"/>
          <w:color w:val="auto"/>
          <w:sz w:val="24"/>
          <w:szCs w:val="24"/>
        </w:rPr>
        <w:t>的入河面源污染</w:t>
      </w:r>
      <w:r>
        <w:rPr>
          <w:rFonts w:hint="eastAsia" w:ascii="Times New Roman" w:hAnsi="Times New Roman"/>
          <w:color w:val="auto"/>
          <w:sz w:val="24"/>
          <w:szCs w:val="24"/>
          <w:lang w:eastAsia="zh-CN"/>
        </w:rPr>
        <w:t>。</w:t>
      </w:r>
      <w:r>
        <w:rPr>
          <w:rFonts w:ascii="Times New Roman" w:hAnsi="Times New Roman"/>
          <w:color w:val="auto"/>
          <w:sz w:val="24"/>
          <w:szCs w:val="24"/>
        </w:rPr>
        <w:t>随着青龙河达标方案的实施，沿河截污干管的建设及以前不规范排水口的封堵，加上上游水库治理，下泄生态流量的增加，青龙河水质</w:t>
      </w:r>
      <w:r>
        <w:rPr>
          <w:rFonts w:hint="eastAsia" w:ascii="Times New Roman" w:hAnsi="Times New Roman"/>
          <w:color w:val="auto"/>
          <w:sz w:val="24"/>
          <w:szCs w:val="24"/>
          <w:lang w:eastAsia="zh-CN"/>
        </w:rPr>
        <w:t>将会得到明显改善</w:t>
      </w:r>
      <w:r>
        <w:rPr>
          <w:rFonts w:ascii="Times New Roman" w:hAnsi="Times New Roman"/>
          <w:color w:val="auto"/>
          <w:sz w:val="24"/>
          <w:szCs w:val="24"/>
        </w:rPr>
        <w:t>。</w:t>
      </w:r>
    </w:p>
    <w:p>
      <w:pPr>
        <w:pStyle w:val="16"/>
        <w:adjustRightInd/>
        <w:spacing w:before="0"/>
        <w:ind w:right="0" w:firstLine="482"/>
        <w:rPr>
          <w:b/>
          <w:bCs/>
          <w:color w:val="auto"/>
          <w:kern w:val="21"/>
        </w:rPr>
      </w:pPr>
      <w:r>
        <w:rPr>
          <w:rFonts w:hint="eastAsia" w:ascii="Times New Roman" w:hAnsi="Times New Roman"/>
          <w:b/>
          <w:bCs/>
          <w:color w:val="auto"/>
          <w:kern w:val="21"/>
          <w:sz w:val="24"/>
          <w:szCs w:val="24"/>
        </w:rPr>
        <w:t>3、地表水青龙河水质超标原因分析</w:t>
      </w:r>
    </w:p>
    <w:p>
      <w:pPr>
        <w:pStyle w:val="155"/>
        <w:adjustRightInd/>
        <w:ind w:firstLine="480"/>
        <w:rPr>
          <w:color w:val="auto"/>
          <w:kern w:val="21"/>
        </w:rPr>
      </w:pPr>
      <w:r>
        <w:rPr>
          <w:color w:val="auto"/>
          <w:kern w:val="21"/>
        </w:rPr>
        <w:t>根据《楚雄市青龙河入龙川江口断面水体达标方案（2021-2025 年）》对流域污染源排放现状进行的分析，2020年，流域主要污染源为城镇生活源，其中COD排放量为1678.49t/a，氨氮排放量为51.69t/a，总氮排放量为182.79t/a，总磷排放量为17.11t/a，化学需氧量、氨氮、总氮、总磷排放量占总排放量的63%、64%、68%、57%，为首要污染源；其次为农业面源，化学需氧量、氨氮、总氮、总磷排放量占总排放量的 29%、13%、31%、38%。由此可见，现状青龙河上段水域纳污能力各月已接近满载，城区段河道已超载。</w:t>
      </w:r>
    </w:p>
    <w:p>
      <w:pPr>
        <w:pStyle w:val="155"/>
        <w:adjustRightInd/>
        <w:ind w:firstLine="480"/>
        <w:rPr>
          <w:color w:val="auto"/>
          <w:kern w:val="21"/>
        </w:rPr>
      </w:pPr>
      <w:r>
        <w:rPr>
          <w:color w:val="auto"/>
          <w:kern w:val="21"/>
        </w:rPr>
        <w:t>根据水质监测数据，结合污染源解析结论，青龙河水污染物主要来源于城镇生活源和农业农村面源污染。主要原因为：</w:t>
      </w:r>
    </w:p>
    <w:p>
      <w:pPr>
        <w:pStyle w:val="155"/>
        <w:adjustRightInd/>
        <w:ind w:firstLine="480"/>
        <w:rPr>
          <w:color w:val="auto"/>
          <w:kern w:val="21"/>
        </w:rPr>
      </w:pPr>
      <w:r>
        <w:rPr>
          <w:color w:val="auto"/>
          <w:kern w:val="21"/>
        </w:rPr>
        <w:t>（1）河道截污不完善，部分污水入河。流域雨污分流管网建设不完善，旱季污水可以通过青龙河底污水管网收集，雨季水量增加污水溢流进入河道，青龙河泵站、市疾控中心对面等排水口明显有污水混入，同时初期雨水未得到有效收集直接入河，对水质产生一定影响。</w:t>
      </w:r>
    </w:p>
    <w:p>
      <w:pPr>
        <w:pStyle w:val="155"/>
        <w:adjustRightInd/>
        <w:ind w:firstLine="480"/>
        <w:rPr>
          <w:color w:val="auto"/>
          <w:kern w:val="21"/>
        </w:rPr>
      </w:pPr>
      <w:r>
        <w:rPr>
          <w:color w:val="auto"/>
          <w:kern w:val="21"/>
        </w:rPr>
        <w:t>（2）污水收集系统不健全，部分污水入河。老城区合流制区域占比大，局部区域排水不畅，截流闸门操作人为因素较重，旱季污水处理厂基本上能满足雨污合流制的处理要求，但雨季大量雨水进入污水收集系统，超出排水泵站、污水管网和污水处理厂承受能力，部分污水直接进入河道。</w:t>
      </w:r>
    </w:p>
    <w:p>
      <w:pPr>
        <w:pStyle w:val="155"/>
        <w:adjustRightInd/>
        <w:ind w:firstLine="480"/>
        <w:rPr>
          <w:color w:val="auto"/>
          <w:kern w:val="21"/>
        </w:rPr>
      </w:pPr>
      <w:r>
        <w:rPr>
          <w:color w:val="auto"/>
          <w:kern w:val="21"/>
        </w:rPr>
        <w:t>（3）生态流量不足，河道自净能力较低。旱季青龙河干流及支流上游水库下泄流量少，河水流速较缓，河道自净能力差，加之三面光河道比例高，水生态系统恶化，河道生态系统脆弱。</w:t>
      </w:r>
    </w:p>
    <w:p>
      <w:pPr>
        <w:pStyle w:val="155"/>
        <w:adjustRightInd/>
        <w:ind w:firstLine="480"/>
        <w:rPr>
          <w:color w:val="auto"/>
          <w:kern w:val="21"/>
        </w:rPr>
      </w:pPr>
      <w:r>
        <w:rPr>
          <w:rFonts w:hint="eastAsia"/>
          <w:color w:val="auto"/>
          <w:kern w:val="21"/>
        </w:rPr>
        <w:t>为此，2022年楚雄市人民政府下发了《楚雄市人民政府办公室关于印发楚雄市青龙河水体达标方案的通知》（楚市政办通〔2022〕6号），拟实施17项重点工程，包括城镇两污类、工业污染防治类、农村环境综合整治类、水生态保护及修复类、水资源优化调度类、生态环境管理类6类项目，总投资7.11亿元，其中，已有规划项目13项，本项目也属于其中之一，总投资6.64亿元，占总投资的93.39%，方案新增项目4项，总投资0.47亿元，占总投资的6.61%。以实现2025年青龙河入龙川江口断面水质目标达到GB3838-2002《地表水环境质量标准》IV类标准要求。</w:t>
      </w:r>
    </w:p>
    <w:p>
      <w:pPr>
        <w:pStyle w:val="6"/>
        <w:tabs>
          <w:tab w:val="left" w:pos="3491"/>
        </w:tabs>
        <w:spacing w:after="0"/>
        <w:rPr>
          <w:rFonts w:eastAsia="宋体"/>
          <w:color w:val="auto"/>
          <w:kern w:val="21"/>
          <w:sz w:val="24"/>
          <w:szCs w:val="24"/>
        </w:rPr>
      </w:pPr>
      <w:bookmarkStart w:id="222" w:name="_Toc25356"/>
      <w:r>
        <w:rPr>
          <w:rFonts w:eastAsia="宋体"/>
          <w:color w:val="auto"/>
          <w:kern w:val="21"/>
          <w:sz w:val="24"/>
          <w:szCs w:val="24"/>
        </w:rPr>
        <w:t>4.2.3青龙河底泥现状调查与评价</w:t>
      </w:r>
      <w:bookmarkEnd w:id="222"/>
    </w:p>
    <w:p>
      <w:pPr>
        <w:pStyle w:val="16"/>
        <w:autoSpaceDE/>
        <w:autoSpaceDN/>
        <w:adjustRightInd/>
        <w:spacing w:before="0"/>
        <w:ind w:right="0" w:firstLine="480"/>
        <w:jc w:val="both"/>
        <w:rPr>
          <w:rFonts w:ascii="Times New Roman" w:hAnsi="Times New Roman"/>
          <w:color w:val="auto"/>
          <w:kern w:val="21"/>
          <w:sz w:val="24"/>
          <w:szCs w:val="20"/>
        </w:rPr>
      </w:pPr>
      <w:r>
        <w:rPr>
          <w:rFonts w:ascii="Times New Roman" w:hAnsi="Times New Roman"/>
          <w:color w:val="auto"/>
          <w:kern w:val="21"/>
          <w:sz w:val="24"/>
          <w:szCs w:val="24"/>
        </w:rPr>
        <w:t>青龙河底泥</w:t>
      </w:r>
      <w:r>
        <w:rPr>
          <w:rFonts w:ascii="Times New Roman" w:hAnsi="Times New Roman"/>
          <w:color w:val="auto"/>
          <w:kern w:val="21"/>
          <w:sz w:val="24"/>
          <w:szCs w:val="20"/>
        </w:rPr>
        <w:t>数据引用原楚雄市环保局2016年8月30日采样，并委托上海实朴检测技术服务有限公司进行检测分析得到的数据进行分析。底泥采样点见图：</w:t>
      </w:r>
    </w:p>
    <w:p>
      <w:pPr>
        <w:ind w:firstLine="0" w:firstLineChars="0"/>
        <w:jc w:val="center"/>
        <w:rPr>
          <w:color w:val="auto"/>
          <w:kern w:val="21"/>
        </w:rPr>
      </w:pPr>
      <w:r>
        <w:rPr>
          <w:color w:val="auto"/>
        </w:rPr>
        <w:drawing>
          <wp:inline distT="0" distB="0" distL="0" distR="0">
            <wp:extent cx="4301490" cy="7021830"/>
            <wp:effectExtent l="0" t="0" r="3810" b="7620"/>
            <wp:docPr id="10"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301490" cy="7021830"/>
                    </a:xfrm>
                    <a:prstGeom prst="rect">
                      <a:avLst/>
                    </a:prstGeom>
                    <a:noFill/>
                    <a:ln>
                      <a:noFill/>
                    </a:ln>
                  </pic:spPr>
                </pic:pic>
              </a:graphicData>
            </a:graphic>
          </wp:inline>
        </w:drawing>
      </w:r>
    </w:p>
    <w:p>
      <w:pPr>
        <w:keepNext w:val="0"/>
        <w:keepLines w:val="0"/>
        <w:pageBreakBefore w:val="0"/>
        <w:widowControl/>
        <w:numPr>
          <w:ilvl w:val="0"/>
          <w:numId w:val="8"/>
        </w:numPr>
        <w:kinsoku/>
        <w:wordWrap w:val="0"/>
        <w:overflowPunct/>
        <w:topLinePunct/>
        <w:autoSpaceDE/>
        <w:autoSpaceDN/>
        <w:bidi w:val="0"/>
        <w:adjustRightInd w:val="0"/>
        <w:snapToGrid w:val="0"/>
        <w:ind w:left="0" w:leftChars="0" w:firstLine="0" w:firstLineChars="0"/>
        <w:jc w:val="center"/>
        <w:textAlignment w:val="auto"/>
        <w:rPr>
          <w:b/>
          <w:bCs/>
          <w:color w:val="auto"/>
        </w:rPr>
      </w:pPr>
      <w:r>
        <w:rPr>
          <w:rFonts w:hint="eastAsia"/>
          <w:b/>
          <w:bCs/>
          <w:color w:val="auto"/>
          <w:kern w:val="21"/>
        </w:rPr>
        <w:t>青龙河</w:t>
      </w:r>
      <w:r>
        <w:rPr>
          <w:b/>
          <w:bCs/>
          <w:color w:val="auto"/>
          <w:kern w:val="21"/>
          <w:szCs w:val="20"/>
        </w:rPr>
        <w:t>底泥采样点</w:t>
      </w:r>
      <w:r>
        <w:rPr>
          <w:rFonts w:hint="eastAsia"/>
          <w:b/>
          <w:bCs/>
          <w:color w:val="auto"/>
          <w:kern w:val="21"/>
          <w:szCs w:val="20"/>
        </w:rPr>
        <w:t>图</w:t>
      </w:r>
    </w:p>
    <w:p>
      <w:pPr>
        <w:pStyle w:val="16"/>
        <w:autoSpaceDE/>
        <w:autoSpaceDN/>
        <w:adjustRightInd/>
        <w:spacing w:before="0"/>
        <w:ind w:right="0" w:firstLine="480"/>
        <w:jc w:val="both"/>
        <w:rPr>
          <w:rFonts w:ascii="Times New Roman" w:hAnsi="Times New Roman"/>
          <w:color w:val="auto"/>
          <w:kern w:val="21"/>
          <w:sz w:val="24"/>
          <w:szCs w:val="20"/>
        </w:rPr>
      </w:pPr>
      <w:r>
        <w:rPr>
          <w:rFonts w:ascii="Times New Roman" w:hAnsi="Times New Roman"/>
          <w:color w:val="auto"/>
          <w:kern w:val="21"/>
          <w:sz w:val="24"/>
          <w:szCs w:val="20"/>
        </w:rPr>
        <w:t>底泥检测指标为pH、全氮、全磷、有机质以及铜（Cu）、铬（Cr）、镍（Ni）、锌（Zn）、铅（Pb）、镉（Cd）、汞（Hg）7个重金属和砷（As）类金属指标，监测数据见</w:t>
      </w:r>
      <w:r>
        <w:rPr>
          <w:rFonts w:hint="eastAsia" w:ascii="Times New Roman" w:hAnsi="Times New Roman"/>
          <w:color w:val="auto"/>
          <w:kern w:val="21"/>
          <w:sz w:val="24"/>
          <w:szCs w:val="20"/>
          <w:lang w:eastAsia="zh-CN"/>
        </w:rPr>
        <w:t>下表</w:t>
      </w:r>
      <w:r>
        <w:rPr>
          <w:rFonts w:ascii="Times New Roman" w:hAnsi="Times New Roman"/>
          <w:color w:val="auto"/>
          <w:kern w:val="21"/>
          <w:sz w:val="24"/>
          <w:szCs w:val="20"/>
        </w:rPr>
        <w:t>。</w:t>
      </w:r>
    </w:p>
    <w:p>
      <w:pPr>
        <w:numPr>
          <w:ilvl w:val="0"/>
          <w:numId w:val="9"/>
        </w:numPr>
        <w:ind w:left="0" w:leftChars="0" w:firstLine="0" w:firstLineChars="0"/>
        <w:jc w:val="center"/>
        <w:rPr>
          <w:rFonts w:eastAsia="宋体"/>
          <w:b/>
          <w:bCs/>
          <w:color w:val="auto"/>
          <w:kern w:val="21"/>
        </w:rPr>
      </w:pPr>
      <w:r>
        <w:rPr>
          <w:rFonts w:eastAsia="宋体"/>
          <w:b/>
          <w:bCs/>
          <w:color w:val="auto"/>
          <w:kern w:val="21"/>
        </w:rPr>
        <w:t>青龙河各监测断面底泥污染物含量监测数据</w:t>
      </w:r>
    </w:p>
    <w:tbl>
      <w:tblPr>
        <w:tblStyle w:val="51"/>
        <w:tblW w:w="830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2"/>
        <w:gridCol w:w="634"/>
        <w:gridCol w:w="503"/>
        <w:gridCol w:w="629"/>
        <w:gridCol w:w="569"/>
        <w:gridCol w:w="677"/>
        <w:gridCol w:w="539"/>
        <w:gridCol w:w="503"/>
        <w:gridCol w:w="483"/>
        <w:gridCol w:w="518"/>
        <w:gridCol w:w="528"/>
        <w:gridCol w:w="538"/>
        <w:gridCol w:w="518"/>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32" w:type="dxa"/>
            <w:tcBorders>
              <w:tl2br w:val="single" w:color="auto" w:sz="4" w:space="0"/>
            </w:tcBorders>
            <w:noWrap/>
            <w:vAlign w:val="center"/>
          </w:tcPr>
          <w:p>
            <w:pPr>
              <w:pStyle w:val="154"/>
              <w:spacing w:line="240" w:lineRule="auto"/>
              <w:jc w:val="right"/>
              <w:rPr>
                <w:rFonts w:cs="Times New Roman"/>
                <w:color w:val="auto"/>
                <w:kern w:val="21"/>
                <w:szCs w:val="21"/>
              </w:rPr>
            </w:pPr>
            <w:r>
              <w:rPr>
                <w:rFonts w:cs="Times New Roman"/>
                <w:color w:val="auto"/>
                <w:kern w:val="21"/>
                <w:szCs w:val="21"/>
              </w:rPr>
              <w:t>项目</w:t>
            </w:r>
          </w:p>
          <w:p>
            <w:pPr>
              <w:pStyle w:val="154"/>
              <w:spacing w:line="240" w:lineRule="auto"/>
              <w:jc w:val="left"/>
              <w:rPr>
                <w:rFonts w:cs="Times New Roman"/>
                <w:color w:val="auto"/>
                <w:kern w:val="21"/>
                <w:szCs w:val="21"/>
              </w:rPr>
            </w:pPr>
            <w:r>
              <w:rPr>
                <w:rFonts w:cs="Times New Roman"/>
                <w:color w:val="auto"/>
                <w:kern w:val="21"/>
                <w:szCs w:val="21"/>
              </w:rPr>
              <w:t>采样点</w:t>
            </w:r>
          </w:p>
        </w:tc>
        <w:tc>
          <w:tcPr>
            <w:tcW w:w="634" w:type="dxa"/>
            <w:vAlign w:val="center"/>
          </w:tcPr>
          <w:p>
            <w:pPr>
              <w:pStyle w:val="154"/>
              <w:spacing w:line="240" w:lineRule="auto"/>
              <w:rPr>
                <w:rFonts w:cs="Times New Roman"/>
                <w:color w:val="auto"/>
                <w:kern w:val="21"/>
                <w:szCs w:val="21"/>
              </w:rPr>
            </w:pPr>
            <w:r>
              <w:rPr>
                <w:rFonts w:cs="Times New Roman"/>
                <w:color w:val="auto"/>
                <w:kern w:val="21"/>
                <w:szCs w:val="21"/>
              </w:rPr>
              <w:t>pH</w:t>
            </w:r>
          </w:p>
        </w:tc>
        <w:tc>
          <w:tcPr>
            <w:tcW w:w="503" w:type="dxa"/>
            <w:vAlign w:val="center"/>
          </w:tcPr>
          <w:p>
            <w:pPr>
              <w:pStyle w:val="154"/>
              <w:spacing w:line="240" w:lineRule="auto"/>
              <w:rPr>
                <w:rFonts w:cs="Times New Roman"/>
                <w:color w:val="auto"/>
                <w:kern w:val="21"/>
                <w:szCs w:val="21"/>
              </w:rPr>
            </w:pPr>
            <w:r>
              <w:rPr>
                <w:rFonts w:cs="Times New Roman"/>
                <w:color w:val="auto"/>
                <w:kern w:val="21"/>
                <w:szCs w:val="21"/>
              </w:rPr>
              <w:t>干重</w:t>
            </w:r>
          </w:p>
          <w:p>
            <w:pPr>
              <w:pStyle w:val="154"/>
              <w:spacing w:line="240" w:lineRule="auto"/>
              <w:rPr>
                <w:rFonts w:cs="Times New Roman"/>
                <w:color w:val="auto"/>
                <w:kern w:val="21"/>
                <w:szCs w:val="21"/>
              </w:rPr>
            </w:pPr>
            <w:r>
              <w:rPr>
                <w:rFonts w:cs="Times New Roman"/>
                <w:color w:val="auto"/>
                <w:kern w:val="21"/>
                <w:szCs w:val="21"/>
              </w:rPr>
              <w:t>（%）</w:t>
            </w:r>
          </w:p>
        </w:tc>
        <w:tc>
          <w:tcPr>
            <w:tcW w:w="629" w:type="dxa"/>
            <w:vAlign w:val="center"/>
          </w:tcPr>
          <w:p>
            <w:pPr>
              <w:pStyle w:val="154"/>
              <w:spacing w:line="240" w:lineRule="auto"/>
              <w:rPr>
                <w:rFonts w:cs="Times New Roman"/>
                <w:color w:val="auto"/>
                <w:kern w:val="21"/>
                <w:szCs w:val="21"/>
              </w:rPr>
            </w:pPr>
            <w:r>
              <w:rPr>
                <w:rFonts w:cs="Times New Roman"/>
                <w:color w:val="auto"/>
                <w:kern w:val="21"/>
                <w:szCs w:val="21"/>
              </w:rPr>
              <w:t>全氮</w:t>
            </w:r>
            <w:r>
              <w:rPr>
                <w:rFonts w:hint="eastAsia" w:cs="Times New Roman"/>
                <w:color w:val="auto"/>
                <w:kern w:val="21"/>
                <w:szCs w:val="21"/>
              </w:rPr>
              <w:t>（</w:t>
            </w:r>
            <w:r>
              <w:rPr>
                <w:rFonts w:cs="Times New Roman"/>
                <w:color w:val="auto"/>
                <w:kern w:val="21"/>
                <w:szCs w:val="21"/>
              </w:rPr>
              <w:t>mg/kg</w:t>
            </w:r>
            <w:r>
              <w:rPr>
                <w:rFonts w:hint="eastAsia" w:cs="Times New Roman"/>
                <w:color w:val="auto"/>
                <w:kern w:val="21"/>
                <w:szCs w:val="21"/>
              </w:rPr>
              <w:t>）</w:t>
            </w:r>
          </w:p>
        </w:tc>
        <w:tc>
          <w:tcPr>
            <w:tcW w:w="569" w:type="dxa"/>
            <w:vAlign w:val="center"/>
          </w:tcPr>
          <w:p>
            <w:pPr>
              <w:pStyle w:val="154"/>
              <w:spacing w:line="240" w:lineRule="auto"/>
              <w:rPr>
                <w:rFonts w:cs="Times New Roman"/>
                <w:color w:val="auto"/>
                <w:kern w:val="21"/>
                <w:szCs w:val="21"/>
              </w:rPr>
            </w:pPr>
            <w:r>
              <w:rPr>
                <w:rFonts w:cs="Times New Roman"/>
                <w:color w:val="auto"/>
                <w:kern w:val="21"/>
                <w:szCs w:val="21"/>
              </w:rPr>
              <w:t>全磷</w:t>
            </w:r>
            <w:r>
              <w:rPr>
                <w:rFonts w:hint="eastAsia" w:cs="Times New Roman"/>
                <w:color w:val="auto"/>
                <w:kern w:val="21"/>
                <w:szCs w:val="21"/>
              </w:rPr>
              <w:t>（</w:t>
            </w:r>
            <w:r>
              <w:rPr>
                <w:rFonts w:cs="Times New Roman"/>
                <w:color w:val="auto"/>
                <w:kern w:val="21"/>
                <w:szCs w:val="21"/>
              </w:rPr>
              <w:t>mg/kg</w:t>
            </w:r>
            <w:r>
              <w:rPr>
                <w:rFonts w:hint="eastAsia" w:cs="Times New Roman"/>
                <w:color w:val="auto"/>
                <w:kern w:val="21"/>
                <w:szCs w:val="21"/>
              </w:rPr>
              <w:t>）</w:t>
            </w:r>
          </w:p>
        </w:tc>
        <w:tc>
          <w:tcPr>
            <w:tcW w:w="677" w:type="dxa"/>
            <w:vAlign w:val="center"/>
          </w:tcPr>
          <w:p>
            <w:pPr>
              <w:pStyle w:val="154"/>
              <w:spacing w:line="240" w:lineRule="auto"/>
              <w:rPr>
                <w:rFonts w:cs="Times New Roman"/>
                <w:color w:val="auto"/>
                <w:kern w:val="21"/>
                <w:szCs w:val="21"/>
              </w:rPr>
            </w:pPr>
            <w:r>
              <w:rPr>
                <w:rFonts w:cs="Times New Roman"/>
                <w:color w:val="auto"/>
                <w:kern w:val="21"/>
                <w:szCs w:val="21"/>
              </w:rPr>
              <w:t>土壤有机质</w:t>
            </w:r>
            <w:r>
              <w:rPr>
                <w:rFonts w:hint="eastAsia" w:cs="Times New Roman"/>
                <w:color w:val="auto"/>
                <w:kern w:val="21"/>
                <w:szCs w:val="21"/>
              </w:rPr>
              <w:t>（</w:t>
            </w:r>
            <w:r>
              <w:rPr>
                <w:rFonts w:cs="Times New Roman"/>
                <w:color w:val="auto"/>
                <w:kern w:val="21"/>
                <w:szCs w:val="21"/>
              </w:rPr>
              <w:t>g/kg</w:t>
            </w:r>
            <w:r>
              <w:rPr>
                <w:rFonts w:hint="eastAsia" w:cs="Times New Roman"/>
                <w:color w:val="auto"/>
                <w:kern w:val="21"/>
                <w:szCs w:val="21"/>
              </w:rPr>
              <w:t>）</w:t>
            </w:r>
          </w:p>
        </w:tc>
        <w:tc>
          <w:tcPr>
            <w:tcW w:w="539" w:type="dxa"/>
            <w:vAlign w:val="center"/>
          </w:tcPr>
          <w:p>
            <w:pPr>
              <w:pStyle w:val="154"/>
              <w:spacing w:line="240" w:lineRule="auto"/>
              <w:rPr>
                <w:rFonts w:cs="Times New Roman"/>
                <w:color w:val="auto"/>
                <w:kern w:val="21"/>
                <w:szCs w:val="21"/>
              </w:rPr>
            </w:pPr>
            <w:r>
              <w:rPr>
                <w:rFonts w:cs="Times New Roman"/>
                <w:color w:val="auto"/>
                <w:kern w:val="21"/>
                <w:szCs w:val="21"/>
              </w:rPr>
              <w:t>铜</w:t>
            </w:r>
            <w:r>
              <w:rPr>
                <w:rFonts w:hint="eastAsia" w:cs="Times New Roman"/>
                <w:color w:val="auto"/>
                <w:kern w:val="21"/>
                <w:szCs w:val="21"/>
              </w:rPr>
              <w:t>（</w:t>
            </w:r>
            <w:r>
              <w:rPr>
                <w:rFonts w:cs="Times New Roman"/>
                <w:color w:val="auto"/>
                <w:kern w:val="21"/>
                <w:szCs w:val="21"/>
              </w:rPr>
              <w:t>mg/</w:t>
            </w:r>
          </w:p>
          <w:p>
            <w:pPr>
              <w:pStyle w:val="154"/>
              <w:spacing w:line="240" w:lineRule="auto"/>
              <w:rPr>
                <w:rFonts w:cs="Times New Roman"/>
                <w:color w:val="auto"/>
                <w:kern w:val="21"/>
                <w:szCs w:val="21"/>
              </w:rPr>
            </w:pPr>
            <w:r>
              <w:rPr>
                <w:rFonts w:cs="Times New Roman"/>
                <w:color w:val="auto"/>
                <w:kern w:val="21"/>
                <w:szCs w:val="21"/>
              </w:rPr>
              <w:t>kg</w:t>
            </w:r>
            <w:r>
              <w:rPr>
                <w:rFonts w:hint="eastAsia" w:cs="Times New Roman"/>
                <w:color w:val="auto"/>
                <w:kern w:val="21"/>
                <w:szCs w:val="21"/>
              </w:rPr>
              <w:t>）</w:t>
            </w:r>
          </w:p>
        </w:tc>
        <w:tc>
          <w:tcPr>
            <w:tcW w:w="503" w:type="dxa"/>
            <w:vAlign w:val="center"/>
          </w:tcPr>
          <w:p>
            <w:pPr>
              <w:pStyle w:val="154"/>
              <w:spacing w:line="240" w:lineRule="auto"/>
              <w:rPr>
                <w:rFonts w:cs="Times New Roman"/>
                <w:color w:val="auto"/>
                <w:kern w:val="21"/>
                <w:szCs w:val="21"/>
              </w:rPr>
            </w:pPr>
            <w:r>
              <w:rPr>
                <w:rFonts w:cs="Times New Roman"/>
                <w:color w:val="auto"/>
                <w:kern w:val="21"/>
                <w:szCs w:val="21"/>
              </w:rPr>
              <w:t>铬</w:t>
            </w:r>
            <w:r>
              <w:rPr>
                <w:rFonts w:hint="eastAsia" w:cs="Times New Roman"/>
                <w:color w:val="auto"/>
                <w:kern w:val="21"/>
                <w:szCs w:val="21"/>
              </w:rPr>
              <w:t>（</w:t>
            </w:r>
            <w:r>
              <w:rPr>
                <w:rFonts w:cs="Times New Roman"/>
                <w:color w:val="auto"/>
                <w:kern w:val="21"/>
                <w:szCs w:val="21"/>
              </w:rPr>
              <w:t>mg/</w:t>
            </w:r>
          </w:p>
          <w:p>
            <w:pPr>
              <w:pStyle w:val="154"/>
              <w:spacing w:line="240" w:lineRule="auto"/>
              <w:rPr>
                <w:rFonts w:cs="Times New Roman"/>
                <w:color w:val="auto"/>
                <w:kern w:val="21"/>
                <w:szCs w:val="21"/>
              </w:rPr>
            </w:pPr>
            <w:r>
              <w:rPr>
                <w:rFonts w:cs="Times New Roman"/>
                <w:color w:val="auto"/>
                <w:kern w:val="21"/>
                <w:szCs w:val="21"/>
              </w:rPr>
              <w:t>kg</w:t>
            </w:r>
            <w:r>
              <w:rPr>
                <w:rFonts w:hint="eastAsia" w:cs="Times New Roman"/>
                <w:color w:val="auto"/>
                <w:kern w:val="21"/>
                <w:szCs w:val="21"/>
              </w:rPr>
              <w:t>）</w:t>
            </w:r>
          </w:p>
        </w:tc>
        <w:tc>
          <w:tcPr>
            <w:tcW w:w="483" w:type="dxa"/>
            <w:vAlign w:val="center"/>
          </w:tcPr>
          <w:p>
            <w:pPr>
              <w:pStyle w:val="154"/>
              <w:spacing w:line="240" w:lineRule="auto"/>
              <w:rPr>
                <w:rFonts w:cs="Times New Roman"/>
                <w:color w:val="auto"/>
                <w:kern w:val="21"/>
                <w:szCs w:val="21"/>
              </w:rPr>
            </w:pPr>
            <w:r>
              <w:rPr>
                <w:rFonts w:cs="Times New Roman"/>
                <w:color w:val="auto"/>
                <w:kern w:val="21"/>
                <w:szCs w:val="21"/>
              </w:rPr>
              <w:t>镍</w:t>
            </w:r>
            <w:r>
              <w:rPr>
                <w:rFonts w:hint="eastAsia" w:cs="Times New Roman"/>
                <w:color w:val="auto"/>
                <w:kern w:val="21"/>
                <w:szCs w:val="21"/>
              </w:rPr>
              <w:t>（</w:t>
            </w:r>
            <w:r>
              <w:rPr>
                <w:rFonts w:cs="Times New Roman"/>
                <w:color w:val="auto"/>
                <w:kern w:val="21"/>
                <w:szCs w:val="21"/>
              </w:rPr>
              <w:t>mg/</w:t>
            </w:r>
          </w:p>
          <w:p>
            <w:pPr>
              <w:pStyle w:val="154"/>
              <w:spacing w:line="240" w:lineRule="auto"/>
              <w:rPr>
                <w:rFonts w:cs="Times New Roman"/>
                <w:color w:val="auto"/>
                <w:kern w:val="21"/>
                <w:szCs w:val="21"/>
              </w:rPr>
            </w:pPr>
            <w:r>
              <w:rPr>
                <w:rFonts w:cs="Times New Roman"/>
                <w:color w:val="auto"/>
                <w:kern w:val="21"/>
                <w:szCs w:val="21"/>
              </w:rPr>
              <w:t>kg</w:t>
            </w:r>
            <w:r>
              <w:rPr>
                <w:rFonts w:hint="eastAsia" w:cs="Times New Roman"/>
                <w:color w:val="auto"/>
                <w:kern w:val="21"/>
                <w:szCs w:val="21"/>
              </w:rPr>
              <w:t>）</w:t>
            </w:r>
          </w:p>
        </w:tc>
        <w:tc>
          <w:tcPr>
            <w:tcW w:w="518" w:type="dxa"/>
            <w:vAlign w:val="center"/>
          </w:tcPr>
          <w:p>
            <w:pPr>
              <w:pStyle w:val="154"/>
              <w:spacing w:line="240" w:lineRule="auto"/>
              <w:rPr>
                <w:rFonts w:cs="Times New Roman"/>
                <w:color w:val="auto"/>
                <w:kern w:val="21"/>
                <w:szCs w:val="21"/>
              </w:rPr>
            </w:pPr>
            <w:r>
              <w:rPr>
                <w:rFonts w:cs="Times New Roman"/>
                <w:color w:val="auto"/>
                <w:kern w:val="21"/>
                <w:szCs w:val="21"/>
              </w:rPr>
              <w:t>锌</w:t>
            </w:r>
            <w:r>
              <w:rPr>
                <w:rFonts w:hint="eastAsia" w:cs="Times New Roman"/>
                <w:color w:val="auto"/>
                <w:kern w:val="21"/>
                <w:szCs w:val="21"/>
              </w:rPr>
              <w:t>（</w:t>
            </w:r>
            <w:r>
              <w:rPr>
                <w:rFonts w:cs="Times New Roman"/>
                <w:color w:val="auto"/>
                <w:kern w:val="21"/>
                <w:szCs w:val="21"/>
              </w:rPr>
              <w:t>mg/</w:t>
            </w:r>
          </w:p>
          <w:p>
            <w:pPr>
              <w:pStyle w:val="154"/>
              <w:spacing w:line="240" w:lineRule="auto"/>
              <w:rPr>
                <w:rFonts w:cs="Times New Roman"/>
                <w:color w:val="auto"/>
                <w:kern w:val="21"/>
                <w:szCs w:val="21"/>
              </w:rPr>
            </w:pPr>
            <w:r>
              <w:rPr>
                <w:rFonts w:cs="Times New Roman"/>
                <w:color w:val="auto"/>
                <w:kern w:val="21"/>
                <w:szCs w:val="21"/>
              </w:rPr>
              <w:t>kg</w:t>
            </w:r>
            <w:r>
              <w:rPr>
                <w:rFonts w:hint="eastAsia" w:cs="Times New Roman"/>
                <w:color w:val="auto"/>
                <w:kern w:val="21"/>
                <w:szCs w:val="21"/>
              </w:rPr>
              <w:t>）</w:t>
            </w:r>
          </w:p>
        </w:tc>
        <w:tc>
          <w:tcPr>
            <w:tcW w:w="528" w:type="dxa"/>
            <w:vAlign w:val="center"/>
          </w:tcPr>
          <w:p>
            <w:pPr>
              <w:pStyle w:val="154"/>
              <w:spacing w:line="240" w:lineRule="auto"/>
              <w:rPr>
                <w:rFonts w:cs="Times New Roman"/>
                <w:color w:val="auto"/>
                <w:kern w:val="21"/>
                <w:szCs w:val="21"/>
              </w:rPr>
            </w:pPr>
            <w:r>
              <w:rPr>
                <w:rFonts w:cs="Times New Roman"/>
                <w:color w:val="auto"/>
                <w:kern w:val="21"/>
                <w:szCs w:val="21"/>
              </w:rPr>
              <w:t>铅</w:t>
            </w:r>
            <w:r>
              <w:rPr>
                <w:rFonts w:hint="eastAsia" w:cs="Times New Roman"/>
                <w:color w:val="auto"/>
                <w:kern w:val="21"/>
                <w:szCs w:val="21"/>
              </w:rPr>
              <w:t>（</w:t>
            </w:r>
            <w:r>
              <w:rPr>
                <w:rFonts w:cs="Times New Roman"/>
                <w:color w:val="auto"/>
                <w:kern w:val="21"/>
                <w:szCs w:val="21"/>
              </w:rPr>
              <w:t>mg/</w:t>
            </w:r>
          </w:p>
          <w:p>
            <w:pPr>
              <w:pStyle w:val="154"/>
              <w:spacing w:line="240" w:lineRule="auto"/>
              <w:rPr>
                <w:rFonts w:cs="Times New Roman"/>
                <w:color w:val="auto"/>
                <w:kern w:val="21"/>
                <w:szCs w:val="21"/>
              </w:rPr>
            </w:pPr>
            <w:r>
              <w:rPr>
                <w:rFonts w:cs="Times New Roman"/>
                <w:color w:val="auto"/>
                <w:kern w:val="21"/>
                <w:szCs w:val="21"/>
              </w:rPr>
              <w:t>kg</w:t>
            </w:r>
          </w:p>
        </w:tc>
        <w:tc>
          <w:tcPr>
            <w:tcW w:w="538" w:type="dxa"/>
            <w:vAlign w:val="center"/>
          </w:tcPr>
          <w:p>
            <w:pPr>
              <w:pStyle w:val="154"/>
              <w:spacing w:line="240" w:lineRule="auto"/>
              <w:rPr>
                <w:rFonts w:cs="Times New Roman"/>
                <w:color w:val="auto"/>
                <w:kern w:val="21"/>
                <w:szCs w:val="21"/>
              </w:rPr>
            </w:pPr>
            <w:r>
              <w:rPr>
                <w:rFonts w:cs="Times New Roman"/>
                <w:color w:val="auto"/>
                <w:kern w:val="21"/>
                <w:szCs w:val="21"/>
              </w:rPr>
              <w:t>镉</w:t>
            </w:r>
            <w:r>
              <w:rPr>
                <w:rFonts w:hint="eastAsia" w:cs="Times New Roman"/>
                <w:color w:val="auto"/>
                <w:kern w:val="21"/>
                <w:szCs w:val="21"/>
              </w:rPr>
              <w:t>（</w:t>
            </w:r>
            <w:r>
              <w:rPr>
                <w:rFonts w:cs="Times New Roman"/>
                <w:color w:val="auto"/>
                <w:kern w:val="21"/>
                <w:szCs w:val="21"/>
              </w:rPr>
              <w:t>mg/</w:t>
            </w:r>
          </w:p>
          <w:p>
            <w:pPr>
              <w:pStyle w:val="154"/>
              <w:spacing w:line="240" w:lineRule="auto"/>
              <w:rPr>
                <w:rFonts w:cs="Times New Roman"/>
                <w:color w:val="auto"/>
                <w:kern w:val="21"/>
                <w:szCs w:val="21"/>
              </w:rPr>
            </w:pPr>
            <w:r>
              <w:rPr>
                <w:rFonts w:cs="Times New Roman"/>
                <w:color w:val="auto"/>
                <w:kern w:val="21"/>
                <w:szCs w:val="21"/>
              </w:rPr>
              <w:t>kg</w:t>
            </w:r>
            <w:r>
              <w:rPr>
                <w:rFonts w:hint="eastAsia" w:cs="Times New Roman"/>
                <w:color w:val="auto"/>
                <w:kern w:val="21"/>
                <w:szCs w:val="21"/>
              </w:rPr>
              <w:t>）</w:t>
            </w:r>
          </w:p>
        </w:tc>
        <w:tc>
          <w:tcPr>
            <w:tcW w:w="518" w:type="dxa"/>
            <w:vAlign w:val="center"/>
          </w:tcPr>
          <w:p>
            <w:pPr>
              <w:pStyle w:val="154"/>
              <w:spacing w:line="240" w:lineRule="auto"/>
              <w:rPr>
                <w:rFonts w:cs="Times New Roman"/>
                <w:color w:val="auto"/>
                <w:kern w:val="21"/>
                <w:szCs w:val="21"/>
              </w:rPr>
            </w:pPr>
            <w:r>
              <w:rPr>
                <w:rFonts w:cs="Times New Roman"/>
                <w:color w:val="auto"/>
                <w:kern w:val="21"/>
                <w:szCs w:val="21"/>
              </w:rPr>
              <w:t>砷</w:t>
            </w:r>
            <w:r>
              <w:rPr>
                <w:rFonts w:hint="eastAsia" w:cs="Times New Roman"/>
                <w:color w:val="auto"/>
                <w:kern w:val="21"/>
                <w:szCs w:val="21"/>
              </w:rPr>
              <w:t>（</w:t>
            </w:r>
            <w:r>
              <w:rPr>
                <w:rFonts w:cs="Times New Roman"/>
                <w:color w:val="auto"/>
                <w:kern w:val="21"/>
                <w:szCs w:val="21"/>
              </w:rPr>
              <w:t>mg/</w:t>
            </w:r>
          </w:p>
          <w:p>
            <w:pPr>
              <w:pStyle w:val="154"/>
              <w:spacing w:line="240" w:lineRule="auto"/>
              <w:rPr>
                <w:rFonts w:cs="Times New Roman"/>
                <w:color w:val="auto"/>
                <w:kern w:val="21"/>
                <w:szCs w:val="21"/>
              </w:rPr>
            </w:pPr>
            <w:r>
              <w:rPr>
                <w:rFonts w:cs="Times New Roman"/>
                <w:color w:val="auto"/>
                <w:kern w:val="21"/>
                <w:szCs w:val="21"/>
              </w:rPr>
              <w:t>kg</w:t>
            </w:r>
            <w:r>
              <w:rPr>
                <w:rFonts w:hint="eastAsia" w:cs="Times New Roman"/>
                <w:color w:val="auto"/>
                <w:kern w:val="21"/>
                <w:szCs w:val="21"/>
              </w:rPr>
              <w:t>）</w:t>
            </w:r>
          </w:p>
        </w:tc>
        <w:tc>
          <w:tcPr>
            <w:tcW w:w="533" w:type="dxa"/>
            <w:vAlign w:val="center"/>
          </w:tcPr>
          <w:p>
            <w:pPr>
              <w:pStyle w:val="154"/>
              <w:spacing w:line="240" w:lineRule="auto"/>
              <w:rPr>
                <w:rFonts w:cs="Times New Roman"/>
                <w:color w:val="auto"/>
                <w:kern w:val="21"/>
                <w:szCs w:val="21"/>
              </w:rPr>
            </w:pPr>
            <w:r>
              <w:rPr>
                <w:rFonts w:cs="Times New Roman"/>
                <w:color w:val="auto"/>
                <w:kern w:val="21"/>
                <w:szCs w:val="21"/>
              </w:rPr>
              <w:t>汞</w:t>
            </w:r>
            <w:r>
              <w:rPr>
                <w:rFonts w:hint="eastAsia" w:cs="Times New Roman"/>
                <w:color w:val="auto"/>
                <w:kern w:val="21"/>
                <w:szCs w:val="21"/>
              </w:rPr>
              <w:t>（</w:t>
            </w:r>
            <w:r>
              <w:rPr>
                <w:rFonts w:cs="Times New Roman"/>
                <w:color w:val="auto"/>
                <w:kern w:val="21"/>
                <w:szCs w:val="21"/>
              </w:rPr>
              <w:t>mg/</w:t>
            </w:r>
          </w:p>
          <w:p>
            <w:pPr>
              <w:pStyle w:val="154"/>
              <w:spacing w:line="240" w:lineRule="auto"/>
              <w:rPr>
                <w:rFonts w:cs="Times New Roman"/>
                <w:color w:val="auto"/>
                <w:kern w:val="21"/>
                <w:szCs w:val="21"/>
              </w:rPr>
            </w:pPr>
            <w:r>
              <w:rPr>
                <w:rFonts w:cs="Times New Roman"/>
                <w:color w:val="auto"/>
                <w:kern w:val="21"/>
                <w:szCs w:val="21"/>
              </w:rPr>
              <w:t>kg</w:t>
            </w:r>
            <w:r>
              <w:rPr>
                <w:rFonts w:hint="eastAsia" w:cs="Times New Roman"/>
                <w:color w:val="auto"/>
                <w:kern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32" w:type="dxa"/>
            <w:shd w:val="clear" w:color="auto" w:fill="auto"/>
            <w:vAlign w:val="center"/>
          </w:tcPr>
          <w:p>
            <w:pPr>
              <w:pStyle w:val="154"/>
              <w:spacing w:line="240" w:lineRule="auto"/>
              <w:rPr>
                <w:rFonts w:cs="Times New Roman"/>
                <w:color w:val="auto"/>
                <w:kern w:val="21"/>
                <w:szCs w:val="21"/>
              </w:rPr>
            </w:pPr>
            <w:r>
              <w:rPr>
                <w:rFonts w:cs="Times New Roman"/>
                <w:color w:val="auto"/>
                <w:kern w:val="21"/>
                <w:szCs w:val="21"/>
              </w:rPr>
              <w:t>青龙河1#</w:t>
            </w:r>
          </w:p>
        </w:tc>
        <w:tc>
          <w:tcPr>
            <w:tcW w:w="634" w:type="dxa"/>
            <w:shd w:val="clear" w:color="auto" w:fill="auto"/>
            <w:vAlign w:val="center"/>
          </w:tcPr>
          <w:p>
            <w:pPr>
              <w:pStyle w:val="154"/>
              <w:spacing w:line="240" w:lineRule="auto"/>
              <w:rPr>
                <w:rFonts w:cs="Times New Roman"/>
                <w:color w:val="auto"/>
                <w:kern w:val="21"/>
                <w:szCs w:val="21"/>
              </w:rPr>
            </w:pPr>
            <w:r>
              <w:rPr>
                <w:rFonts w:cs="Times New Roman"/>
                <w:color w:val="auto"/>
                <w:kern w:val="21"/>
                <w:szCs w:val="21"/>
              </w:rPr>
              <w:t>7.0</w:t>
            </w:r>
          </w:p>
        </w:tc>
        <w:tc>
          <w:tcPr>
            <w:tcW w:w="503" w:type="dxa"/>
            <w:shd w:val="clear" w:color="auto" w:fill="auto"/>
            <w:vAlign w:val="center"/>
          </w:tcPr>
          <w:p>
            <w:pPr>
              <w:pStyle w:val="154"/>
              <w:spacing w:line="240" w:lineRule="auto"/>
              <w:rPr>
                <w:rFonts w:cs="Times New Roman"/>
                <w:color w:val="auto"/>
                <w:kern w:val="21"/>
                <w:szCs w:val="21"/>
              </w:rPr>
            </w:pPr>
            <w:r>
              <w:rPr>
                <w:rFonts w:cs="Times New Roman"/>
                <w:color w:val="auto"/>
                <w:kern w:val="21"/>
                <w:szCs w:val="21"/>
              </w:rPr>
              <w:t>58.1</w:t>
            </w:r>
          </w:p>
        </w:tc>
        <w:tc>
          <w:tcPr>
            <w:tcW w:w="629" w:type="dxa"/>
            <w:shd w:val="clear" w:color="auto" w:fill="auto"/>
            <w:vAlign w:val="center"/>
          </w:tcPr>
          <w:p>
            <w:pPr>
              <w:pStyle w:val="154"/>
              <w:spacing w:line="240" w:lineRule="auto"/>
              <w:rPr>
                <w:rFonts w:cs="Times New Roman"/>
                <w:bCs/>
                <w:color w:val="auto"/>
                <w:kern w:val="21"/>
                <w:szCs w:val="21"/>
              </w:rPr>
            </w:pPr>
            <w:r>
              <w:rPr>
                <w:rFonts w:cs="Times New Roman"/>
                <w:bCs/>
                <w:color w:val="auto"/>
                <w:kern w:val="21"/>
                <w:szCs w:val="21"/>
              </w:rPr>
              <w:t>1240</w:t>
            </w:r>
          </w:p>
        </w:tc>
        <w:tc>
          <w:tcPr>
            <w:tcW w:w="569" w:type="dxa"/>
            <w:shd w:val="clear" w:color="auto" w:fill="auto"/>
            <w:vAlign w:val="center"/>
          </w:tcPr>
          <w:p>
            <w:pPr>
              <w:pStyle w:val="154"/>
              <w:spacing w:line="240" w:lineRule="auto"/>
              <w:rPr>
                <w:rFonts w:cs="Times New Roman"/>
                <w:bCs/>
                <w:color w:val="auto"/>
                <w:kern w:val="21"/>
                <w:szCs w:val="21"/>
              </w:rPr>
            </w:pPr>
            <w:r>
              <w:rPr>
                <w:rFonts w:cs="Times New Roman"/>
                <w:bCs/>
                <w:color w:val="auto"/>
                <w:kern w:val="21"/>
                <w:szCs w:val="21"/>
              </w:rPr>
              <w:t>484</w:t>
            </w:r>
          </w:p>
        </w:tc>
        <w:tc>
          <w:tcPr>
            <w:tcW w:w="677" w:type="dxa"/>
            <w:shd w:val="clear" w:color="auto" w:fill="auto"/>
            <w:vAlign w:val="center"/>
          </w:tcPr>
          <w:p>
            <w:pPr>
              <w:pStyle w:val="154"/>
              <w:spacing w:line="240" w:lineRule="auto"/>
              <w:rPr>
                <w:rFonts w:cs="Times New Roman"/>
                <w:bCs/>
                <w:color w:val="auto"/>
                <w:kern w:val="21"/>
                <w:szCs w:val="21"/>
              </w:rPr>
            </w:pPr>
            <w:r>
              <w:rPr>
                <w:rFonts w:cs="Times New Roman"/>
                <w:bCs/>
                <w:color w:val="auto"/>
                <w:kern w:val="21"/>
                <w:szCs w:val="21"/>
              </w:rPr>
              <w:t>21.5</w:t>
            </w:r>
          </w:p>
        </w:tc>
        <w:tc>
          <w:tcPr>
            <w:tcW w:w="539" w:type="dxa"/>
            <w:shd w:val="clear" w:color="000000" w:fill="FFFFFF"/>
            <w:noWrap/>
            <w:vAlign w:val="center"/>
          </w:tcPr>
          <w:p>
            <w:pPr>
              <w:pStyle w:val="154"/>
              <w:spacing w:line="240" w:lineRule="auto"/>
              <w:rPr>
                <w:rFonts w:cs="Times New Roman"/>
                <w:bCs/>
                <w:color w:val="auto"/>
                <w:kern w:val="21"/>
                <w:szCs w:val="21"/>
              </w:rPr>
            </w:pPr>
            <w:r>
              <w:rPr>
                <w:rFonts w:cs="Times New Roman"/>
                <w:bCs/>
                <w:color w:val="auto"/>
                <w:kern w:val="21"/>
                <w:szCs w:val="21"/>
              </w:rPr>
              <w:t>61.6</w:t>
            </w:r>
          </w:p>
        </w:tc>
        <w:tc>
          <w:tcPr>
            <w:tcW w:w="503" w:type="dxa"/>
            <w:noWrap/>
            <w:vAlign w:val="center"/>
          </w:tcPr>
          <w:p>
            <w:pPr>
              <w:pStyle w:val="154"/>
              <w:spacing w:line="240" w:lineRule="auto"/>
              <w:rPr>
                <w:rFonts w:cs="Times New Roman"/>
                <w:bCs/>
                <w:color w:val="auto"/>
                <w:kern w:val="21"/>
                <w:szCs w:val="21"/>
              </w:rPr>
            </w:pPr>
            <w:r>
              <w:rPr>
                <w:rFonts w:cs="Times New Roman"/>
                <w:bCs/>
                <w:color w:val="auto"/>
                <w:kern w:val="21"/>
                <w:szCs w:val="21"/>
              </w:rPr>
              <w:t>40.3</w:t>
            </w:r>
          </w:p>
        </w:tc>
        <w:tc>
          <w:tcPr>
            <w:tcW w:w="483" w:type="dxa"/>
            <w:noWrap/>
            <w:vAlign w:val="center"/>
          </w:tcPr>
          <w:p>
            <w:pPr>
              <w:pStyle w:val="154"/>
              <w:spacing w:line="240" w:lineRule="auto"/>
              <w:rPr>
                <w:rFonts w:cs="Times New Roman"/>
                <w:bCs/>
                <w:color w:val="auto"/>
                <w:kern w:val="21"/>
                <w:szCs w:val="21"/>
              </w:rPr>
            </w:pPr>
            <w:r>
              <w:rPr>
                <w:rFonts w:cs="Times New Roman"/>
                <w:bCs/>
                <w:color w:val="auto"/>
                <w:kern w:val="21"/>
                <w:szCs w:val="21"/>
              </w:rPr>
              <w:t>25.1</w:t>
            </w:r>
          </w:p>
        </w:tc>
        <w:tc>
          <w:tcPr>
            <w:tcW w:w="518" w:type="dxa"/>
            <w:noWrap/>
            <w:vAlign w:val="center"/>
          </w:tcPr>
          <w:p>
            <w:pPr>
              <w:pStyle w:val="154"/>
              <w:spacing w:line="240" w:lineRule="auto"/>
              <w:rPr>
                <w:rFonts w:cs="Times New Roman"/>
                <w:bCs/>
                <w:color w:val="auto"/>
                <w:kern w:val="21"/>
                <w:szCs w:val="21"/>
              </w:rPr>
            </w:pPr>
            <w:r>
              <w:rPr>
                <w:rFonts w:cs="Times New Roman"/>
                <w:bCs/>
                <w:color w:val="auto"/>
                <w:kern w:val="21"/>
                <w:szCs w:val="21"/>
              </w:rPr>
              <w:t>60.4</w:t>
            </w:r>
          </w:p>
        </w:tc>
        <w:tc>
          <w:tcPr>
            <w:tcW w:w="528" w:type="dxa"/>
            <w:noWrap/>
            <w:vAlign w:val="center"/>
          </w:tcPr>
          <w:p>
            <w:pPr>
              <w:pStyle w:val="154"/>
              <w:spacing w:line="240" w:lineRule="auto"/>
              <w:rPr>
                <w:rFonts w:cs="Times New Roman"/>
                <w:bCs/>
                <w:color w:val="auto"/>
                <w:kern w:val="21"/>
                <w:szCs w:val="21"/>
              </w:rPr>
            </w:pPr>
            <w:r>
              <w:rPr>
                <w:rFonts w:cs="Times New Roman"/>
                <w:bCs/>
                <w:color w:val="auto"/>
                <w:kern w:val="21"/>
                <w:szCs w:val="21"/>
              </w:rPr>
              <w:t>20.6</w:t>
            </w:r>
          </w:p>
        </w:tc>
        <w:tc>
          <w:tcPr>
            <w:tcW w:w="538" w:type="dxa"/>
            <w:noWrap/>
            <w:vAlign w:val="center"/>
          </w:tcPr>
          <w:p>
            <w:pPr>
              <w:pStyle w:val="154"/>
              <w:spacing w:line="240" w:lineRule="auto"/>
              <w:rPr>
                <w:rFonts w:cs="Times New Roman"/>
                <w:bCs/>
                <w:color w:val="auto"/>
                <w:kern w:val="21"/>
                <w:szCs w:val="21"/>
              </w:rPr>
            </w:pPr>
            <w:r>
              <w:rPr>
                <w:rFonts w:cs="Times New Roman"/>
                <w:bCs/>
                <w:color w:val="auto"/>
                <w:kern w:val="21"/>
                <w:szCs w:val="21"/>
              </w:rPr>
              <w:t>0.24</w:t>
            </w:r>
          </w:p>
        </w:tc>
        <w:tc>
          <w:tcPr>
            <w:tcW w:w="518" w:type="dxa"/>
            <w:noWrap/>
            <w:vAlign w:val="center"/>
          </w:tcPr>
          <w:p>
            <w:pPr>
              <w:pStyle w:val="154"/>
              <w:spacing w:line="240" w:lineRule="auto"/>
              <w:rPr>
                <w:rFonts w:cs="Times New Roman"/>
                <w:bCs/>
                <w:color w:val="auto"/>
                <w:kern w:val="21"/>
                <w:szCs w:val="21"/>
              </w:rPr>
            </w:pPr>
            <w:r>
              <w:rPr>
                <w:rFonts w:cs="Times New Roman"/>
                <w:bCs/>
                <w:color w:val="auto"/>
                <w:kern w:val="21"/>
                <w:szCs w:val="21"/>
              </w:rPr>
              <w:t>18.2</w:t>
            </w:r>
          </w:p>
        </w:tc>
        <w:tc>
          <w:tcPr>
            <w:tcW w:w="533" w:type="dxa"/>
            <w:noWrap/>
            <w:vAlign w:val="center"/>
          </w:tcPr>
          <w:p>
            <w:pPr>
              <w:pStyle w:val="154"/>
              <w:spacing w:line="240" w:lineRule="auto"/>
              <w:rPr>
                <w:rFonts w:cs="Times New Roman"/>
                <w:color w:val="auto"/>
                <w:kern w:val="21"/>
                <w:szCs w:val="21"/>
              </w:rPr>
            </w:pPr>
            <w:r>
              <w:rPr>
                <w:rFonts w:cs="Times New Roman"/>
                <w:color w:val="auto"/>
                <w:kern w:val="21"/>
                <w:szCs w:val="21"/>
              </w:rPr>
              <w:t>&lt;0.05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32" w:type="dxa"/>
            <w:vAlign w:val="center"/>
          </w:tcPr>
          <w:p>
            <w:pPr>
              <w:pStyle w:val="154"/>
              <w:spacing w:line="240" w:lineRule="auto"/>
              <w:rPr>
                <w:rFonts w:cs="Times New Roman"/>
                <w:color w:val="auto"/>
                <w:kern w:val="21"/>
                <w:szCs w:val="21"/>
              </w:rPr>
            </w:pPr>
            <w:r>
              <w:rPr>
                <w:rFonts w:cs="Times New Roman"/>
                <w:color w:val="auto"/>
                <w:kern w:val="21"/>
                <w:szCs w:val="21"/>
              </w:rPr>
              <w:t>青龙河2#</w:t>
            </w:r>
          </w:p>
        </w:tc>
        <w:tc>
          <w:tcPr>
            <w:tcW w:w="634" w:type="dxa"/>
            <w:vAlign w:val="center"/>
          </w:tcPr>
          <w:p>
            <w:pPr>
              <w:pStyle w:val="154"/>
              <w:spacing w:line="240" w:lineRule="auto"/>
              <w:rPr>
                <w:rFonts w:cs="Times New Roman"/>
                <w:color w:val="auto"/>
                <w:kern w:val="21"/>
                <w:szCs w:val="21"/>
              </w:rPr>
            </w:pPr>
            <w:r>
              <w:rPr>
                <w:rFonts w:cs="Times New Roman"/>
                <w:color w:val="auto"/>
                <w:kern w:val="21"/>
                <w:szCs w:val="21"/>
              </w:rPr>
              <w:t>7.5</w:t>
            </w:r>
          </w:p>
        </w:tc>
        <w:tc>
          <w:tcPr>
            <w:tcW w:w="503" w:type="dxa"/>
            <w:vAlign w:val="center"/>
          </w:tcPr>
          <w:p>
            <w:pPr>
              <w:pStyle w:val="154"/>
              <w:spacing w:line="240" w:lineRule="auto"/>
              <w:rPr>
                <w:rFonts w:cs="Times New Roman"/>
                <w:color w:val="auto"/>
                <w:kern w:val="21"/>
                <w:szCs w:val="21"/>
              </w:rPr>
            </w:pPr>
            <w:r>
              <w:rPr>
                <w:rFonts w:cs="Times New Roman"/>
                <w:color w:val="auto"/>
                <w:kern w:val="21"/>
                <w:szCs w:val="21"/>
              </w:rPr>
              <w:t>74.7</w:t>
            </w:r>
          </w:p>
        </w:tc>
        <w:tc>
          <w:tcPr>
            <w:tcW w:w="629" w:type="dxa"/>
            <w:vAlign w:val="center"/>
          </w:tcPr>
          <w:p>
            <w:pPr>
              <w:pStyle w:val="154"/>
              <w:spacing w:line="240" w:lineRule="auto"/>
              <w:rPr>
                <w:rFonts w:cs="Times New Roman"/>
                <w:bCs/>
                <w:color w:val="auto"/>
                <w:kern w:val="21"/>
                <w:szCs w:val="21"/>
              </w:rPr>
            </w:pPr>
            <w:r>
              <w:rPr>
                <w:rFonts w:cs="Times New Roman"/>
                <w:bCs/>
                <w:color w:val="auto"/>
                <w:kern w:val="21"/>
                <w:szCs w:val="21"/>
              </w:rPr>
              <w:t>489</w:t>
            </w:r>
          </w:p>
        </w:tc>
        <w:tc>
          <w:tcPr>
            <w:tcW w:w="569" w:type="dxa"/>
            <w:vAlign w:val="center"/>
          </w:tcPr>
          <w:p>
            <w:pPr>
              <w:pStyle w:val="154"/>
              <w:spacing w:line="240" w:lineRule="auto"/>
              <w:rPr>
                <w:rFonts w:cs="Times New Roman"/>
                <w:bCs/>
                <w:color w:val="auto"/>
                <w:kern w:val="21"/>
                <w:szCs w:val="21"/>
              </w:rPr>
            </w:pPr>
            <w:r>
              <w:rPr>
                <w:rFonts w:cs="Times New Roman"/>
                <w:bCs/>
                <w:color w:val="auto"/>
                <w:kern w:val="21"/>
                <w:szCs w:val="21"/>
              </w:rPr>
              <w:t>305</w:t>
            </w:r>
          </w:p>
        </w:tc>
        <w:tc>
          <w:tcPr>
            <w:tcW w:w="677" w:type="dxa"/>
            <w:vAlign w:val="center"/>
          </w:tcPr>
          <w:p>
            <w:pPr>
              <w:pStyle w:val="154"/>
              <w:spacing w:line="240" w:lineRule="auto"/>
              <w:rPr>
                <w:rFonts w:cs="Times New Roman"/>
                <w:bCs/>
                <w:color w:val="auto"/>
                <w:kern w:val="21"/>
                <w:szCs w:val="21"/>
              </w:rPr>
            </w:pPr>
            <w:r>
              <w:rPr>
                <w:rFonts w:cs="Times New Roman"/>
                <w:bCs/>
                <w:color w:val="auto"/>
                <w:kern w:val="21"/>
                <w:szCs w:val="21"/>
              </w:rPr>
              <w:t>10.8</w:t>
            </w:r>
          </w:p>
        </w:tc>
        <w:tc>
          <w:tcPr>
            <w:tcW w:w="539" w:type="dxa"/>
            <w:noWrap/>
            <w:vAlign w:val="center"/>
          </w:tcPr>
          <w:p>
            <w:pPr>
              <w:pStyle w:val="154"/>
              <w:spacing w:line="240" w:lineRule="auto"/>
              <w:rPr>
                <w:rFonts w:cs="Times New Roman"/>
                <w:bCs/>
                <w:color w:val="auto"/>
                <w:kern w:val="21"/>
                <w:szCs w:val="21"/>
              </w:rPr>
            </w:pPr>
            <w:r>
              <w:rPr>
                <w:rFonts w:cs="Times New Roman"/>
                <w:bCs/>
                <w:color w:val="auto"/>
                <w:kern w:val="21"/>
                <w:szCs w:val="21"/>
              </w:rPr>
              <w:t>16.8</w:t>
            </w:r>
          </w:p>
        </w:tc>
        <w:tc>
          <w:tcPr>
            <w:tcW w:w="503" w:type="dxa"/>
            <w:noWrap/>
            <w:vAlign w:val="center"/>
          </w:tcPr>
          <w:p>
            <w:pPr>
              <w:pStyle w:val="154"/>
              <w:spacing w:line="240" w:lineRule="auto"/>
              <w:rPr>
                <w:rFonts w:cs="Times New Roman"/>
                <w:bCs/>
                <w:color w:val="auto"/>
                <w:kern w:val="21"/>
                <w:szCs w:val="21"/>
              </w:rPr>
            </w:pPr>
            <w:r>
              <w:rPr>
                <w:rFonts w:cs="Times New Roman"/>
                <w:bCs/>
                <w:color w:val="auto"/>
                <w:kern w:val="21"/>
                <w:szCs w:val="21"/>
              </w:rPr>
              <w:t>23.4</w:t>
            </w:r>
          </w:p>
        </w:tc>
        <w:tc>
          <w:tcPr>
            <w:tcW w:w="483" w:type="dxa"/>
            <w:noWrap/>
            <w:vAlign w:val="center"/>
          </w:tcPr>
          <w:p>
            <w:pPr>
              <w:pStyle w:val="154"/>
              <w:spacing w:line="240" w:lineRule="auto"/>
              <w:rPr>
                <w:rFonts w:cs="Times New Roman"/>
                <w:bCs/>
                <w:color w:val="auto"/>
                <w:kern w:val="21"/>
                <w:szCs w:val="21"/>
              </w:rPr>
            </w:pPr>
            <w:r>
              <w:rPr>
                <w:rFonts w:cs="Times New Roman"/>
                <w:bCs/>
                <w:color w:val="auto"/>
                <w:kern w:val="21"/>
                <w:szCs w:val="21"/>
              </w:rPr>
              <w:t>13.2</w:t>
            </w:r>
          </w:p>
        </w:tc>
        <w:tc>
          <w:tcPr>
            <w:tcW w:w="518" w:type="dxa"/>
            <w:noWrap/>
            <w:vAlign w:val="center"/>
          </w:tcPr>
          <w:p>
            <w:pPr>
              <w:pStyle w:val="154"/>
              <w:spacing w:line="240" w:lineRule="auto"/>
              <w:rPr>
                <w:rFonts w:cs="Times New Roman"/>
                <w:bCs/>
                <w:color w:val="auto"/>
                <w:kern w:val="21"/>
                <w:szCs w:val="21"/>
              </w:rPr>
            </w:pPr>
            <w:r>
              <w:rPr>
                <w:rFonts w:cs="Times New Roman"/>
                <w:bCs/>
                <w:color w:val="auto"/>
                <w:kern w:val="21"/>
                <w:szCs w:val="21"/>
              </w:rPr>
              <w:t>34.9</w:t>
            </w:r>
          </w:p>
        </w:tc>
        <w:tc>
          <w:tcPr>
            <w:tcW w:w="528" w:type="dxa"/>
            <w:noWrap/>
            <w:vAlign w:val="center"/>
          </w:tcPr>
          <w:p>
            <w:pPr>
              <w:pStyle w:val="154"/>
              <w:spacing w:line="240" w:lineRule="auto"/>
              <w:rPr>
                <w:rFonts w:cs="Times New Roman"/>
                <w:bCs/>
                <w:color w:val="auto"/>
                <w:kern w:val="21"/>
                <w:szCs w:val="21"/>
              </w:rPr>
            </w:pPr>
            <w:r>
              <w:rPr>
                <w:rFonts w:cs="Times New Roman"/>
                <w:bCs/>
                <w:color w:val="auto"/>
                <w:kern w:val="21"/>
                <w:szCs w:val="21"/>
              </w:rPr>
              <w:t>18.8</w:t>
            </w:r>
          </w:p>
        </w:tc>
        <w:tc>
          <w:tcPr>
            <w:tcW w:w="538" w:type="dxa"/>
            <w:noWrap/>
            <w:vAlign w:val="center"/>
          </w:tcPr>
          <w:p>
            <w:pPr>
              <w:pStyle w:val="154"/>
              <w:spacing w:line="240" w:lineRule="auto"/>
              <w:rPr>
                <w:rFonts w:cs="Times New Roman"/>
                <w:bCs/>
                <w:color w:val="auto"/>
                <w:kern w:val="21"/>
                <w:szCs w:val="21"/>
              </w:rPr>
            </w:pPr>
            <w:r>
              <w:rPr>
                <w:rFonts w:cs="Times New Roman"/>
                <w:bCs/>
                <w:color w:val="auto"/>
                <w:kern w:val="21"/>
                <w:szCs w:val="21"/>
              </w:rPr>
              <w:t>0.28</w:t>
            </w:r>
          </w:p>
        </w:tc>
        <w:tc>
          <w:tcPr>
            <w:tcW w:w="518" w:type="dxa"/>
            <w:noWrap/>
            <w:vAlign w:val="center"/>
          </w:tcPr>
          <w:p>
            <w:pPr>
              <w:pStyle w:val="154"/>
              <w:spacing w:line="240" w:lineRule="auto"/>
              <w:rPr>
                <w:rFonts w:cs="Times New Roman"/>
                <w:bCs/>
                <w:color w:val="auto"/>
                <w:kern w:val="21"/>
                <w:szCs w:val="21"/>
              </w:rPr>
            </w:pPr>
            <w:r>
              <w:rPr>
                <w:rFonts w:cs="Times New Roman"/>
                <w:bCs/>
                <w:color w:val="auto"/>
                <w:kern w:val="21"/>
                <w:szCs w:val="21"/>
              </w:rPr>
              <w:t>8.6</w:t>
            </w:r>
          </w:p>
        </w:tc>
        <w:tc>
          <w:tcPr>
            <w:tcW w:w="533" w:type="dxa"/>
            <w:noWrap/>
            <w:vAlign w:val="center"/>
          </w:tcPr>
          <w:p>
            <w:pPr>
              <w:pStyle w:val="154"/>
              <w:spacing w:line="240" w:lineRule="auto"/>
              <w:rPr>
                <w:rFonts w:cs="Times New Roman"/>
                <w:bCs/>
                <w:color w:val="auto"/>
                <w:kern w:val="21"/>
                <w:szCs w:val="21"/>
              </w:rPr>
            </w:pPr>
            <w:r>
              <w:rPr>
                <w:rFonts w:cs="Times New Roman"/>
                <w:bCs/>
                <w:color w:val="auto"/>
                <w:kern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32" w:type="dxa"/>
            <w:vAlign w:val="center"/>
          </w:tcPr>
          <w:p>
            <w:pPr>
              <w:pStyle w:val="154"/>
              <w:spacing w:line="240" w:lineRule="auto"/>
              <w:rPr>
                <w:rFonts w:cs="Times New Roman"/>
                <w:color w:val="auto"/>
                <w:kern w:val="21"/>
                <w:szCs w:val="21"/>
              </w:rPr>
            </w:pPr>
            <w:r>
              <w:rPr>
                <w:rFonts w:cs="Times New Roman"/>
                <w:color w:val="auto"/>
                <w:kern w:val="21"/>
                <w:szCs w:val="21"/>
              </w:rPr>
              <w:t>青龙河3#</w:t>
            </w:r>
          </w:p>
        </w:tc>
        <w:tc>
          <w:tcPr>
            <w:tcW w:w="634" w:type="dxa"/>
            <w:vAlign w:val="center"/>
          </w:tcPr>
          <w:p>
            <w:pPr>
              <w:pStyle w:val="154"/>
              <w:spacing w:line="240" w:lineRule="auto"/>
              <w:rPr>
                <w:rFonts w:cs="Times New Roman"/>
                <w:color w:val="auto"/>
                <w:kern w:val="21"/>
                <w:szCs w:val="21"/>
              </w:rPr>
            </w:pPr>
            <w:r>
              <w:rPr>
                <w:rFonts w:cs="Times New Roman"/>
                <w:color w:val="auto"/>
                <w:kern w:val="21"/>
                <w:szCs w:val="21"/>
              </w:rPr>
              <w:t>7.2</w:t>
            </w:r>
          </w:p>
        </w:tc>
        <w:tc>
          <w:tcPr>
            <w:tcW w:w="503" w:type="dxa"/>
            <w:vAlign w:val="center"/>
          </w:tcPr>
          <w:p>
            <w:pPr>
              <w:pStyle w:val="154"/>
              <w:spacing w:line="240" w:lineRule="auto"/>
              <w:rPr>
                <w:rFonts w:cs="Times New Roman"/>
                <w:color w:val="auto"/>
                <w:kern w:val="21"/>
                <w:szCs w:val="21"/>
              </w:rPr>
            </w:pPr>
            <w:r>
              <w:rPr>
                <w:rFonts w:cs="Times New Roman"/>
                <w:color w:val="auto"/>
                <w:kern w:val="21"/>
                <w:szCs w:val="21"/>
              </w:rPr>
              <w:t>47.6</w:t>
            </w:r>
          </w:p>
        </w:tc>
        <w:tc>
          <w:tcPr>
            <w:tcW w:w="629" w:type="dxa"/>
            <w:vAlign w:val="center"/>
          </w:tcPr>
          <w:p>
            <w:pPr>
              <w:pStyle w:val="154"/>
              <w:spacing w:line="240" w:lineRule="auto"/>
              <w:rPr>
                <w:rFonts w:cs="Times New Roman"/>
                <w:bCs/>
                <w:color w:val="auto"/>
                <w:kern w:val="21"/>
                <w:szCs w:val="21"/>
              </w:rPr>
            </w:pPr>
            <w:r>
              <w:rPr>
                <w:rFonts w:cs="Times New Roman"/>
                <w:bCs/>
                <w:color w:val="auto"/>
                <w:kern w:val="21"/>
                <w:szCs w:val="21"/>
              </w:rPr>
              <w:t>1630</w:t>
            </w:r>
          </w:p>
        </w:tc>
        <w:tc>
          <w:tcPr>
            <w:tcW w:w="569" w:type="dxa"/>
            <w:vAlign w:val="center"/>
          </w:tcPr>
          <w:p>
            <w:pPr>
              <w:pStyle w:val="154"/>
              <w:spacing w:line="240" w:lineRule="auto"/>
              <w:rPr>
                <w:rFonts w:cs="Times New Roman"/>
                <w:bCs/>
                <w:color w:val="auto"/>
                <w:kern w:val="21"/>
                <w:szCs w:val="21"/>
              </w:rPr>
            </w:pPr>
            <w:r>
              <w:rPr>
                <w:rFonts w:cs="Times New Roman"/>
                <w:bCs/>
                <w:color w:val="auto"/>
                <w:kern w:val="21"/>
                <w:szCs w:val="21"/>
              </w:rPr>
              <w:t>715</w:t>
            </w:r>
          </w:p>
        </w:tc>
        <w:tc>
          <w:tcPr>
            <w:tcW w:w="677" w:type="dxa"/>
            <w:vAlign w:val="center"/>
          </w:tcPr>
          <w:p>
            <w:pPr>
              <w:pStyle w:val="154"/>
              <w:spacing w:line="240" w:lineRule="auto"/>
              <w:rPr>
                <w:rFonts w:cs="Times New Roman"/>
                <w:bCs/>
                <w:color w:val="auto"/>
                <w:kern w:val="21"/>
                <w:szCs w:val="21"/>
              </w:rPr>
            </w:pPr>
            <w:r>
              <w:rPr>
                <w:rFonts w:cs="Times New Roman"/>
                <w:bCs/>
                <w:color w:val="auto"/>
                <w:kern w:val="21"/>
                <w:szCs w:val="21"/>
              </w:rPr>
              <w:t>29.8</w:t>
            </w:r>
          </w:p>
        </w:tc>
        <w:tc>
          <w:tcPr>
            <w:tcW w:w="539" w:type="dxa"/>
            <w:noWrap/>
            <w:vAlign w:val="center"/>
          </w:tcPr>
          <w:p>
            <w:pPr>
              <w:pStyle w:val="154"/>
              <w:spacing w:line="240" w:lineRule="auto"/>
              <w:rPr>
                <w:rFonts w:cs="Times New Roman"/>
                <w:bCs/>
                <w:color w:val="auto"/>
                <w:kern w:val="21"/>
                <w:szCs w:val="21"/>
              </w:rPr>
            </w:pPr>
            <w:r>
              <w:rPr>
                <w:rFonts w:cs="Times New Roman"/>
                <w:bCs/>
                <w:color w:val="auto"/>
                <w:kern w:val="21"/>
                <w:szCs w:val="21"/>
              </w:rPr>
              <w:t>32.4</w:t>
            </w:r>
          </w:p>
        </w:tc>
        <w:tc>
          <w:tcPr>
            <w:tcW w:w="503" w:type="dxa"/>
            <w:noWrap/>
            <w:vAlign w:val="center"/>
          </w:tcPr>
          <w:p>
            <w:pPr>
              <w:pStyle w:val="154"/>
              <w:spacing w:line="240" w:lineRule="auto"/>
              <w:rPr>
                <w:rFonts w:cs="Times New Roman"/>
                <w:bCs/>
                <w:color w:val="auto"/>
                <w:kern w:val="21"/>
                <w:szCs w:val="21"/>
              </w:rPr>
            </w:pPr>
            <w:r>
              <w:rPr>
                <w:rFonts w:cs="Times New Roman"/>
                <w:bCs/>
                <w:color w:val="auto"/>
                <w:kern w:val="21"/>
                <w:szCs w:val="21"/>
              </w:rPr>
              <w:t>52.3</w:t>
            </w:r>
          </w:p>
        </w:tc>
        <w:tc>
          <w:tcPr>
            <w:tcW w:w="483" w:type="dxa"/>
            <w:noWrap/>
            <w:vAlign w:val="center"/>
          </w:tcPr>
          <w:p>
            <w:pPr>
              <w:pStyle w:val="154"/>
              <w:spacing w:line="240" w:lineRule="auto"/>
              <w:rPr>
                <w:rFonts w:cs="Times New Roman"/>
                <w:bCs/>
                <w:color w:val="auto"/>
                <w:kern w:val="21"/>
                <w:szCs w:val="21"/>
              </w:rPr>
            </w:pPr>
            <w:r>
              <w:rPr>
                <w:rFonts w:cs="Times New Roman"/>
                <w:bCs/>
                <w:color w:val="auto"/>
                <w:kern w:val="21"/>
                <w:szCs w:val="21"/>
              </w:rPr>
              <w:t>28.7</w:t>
            </w:r>
          </w:p>
        </w:tc>
        <w:tc>
          <w:tcPr>
            <w:tcW w:w="518" w:type="dxa"/>
            <w:noWrap/>
            <w:vAlign w:val="center"/>
          </w:tcPr>
          <w:p>
            <w:pPr>
              <w:pStyle w:val="154"/>
              <w:spacing w:line="240" w:lineRule="auto"/>
              <w:rPr>
                <w:rFonts w:cs="Times New Roman"/>
                <w:bCs/>
                <w:color w:val="auto"/>
                <w:kern w:val="21"/>
                <w:szCs w:val="21"/>
              </w:rPr>
            </w:pPr>
            <w:r>
              <w:rPr>
                <w:rFonts w:cs="Times New Roman"/>
                <w:bCs/>
                <w:color w:val="auto"/>
                <w:kern w:val="21"/>
                <w:szCs w:val="21"/>
              </w:rPr>
              <w:t>77.6</w:t>
            </w:r>
          </w:p>
        </w:tc>
        <w:tc>
          <w:tcPr>
            <w:tcW w:w="528" w:type="dxa"/>
            <w:noWrap/>
            <w:vAlign w:val="center"/>
          </w:tcPr>
          <w:p>
            <w:pPr>
              <w:pStyle w:val="154"/>
              <w:spacing w:line="240" w:lineRule="auto"/>
              <w:rPr>
                <w:rFonts w:cs="Times New Roman"/>
                <w:bCs/>
                <w:color w:val="auto"/>
                <w:kern w:val="21"/>
                <w:szCs w:val="21"/>
              </w:rPr>
            </w:pPr>
            <w:r>
              <w:rPr>
                <w:rFonts w:cs="Times New Roman"/>
                <w:bCs/>
                <w:color w:val="auto"/>
                <w:kern w:val="21"/>
                <w:szCs w:val="21"/>
              </w:rPr>
              <w:t>31.0</w:t>
            </w:r>
          </w:p>
        </w:tc>
        <w:tc>
          <w:tcPr>
            <w:tcW w:w="538" w:type="dxa"/>
            <w:noWrap/>
            <w:vAlign w:val="center"/>
          </w:tcPr>
          <w:p>
            <w:pPr>
              <w:pStyle w:val="154"/>
              <w:spacing w:line="240" w:lineRule="auto"/>
              <w:rPr>
                <w:rFonts w:cs="Times New Roman"/>
                <w:b/>
                <w:bCs/>
                <w:color w:val="auto"/>
                <w:kern w:val="21"/>
                <w:szCs w:val="21"/>
              </w:rPr>
            </w:pPr>
            <w:r>
              <w:rPr>
                <w:rFonts w:cs="Times New Roman"/>
                <w:color w:val="auto"/>
                <w:kern w:val="21"/>
                <w:szCs w:val="21"/>
              </w:rPr>
              <w:t>0.50</w:t>
            </w:r>
          </w:p>
        </w:tc>
        <w:tc>
          <w:tcPr>
            <w:tcW w:w="518" w:type="dxa"/>
            <w:noWrap/>
            <w:vAlign w:val="center"/>
          </w:tcPr>
          <w:p>
            <w:pPr>
              <w:pStyle w:val="154"/>
              <w:spacing w:line="240" w:lineRule="auto"/>
              <w:rPr>
                <w:rFonts w:cs="Times New Roman"/>
                <w:bCs/>
                <w:color w:val="auto"/>
                <w:kern w:val="21"/>
                <w:szCs w:val="21"/>
              </w:rPr>
            </w:pPr>
            <w:r>
              <w:rPr>
                <w:rFonts w:cs="Times New Roman"/>
                <w:bCs/>
                <w:color w:val="auto"/>
                <w:kern w:val="21"/>
                <w:szCs w:val="21"/>
              </w:rPr>
              <w:t>7.4</w:t>
            </w:r>
          </w:p>
        </w:tc>
        <w:tc>
          <w:tcPr>
            <w:tcW w:w="533" w:type="dxa"/>
            <w:noWrap/>
            <w:vAlign w:val="center"/>
          </w:tcPr>
          <w:p>
            <w:pPr>
              <w:pStyle w:val="154"/>
              <w:spacing w:line="240" w:lineRule="auto"/>
              <w:rPr>
                <w:rFonts w:cs="Times New Roman"/>
                <w:bCs/>
                <w:color w:val="auto"/>
                <w:kern w:val="21"/>
                <w:szCs w:val="21"/>
              </w:rPr>
            </w:pPr>
            <w:r>
              <w:rPr>
                <w:rFonts w:cs="Times New Roman"/>
                <w:bCs/>
                <w:color w:val="auto"/>
                <w:kern w:val="21"/>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32" w:type="dxa"/>
            <w:vAlign w:val="center"/>
          </w:tcPr>
          <w:p>
            <w:pPr>
              <w:pStyle w:val="154"/>
              <w:spacing w:line="240" w:lineRule="auto"/>
              <w:rPr>
                <w:rFonts w:cs="Times New Roman"/>
                <w:color w:val="auto"/>
                <w:kern w:val="21"/>
                <w:szCs w:val="21"/>
              </w:rPr>
            </w:pPr>
            <w:r>
              <w:rPr>
                <w:rFonts w:cs="Times New Roman"/>
                <w:color w:val="auto"/>
                <w:kern w:val="21"/>
                <w:szCs w:val="21"/>
              </w:rPr>
              <w:t>青龙河4#</w:t>
            </w:r>
          </w:p>
        </w:tc>
        <w:tc>
          <w:tcPr>
            <w:tcW w:w="634" w:type="dxa"/>
            <w:vAlign w:val="center"/>
          </w:tcPr>
          <w:p>
            <w:pPr>
              <w:pStyle w:val="154"/>
              <w:spacing w:line="240" w:lineRule="auto"/>
              <w:rPr>
                <w:rFonts w:cs="Times New Roman"/>
                <w:color w:val="auto"/>
                <w:kern w:val="21"/>
                <w:szCs w:val="21"/>
              </w:rPr>
            </w:pPr>
            <w:r>
              <w:rPr>
                <w:rFonts w:cs="Times New Roman"/>
                <w:color w:val="auto"/>
                <w:kern w:val="21"/>
                <w:szCs w:val="21"/>
              </w:rPr>
              <w:t>8.9</w:t>
            </w:r>
          </w:p>
        </w:tc>
        <w:tc>
          <w:tcPr>
            <w:tcW w:w="503" w:type="dxa"/>
            <w:vAlign w:val="center"/>
          </w:tcPr>
          <w:p>
            <w:pPr>
              <w:pStyle w:val="154"/>
              <w:spacing w:line="240" w:lineRule="auto"/>
              <w:rPr>
                <w:rFonts w:cs="Times New Roman"/>
                <w:color w:val="auto"/>
                <w:kern w:val="21"/>
                <w:szCs w:val="21"/>
              </w:rPr>
            </w:pPr>
            <w:r>
              <w:rPr>
                <w:rFonts w:cs="Times New Roman"/>
                <w:color w:val="auto"/>
                <w:kern w:val="21"/>
                <w:szCs w:val="21"/>
              </w:rPr>
              <w:t>67.6</w:t>
            </w:r>
          </w:p>
        </w:tc>
        <w:tc>
          <w:tcPr>
            <w:tcW w:w="629" w:type="dxa"/>
            <w:vAlign w:val="center"/>
          </w:tcPr>
          <w:p>
            <w:pPr>
              <w:pStyle w:val="154"/>
              <w:spacing w:line="240" w:lineRule="auto"/>
              <w:rPr>
                <w:rFonts w:cs="Times New Roman"/>
                <w:bCs/>
                <w:color w:val="auto"/>
                <w:kern w:val="21"/>
                <w:szCs w:val="21"/>
              </w:rPr>
            </w:pPr>
            <w:r>
              <w:rPr>
                <w:rFonts w:cs="Times New Roman"/>
                <w:bCs/>
                <w:color w:val="auto"/>
                <w:kern w:val="21"/>
                <w:szCs w:val="21"/>
              </w:rPr>
              <w:t>681</w:t>
            </w:r>
          </w:p>
        </w:tc>
        <w:tc>
          <w:tcPr>
            <w:tcW w:w="569" w:type="dxa"/>
            <w:vAlign w:val="center"/>
          </w:tcPr>
          <w:p>
            <w:pPr>
              <w:pStyle w:val="154"/>
              <w:spacing w:line="240" w:lineRule="auto"/>
              <w:rPr>
                <w:rFonts w:cs="Times New Roman"/>
                <w:bCs/>
                <w:color w:val="auto"/>
                <w:kern w:val="21"/>
                <w:szCs w:val="21"/>
              </w:rPr>
            </w:pPr>
            <w:r>
              <w:rPr>
                <w:rFonts w:cs="Times New Roman"/>
                <w:bCs/>
                <w:color w:val="auto"/>
                <w:kern w:val="21"/>
                <w:szCs w:val="21"/>
              </w:rPr>
              <w:t>390</w:t>
            </w:r>
          </w:p>
        </w:tc>
        <w:tc>
          <w:tcPr>
            <w:tcW w:w="677" w:type="dxa"/>
            <w:vAlign w:val="center"/>
          </w:tcPr>
          <w:p>
            <w:pPr>
              <w:pStyle w:val="154"/>
              <w:spacing w:line="240" w:lineRule="auto"/>
              <w:rPr>
                <w:rFonts w:cs="Times New Roman"/>
                <w:bCs/>
                <w:color w:val="auto"/>
                <w:kern w:val="21"/>
                <w:szCs w:val="21"/>
              </w:rPr>
            </w:pPr>
            <w:r>
              <w:rPr>
                <w:rFonts w:cs="Times New Roman"/>
                <w:bCs/>
                <w:color w:val="auto"/>
                <w:kern w:val="21"/>
                <w:szCs w:val="21"/>
              </w:rPr>
              <w:t>17.1</w:t>
            </w:r>
          </w:p>
        </w:tc>
        <w:tc>
          <w:tcPr>
            <w:tcW w:w="539" w:type="dxa"/>
            <w:noWrap/>
            <w:vAlign w:val="center"/>
          </w:tcPr>
          <w:p>
            <w:pPr>
              <w:pStyle w:val="154"/>
              <w:spacing w:line="240" w:lineRule="auto"/>
              <w:rPr>
                <w:rFonts w:cs="Times New Roman"/>
                <w:bCs/>
                <w:color w:val="auto"/>
                <w:kern w:val="21"/>
                <w:szCs w:val="21"/>
              </w:rPr>
            </w:pPr>
            <w:r>
              <w:rPr>
                <w:rFonts w:cs="Times New Roman"/>
                <w:bCs/>
                <w:color w:val="auto"/>
                <w:kern w:val="21"/>
                <w:szCs w:val="21"/>
              </w:rPr>
              <w:t>22.3</w:t>
            </w:r>
          </w:p>
        </w:tc>
        <w:tc>
          <w:tcPr>
            <w:tcW w:w="503" w:type="dxa"/>
            <w:noWrap/>
            <w:vAlign w:val="center"/>
          </w:tcPr>
          <w:p>
            <w:pPr>
              <w:pStyle w:val="154"/>
              <w:spacing w:line="240" w:lineRule="auto"/>
              <w:rPr>
                <w:rFonts w:cs="Times New Roman"/>
                <w:bCs/>
                <w:color w:val="auto"/>
                <w:kern w:val="21"/>
                <w:szCs w:val="21"/>
              </w:rPr>
            </w:pPr>
            <w:r>
              <w:rPr>
                <w:rFonts w:cs="Times New Roman"/>
                <w:bCs/>
                <w:color w:val="auto"/>
                <w:kern w:val="21"/>
                <w:szCs w:val="21"/>
              </w:rPr>
              <w:t>45.1</w:t>
            </w:r>
          </w:p>
        </w:tc>
        <w:tc>
          <w:tcPr>
            <w:tcW w:w="483" w:type="dxa"/>
            <w:noWrap/>
            <w:vAlign w:val="center"/>
          </w:tcPr>
          <w:p>
            <w:pPr>
              <w:pStyle w:val="154"/>
              <w:spacing w:line="240" w:lineRule="auto"/>
              <w:rPr>
                <w:rFonts w:cs="Times New Roman"/>
                <w:bCs/>
                <w:color w:val="auto"/>
                <w:kern w:val="21"/>
                <w:szCs w:val="21"/>
              </w:rPr>
            </w:pPr>
            <w:r>
              <w:rPr>
                <w:rFonts w:cs="Times New Roman"/>
                <w:bCs/>
                <w:color w:val="auto"/>
                <w:kern w:val="21"/>
                <w:szCs w:val="21"/>
              </w:rPr>
              <w:t>25.3</w:t>
            </w:r>
          </w:p>
        </w:tc>
        <w:tc>
          <w:tcPr>
            <w:tcW w:w="518" w:type="dxa"/>
            <w:noWrap/>
            <w:vAlign w:val="center"/>
          </w:tcPr>
          <w:p>
            <w:pPr>
              <w:pStyle w:val="154"/>
              <w:spacing w:line="240" w:lineRule="auto"/>
              <w:rPr>
                <w:rFonts w:cs="Times New Roman"/>
                <w:bCs/>
                <w:color w:val="auto"/>
                <w:kern w:val="21"/>
                <w:szCs w:val="21"/>
              </w:rPr>
            </w:pPr>
            <w:r>
              <w:rPr>
                <w:rFonts w:cs="Times New Roman"/>
                <w:bCs/>
                <w:color w:val="auto"/>
                <w:kern w:val="21"/>
                <w:szCs w:val="21"/>
              </w:rPr>
              <w:t>52.8</w:t>
            </w:r>
          </w:p>
        </w:tc>
        <w:tc>
          <w:tcPr>
            <w:tcW w:w="528" w:type="dxa"/>
            <w:noWrap/>
            <w:vAlign w:val="center"/>
          </w:tcPr>
          <w:p>
            <w:pPr>
              <w:pStyle w:val="154"/>
              <w:spacing w:line="240" w:lineRule="auto"/>
              <w:rPr>
                <w:rFonts w:cs="Times New Roman"/>
                <w:bCs/>
                <w:color w:val="auto"/>
                <w:kern w:val="21"/>
                <w:szCs w:val="21"/>
              </w:rPr>
            </w:pPr>
            <w:r>
              <w:rPr>
                <w:rFonts w:cs="Times New Roman"/>
                <w:bCs/>
                <w:color w:val="auto"/>
                <w:kern w:val="21"/>
                <w:szCs w:val="21"/>
              </w:rPr>
              <w:t>27.2</w:t>
            </w:r>
          </w:p>
        </w:tc>
        <w:tc>
          <w:tcPr>
            <w:tcW w:w="538" w:type="dxa"/>
            <w:noWrap/>
            <w:vAlign w:val="center"/>
          </w:tcPr>
          <w:p>
            <w:pPr>
              <w:pStyle w:val="154"/>
              <w:spacing w:line="240" w:lineRule="auto"/>
              <w:rPr>
                <w:rFonts w:cs="Times New Roman"/>
                <w:bCs/>
                <w:color w:val="auto"/>
                <w:kern w:val="21"/>
                <w:szCs w:val="21"/>
              </w:rPr>
            </w:pPr>
            <w:r>
              <w:rPr>
                <w:rFonts w:cs="Times New Roman"/>
                <w:bCs/>
                <w:color w:val="auto"/>
                <w:kern w:val="21"/>
                <w:szCs w:val="21"/>
              </w:rPr>
              <w:t>0.13</w:t>
            </w:r>
          </w:p>
        </w:tc>
        <w:tc>
          <w:tcPr>
            <w:tcW w:w="518" w:type="dxa"/>
            <w:noWrap/>
            <w:vAlign w:val="center"/>
          </w:tcPr>
          <w:p>
            <w:pPr>
              <w:pStyle w:val="154"/>
              <w:spacing w:line="240" w:lineRule="auto"/>
              <w:rPr>
                <w:rFonts w:cs="Times New Roman"/>
                <w:bCs/>
                <w:color w:val="auto"/>
                <w:kern w:val="21"/>
                <w:szCs w:val="21"/>
              </w:rPr>
            </w:pPr>
            <w:r>
              <w:rPr>
                <w:rFonts w:cs="Times New Roman"/>
                <w:bCs/>
                <w:color w:val="auto"/>
                <w:kern w:val="21"/>
                <w:szCs w:val="21"/>
              </w:rPr>
              <w:t>8.0</w:t>
            </w:r>
          </w:p>
        </w:tc>
        <w:tc>
          <w:tcPr>
            <w:tcW w:w="533" w:type="dxa"/>
            <w:noWrap/>
            <w:vAlign w:val="center"/>
          </w:tcPr>
          <w:p>
            <w:pPr>
              <w:pStyle w:val="154"/>
              <w:spacing w:line="240" w:lineRule="auto"/>
              <w:rPr>
                <w:rFonts w:cs="Times New Roman"/>
                <w:color w:val="auto"/>
                <w:kern w:val="21"/>
                <w:szCs w:val="21"/>
              </w:rPr>
            </w:pPr>
            <w:r>
              <w:rPr>
                <w:rFonts w:cs="Times New Roman"/>
                <w:color w:val="auto"/>
                <w:kern w:val="21"/>
                <w:szCs w:val="21"/>
              </w:rPr>
              <w:t>&lt;0.05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32" w:type="dxa"/>
            <w:vAlign w:val="center"/>
          </w:tcPr>
          <w:p>
            <w:pPr>
              <w:pStyle w:val="154"/>
              <w:spacing w:line="240" w:lineRule="auto"/>
              <w:rPr>
                <w:rFonts w:cs="Times New Roman"/>
                <w:color w:val="auto"/>
                <w:kern w:val="21"/>
                <w:szCs w:val="21"/>
              </w:rPr>
            </w:pPr>
            <w:r>
              <w:rPr>
                <w:rFonts w:cs="Times New Roman"/>
                <w:color w:val="auto"/>
                <w:kern w:val="21"/>
                <w:szCs w:val="21"/>
              </w:rPr>
              <w:t>青龙河5#</w:t>
            </w:r>
          </w:p>
        </w:tc>
        <w:tc>
          <w:tcPr>
            <w:tcW w:w="634" w:type="dxa"/>
            <w:vAlign w:val="center"/>
          </w:tcPr>
          <w:p>
            <w:pPr>
              <w:pStyle w:val="154"/>
              <w:spacing w:line="240" w:lineRule="auto"/>
              <w:rPr>
                <w:rFonts w:cs="Times New Roman"/>
                <w:color w:val="auto"/>
                <w:kern w:val="21"/>
                <w:szCs w:val="21"/>
              </w:rPr>
            </w:pPr>
            <w:r>
              <w:rPr>
                <w:rFonts w:cs="Times New Roman"/>
                <w:color w:val="auto"/>
                <w:kern w:val="21"/>
                <w:szCs w:val="21"/>
              </w:rPr>
              <w:t>7.2</w:t>
            </w:r>
          </w:p>
        </w:tc>
        <w:tc>
          <w:tcPr>
            <w:tcW w:w="503" w:type="dxa"/>
            <w:vAlign w:val="center"/>
          </w:tcPr>
          <w:p>
            <w:pPr>
              <w:pStyle w:val="154"/>
              <w:spacing w:line="240" w:lineRule="auto"/>
              <w:rPr>
                <w:rFonts w:cs="Times New Roman"/>
                <w:color w:val="auto"/>
                <w:kern w:val="21"/>
                <w:szCs w:val="21"/>
              </w:rPr>
            </w:pPr>
            <w:r>
              <w:rPr>
                <w:rFonts w:cs="Times New Roman"/>
                <w:color w:val="auto"/>
                <w:kern w:val="21"/>
                <w:szCs w:val="21"/>
              </w:rPr>
              <w:t>55.7</w:t>
            </w:r>
          </w:p>
        </w:tc>
        <w:tc>
          <w:tcPr>
            <w:tcW w:w="629" w:type="dxa"/>
            <w:vAlign w:val="center"/>
          </w:tcPr>
          <w:p>
            <w:pPr>
              <w:pStyle w:val="154"/>
              <w:spacing w:line="240" w:lineRule="auto"/>
              <w:rPr>
                <w:rFonts w:cs="Times New Roman"/>
                <w:bCs/>
                <w:color w:val="auto"/>
                <w:kern w:val="21"/>
                <w:szCs w:val="21"/>
              </w:rPr>
            </w:pPr>
            <w:r>
              <w:rPr>
                <w:rFonts w:cs="Times New Roman"/>
                <w:bCs/>
                <w:color w:val="auto"/>
                <w:kern w:val="21"/>
                <w:szCs w:val="21"/>
              </w:rPr>
              <w:t>1300</w:t>
            </w:r>
          </w:p>
        </w:tc>
        <w:tc>
          <w:tcPr>
            <w:tcW w:w="569" w:type="dxa"/>
            <w:vAlign w:val="center"/>
          </w:tcPr>
          <w:p>
            <w:pPr>
              <w:pStyle w:val="154"/>
              <w:spacing w:line="240" w:lineRule="auto"/>
              <w:rPr>
                <w:rFonts w:cs="Times New Roman"/>
                <w:bCs/>
                <w:color w:val="auto"/>
                <w:kern w:val="21"/>
                <w:szCs w:val="21"/>
              </w:rPr>
            </w:pPr>
            <w:r>
              <w:rPr>
                <w:rFonts w:cs="Times New Roman"/>
                <w:bCs/>
                <w:color w:val="auto"/>
                <w:kern w:val="21"/>
                <w:szCs w:val="21"/>
              </w:rPr>
              <w:t>638</w:t>
            </w:r>
          </w:p>
        </w:tc>
        <w:tc>
          <w:tcPr>
            <w:tcW w:w="677" w:type="dxa"/>
            <w:vAlign w:val="center"/>
          </w:tcPr>
          <w:p>
            <w:pPr>
              <w:pStyle w:val="154"/>
              <w:spacing w:line="240" w:lineRule="auto"/>
              <w:rPr>
                <w:rFonts w:cs="Times New Roman"/>
                <w:bCs/>
                <w:color w:val="auto"/>
                <w:kern w:val="21"/>
                <w:szCs w:val="21"/>
              </w:rPr>
            </w:pPr>
            <w:r>
              <w:rPr>
                <w:rFonts w:cs="Times New Roman"/>
                <w:bCs/>
                <w:color w:val="auto"/>
                <w:kern w:val="21"/>
                <w:szCs w:val="21"/>
              </w:rPr>
              <w:t>23.8</w:t>
            </w:r>
          </w:p>
        </w:tc>
        <w:tc>
          <w:tcPr>
            <w:tcW w:w="539" w:type="dxa"/>
            <w:noWrap/>
            <w:vAlign w:val="center"/>
          </w:tcPr>
          <w:p>
            <w:pPr>
              <w:pStyle w:val="154"/>
              <w:spacing w:line="240" w:lineRule="auto"/>
              <w:rPr>
                <w:rFonts w:cs="Times New Roman"/>
                <w:bCs/>
                <w:color w:val="auto"/>
                <w:kern w:val="21"/>
                <w:szCs w:val="21"/>
              </w:rPr>
            </w:pPr>
            <w:r>
              <w:rPr>
                <w:rFonts w:cs="Times New Roman"/>
                <w:bCs/>
                <w:color w:val="auto"/>
                <w:kern w:val="21"/>
                <w:szCs w:val="21"/>
              </w:rPr>
              <w:t>37.5</w:t>
            </w:r>
          </w:p>
        </w:tc>
        <w:tc>
          <w:tcPr>
            <w:tcW w:w="503" w:type="dxa"/>
            <w:noWrap/>
            <w:vAlign w:val="center"/>
          </w:tcPr>
          <w:p>
            <w:pPr>
              <w:pStyle w:val="154"/>
              <w:spacing w:line="240" w:lineRule="auto"/>
              <w:rPr>
                <w:rFonts w:cs="Times New Roman"/>
                <w:bCs/>
                <w:color w:val="auto"/>
                <w:kern w:val="21"/>
                <w:szCs w:val="21"/>
              </w:rPr>
            </w:pPr>
            <w:r>
              <w:rPr>
                <w:rFonts w:cs="Times New Roman"/>
                <w:bCs/>
                <w:color w:val="auto"/>
                <w:kern w:val="21"/>
                <w:szCs w:val="21"/>
              </w:rPr>
              <w:t>56.7</w:t>
            </w:r>
          </w:p>
        </w:tc>
        <w:tc>
          <w:tcPr>
            <w:tcW w:w="483" w:type="dxa"/>
            <w:noWrap/>
            <w:vAlign w:val="center"/>
          </w:tcPr>
          <w:p>
            <w:pPr>
              <w:pStyle w:val="154"/>
              <w:spacing w:line="240" w:lineRule="auto"/>
              <w:rPr>
                <w:rFonts w:cs="Times New Roman"/>
                <w:bCs/>
                <w:color w:val="auto"/>
                <w:kern w:val="21"/>
                <w:szCs w:val="21"/>
              </w:rPr>
            </w:pPr>
            <w:r>
              <w:rPr>
                <w:rFonts w:cs="Times New Roman"/>
                <w:bCs/>
                <w:color w:val="auto"/>
                <w:kern w:val="21"/>
                <w:szCs w:val="21"/>
              </w:rPr>
              <w:t>27.4</w:t>
            </w:r>
          </w:p>
        </w:tc>
        <w:tc>
          <w:tcPr>
            <w:tcW w:w="518" w:type="dxa"/>
            <w:noWrap/>
            <w:vAlign w:val="center"/>
          </w:tcPr>
          <w:p>
            <w:pPr>
              <w:pStyle w:val="154"/>
              <w:spacing w:line="240" w:lineRule="auto"/>
              <w:rPr>
                <w:rFonts w:cs="Times New Roman"/>
                <w:bCs/>
                <w:color w:val="auto"/>
                <w:kern w:val="21"/>
                <w:szCs w:val="21"/>
              </w:rPr>
            </w:pPr>
            <w:r>
              <w:rPr>
                <w:rFonts w:cs="Times New Roman"/>
                <w:bCs/>
                <w:color w:val="auto"/>
                <w:kern w:val="21"/>
                <w:szCs w:val="21"/>
              </w:rPr>
              <w:t>76.8</w:t>
            </w:r>
          </w:p>
        </w:tc>
        <w:tc>
          <w:tcPr>
            <w:tcW w:w="528" w:type="dxa"/>
            <w:noWrap/>
            <w:vAlign w:val="center"/>
          </w:tcPr>
          <w:p>
            <w:pPr>
              <w:pStyle w:val="154"/>
              <w:spacing w:line="240" w:lineRule="auto"/>
              <w:rPr>
                <w:rFonts w:cs="Times New Roman"/>
                <w:bCs/>
                <w:color w:val="auto"/>
                <w:kern w:val="21"/>
                <w:szCs w:val="21"/>
              </w:rPr>
            </w:pPr>
            <w:r>
              <w:rPr>
                <w:rFonts w:cs="Times New Roman"/>
                <w:bCs/>
                <w:color w:val="auto"/>
                <w:kern w:val="21"/>
                <w:szCs w:val="21"/>
              </w:rPr>
              <w:t>36.3</w:t>
            </w:r>
          </w:p>
        </w:tc>
        <w:tc>
          <w:tcPr>
            <w:tcW w:w="538" w:type="dxa"/>
            <w:noWrap/>
            <w:vAlign w:val="center"/>
          </w:tcPr>
          <w:p>
            <w:pPr>
              <w:pStyle w:val="154"/>
              <w:spacing w:line="240" w:lineRule="auto"/>
              <w:rPr>
                <w:rFonts w:cs="Times New Roman"/>
                <w:b/>
                <w:bCs/>
                <w:color w:val="auto"/>
                <w:kern w:val="21"/>
                <w:szCs w:val="21"/>
              </w:rPr>
            </w:pPr>
            <w:r>
              <w:rPr>
                <w:rFonts w:cs="Times New Roman"/>
                <w:color w:val="auto"/>
                <w:kern w:val="21"/>
                <w:szCs w:val="21"/>
              </w:rPr>
              <w:t>0.45</w:t>
            </w:r>
          </w:p>
        </w:tc>
        <w:tc>
          <w:tcPr>
            <w:tcW w:w="518" w:type="dxa"/>
            <w:noWrap/>
            <w:vAlign w:val="center"/>
          </w:tcPr>
          <w:p>
            <w:pPr>
              <w:pStyle w:val="154"/>
              <w:spacing w:line="240" w:lineRule="auto"/>
              <w:rPr>
                <w:rFonts w:cs="Times New Roman"/>
                <w:bCs/>
                <w:color w:val="auto"/>
                <w:kern w:val="21"/>
                <w:szCs w:val="21"/>
              </w:rPr>
            </w:pPr>
            <w:r>
              <w:rPr>
                <w:rFonts w:cs="Times New Roman"/>
                <w:bCs/>
                <w:color w:val="auto"/>
                <w:kern w:val="21"/>
                <w:szCs w:val="21"/>
              </w:rPr>
              <w:t>4.1</w:t>
            </w:r>
          </w:p>
        </w:tc>
        <w:tc>
          <w:tcPr>
            <w:tcW w:w="533" w:type="dxa"/>
            <w:noWrap/>
            <w:vAlign w:val="center"/>
          </w:tcPr>
          <w:p>
            <w:pPr>
              <w:pStyle w:val="154"/>
              <w:spacing w:line="240" w:lineRule="auto"/>
              <w:rPr>
                <w:rFonts w:cs="Times New Roman"/>
                <w:bCs/>
                <w:color w:val="auto"/>
                <w:kern w:val="21"/>
                <w:szCs w:val="21"/>
              </w:rPr>
            </w:pPr>
            <w:r>
              <w:rPr>
                <w:rFonts w:cs="Times New Roman"/>
                <w:bCs/>
                <w:color w:val="auto"/>
                <w:kern w:val="21"/>
                <w:szCs w:val="21"/>
              </w:rPr>
              <w:t>0.24</w:t>
            </w:r>
          </w:p>
        </w:tc>
      </w:tr>
    </w:tbl>
    <w:p>
      <w:pPr>
        <w:pStyle w:val="16"/>
        <w:keepNext w:val="0"/>
        <w:keepLines w:val="0"/>
        <w:pageBreakBefore w:val="0"/>
        <w:widowControl w:val="0"/>
        <w:kinsoku/>
        <w:wordWrap/>
        <w:overflowPunct/>
        <w:topLinePunct w:val="0"/>
        <w:autoSpaceDE/>
        <w:autoSpaceDN/>
        <w:bidi w:val="0"/>
        <w:adjustRightInd/>
        <w:snapToGrid/>
        <w:spacing w:before="0" w:beforeLines="50"/>
        <w:ind w:right="0" w:firstLine="480"/>
        <w:jc w:val="both"/>
        <w:textAlignment w:val="auto"/>
        <w:rPr>
          <w:rFonts w:hint="default" w:ascii="Times New Roman" w:hAnsi="Times New Roman" w:eastAsia="宋体"/>
          <w:color w:val="auto"/>
          <w:kern w:val="21"/>
          <w:sz w:val="24"/>
          <w:szCs w:val="24"/>
          <w:lang w:val="en-US" w:eastAsia="zh-CN"/>
        </w:rPr>
      </w:pPr>
      <w:r>
        <w:rPr>
          <w:rFonts w:hint="eastAsia" w:ascii="Times New Roman" w:hAnsi="Times New Roman"/>
          <w:color w:val="auto"/>
          <w:kern w:val="21"/>
          <w:sz w:val="24"/>
          <w:szCs w:val="24"/>
          <w:lang w:val="en-US" w:eastAsia="zh-CN"/>
        </w:rPr>
        <w:t>1#为青龙河上游断面，2#为职教园区污水口下游200m，3#为进入拟建湿地前断面，4#为阳光桥下游200m，5#为入龙川江汇入口。</w:t>
      </w:r>
    </w:p>
    <w:p>
      <w:pPr>
        <w:pStyle w:val="16"/>
        <w:keepNext w:val="0"/>
        <w:keepLines w:val="0"/>
        <w:pageBreakBefore w:val="0"/>
        <w:widowControl w:val="0"/>
        <w:kinsoku/>
        <w:wordWrap/>
        <w:overflowPunct/>
        <w:topLinePunct w:val="0"/>
        <w:autoSpaceDE/>
        <w:autoSpaceDN/>
        <w:bidi w:val="0"/>
        <w:adjustRightInd/>
        <w:snapToGrid/>
        <w:spacing w:before="0"/>
        <w:ind w:right="0" w:firstLine="480"/>
        <w:jc w:val="both"/>
        <w:textAlignment w:val="auto"/>
        <w:rPr>
          <w:rFonts w:ascii="Times New Roman" w:hAnsi="Times New Roman"/>
          <w:color w:val="auto"/>
          <w:kern w:val="21"/>
          <w:sz w:val="24"/>
          <w:szCs w:val="20"/>
        </w:rPr>
      </w:pPr>
      <w:r>
        <w:rPr>
          <w:rFonts w:ascii="Times New Roman" w:hAnsi="Times New Roman"/>
          <w:color w:val="auto"/>
          <w:kern w:val="21"/>
          <w:sz w:val="24"/>
          <w:szCs w:val="24"/>
        </w:rPr>
        <w:t>底泥采样时观察污染底泥厚度约0.2~0.6m，平均深度为0.4m。下层为泥沙，污染底泥</w:t>
      </w:r>
      <w:r>
        <w:rPr>
          <w:rFonts w:ascii="Times New Roman" w:hAnsi="Times New Roman"/>
          <w:color w:val="auto"/>
          <w:kern w:val="21"/>
          <w:sz w:val="24"/>
          <w:szCs w:val="20"/>
        </w:rPr>
        <w:t>检测结果显示：青龙河底泥全氮含量达489~1630mg/kg，全磷含量达305~715mg/kg，有机质达</w:t>
      </w:r>
      <w:r>
        <w:rPr>
          <w:rFonts w:hint="eastAsia" w:ascii="Times New Roman" w:hAnsi="Times New Roman"/>
          <w:color w:val="auto"/>
          <w:kern w:val="21"/>
          <w:sz w:val="24"/>
          <w:szCs w:val="20"/>
          <w:lang w:val="en-US" w:eastAsia="zh-CN"/>
        </w:rPr>
        <w:t>10.8</w:t>
      </w:r>
      <w:r>
        <w:rPr>
          <w:rFonts w:ascii="Times New Roman" w:hAnsi="Times New Roman"/>
          <w:color w:val="auto"/>
          <w:kern w:val="21"/>
          <w:sz w:val="24"/>
          <w:szCs w:val="20"/>
        </w:rPr>
        <w:t>~</w:t>
      </w:r>
      <w:r>
        <w:rPr>
          <w:rFonts w:hint="eastAsia" w:ascii="Times New Roman" w:hAnsi="Times New Roman"/>
          <w:color w:val="auto"/>
          <w:kern w:val="21"/>
          <w:sz w:val="24"/>
          <w:szCs w:val="20"/>
          <w:lang w:val="en-US" w:eastAsia="zh-CN"/>
        </w:rPr>
        <w:t>29.8</w:t>
      </w:r>
      <w:r>
        <w:rPr>
          <w:rFonts w:ascii="Times New Roman" w:hAnsi="Times New Roman"/>
          <w:color w:val="auto"/>
          <w:kern w:val="21"/>
          <w:sz w:val="24"/>
          <w:szCs w:val="20"/>
        </w:rPr>
        <w:t>g/kg，高值主要出现在3#</w:t>
      </w:r>
      <w:r>
        <w:rPr>
          <w:rFonts w:hint="eastAsia" w:ascii="Times New Roman" w:hAnsi="Times New Roman"/>
          <w:color w:val="auto"/>
          <w:kern w:val="21"/>
          <w:sz w:val="24"/>
          <w:szCs w:val="24"/>
          <w:lang w:val="en-US" w:eastAsia="zh-CN"/>
        </w:rPr>
        <w:t>进入拟建湿地前断面</w:t>
      </w:r>
      <w:r>
        <w:rPr>
          <w:rFonts w:ascii="Times New Roman" w:hAnsi="Times New Roman"/>
          <w:color w:val="auto"/>
          <w:kern w:val="21"/>
          <w:sz w:val="24"/>
          <w:szCs w:val="20"/>
        </w:rPr>
        <w:t>（该断面位于本项目排污口的上游），此断面河道东西两侧均有排污口，由排污口排出是生活污水携带的大量污染物沉积在这个区域的底泥里。</w:t>
      </w:r>
    </w:p>
    <w:p>
      <w:pPr>
        <w:pStyle w:val="16"/>
        <w:autoSpaceDE/>
        <w:autoSpaceDN/>
        <w:adjustRightInd/>
        <w:spacing w:before="0"/>
        <w:ind w:right="0" w:firstLine="480"/>
        <w:jc w:val="both"/>
        <w:rPr>
          <w:rFonts w:hint="eastAsia" w:ascii="Times New Roman" w:hAnsi="Times New Roman"/>
          <w:color w:val="auto"/>
          <w:kern w:val="21"/>
          <w:sz w:val="24"/>
          <w:szCs w:val="20"/>
          <w:lang w:val="en-US" w:eastAsia="zh-CN"/>
        </w:rPr>
      </w:pPr>
      <w:r>
        <w:rPr>
          <w:rFonts w:hint="eastAsia" w:ascii="Times New Roman" w:hAnsi="Times New Roman"/>
          <w:color w:val="auto"/>
          <w:kern w:val="21"/>
          <w:sz w:val="24"/>
          <w:szCs w:val="20"/>
          <w:lang w:eastAsia="zh-CN"/>
        </w:rPr>
        <w:t>目前，对底泥中有机质、</w:t>
      </w:r>
      <w:r>
        <w:rPr>
          <w:rFonts w:hint="eastAsia" w:ascii="Times New Roman" w:hAnsi="Times New Roman"/>
          <w:color w:val="auto"/>
          <w:kern w:val="21"/>
          <w:sz w:val="24"/>
          <w:szCs w:val="20"/>
          <w:lang w:val="en-US" w:eastAsia="zh-CN"/>
        </w:rPr>
        <w:t>N、P</w:t>
      </w:r>
      <w:r>
        <w:rPr>
          <w:rFonts w:hint="eastAsia" w:ascii="Times New Roman" w:hAnsi="Times New Roman"/>
          <w:color w:val="auto"/>
          <w:kern w:val="21"/>
          <w:sz w:val="24"/>
          <w:szCs w:val="20"/>
          <w:lang w:eastAsia="zh-CN"/>
        </w:rPr>
        <w:t>国内外均</w:t>
      </w:r>
      <w:r>
        <w:rPr>
          <w:rFonts w:hint="eastAsia" w:ascii="Times New Roman" w:hAnsi="Times New Roman"/>
          <w:color w:val="auto"/>
          <w:kern w:val="21"/>
          <w:sz w:val="24"/>
          <w:szCs w:val="20"/>
          <w:lang w:val="en-US" w:eastAsia="zh-CN"/>
        </w:rPr>
        <w:t>没有比较标准的评价方法，本项目参考山东大学硕士学位论文《城市河道底泥污染分析与抑制方法研究》中的加拿大安大略省环境和能源部发布的沉积物能引起水环境生态风险效应的营养物质含量评价标准进行评价，而重金属采用地累积指数评价法进行评价。</w:t>
      </w:r>
    </w:p>
    <w:p>
      <w:pPr>
        <w:numPr>
          <w:ilvl w:val="0"/>
          <w:numId w:val="9"/>
        </w:numPr>
        <w:ind w:left="0" w:leftChars="0" w:firstLine="0" w:firstLineChars="0"/>
        <w:jc w:val="center"/>
        <w:rPr>
          <w:rFonts w:hint="eastAsia" w:eastAsia="宋体"/>
          <w:b/>
          <w:bCs/>
          <w:color w:val="auto"/>
          <w:kern w:val="21"/>
          <w:lang w:eastAsia="zh-CN"/>
        </w:rPr>
      </w:pPr>
      <w:r>
        <w:rPr>
          <w:rFonts w:hint="eastAsia" w:eastAsia="宋体"/>
          <w:b/>
          <w:bCs/>
          <w:color w:val="auto"/>
          <w:kern w:val="21"/>
          <w:lang w:eastAsia="zh-CN"/>
        </w:rPr>
        <w:t>加拿大安大略省有机质和营养元素评价标准（</w:t>
      </w:r>
      <w:r>
        <w:rPr>
          <w:rFonts w:hint="eastAsia" w:eastAsia="宋体"/>
          <w:b/>
          <w:bCs/>
          <w:color w:val="auto"/>
          <w:kern w:val="21"/>
          <w:lang w:val="en-US" w:eastAsia="zh-CN"/>
        </w:rPr>
        <w:t>%</w:t>
      </w:r>
      <w:r>
        <w:rPr>
          <w:rFonts w:hint="eastAsia" w:eastAsia="宋体"/>
          <w:b/>
          <w:bCs/>
          <w:color w:val="auto"/>
          <w:kern w:val="21"/>
          <w:lang w:eastAsia="zh-CN"/>
        </w:rPr>
        <w:t>）</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eastAsia="zh-CN"/>
              </w:rPr>
            </w:pP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eastAsia="zh-CN"/>
              </w:rPr>
              <w:t>有机质</w:t>
            </w:r>
            <w:r>
              <w:rPr>
                <w:rFonts w:hint="eastAsia" w:ascii="Times New Roman" w:hAnsi="Times New Roman"/>
                <w:color w:val="auto"/>
                <w:kern w:val="21"/>
                <w:sz w:val="21"/>
                <w:szCs w:val="21"/>
                <w:vertAlign w:val="baseline"/>
                <w:lang w:val="en-US" w:eastAsia="zh-CN"/>
              </w:rPr>
              <w:t>OM</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TN</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eastAsia="zh-CN"/>
              </w:rPr>
            </w:pPr>
            <w:r>
              <w:rPr>
                <w:rFonts w:hint="eastAsia" w:ascii="Times New Roman" w:hAnsi="Times New Roman"/>
                <w:color w:val="auto"/>
                <w:kern w:val="21"/>
                <w:sz w:val="21"/>
                <w:szCs w:val="21"/>
                <w:vertAlign w:val="baseline"/>
                <w:lang w:eastAsia="zh-CN"/>
              </w:rPr>
              <w:t>安全级</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eastAsia="zh-CN"/>
              </w:rPr>
            </w:pPr>
            <w:r>
              <w:rPr>
                <w:rFonts w:hint="eastAsia" w:ascii="Times New Roman" w:hAnsi="Times New Roman"/>
                <w:color w:val="auto"/>
                <w:kern w:val="21"/>
                <w:sz w:val="21"/>
                <w:szCs w:val="21"/>
                <w:vertAlign w:val="baseline"/>
                <w:lang w:eastAsia="zh-CN"/>
              </w:rPr>
              <w:t>——</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eastAsia="zh-CN"/>
              </w:rPr>
            </w:pPr>
            <w:r>
              <w:rPr>
                <w:rFonts w:hint="eastAsia" w:ascii="Times New Roman" w:hAnsi="Times New Roman"/>
                <w:color w:val="auto"/>
                <w:kern w:val="21"/>
                <w:sz w:val="21"/>
                <w:szCs w:val="21"/>
                <w:vertAlign w:val="baseline"/>
                <w:lang w:eastAsia="zh-CN"/>
              </w:rPr>
              <w:t>——</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eastAsia="zh-CN"/>
              </w:rPr>
            </w:pPr>
            <w:r>
              <w:rPr>
                <w:rFonts w:hint="eastAsia" w:ascii="Times New Roman" w:hAnsi="Times New Roman"/>
                <w:color w:val="auto"/>
                <w:kern w:val="21"/>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eastAsia="zh-CN"/>
              </w:rPr>
            </w:pPr>
            <w:r>
              <w:rPr>
                <w:rFonts w:hint="eastAsia" w:ascii="Times New Roman" w:hAnsi="Times New Roman"/>
                <w:color w:val="auto"/>
                <w:kern w:val="21"/>
                <w:sz w:val="21"/>
                <w:szCs w:val="21"/>
                <w:vertAlign w:val="baseline"/>
                <w:lang w:eastAsia="zh-CN"/>
              </w:rPr>
              <w:t>最低级</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1.724</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0.055</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eastAsia="zh-CN"/>
              </w:rPr>
            </w:pPr>
            <w:r>
              <w:rPr>
                <w:rFonts w:hint="eastAsia" w:ascii="Times New Roman" w:hAnsi="Times New Roman"/>
                <w:color w:val="auto"/>
                <w:kern w:val="21"/>
                <w:sz w:val="21"/>
                <w:szCs w:val="21"/>
                <w:vertAlign w:val="baseline"/>
                <w:lang w:eastAsia="zh-CN"/>
              </w:rPr>
              <w:t>严重级</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17.24</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0.48</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0.2</w:t>
            </w:r>
          </w:p>
        </w:tc>
      </w:tr>
    </w:tbl>
    <w:p>
      <w:pPr>
        <w:pStyle w:val="16"/>
        <w:keepNext w:val="0"/>
        <w:keepLines w:val="0"/>
        <w:pageBreakBefore w:val="0"/>
        <w:widowControl w:val="0"/>
        <w:kinsoku/>
        <w:wordWrap/>
        <w:overflowPunct/>
        <w:topLinePunct w:val="0"/>
        <w:autoSpaceDE/>
        <w:autoSpaceDN/>
        <w:bidi w:val="0"/>
        <w:adjustRightInd/>
        <w:snapToGrid/>
        <w:spacing w:before="0" w:beforeLines="50"/>
        <w:ind w:right="0" w:firstLine="480"/>
        <w:jc w:val="both"/>
        <w:textAlignment w:val="auto"/>
        <w:rPr>
          <w:rFonts w:hint="eastAsia" w:ascii="Times New Roman" w:hAnsi="Times New Roman"/>
          <w:color w:val="auto"/>
          <w:kern w:val="21"/>
          <w:sz w:val="24"/>
          <w:szCs w:val="20"/>
          <w:lang w:eastAsia="zh-CN"/>
        </w:rPr>
      </w:pPr>
      <w:r>
        <w:rPr>
          <w:rFonts w:hint="eastAsia" w:ascii="Times New Roman" w:hAnsi="Times New Roman"/>
          <w:color w:val="auto"/>
          <w:kern w:val="21"/>
          <w:sz w:val="24"/>
          <w:szCs w:val="20"/>
          <w:lang w:eastAsia="zh-CN"/>
        </w:rPr>
        <w:t>安全级：此时在水生生物中未发现中毒效应；</w:t>
      </w:r>
    </w:p>
    <w:p>
      <w:pPr>
        <w:pStyle w:val="16"/>
        <w:autoSpaceDE/>
        <w:autoSpaceDN/>
        <w:adjustRightInd/>
        <w:spacing w:before="0"/>
        <w:ind w:right="0" w:firstLine="480"/>
        <w:jc w:val="both"/>
        <w:rPr>
          <w:rFonts w:hint="eastAsia"/>
          <w:color w:val="auto"/>
          <w:kern w:val="21"/>
          <w:sz w:val="24"/>
          <w:szCs w:val="20"/>
          <w:lang w:eastAsia="zh-CN"/>
        </w:rPr>
      </w:pPr>
      <w:r>
        <w:rPr>
          <w:rFonts w:hint="eastAsia"/>
          <w:color w:val="auto"/>
          <w:kern w:val="21"/>
          <w:sz w:val="24"/>
          <w:szCs w:val="20"/>
          <w:lang w:eastAsia="zh-CN"/>
        </w:rPr>
        <w:t>最低级：此时沉积物已受污染，但是多数底栖生物可以接受；</w:t>
      </w:r>
    </w:p>
    <w:p>
      <w:pPr>
        <w:rPr>
          <w:rFonts w:hint="eastAsia"/>
          <w:color w:val="auto"/>
          <w:kern w:val="21"/>
          <w:sz w:val="24"/>
          <w:szCs w:val="20"/>
          <w:lang w:eastAsia="zh-CN"/>
        </w:rPr>
      </w:pPr>
      <w:r>
        <w:rPr>
          <w:rFonts w:hint="eastAsia"/>
          <w:color w:val="auto"/>
          <w:kern w:val="21"/>
          <w:sz w:val="24"/>
          <w:szCs w:val="20"/>
          <w:lang w:eastAsia="zh-CN"/>
        </w:rPr>
        <w:t>严重级：此时底栖生物群落已遭受明显损害。</w:t>
      </w:r>
    </w:p>
    <w:p>
      <w:pPr>
        <w:numPr>
          <w:ilvl w:val="0"/>
          <w:numId w:val="9"/>
        </w:numPr>
        <w:ind w:left="0" w:leftChars="0" w:firstLine="0" w:firstLineChars="0"/>
        <w:jc w:val="center"/>
        <w:rPr>
          <w:rFonts w:hint="eastAsia" w:eastAsia="宋体"/>
          <w:b/>
          <w:bCs/>
          <w:color w:val="auto"/>
          <w:kern w:val="21"/>
          <w:lang w:eastAsia="zh-CN"/>
        </w:rPr>
      </w:pPr>
      <w:r>
        <w:rPr>
          <w:rFonts w:hint="eastAsia" w:eastAsia="宋体"/>
          <w:b/>
          <w:bCs/>
          <w:color w:val="auto"/>
          <w:kern w:val="21"/>
          <w:lang w:eastAsia="zh-CN"/>
        </w:rPr>
        <w:t>有机质和营养元素评价值（</w:t>
      </w:r>
      <w:r>
        <w:rPr>
          <w:rFonts w:hint="eastAsia" w:eastAsia="宋体"/>
          <w:b/>
          <w:bCs/>
          <w:color w:val="auto"/>
          <w:kern w:val="21"/>
          <w:lang w:val="en-US" w:eastAsia="zh-CN"/>
        </w:rPr>
        <w:t>%</w:t>
      </w:r>
      <w:r>
        <w:rPr>
          <w:rFonts w:hint="eastAsia" w:eastAsia="宋体"/>
          <w:b/>
          <w:bCs/>
          <w:color w:val="auto"/>
          <w:kern w:val="21"/>
          <w:lang w:eastAsia="zh-CN"/>
        </w:rPr>
        <w:t>）</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eastAsia="zh-CN"/>
              </w:rPr>
            </w:pP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eastAsia="zh-CN"/>
              </w:rPr>
              <w:t>有机质</w:t>
            </w:r>
            <w:r>
              <w:rPr>
                <w:rFonts w:hint="eastAsia" w:ascii="Times New Roman" w:hAnsi="Times New Roman"/>
                <w:color w:val="auto"/>
                <w:kern w:val="21"/>
                <w:sz w:val="21"/>
                <w:szCs w:val="21"/>
                <w:vertAlign w:val="baseline"/>
                <w:lang w:val="en-US" w:eastAsia="zh-CN"/>
              </w:rPr>
              <w:t>OM</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TN</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pStyle w:val="154"/>
              <w:widowControl w:val="0"/>
              <w:spacing w:line="240" w:lineRule="auto"/>
              <w:rPr>
                <w:rFonts w:cs="Times New Roman"/>
                <w:color w:val="auto"/>
                <w:kern w:val="21"/>
                <w:szCs w:val="21"/>
              </w:rPr>
            </w:pPr>
            <w:r>
              <w:rPr>
                <w:rFonts w:cs="Times New Roman"/>
                <w:color w:val="auto"/>
                <w:kern w:val="21"/>
                <w:szCs w:val="21"/>
              </w:rPr>
              <w:t>青龙河1#</w:t>
            </w:r>
          </w:p>
        </w:tc>
        <w:tc>
          <w:tcPr>
            <w:tcW w:w="2130" w:type="dxa"/>
            <w:vAlign w:val="center"/>
          </w:tcPr>
          <w:p>
            <w:pPr>
              <w:pStyle w:val="154"/>
              <w:widowControl w:val="0"/>
              <w:spacing w:line="240" w:lineRule="auto"/>
              <w:rPr>
                <w:rFonts w:hint="eastAsia" w:ascii="Times New Roman" w:hAnsi="Times New Roman" w:eastAsia="宋体" w:cs="Times New Roman"/>
                <w:bCs/>
                <w:color w:val="auto"/>
                <w:kern w:val="21"/>
                <w:sz w:val="21"/>
                <w:szCs w:val="21"/>
                <w:lang w:val="en-US" w:eastAsia="zh-CN" w:bidi="ar-SA"/>
              </w:rPr>
            </w:pPr>
            <w:r>
              <w:rPr>
                <w:rFonts w:cs="Times New Roman"/>
                <w:bCs/>
                <w:color w:val="auto"/>
                <w:kern w:val="21"/>
                <w:szCs w:val="21"/>
              </w:rPr>
              <w:t>2</w:t>
            </w:r>
            <w:r>
              <w:rPr>
                <w:rFonts w:hint="eastAsia" w:cs="Times New Roman"/>
                <w:bCs/>
                <w:color w:val="auto"/>
                <w:kern w:val="21"/>
                <w:szCs w:val="21"/>
                <w:lang w:val="en-US" w:eastAsia="zh-CN"/>
              </w:rPr>
              <w:t>.</w:t>
            </w:r>
            <w:r>
              <w:rPr>
                <w:rFonts w:cs="Times New Roman"/>
                <w:bCs/>
                <w:color w:val="auto"/>
                <w:kern w:val="21"/>
                <w:szCs w:val="21"/>
              </w:rPr>
              <w:t>15</w:t>
            </w:r>
          </w:p>
        </w:tc>
        <w:tc>
          <w:tcPr>
            <w:tcW w:w="2130" w:type="dxa"/>
            <w:vAlign w:val="center"/>
          </w:tcPr>
          <w:p>
            <w:pPr>
              <w:pStyle w:val="154"/>
              <w:widowControl w:val="0"/>
              <w:spacing w:line="240" w:lineRule="auto"/>
              <w:rPr>
                <w:rFonts w:hint="eastAsia" w:ascii="Times New Roman" w:hAnsi="Times New Roman" w:eastAsia="宋体" w:cs="Times New Roman"/>
                <w:bCs/>
                <w:color w:val="auto"/>
                <w:kern w:val="21"/>
                <w:sz w:val="21"/>
                <w:szCs w:val="21"/>
                <w:lang w:val="en-US" w:eastAsia="zh-CN" w:bidi="ar-SA"/>
              </w:rPr>
            </w:pPr>
            <w:r>
              <w:rPr>
                <w:rFonts w:hint="eastAsia" w:cs="Times New Roman"/>
                <w:bCs/>
                <w:color w:val="auto"/>
                <w:kern w:val="21"/>
                <w:szCs w:val="21"/>
                <w:lang w:val="en-US" w:eastAsia="zh-CN"/>
              </w:rPr>
              <w:t>0.</w:t>
            </w:r>
            <w:r>
              <w:rPr>
                <w:rFonts w:cs="Times New Roman"/>
                <w:bCs/>
                <w:color w:val="auto"/>
                <w:kern w:val="21"/>
                <w:szCs w:val="21"/>
              </w:rPr>
              <w:t>124</w:t>
            </w:r>
            <w:r>
              <w:rPr>
                <w:rFonts w:hint="eastAsia" w:cs="Times New Roman"/>
                <w:bCs/>
                <w:color w:val="auto"/>
                <w:kern w:val="21"/>
                <w:szCs w:val="21"/>
                <w:lang w:val="en-US" w:eastAsia="zh-CN"/>
              </w:rPr>
              <w:t>0</w:t>
            </w:r>
          </w:p>
        </w:tc>
        <w:tc>
          <w:tcPr>
            <w:tcW w:w="2130" w:type="dxa"/>
            <w:vAlign w:val="center"/>
          </w:tcPr>
          <w:p>
            <w:pPr>
              <w:pStyle w:val="154"/>
              <w:widowControl w:val="0"/>
              <w:spacing w:line="240" w:lineRule="auto"/>
              <w:rPr>
                <w:rFonts w:hint="eastAsia" w:ascii="Times New Roman" w:hAnsi="Times New Roman" w:eastAsia="宋体" w:cs="Times New Roman"/>
                <w:bCs/>
                <w:color w:val="auto"/>
                <w:kern w:val="21"/>
                <w:sz w:val="21"/>
                <w:szCs w:val="21"/>
                <w:lang w:val="en-US" w:eastAsia="zh-CN" w:bidi="ar-SA"/>
              </w:rPr>
            </w:pPr>
            <w:r>
              <w:rPr>
                <w:rFonts w:hint="eastAsia" w:cs="Times New Roman"/>
                <w:bCs/>
                <w:color w:val="auto"/>
                <w:kern w:val="21"/>
                <w:szCs w:val="21"/>
                <w:lang w:val="en-US" w:eastAsia="zh-CN"/>
              </w:rPr>
              <w:t>0.0</w:t>
            </w:r>
            <w:r>
              <w:rPr>
                <w:rFonts w:cs="Times New Roman"/>
                <w:bCs/>
                <w:color w:val="auto"/>
                <w:kern w:val="21"/>
                <w:szCs w:val="21"/>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pStyle w:val="154"/>
              <w:widowControl w:val="0"/>
              <w:spacing w:line="240" w:lineRule="auto"/>
              <w:rPr>
                <w:rFonts w:hint="eastAsia" w:ascii="Times New Roman" w:hAnsi="Times New Roman"/>
                <w:color w:val="auto"/>
                <w:kern w:val="21"/>
                <w:sz w:val="21"/>
                <w:szCs w:val="21"/>
                <w:vertAlign w:val="baseline"/>
                <w:lang w:eastAsia="zh-CN"/>
              </w:rPr>
            </w:pPr>
            <w:r>
              <w:rPr>
                <w:rFonts w:cs="Times New Roman"/>
                <w:color w:val="auto"/>
                <w:kern w:val="21"/>
                <w:szCs w:val="21"/>
              </w:rPr>
              <w:t>青龙河2#</w:t>
            </w:r>
          </w:p>
        </w:tc>
        <w:tc>
          <w:tcPr>
            <w:tcW w:w="2130" w:type="dxa"/>
            <w:vAlign w:val="center"/>
          </w:tcPr>
          <w:p>
            <w:pPr>
              <w:pStyle w:val="154"/>
              <w:widowControl w:val="0"/>
              <w:spacing w:line="240" w:lineRule="auto"/>
              <w:rPr>
                <w:rFonts w:hint="default" w:ascii="Times New Roman" w:hAnsi="Times New Roman" w:eastAsia="宋体" w:cs="Times New Roman"/>
                <w:bCs/>
                <w:color w:val="auto"/>
                <w:kern w:val="21"/>
                <w:sz w:val="21"/>
                <w:szCs w:val="21"/>
                <w:lang w:val="en-US" w:eastAsia="zh-CN" w:bidi="ar-SA"/>
              </w:rPr>
            </w:pPr>
            <w:r>
              <w:rPr>
                <w:rFonts w:cs="Times New Roman"/>
                <w:bCs/>
                <w:color w:val="auto"/>
                <w:kern w:val="21"/>
                <w:szCs w:val="21"/>
              </w:rPr>
              <w:t>1</w:t>
            </w:r>
            <w:r>
              <w:rPr>
                <w:rFonts w:hint="eastAsia" w:cs="Times New Roman"/>
                <w:bCs/>
                <w:color w:val="auto"/>
                <w:kern w:val="21"/>
                <w:szCs w:val="21"/>
                <w:lang w:val="en-US" w:eastAsia="zh-CN"/>
              </w:rPr>
              <w:t>.</w:t>
            </w:r>
            <w:r>
              <w:rPr>
                <w:rFonts w:cs="Times New Roman"/>
                <w:bCs/>
                <w:color w:val="auto"/>
                <w:kern w:val="21"/>
                <w:szCs w:val="21"/>
              </w:rPr>
              <w:t>08</w:t>
            </w:r>
          </w:p>
        </w:tc>
        <w:tc>
          <w:tcPr>
            <w:tcW w:w="2130" w:type="dxa"/>
            <w:vAlign w:val="center"/>
          </w:tcPr>
          <w:p>
            <w:pPr>
              <w:pStyle w:val="154"/>
              <w:widowControl w:val="0"/>
              <w:spacing w:line="240" w:lineRule="auto"/>
              <w:rPr>
                <w:rFonts w:hint="default" w:ascii="Times New Roman" w:hAnsi="Times New Roman" w:eastAsia="宋体" w:cs="Times New Roman"/>
                <w:bCs/>
                <w:color w:val="auto"/>
                <w:kern w:val="21"/>
                <w:sz w:val="21"/>
                <w:szCs w:val="21"/>
                <w:lang w:val="en-US" w:eastAsia="zh-CN" w:bidi="ar-SA"/>
              </w:rPr>
            </w:pPr>
            <w:r>
              <w:rPr>
                <w:rFonts w:hint="eastAsia" w:cs="Times New Roman"/>
                <w:bCs/>
                <w:color w:val="auto"/>
                <w:kern w:val="21"/>
                <w:szCs w:val="21"/>
                <w:lang w:val="en-US" w:eastAsia="zh-CN"/>
              </w:rPr>
              <w:t>0.0</w:t>
            </w:r>
            <w:r>
              <w:rPr>
                <w:rFonts w:cs="Times New Roman"/>
                <w:bCs/>
                <w:color w:val="auto"/>
                <w:kern w:val="21"/>
                <w:szCs w:val="21"/>
              </w:rPr>
              <w:t>489</w:t>
            </w:r>
          </w:p>
        </w:tc>
        <w:tc>
          <w:tcPr>
            <w:tcW w:w="2130" w:type="dxa"/>
            <w:vAlign w:val="center"/>
          </w:tcPr>
          <w:p>
            <w:pPr>
              <w:pStyle w:val="154"/>
              <w:widowControl w:val="0"/>
              <w:spacing w:line="240" w:lineRule="auto"/>
              <w:rPr>
                <w:rFonts w:hint="default" w:ascii="Times New Roman" w:hAnsi="Times New Roman" w:eastAsia="宋体" w:cs="Times New Roman"/>
                <w:bCs/>
                <w:color w:val="auto"/>
                <w:kern w:val="21"/>
                <w:sz w:val="21"/>
                <w:szCs w:val="21"/>
                <w:lang w:val="en-US" w:eastAsia="zh-CN" w:bidi="ar-SA"/>
              </w:rPr>
            </w:pPr>
            <w:r>
              <w:rPr>
                <w:rFonts w:hint="eastAsia" w:cs="Times New Roman"/>
                <w:bCs/>
                <w:color w:val="auto"/>
                <w:kern w:val="21"/>
                <w:szCs w:val="21"/>
                <w:lang w:val="en-US" w:eastAsia="zh-CN"/>
              </w:rPr>
              <w:t>0.0</w:t>
            </w:r>
            <w:r>
              <w:rPr>
                <w:rFonts w:cs="Times New Roman"/>
                <w:bCs/>
                <w:color w:val="auto"/>
                <w:kern w:val="21"/>
                <w:szCs w:val="21"/>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pStyle w:val="154"/>
              <w:widowControl w:val="0"/>
              <w:spacing w:line="240" w:lineRule="auto"/>
              <w:rPr>
                <w:rFonts w:hint="eastAsia" w:ascii="Times New Roman" w:hAnsi="Times New Roman"/>
                <w:color w:val="auto"/>
                <w:kern w:val="21"/>
                <w:sz w:val="21"/>
                <w:szCs w:val="21"/>
                <w:vertAlign w:val="baseline"/>
                <w:lang w:eastAsia="zh-CN"/>
              </w:rPr>
            </w:pPr>
            <w:r>
              <w:rPr>
                <w:rFonts w:cs="Times New Roman"/>
                <w:color w:val="auto"/>
                <w:kern w:val="21"/>
                <w:szCs w:val="21"/>
              </w:rPr>
              <w:t>青龙河3#</w:t>
            </w:r>
          </w:p>
        </w:tc>
        <w:tc>
          <w:tcPr>
            <w:tcW w:w="2130" w:type="dxa"/>
            <w:vAlign w:val="center"/>
          </w:tcPr>
          <w:p>
            <w:pPr>
              <w:pStyle w:val="154"/>
              <w:widowControl w:val="0"/>
              <w:spacing w:line="240" w:lineRule="auto"/>
              <w:rPr>
                <w:rFonts w:hint="default" w:ascii="Times New Roman" w:hAnsi="Times New Roman" w:eastAsia="宋体" w:cs="Times New Roman"/>
                <w:bCs/>
                <w:color w:val="auto"/>
                <w:kern w:val="21"/>
                <w:sz w:val="21"/>
                <w:szCs w:val="21"/>
                <w:lang w:val="en-US" w:eastAsia="zh-CN" w:bidi="ar-SA"/>
              </w:rPr>
            </w:pPr>
            <w:r>
              <w:rPr>
                <w:rFonts w:cs="Times New Roman"/>
                <w:bCs/>
                <w:color w:val="auto"/>
                <w:kern w:val="21"/>
                <w:szCs w:val="21"/>
              </w:rPr>
              <w:t>2</w:t>
            </w:r>
            <w:r>
              <w:rPr>
                <w:rFonts w:hint="eastAsia" w:cs="Times New Roman"/>
                <w:bCs/>
                <w:color w:val="auto"/>
                <w:kern w:val="21"/>
                <w:szCs w:val="21"/>
                <w:lang w:val="en-US" w:eastAsia="zh-CN"/>
              </w:rPr>
              <w:t>.</w:t>
            </w:r>
            <w:r>
              <w:rPr>
                <w:rFonts w:cs="Times New Roman"/>
                <w:bCs/>
                <w:color w:val="auto"/>
                <w:kern w:val="21"/>
                <w:szCs w:val="21"/>
              </w:rPr>
              <w:t>98</w:t>
            </w:r>
          </w:p>
        </w:tc>
        <w:tc>
          <w:tcPr>
            <w:tcW w:w="2130" w:type="dxa"/>
            <w:vAlign w:val="center"/>
          </w:tcPr>
          <w:p>
            <w:pPr>
              <w:pStyle w:val="154"/>
              <w:widowControl w:val="0"/>
              <w:spacing w:line="240" w:lineRule="auto"/>
              <w:rPr>
                <w:rFonts w:hint="eastAsia" w:ascii="Times New Roman" w:hAnsi="Times New Roman" w:eastAsia="宋体" w:cs="Times New Roman"/>
                <w:bCs/>
                <w:color w:val="auto"/>
                <w:kern w:val="21"/>
                <w:sz w:val="21"/>
                <w:szCs w:val="21"/>
                <w:lang w:val="en-US" w:eastAsia="zh-CN" w:bidi="ar-SA"/>
              </w:rPr>
            </w:pPr>
            <w:r>
              <w:rPr>
                <w:rFonts w:hint="eastAsia" w:cs="Times New Roman"/>
                <w:bCs/>
                <w:color w:val="auto"/>
                <w:kern w:val="21"/>
                <w:szCs w:val="21"/>
                <w:lang w:val="en-US" w:eastAsia="zh-CN"/>
              </w:rPr>
              <w:t>0.</w:t>
            </w:r>
            <w:r>
              <w:rPr>
                <w:rFonts w:cs="Times New Roman"/>
                <w:bCs/>
                <w:color w:val="auto"/>
                <w:kern w:val="21"/>
                <w:szCs w:val="21"/>
              </w:rPr>
              <w:t>163</w:t>
            </w:r>
            <w:r>
              <w:rPr>
                <w:rFonts w:hint="eastAsia" w:cs="Times New Roman"/>
                <w:bCs/>
                <w:color w:val="auto"/>
                <w:kern w:val="21"/>
                <w:szCs w:val="21"/>
                <w:lang w:val="en-US" w:eastAsia="zh-CN"/>
              </w:rPr>
              <w:t>0</w:t>
            </w:r>
          </w:p>
        </w:tc>
        <w:tc>
          <w:tcPr>
            <w:tcW w:w="2130" w:type="dxa"/>
            <w:vAlign w:val="center"/>
          </w:tcPr>
          <w:p>
            <w:pPr>
              <w:pStyle w:val="154"/>
              <w:widowControl w:val="0"/>
              <w:spacing w:line="240" w:lineRule="auto"/>
              <w:rPr>
                <w:rFonts w:hint="default" w:ascii="Times New Roman" w:hAnsi="Times New Roman" w:eastAsia="宋体" w:cs="Times New Roman"/>
                <w:bCs/>
                <w:color w:val="auto"/>
                <w:kern w:val="21"/>
                <w:sz w:val="21"/>
                <w:szCs w:val="21"/>
                <w:lang w:val="en-US" w:eastAsia="zh-CN" w:bidi="ar-SA"/>
              </w:rPr>
            </w:pPr>
            <w:r>
              <w:rPr>
                <w:rFonts w:hint="eastAsia" w:cs="Times New Roman"/>
                <w:bCs/>
                <w:color w:val="auto"/>
                <w:kern w:val="21"/>
                <w:szCs w:val="21"/>
                <w:lang w:val="en-US" w:eastAsia="zh-CN"/>
              </w:rPr>
              <w:t>0.0</w:t>
            </w:r>
            <w:r>
              <w:rPr>
                <w:rFonts w:cs="Times New Roman"/>
                <w:bCs/>
                <w:color w:val="auto"/>
                <w:kern w:val="21"/>
                <w:szCs w:val="21"/>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pStyle w:val="154"/>
              <w:widowControl w:val="0"/>
              <w:spacing w:line="240" w:lineRule="auto"/>
              <w:rPr>
                <w:rFonts w:hint="eastAsia" w:ascii="Times New Roman" w:hAnsi="Times New Roman"/>
                <w:color w:val="auto"/>
                <w:kern w:val="21"/>
                <w:sz w:val="21"/>
                <w:szCs w:val="21"/>
                <w:vertAlign w:val="baseline"/>
                <w:lang w:eastAsia="zh-CN"/>
              </w:rPr>
            </w:pPr>
            <w:r>
              <w:rPr>
                <w:rFonts w:cs="Times New Roman"/>
                <w:color w:val="auto"/>
                <w:kern w:val="21"/>
                <w:szCs w:val="21"/>
              </w:rPr>
              <w:t>青龙河4#</w:t>
            </w:r>
          </w:p>
        </w:tc>
        <w:tc>
          <w:tcPr>
            <w:tcW w:w="2130" w:type="dxa"/>
            <w:vAlign w:val="center"/>
          </w:tcPr>
          <w:p>
            <w:pPr>
              <w:pStyle w:val="154"/>
              <w:widowControl w:val="0"/>
              <w:spacing w:line="240" w:lineRule="auto"/>
              <w:rPr>
                <w:rFonts w:hint="eastAsia" w:ascii="Times New Roman" w:hAnsi="Times New Roman" w:eastAsia="宋体" w:cs="Times New Roman"/>
                <w:bCs/>
                <w:color w:val="auto"/>
                <w:kern w:val="21"/>
                <w:sz w:val="21"/>
                <w:szCs w:val="21"/>
                <w:lang w:val="en-US" w:eastAsia="zh-CN" w:bidi="ar-SA"/>
              </w:rPr>
            </w:pPr>
            <w:r>
              <w:rPr>
                <w:rFonts w:cs="Times New Roman"/>
                <w:bCs/>
                <w:color w:val="auto"/>
                <w:kern w:val="21"/>
                <w:szCs w:val="21"/>
              </w:rPr>
              <w:t>1</w:t>
            </w:r>
            <w:r>
              <w:rPr>
                <w:rFonts w:hint="eastAsia" w:cs="Times New Roman"/>
                <w:bCs/>
                <w:color w:val="auto"/>
                <w:kern w:val="21"/>
                <w:szCs w:val="21"/>
                <w:lang w:val="en-US" w:eastAsia="zh-CN"/>
              </w:rPr>
              <w:t>.</w:t>
            </w:r>
            <w:r>
              <w:rPr>
                <w:rFonts w:cs="Times New Roman"/>
                <w:bCs/>
                <w:color w:val="auto"/>
                <w:kern w:val="21"/>
                <w:szCs w:val="21"/>
              </w:rPr>
              <w:t>71</w:t>
            </w:r>
          </w:p>
        </w:tc>
        <w:tc>
          <w:tcPr>
            <w:tcW w:w="2130" w:type="dxa"/>
            <w:vAlign w:val="center"/>
          </w:tcPr>
          <w:p>
            <w:pPr>
              <w:pStyle w:val="154"/>
              <w:widowControl w:val="0"/>
              <w:spacing w:line="240" w:lineRule="auto"/>
              <w:rPr>
                <w:rFonts w:hint="eastAsia" w:ascii="Times New Roman" w:hAnsi="Times New Roman" w:eastAsia="宋体" w:cs="Times New Roman"/>
                <w:bCs/>
                <w:color w:val="auto"/>
                <w:kern w:val="21"/>
                <w:sz w:val="21"/>
                <w:szCs w:val="21"/>
                <w:lang w:val="en-US" w:eastAsia="zh-CN" w:bidi="ar-SA"/>
              </w:rPr>
            </w:pPr>
            <w:r>
              <w:rPr>
                <w:rFonts w:hint="eastAsia" w:cs="Times New Roman"/>
                <w:bCs/>
                <w:color w:val="auto"/>
                <w:kern w:val="21"/>
                <w:szCs w:val="21"/>
                <w:lang w:val="en-US" w:eastAsia="zh-CN"/>
              </w:rPr>
              <w:t>0.0</w:t>
            </w:r>
            <w:r>
              <w:rPr>
                <w:rFonts w:cs="Times New Roman"/>
                <w:bCs/>
                <w:color w:val="auto"/>
                <w:kern w:val="21"/>
                <w:szCs w:val="21"/>
              </w:rPr>
              <w:t>681</w:t>
            </w:r>
          </w:p>
        </w:tc>
        <w:tc>
          <w:tcPr>
            <w:tcW w:w="2130" w:type="dxa"/>
            <w:vAlign w:val="center"/>
          </w:tcPr>
          <w:p>
            <w:pPr>
              <w:pStyle w:val="154"/>
              <w:widowControl w:val="0"/>
              <w:spacing w:line="240" w:lineRule="auto"/>
              <w:rPr>
                <w:rFonts w:hint="eastAsia" w:ascii="Times New Roman" w:hAnsi="Times New Roman" w:eastAsia="宋体" w:cs="Times New Roman"/>
                <w:bCs/>
                <w:color w:val="auto"/>
                <w:kern w:val="21"/>
                <w:sz w:val="21"/>
                <w:szCs w:val="21"/>
                <w:lang w:val="en-US" w:eastAsia="zh-CN" w:bidi="ar-SA"/>
              </w:rPr>
            </w:pPr>
            <w:r>
              <w:rPr>
                <w:rFonts w:hint="eastAsia" w:cs="Times New Roman"/>
                <w:bCs/>
                <w:color w:val="auto"/>
                <w:kern w:val="21"/>
                <w:szCs w:val="21"/>
                <w:lang w:val="en-US" w:eastAsia="zh-CN"/>
              </w:rPr>
              <w:t>0.0</w:t>
            </w:r>
            <w:r>
              <w:rPr>
                <w:rFonts w:cs="Times New Roman"/>
                <w:bCs/>
                <w:color w:val="auto"/>
                <w:kern w:val="21"/>
                <w:szCs w:val="21"/>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pStyle w:val="154"/>
              <w:widowControl w:val="0"/>
              <w:spacing w:line="240" w:lineRule="auto"/>
              <w:rPr>
                <w:rFonts w:hint="eastAsia" w:ascii="Times New Roman" w:hAnsi="Times New Roman"/>
                <w:color w:val="auto"/>
                <w:kern w:val="21"/>
                <w:sz w:val="21"/>
                <w:szCs w:val="21"/>
                <w:vertAlign w:val="baseline"/>
                <w:lang w:eastAsia="zh-CN"/>
              </w:rPr>
            </w:pPr>
            <w:r>
              <w:rPr>
                <w:rFonts w:cs="Times New Roman"/>
                <w:color w:val="auto"/>
                <w:kern w:val="21"/>
                <w:szCs w:val="21"/>
              </w:rPr>
              <w:t>青龙河5#</w:t>
            </w:r>
          </w:p>
        </w:tc>
        <w:tc>
          <w:tcPr>
            <w:tcW w:w="2130" w:type="dxa"/>
            <w:vAlign w:val="center"/>
          </w:tcPr>
          <w:p>
            <w:pPr>
              <w:pStyle w:val="154"/>
              <w:widowControl w:val="0"/>
              <w:spacing w:line="240" w:lineRule="auto"/>
              <w:rPr>
                <w:rFonts w:hint="eastAsia" w:ascii="Times New Roman" w:hAnsi="Times New Roman" w:eastAsia="宋体" w:cs="Times New Roman"/>
                <w:bCs/>
                <w:color w:val="auto"/>
                <w:kern w:val="21"/>
                <w:sz w:val="21"/>
                <w:szCs w:val="21"/>
                <w:lang w:val="en-US" w:eastAsia="zh-CN" w:bidi="ar-SA"/>
              </w:rPr>
            </w:pPr>
            <w:r>
              <w:rPr>
                <w:rFonts w:cs="Times New Roman"/>
                <w:bCs/>
                <w:color w:val="auto"/>
                <w:kern w:val="21"/>
                <w:szCs w:val="21"/>
              </w:rPr>
              <w:t>2</w:t>
            </w:r>
            <w:r>
              <w:rPr>
                <w:rFonts w:hint="eastAsia" w:cs="Times New Roman"/>
                <w:bCs/>
                <w:color w:val="auto"/>
                <w:kern w:val="21"/>
                <w:szCs w:val="21"/>
                <w:lang w:val="en-US" w:eastAsia="zh-CN"/>
              </w:rPr>
              <w:t>.</w:t>
            </w:r>
            <w:r>
              <w:rPr>
                <w:rFonts w:cs="Times New Roman"/>
                <w:bCs/>
                <w:color w:val="auto"/>
                <w:kern w:val="21"/>
                <w:szCs w:val="21"/>
              </w:rPr>
              <w:t>38</w:t>
            </w:r>
          </w:p>
        </w:tc>
        <w:tc>
          <w:tcPr>
            <w:tcW w:w="2130" w:type="dxa"/>
            <w:vAlign w:val="center"/>
          </w:tcPr>
          <w:p>
            <w:pPr>
              <w:pStyle w:val="154"/>
              <w:widowControl w:val="0"/>
              <w:spacing w:line="240" w:lineRule="auto"/>
              <w:rPr>
                <w:rFonts w:hint="default" w:ascii="Times New Roman" w:hAnsi="Times New Roman" w:eastAsia="宋体" w:cs="Times New Roman"/>
                <w:bCs/>
                <w:color w:val="auto"/>
                <w:kern w:val="21"/>
                <w:sz w:val="21"/>
                <w:szCs w:val="21"/>
                <w:lang w:val="en-US" w:eastAsia="zh-CN" w:bidi="ar-SA"/>
              </w:rPr>
            </w:pPr>
            <w:r>
              <w:rPr>
                <w:rFonts w:hint="eastAsia" w:cs="Times New Roman"/>
                <w:bCs/>
                <w:color w:val="auto"/>
                <w:kern w:val="21"/>
                <w:szCs w:val="21"/>
                <w:lang w:val="en-US" w:eastAsia="zh-CN"/>
              </w:rPr>
              <w:t>0.</w:t>
            </w:r>
            <w:r>
              <w:rPr>
                <w:rFonts w:cs="Times New Roman"/>
                <w:bCs/>
                <w:color w:val="auto"/>
                <w:kern w:val="21"/>
                <w:szCs w:val="21"/>
              </w:rPr>
              <w:t>13</w:t>
            </w:r>
            <w:r>
              <w:rPr>
                <w:rFonts w:hint="eastAsia" w:cs="Times New Roman"/>
                <w:bCs/>
                <w:color w:val="auto"/>
                <w:kern w:val="21"/>
                <w:szCs w:val="21"/>
                <w:lang w:val="en-US" w:eastAsia="zh-CN"/>
              </w:rPr>
              <w:t>00</w:t>
            </w:r>
          </w:p>
        </w:tc>
        <w:tc>
          <w:tcPr>
            <w:tcW w:w="2130" w:type="dxa"/>
            <w:vAlign w:val="center"/>
          </w:tcPr>
          <w:p>
            <w:pPr>
              <w:pStyle w:val="154"/>
              <w:widowControl w:val="0"/>
              <w:spacing w:line="240" w:lineRule="auto"/>
              <w:rPr>
                <w:rFonts w:hint="eastAsia" w:ascii="Times New Roman" w:hAnsi="Times New Roman" w:eastAsia="宋体" w:cs="Times New Roman"/>
                <w:bCs/>
                <w:color w:val="auto"/>
                <w:kern w:val="21"/>
                <w:sz w:val="21"/>
                <w:szCs w:val="21"/>
                <w:lang w:val="en-US" w:eastAsia="zh-CN" w:bidi="ar-SA"/>
              </w:rPr>
            </w:pPr>
            <w:r>
              <w:rPr>
                <w:rFonts w:hint="eastAsia" w:cs="Times New Roman"/>
                <w:bCs/>
                <w:color w:val="auto"/>
                <w:kern w:val="21"/>
                <w:szCs w:val="21"/>
                <w:lang w:val="en-US" w:eastAsia="zh-CN"/>
              </w:rPr>
              <w:t>0.0</w:t>
            </w:r>
            <w:r>
              <w:rPr>
                <w:rFonts w:cs="Times New Roman"/>
                <w:bCs/>
                <w:color w:val="auto"/>
                <w:kern w:val="21"/>
                <w:szCs w:val="21"/>
              </w:rPr>
              <w:t>638</w:t>
            </w:r>
          </w:p>
        </w:tc>
      </w:tr>
    </w:tbl>
    <w:p>
      <w:pPr>
        <w:pStyle w:val="16"/>
        <w:keepNext w:val="0"/>
        <w:keepLines w:val="0"/>
        <w:pageBreakBefore w:val="0"/>
        <w:widowControl w:val="0"/>
        <w:kinsoku/>
        <w:wordWrap/>
        <w:overflowPunct/>
        <w:topLinePunct w:val="0"/>
        <w:autoSpaceDE/>
        <w:autoSpaceDN/>
        <w:bidi w:val="0"/>
        <w:adjustRightInd/>
        <w:snapToGrid/>
        <w:spacing w:before="0" w:beforeLines="50"/>
        <w:ind w:right="0" w:firstLine="480"/>
        <w:jc w:val="both"/>
        <w:textAlignment w:val="auto"/>
        <w:rPr>
          <w:rFonts w:hint="default" w:ascii="Times New Roman" w:hAnsi="Times New Roman"/>
          <w:color w:val="auto"/>
          <w:kern w:val="21"/>
          <w:sz w:val="24"/>
          <w:szCs w:val="20"/>
          <w:lang w:val="en-US" w:eastAsia="zh-CN"/>
        </w:rPr>
      </w:pPr>
      <w:r>
        <w:rPr>
          <w:rFonts w:hint="eastAsia" w:ascii="Times New Roman" w:hAnsi="Times New Roman"/>
          <w:color w:val="auto"/>
          <w:kern w:val="21"/>
          <w:sz w:val="24"/>
          <w:szCs w:val="20"/>
          <w:lang w:eastAsia="zh-CN"/>
        </w:rPr>
        <w:t>通过上表可知，青龙河</w:t>
      </w:r>
      <w:r>
        <w:rPr>
          <w:rFonts w:hint="eastAsia" w:ascii="Times New Roman" w:hAnsi="Times New Roman"/>
          <w:color w:val="auto"/>
          <w:kern w:val="21"/>
          <w:sz w:val="24"/>
          <w:szCs w:val="20"/>
          <w:lang w:val="en-US" w:eastAsia="zh-CN"/>
        </w:rPr>
        <w:t>1#</w:t>
      </w:r>
      <w:r>
        <w:rPr>
          <w:rFonts w:hint="eastAsia" w:ascii="Times New Roman" w:hAnsi="Times New Roman"/>
          <w:color w:val="auto"/>
          <w:kern w:val="21"/>
          <w:sz w:val="24"/>
          <w:szCs w:val="24"/>
          <w:lang w:val="en-US" w:eastAsia="zh-CN"/>
        </w:rPr>
        <w:t>青龙河上游断面</w:t>
      </w:r>
      <w:r>
        <w:rPr>
          <w:rFonts w:hint="eastAsia" w:ascii="Times New Roman" w:hAnsi="Times New Roman"/>
          <w:color w:val="auto"/>
          <w:kern w:val="21"/>
          <w:sz w:val="24"/>
          <w:szCs w:val="20"/>
          <w:lang w:val="en-US" w:eastAsia="zh-CN"/>
        </w:rPr>
        <w:t>、3#</w:t>
      </w:r>
      <w:r>
        <w:rPr>
          <w:rFonts w:hint="eastAsia" w:ascii="Times New Roman" w:hAnsi="Times New Roman"/>
          <w:color w:val="auto"/>
          <w:kern w:val="21"/>
          <w:sz w:val="24"/>
          <w:szCs w:val="24"/>
          <w:lang w:val="en-US" w:eastAsia="zh-CN"/>
        </w:rPr>
        <w:t>进入拟建湿地前断面</w:t>
      </w:r>
      <w:r>
        <w:rPr>
          <w:rFonts w:hint="eastAsia" w:ascii="Times New Roman" w:hAnsi="Times New Roman"/>
          <w:color w:val="auto"/>
          <w:kern w:val="21"/>
          <w:sz w:val="24"/>
          <w:szCs w:val="20"/>
          <w:lang w:val="en-US" w:eastAsia="zh-CN"/>
        </w:rPr>
        <w:t>、5#</w:t>
      </w:r>
      <w:r>
        <w:rPr>
          <w:rFonts w:hint="eastAsia" w:ascii="Times New Roman" w:hAnsi="Times New Roman"/>
          <w:color w:val="auto"/>
          <w:kern w:val="21"/>
          <w:sz w:val="24"/>
          <w:szCs w:val="24"/>
          <w:lang w:val="en-US" w:eastAsia="zh-CN"/>
        </w:rPr>
        <w:t>入龙川江汇入口断面</w:t>
      </w:r>
      <w:r>
        <w:rPr>
          <w:rFonts w:hint="eastAsia" w:ascii="Times New Roman" w:hAnsi="Times New Roman"/>
          <w:color w:val="auto"/>
          <w:kern w:val="21"/>
          <w:sz w:val="24"/>
          <w:szCs w:val="20"/>
          <w:lang w:eastAsia="zh-CN"/>
        </w:rPr>
        <w:t>底泥中有机质含量已超过最低级，</w:t>
      </w:r>
      <w:r>
        <w:rPr>
          <w:rFonts w:hint="eastAsia" w:ascii="Times New Roman" w:hAnsi="Times New Roman"/>
          <w:color w:val="auto"/>
          <w:kern w:val="21"/>
          <w:sz w:val="24"/>
          <w:szCs w:val="20"/>
          <w:lang w:val="en-US" w:eastAsia="zh-CN"/>
        </w:rPr>
        <w:t>1#</w:t>
      </w:r>
      <w:r>
        <w:rPr>
          <w:rFonts w:hint="eastAsia" w:ascii="Times New Roman" w:hAnsi="Times New Roman"/>
          <w:color w:val="auto"/>
          <w:kern w:val="21"/>
          <w:sz w:val="24"/>
          <w:szCs w:val="24"/>
          <w:lang w:val="en-US" w:eastAsia="zh-CN"/>
        </w:rPr>
        <w:t>青龙河上游断面</w:t>
      </w:r>
      <w:r>
        <w:rPr>
          <w:rFonts w:hint="eastAsia" w:ascii="Times New Roman" w:hAnsi="Times New Roman"/>
          <w:color w:val="auto"/>
          <w:kern w:val="21"/>
          <w:sz w:val="24"/>
          <w:szCs w:val="20"/>
          <w:lang w:val="en-US" w:eastAsia="zh-CN"/>
        </w:rPr>
        <w:t>、3#</w:t>
      </w:r>
      <w:r>
        <w:rPr>
          <w:rFonts w:hint="eastAsia" w:ascii="Times New Roman" w:hAnsi="Times New Roman"/>
          <w:color w:val="auto"/>
          <w:kern w:val="21"/>
          <w:sz w:val="24"/>
          <w:szCs w:val="24"/>
          <w:lang w:val="en-US" w:eastAsia="zh-CN"/>
        </w:rPr>
        <w:t>进入拟建湿地前断面</w:t>
      </w:r>
      <w:r>
        <w:rPr>
          <w:rFonts w:hint="eastAsia" w:ascii="Times New Roman" w:hAnsi="Times New Roman"/>
          <w:color w:val="auto"/>
          <w:kern w:val="21"/>
          <w:sz w:val="24"/>
          <w:szCs w:val="20"/>
          <w:lang w:val="en-US" w:eastAsia="zh-CN"/>
        </w:rPr>
        <w:t>、4#</w:t>
      </w:r>
      <w:r>
        <w:rPr>
          <w:rFonts w:hint="eastAsia" w:ascii="Times New Roman" w:hAnsi="Times New Roman"/>
          <w:color w:val="auto"/>
          <w:kern w:val="21"/>
          <w:sz w:val="24"/>
          <w:szCs w:val="24"/>
          <w:lang w:val="en-US" w:eastAsia="zh-CN"/>
        </w:rPr>
        <w:t>阳光桥下游200m断面</w:t>
      </w:r>
      <w:r>
        <w:rPr>
          <w:rFonts w:hint="eastAsia" w:ascii="Times New Roman" w:hAnsi="Times New Roman"/>
          <w:color w:val="auto"/>
          <w:kern w:val="21"/>
          <w:sz w:val="24"/>
          <w:szCs w:val="20"/>
          <w:lang w:val="en-US" w:eastAsia="zh-CN"/>
        </w:rPr>
        <w:t>、5#</w:t>
      </w:r>
      <w:r>
        <w:rPr>
          <w:rFonts w:hint="eastAsia" w:ascii="Times New Roman" w:hAnsi="Times New Roman"/>
          <w:color w:val="auto"/>
          <w:kern w:val="21"/>
          <w:sz w:val="24"/>
          <w:szCs w:val="24"/>
          <w:lang w:val="en-US" w:eastAsia="zh-CN"/>
        </w:rPr>
        <w:t>入龙川江汇入口断面</w:t>
      </w:r>
      <w:r>
        <w:rPr>
          <w:rFonts w:hint="eastAsia" w:ascii="Times New Roman" w:hAnsi="Times New Roman"/>
          <w:color w:val="auto"/>
          <w:kern w:val="21"/>
          <w:sz w:val="24"/>
          <w:szCs w:val="20"/>
          <w:lang w:val="en-US" w:eastAsia="zh-CN"/>
        </w:rPr>
        <w:t>底泥中</w:t>
      </w:r>
      <w:r>
        <w:rPr>
          <w:rFonts w:hint="eastAsia" w:ascii="Times New Roman" w:hAnsi="Times New Roman"/>
          <w:color w:val="auto"/>
          <w:kern w:val="21"/>
          <w:sz w:val="24"/>
          <w:szCs w:val="20"/>
          <w:lang w:eastAsia="zh-CN"/>
        </w:rPr>
        <w:t>总氮已超过最低级，</w:t>
      </w:r>
      <w:r>
        <w:rPr>
          <w:rFonts w:hint="eastAsia" w:ascii="Times New Roman" w:hAnsi="Times New Roman"/>
          <w:color w:val="auto"/>
          <w:kern w:val="21"/>
          <w:sz w:val="24"/>
          <w:szCs w:val="20"/>
          <w:lang w:val="en-US" w:eastAsia="zh-CN"/>
        </w:rPr>
        <w:t>3#</w:t>
      </w:r>
      <w:r>
        <w:rPr>
          <w:rFonts w:hint="eastAsia" w:ascii="Times New Roman" w:hAnsi="Times New Roman"/>
          <w:color w:val="auto"/>
          <w:kern w:val="21"/>
          <w:sz w:val="24"/>
          <w:szCs w:val="24"/>
          <w:lang w:val="en-US" w:eastAsia="zh-CN"/>
        </w:rPr>
        <w:t>进入拟建湿地前断面</w:t>
      </w:r>
      <w:r>
        <w:rPr>
          <w:rFonts w:hint="eastAsia" w:ascii="Times New Roman" w:hAnsi="Times New Roman"/>
          <w:color w:val="auto"/>
          <w:kern w:val="21"/>
          <w:sz w:val="24"/>
          <w:szCs w:val="20"/>
          <w:lang w:val="en-US" w:eastAsia="zh-CN"/>
        </w:rPr>
        <w:t>、5#</w:t>
      </w:r>
      <w:r>
        <w:rPr>
          <w:rFonts w:hint="eastAsia" w:ascii="Times New Roman" w:hAnsi="Times New Roman"/>
          <w:color w:val="auto"/>
          <w:kern w:val="21"/>
          <w:sz w:val="24"/>
          <w:szCs w:val="24"/>
          <w:lang w:val="en-US" w:eastAsia="zh-CN"/>
        </w:rPr>
        <w:t>入龙川江汇入口断面</w:t>
      </w:r>
      <w:r>
        <w:rPr>
          <w:rFonts w:hint="eastAsia" w:ascii="Times New Roman" w:hAnsi="Times New Roman"/>
          <w:color w:val="auto"/>
          <w:kern w:val="21"/>
          <w:sz w:val="24"/>
          <w:szCs w:val="20"/>
          <w:lang w:val="en-US" w:eastAsia="zh-CN"/>
        </w:rPr>
        <w:t>底泥中总磷已超过最低级，但均未超过严重级，数值围绕最低级波动不大，综合判断青龙河有机质和营养元素属于轻微污染程度，多数底栖生物可以接受，从污染程度看，TN污染＞有机质OM污染＞TP污染。</w:t>
      </w:r>
    </w:p>
    <w:p>
      <w:pPr>
        <w:pStyle w:val="16"/>
        <w:autoSpaceDE/>
        <w:autoSpaceDN/>
        <w:adjustRightInd/>
        <w:spacing w:before="0"/>
        <w:ind w:right="0" w:firstLine="480"/>
        <w:jc w:val="both"/>
        <w:rPr>
          <w:rFonts w:hint="eastAsia" w:ascii="Times New Roman" w:hAnsi="Times New Roman"/>
          <w:color w:val="auto"/>
          <w:kern w:val="21"/>
          <w:sz w:val="24"/>
          <w:szCs w:val="20"/>
          <w:lang w:val="en-US" w:eastAsia="zh-CN"/>
        </w:rPr>
      </w:pPr>
      <w:r>
        <w:rPr>
          <w:rFonts w:hint="eastAsia" w:ascii="Times New Roman" w:hAnsi="Times New Roman"/>
          <w:color w:val="auto"/>
          <w:kern w:val="21"/>
          <w:sz w:val="24"/>
          <w:szCs w:val="20"/>
          <w:lang w:eastAsia="zh-CN"/>
        </w:rPr>
        <w:t>重金属采用</w:t>
      </w:r>
      <w:r>
        <w:rPr>
          <w:rFonts w:hint="eastAsia" w:ascii="Times New Roman" w:hAnsi="Times New Roman"/>
          <w:color w:val="auto"/>
          <w:kern w:val="21"/>
          <w:sz w:val="24"/>
          <w:szCs w:val="20"/>
          <w:lang w:val="en-US" w:eastAsia="zh-CN"/>
        </w:rPr>
        <w:t>地累积指数评价法进行评价，地累积指数（I</w:t>
      </w:r>
      <w:r>
        <w:rPr>
          <w:rFonts w:hint="eastAsia" w:ascii="Times New Roman" w:hAnsi="Times New Roman"/>
          <w:color w:val="auto"/>
          <w:kern w:val="21"/>
          <w:sz w:val="24"/>
          <w:szCs w:val="20"/>
          <w:vertAlign w:val="subscript"/>
          <w:lang w:val="en-US" w:eastAsia="zh-CN"/>
        </w:rPr>
        <w:t>geo</w:t>
      </w:r>
      <w:r>
        <w:rPr>
          <w:rFonts w:hint="eastAsia" w:ascii="Times New Roman" w:hAnsi="Times New Roman"/>
          <w:color w:val="auto"/>
          <w:kern w:val="21"/>
          <w:sz w:val="24"/>
          <w:szCs w:val="20"/>
          <w:lang w:val="en-US" w:eastAsia="zh-CN"/>
        </w:rPr>
        <w:t>）是德国海德堡大学沉积物研究所的科学家Muller提出的一种水环境底泥中重金属污染的定量指标，在国内外广泛采用。其公式为：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lang w:val="en-US" w:eastAsia="zh-CN"/>
        </w:rPr>
      </w:pPr>
      <w:r>
        <w:rPr>
          <w:color w:val="auto"/>
        </w:rPr>
        <w:drawing>
          <wp:inline distT="0" distB="0" distL="114300" distR="114300">
            <wp:extent cx="1564005" cy="636270"/>
            <wp:effectExtent l="0" t="0" r="17145" b="1143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9"/>
                    <a:stretch>
                      <a:fillRect/>
                    </a:stretch>
                  </pic:blipFill>
                  <pic:spPr>
                    <a:xfrm>
                      <a:off x="0" y="0"/>
                      <a:ext cx="1564005" cy="636270"/>
                    </a:xfrm>
                    <a:prstGeom prst="rect">
                      <a:avLst/>
                    </a:prstGeom>
                    <a:noFill/>
                    <a:ln>
                      <a:noFill/>
                    </a:ln>
                  </pic:spPr>
                </pic:pic>
              </a:graphicData>
            </a:graphic>
          </wp:inline>
        </w:drawing>
      </w:r>
    </w:p>
    <w:p>
      <w:pPr>
        <w:pStyle w:val="16"/>
        <w:autoSpaceDE/>
        <w:autoSpaceDN/>
        <w:adjustRightInd/>
        <w:spacing w:before="0"/>
        <w:ind w:right="0"/>
        <w:jc w:val="both"/>
        <w:rPr>
          <w:rFonts w:hint="eastAsia" w:ascii="Times New Roman" w:hAnsi="Times New Roman"/>
          <w:color w:val="auto"/>
          <w:kern w:val="21"/>
          <w:sz w:val="24"/>
          <w:szCs w:val="20"/>
          <w:vertAlign w:val="baseline"/>
          <w:lang w:val="en-US" w:eastAsia="zh-CN"/>
        </w:rPr>
      </w:pPr>
      <w:r>
        <w:rPr>
          <w:rFonts w:hint="eastAsia" w:ascii="Times New Roman" w:hAnsi="Times New Roman"/>
          <w:color w:val="auto"/>
          <w:kern w:val="21"/>
          <w:sz w:val="24"/>
          <w:szCs w:val="20"/>
          <w:lang w:val="en-US" w:eastAsia="zh-CN"/>
        </w:rPr>
        <w:t>I</w:t>
      </w:r>
      <w:r>
        <w:rPr>
          <w:rFonts w:hint="eastAsia" w:ascii="Times New Roman" w:hAnsi="Times New Roman"/>
          <w:color w:val="auto"/>
          <w:kern w:val="21"/>
          <w:sz w:val="24"/>
          <w:szCs w:val="20"/>
          <w:vertAlign w:val="subscript"/>
          <w:lang w:val="en-US" w:eastAsia="zh-CN"/>
        </w:rPr>
        <w:t>geo</w:t>
      </w:r>
      <w:r>
        <w:rPr>
          <w:rFonts w:hint="eastAsia" w:ascii="Times New Roman" w:hAnsi="Times New Roman"/>
          <w:color w:val="auto"/>
          <w:kern w:val="21"/>
          <w:sz w:val="24"/>
          <w:szCs w:val="20"/>
          <w:vertAlign w:val="baseline"/>
          <w:lang w:val="en-US" w:eastAsia="zh-CN"/>
        </w:rPr>
        <w:t>：地累积指数；</w:t>
      </w:r>
    </w:p>
    <w:p>
      <w:pPr>
        <w:rPr>
          <w:rFonts w:hint="default"/>
          <w:color w:val="auto"/>
          <w:vertAlign w:val="baseline"/>
          <w:lang w:val="en-US" w:eastAsia="zh-CN"/>
        </w:rPr>
      </w:pPr>
      <w:r>
        <w:rPr>
          <w:rFonts w:hint="eastAsia"/>
          <w:color w:val="auto"/>
          <w:kern w:val="21"/>
          <w:sz w:val="24"/>
          <w:szCs w:val="20"/>
          <w:vertAlign w:val="baseline"/>
          <w:lang w:val="en-US" w:eastAsia="zh-CN"/>
        </w:rPr>
        <w:t>C</w:t>
      </w:r>
      <w:r>
        <w:rPr>
          <w:rFonts w:hint="eastAsia"/>
          <w:color w:val="auto"/>
          <w:kern w:val="21"/>
          <w:sz w:val="24"/>
          <w:szCs w:val="20"/>
          <w:vertAlign w:val="subscript"/>
          <w:lang w:val="en-US" w:eastAsia="zh-CN"/>
        </w:rPr>
        <w:t>n</w:t>
      </w:r>
      <w:r>
        <w:rPr>
          <w:rFonts w:hint="eastAsia"/>
          <w:color w:val="auto"/>
          <w:kern w:val="21"/>
          <w:sz w:val="24"/>
          <w:szCs w:val="20"/>
          <w:vertAlign w:val="baseline"/>
          <w:lang w:val="en-US" w:eastAsia="zh-CN"/>
        </w:rPr>
        <w:t>：沉积物中某种重金属含量；</w:t>
      </w:r>
    </w:p>
    <w:p>
      <w:pPr>
        <w:rPr>
          <w:rFonts w:hint="eastAsia" w:ascii="Times New Roman" w:hAnsi="Times New Roman" w:eastAsia="宋体"/>
          <w:color w:val="auto"/>
          <w:kern w:val="21"/>
          <w:sz w:val="24"/>
          <w:szCs w:val="20"/>
          <w:lang w:eastAsia="zh-CN"/>
        </w:rPr>
      </w:pPr>
      <w:r>
        <w:rPr>
          <w:rFonts w:hint="eastAsia"/>
          <w:color w:val="auto"/>
          <w:lang w:val="en-US" w:eastAsia="zh-CN"/>
        </w:rPr>
        <w:t>B</w:t>
      </w:r>
      <w:r>
        <w:rPr>
          <w:rFonts w:hint="eastAsia"/>
          <w:color w:val="auto"/>
          <w:vertAlign w:val="subscript"/>
          <w:lang w:val="en-US" w:eastAsia="zh-CN"/>
        </w:rPr>
        <w:t>n</w:t>
      </w:r>
      <w:r>
        <w:rPr>
          <w:rFonts w:hint="eastAsia"/>
          <w:color w:val="auto"/>
          <w:vertAlign w:val="baseline"/>
          <w:lang w:val="en-US" w:eastAsia="zh-CN"/>
        </w:rPr>
        <w:t>：某重金属沉积母质地球化学背景值；此处采用</w:t>
      </w:r>
      <w:r>
        <w:rPr>
          <w:rFonts w:hint="eastAsia" w:ascii="Times New Roman" w:hAnsi="Times New Roman"/>
          <w:color w:val="auto"/>
          <w:kern w:val="21"/>
          <w:sz w:val="24"/>
          <w:szCs w:val="20"/>
          <w:lang w:val="en-US" w:eastAsia="zh-CN"/>
        </w:rPr>
        <w:t>《</w:t>
      </w:r>
      <w:r>
        <w:rPr>
          <w:rFonts w:ascii="Times New Roman" w:hAnsi="Times New Roman"/>
          <w:color w:val="auto"/>
          <w:kern w:val="21"/>
          <w:sz w:val="24"/>
          <w:szCs w:val="20"/>
        </w:rPr>
        <w:t>土壤环境质量农用地土壤污染风险管控标准（试行）》（GB</w:t>
      </w:r>
      <w:r>
        <w:rPr>
          <w:rFonts w:hint="eastAsia"/>
          <w:color w:val="auto"/>
          <w:kern w:val="21"/>
          <w:sz w:val="24"/>
          <w:szCs w:val="20"/>
          <w:lang w:val="en-US" w:eastAsia="zh-CN"/>
        </w:rPr>
        <w:t>15618</w:t>
      </w:r>
      <w:r>
        <w:rPr>
          <w:rFonts w:ascii="Times New Roman" w:hAnsi="Times New Roman"/>
          <w:color w:val="auto"/>
          <w:kern w:val="21"/>
          <w:sz w:val="24"/>
          <w:szCs w:val="20"/>
        </w:rPr>
        <w:t>-2018）</w:t>
      </w:r>
      <w:r>
        <w:rPr>
          <w:rFonts w:hint="eastAsia"/>
          <w:color w:val="auto"/>
          <w:kern w:val="21"/>
          <w:sz w:val="24"/>
          <w:szCs w:val="20"/>
          <w:lang w:eastAsia="zh-CN"/>
        </w:rPr>
        <w:t>中农用地土壤污染风险筛选值（</w:t>
      </w:r>
      <w:r>
        <w:rPr>
          <w:rFonts w:hint="eastAsia"/>
          <w:color w:val="auto"/>
          <w:kern w:val="21"/>
          <w:sz w:val="24"/>
          <w:szCs w:val="20"/>
          <w:lang w:val="en-US" w:eastAsia="zh-CN"/>
        </w:rPr>
        <w:t>6.5＜pH≤7.5，其他</w:t>
      </w:r>
      <w:r>
        <w:rPr>
          <w:rFonts w:hint="eastAsia"/>
          <w:color w:val="auto"/>
          <w:kern w:val="21"/>
          <w:sz w:val="24"/>
          <w:szCs w:val="20"/>
          <w:lang w:eastAsia="zh-CN"/>
        </w:rPr>
        <w:t>）作为背景值；</w:t>
      </w:r>
    </w:p>
    <w:p>
      <w:pPr>
        <w:pStyle w:val="16"/>
        <w:autoSpaceDE/>
        <w:autoSpaceDN/>
        <w:adjustRightInd/>
        <w:spacing w:before="0"/>
        <w:ind w:right="0" w:firstLine="480"/>
        <w:jc w:val="both"/>
        <w:rPr>
          <w:rFonts w:hint="eastAsia" w:ascii="Times New Roman" w:hAnsi="Times New Roman"/>
          <w:color w:val="auto"/>
          <w:kern w:val="21"/>
          <w:sz w:val="24"/>
          <w:szCs w:val="20"/>
          <w:lang w:val="en-US" w:eastAsia="zh-CN"/>
        </w:rPr>
      </w:pPr>
      <w:r>
        <w:rPr>
          <w:rFonts w:hint="eastAsia" w:ascii="Times New Roman" w:hAnsi="Times New Roman"/>
          <w:color w:val="auto"/>
          <w:kern w:val="21"/>
          <w:sz w:val="24"/>
          <w:szCs w:val="20"/>
          <w:lang w:val="en-US" w:eastAsia="zh-CN"/>
        </w:rPr>
        <w:t>A：修正造岩运动引起的背景值波动而设定的常数，通常取1.5。</w:t>
      </w:r>
    </w:p>
    <w:p>
      <w:pPr>
        <w:rPr>
          <w:rFonts w:hint="eastAsia"/>
          <w:color w:val="auto"/>
          <w:kern w:val="21"/>
          <w:sz w:val="24"/>
          <w:szCs w:val="20"/>
          <w:lang w:val="en-US" w:eastAsia="zh-CN"/>
        </w:rPr>
      </w:pPr>
      <w:r>
        <w:rPr>
          <w:rFonts w:hint="eastAsia"/>
          <w:color w:val="auto"/>
          <w:kern w:val="21"/>
          <w:sz w:val="24"/>
          <w:szCs w:val="20"/>
          <w:lang w:val="en-US" w:eastAsia="zh-CN"/>
        </w:rPr>
        <w:t>依据地累积指数法把底泥中重金属的污染程度划分为7个等级，结果如下表所示：</w:t>
      </w:r>
    </w:p>
    <w:p>
      <w:pPr>
        <w:numPr>
          <w:ilvl w:val="0"/>
          <w:numId w:val="9"/>
        </w:numPr>
        <w:ind w:left="0" w:leftChars="0" w:firstLine="0" w:firstLineChars="0"/>
        <w:jc w:val="center"/>
        <w:rPr>
          <w:rFonts w:hint="eastAsia" w:eastAsia="宋体"/>
          <w:b/>
          <w:bCs/>
          <w:color w:val="auto"/>
          <w:kern w:val="21"/>
          <w:lang w:eastAsia="zh-CN"/>
        </w:rPr>
      </w:pPr>
      <w:r>
        <w:rPr>
          <w:rFonts w:hint="eastAsia" w:eastAsia="宋体"/>
          <w:b/>
          <w:bCs/>
          <w:color w:val="auto"/>
          <w:kern w:val="21"/>
          <w:lang w:eastAsia="zh-CN"/>
        </w:rPr>
        <w:t>地累积指数与污染分级</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I</w:t>
            </w:r>
            <w:r>
              <w:rPr>
                <w:rFonts w:hint="eastAsia" w:ascii="Times New Roman" w:hAnsi="Times New Roman"/>
                <w:color w:val="auto"/>
                <w:kern w:val="21"/>
                <w:sz w:val="24"/>
                <w:szCs w:val="20"/>
                <w:vertAlign w:val="subscript"/>
                <w:lang w:val="en-US" w:eastAsia="zh-CN"/>
              </w:rPr>
              <w:t>geo</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级别</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污染程度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eastAsia="zh-CN"/>
              </w:rPr>
              <w:t>＜</w:t>
            </w:r>
            <w:r>
              <w:rPr>
                <w:rFonts w:hint="eastAsia" w:ascii="Times New Roman" w:hAnsi="Times New Roman"/>
                <w:color w:val="auto"/>
                <w:kern w:val="21"/>
                <w:sz w:val="21"/>
                <w:szCs w:val="21"/>
                <w:vertAlign w:val="baseline"/>
                <w:lang w:val="en-US" w:eastAsia="zh-CN"/>
              </w:rPr>
              <w:t>0</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eastAsia="zh-CN"/>
              </w:rPr>
            </w:pPr>
            <w:r>
              <w:rPr>
                <w:rFonts w:hint="eastAsia" w:ascii="Times New Roman" w:hAnsi="Times New Roman"/>
                <w:color w:val="auto"/>
                <w:kern w:val="21"/>
                <w:sz w:val="21"/>
                <w:szCs w:val="21"/>
                <w:vertAlign w:val="baseline"/>
                <w:lang w:val="en-US" w:eastAsia="zh-CN"/>
              </w:rPr>
              <w:t>0</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eastAsia="zh-CN"/>
              </w:rPr>
            </w:pPr>
            <w:r>
              <w:rPr>
                <w:rFonts w:hint="eastAsia" w:ascii="Times New Roman" w:hAnsi="Times New Roman"/>
                <w:color w:val="auto"/>
                <w:kern w:val="21"/>
                <w:sz w:val="21"/>
                <w:szCs w:val="21"/>
                <w:vertAlign w:val="baseline"/>
                <w:lang w:eastAsia="zh-CN"/>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0~1</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1</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1~2</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2</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偏中污染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2~3</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3</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3~4</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4</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偏重污染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4~5</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5</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重度污染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5~6</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6</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eastAsia" w:ascii="Times New Roman" w:hAnsi="Times New Roman"/>
                <w:color w:val="auto"/>
                <w:kern w:val="21"/>
                <w:sz w:val="21"/>
                <w:szCs w:val="21"/>
                <w:vertAlign w:val="baseline"/>
                <w:lang w:val="en-US" w:eastAsia="zh-CN"/>
              </w:rPr>
            </w:pPr>
            <w:r>
              <w:rPr>
                <w:rFonts w:hint="eastAsia" w:ascii="Times New Roman" w:hAnsi="Times New Roman"/>
                <w:color w:val="auto"/>
                <w:kern w:val="21"/>
                <w:sz w:val="21"/>
                <w:szCs w:val="21"/>
                <w:vertAlign w:val="baseline"/>
                <w:lang w:val="en-US" w:eastAsia="zh-CN"/>
              </w:rPr>
              <w:t>严重污染</w:t>
            </w:r>
          </w:p>
        </w:tc>
      </w:tr>
    </w:tbl>
    <w:p>
      <w:pPr>
        <w:pStyle w:val="16"/>
        <w:keepNext w:val="0"/>
        <w:keepLines w:val="0"/>
        <w:pageBreakBefore w:val="0"/>
        <w:widowControl w:val="0"/>
        <w:kinsoku/>
        <w:wordWrap/>
        <w:overflowPunct/>
        <w:topLinePunct w:val="0"/>
        <w:autoSpaceDE/>
        <w:autoSpaceDN/>
        <w:bidi w:val="0"/>
        <w:adjustRightInd/>
        <w:snapToGrid/>
        <w:spacing w:before="0" w:beforeLines="50"/>
        <w:ind w:right="0" w:firstLine="480"/>
        <w:jc w:val="both"/>
        <w:textAlignment w:val="auto"/>
        <w:rPr>
          <w:rFonts w:eastAsia="宋体"/>
          <w:b/>
          <w:bCs/>
          <w:color w:val="auto"/>
          <w:kern w:val="21"/>
          <w:sz w:val="24"/>
          <w:szCs w:val="24"/>
        </w:rPr>
        <w:sectPr>
          <w:pgSz w:w="11910" w:h="16840"/>
          <w:pgMar w:top="1440" w:right="1803" w:bottom="1440" w:left="1803" w:header="392" w:footer="997" w:gutter="0"/>
          <w:cols w:space="720" w:num="1"/>
        </w:sect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b/>
          <w:bCs/>
          <w:color w:val="auto"/>
          <w:kern w:val="21"/>
          <w:sz w:val="24"/>
          <w:szCs w:val="24"/>
          <w:lang w:eastAsia="zh-CN"/>
        </w:rPr>
      </w:pPr>
      <w:r>
        <w:rPr>
          <w:rFonts w:hint="eastAsia" w:ascii="Times New Roman" w:hAnsi="Times New Roman"/>
          <w:color w:val="auto"/>
          <w:kern w:val="21"/>
          <w:sz w:val="24"/>
          <w:szCs w:val="20"/>
          <w:lang w:eastAsia="zh-CN"/>
        </w:rPr>
        <w:t>根据以上公式计算得出结果如下所示</w:t>
      </w:r>
      <w:r>
        <w:rPr>
          <w:rFonts w:hint="eastAsia"/>
          <w:color w:val="auto"/>
          <w:kern w:val="21"/>
          <w:sz w:val="24"/>
          <w:szCs w:val="20"/>
          <w:lang w:eastAsia="zh-CN"/>
        </w:rPr>
        <w:t>：</w:t>
      </w:r>
    </w:p>
    <w:p>
      <w:pPr>
        <w:numPr>
          <w:ilvl w:val="0"/>
          <w:numId w:val="9"/>
        </w:numPr>
        <w:ind w:left="0" w:leftChars="0" w:firstLine="0" w:firstLineChars="0"/>
        <w:jc w:val="center"/>
        <w:rPr>
          <w:rFonts w:hint="eastAsia" w:ascii="Times New Roman" w:hAnsi="Times New Roman" w:eastAsia="宋体"/>
          <w:b/>
          <w:bCs/>
          <w:color w:val="auto"/>
          <w:kern w:val="21"/>
          <w:sz w:val="24"/>
          <w:szCs w:val="24"/>
          <w:lang w:eastAsia="zh-CN"/>
        </w:rPr>
      </w:pPr>
      <w:r>
        <w:rPr>
          <w:rFonts w:hint="eastAsia"/>
          <w:b/>
          <w:bCs/>
          <w:color w:val="auto"/>
          <w:kern w:val="21"/>
          <w:sz w:val="24"/>
          <w:szCs w:val="24"/>
          <w:lang w:eastAsia="zh-CN"/>
        </w:rPr>
        <w:t>青龙河底泥重金属污染程度表</w:t>
      </w:r>
    </w:p>
    <w:tbl>
      <w:tblPr>
        <w:tblStyle w:val="51"/>
        <w:tblW w:w="4984" w:type="pct"/>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2"/>
        <w:gridCol w:w="705"/>
        <w:gridCol w:w="806"/>
        <w:gridCol w:w="692"/>
        <w:gridCol w:w="877"/>
        <w:gridCol w:w="704"/>
        <w:gridCol w:w="842"/>
        <w:gridCol w:w="797"/>
        <w:gridCol w:w="999"/>
        <w:gridCol w:w="705"/>
        <w:gridCol w:w="999"/>
        <w:gridCol w:w="705"/>
        <w:gridCol w:w="1002"/>
        <w:gridCol w:w="705"/>
        <w:gridCol w:w="907"/>
        <w:gridCol w:w="800"/>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4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24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铜</w:t>
            </w:r>
          </w:p>
        </w:tc>
        <w:tc>
          <w:tcPr>
            <w:tcW w:w="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eastAsia="zh-CN"/>
              </w:rPr>
              <w:t>污染程度</w:t>
            </w:r>
          </w:p>
        </w:tc>
        <w:tc>
          <w:tcPr>
            <w:tcW w:w="24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铬</w:t>
            </w:r>
          </w:p>
        </w:tc>
        <w:tc>
          <w:tcPr>
            <w:tcW w:w="31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eastAsia="zh-CN"/>
              </w:rPr>
              <w:t>污染程度</w:t>
            </w:r>
          </w:p>
        </w:tc>
        <w:tc>
          <w:tcPr>
            <w:tcW w:w="24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镍</w:t>
            </w:r>
          </w:p>
        </w:tc>
        <w:tc>
          <w:tcPr>
            <w:tcW w:w="29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eastAsia="zh-CN"/>
              </w:rPr>
              <w:t>污染程度</w:t>
            </w:r>
          </w:p>
        </w:tc>
        <w:tc>
          <w:tcPr>
            <w:tcW w:w="28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锌</w:t>
            </w:r>
          </w:p>
        </w:tc>
        <w:tc>
          <w:tcPr>
            <w:tcW w:w="35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eastAsia="zh-CN"/>
              </w:rPr>
              <w:t>污染程度</w:t>
            </w:r>
          </w:p>
        </w:tc>
        <w:tc>
          <w:tcPr>
            <w:tcW w:w="24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铅</w:t>
            </w:r>
          </w:p>
        </w:tc>
        <w:tc>
          <w:tcPr>
            <w:tcW w:w="35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eastAsia="zh-CN"/>
              </w:rPr>
              <w:t>污染程度</w:t>
            </w:r>
          </w:p>
        </w:tc>
        <w:tc>
          <w:tcPr>
            <w:tcW w:w="24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镉</w:t>
            </w:r>
          </w:p>
        </w:tc>
        <w:tc>
          <w:tcPr>
            <w:tcW w:w="35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eastAsia="zh-CN"/>
              </w:rPr>
              <w:t>污染程度</w:t>
            </w:r>
          </w:p>
        </w:tc>
        <w:tc>
          <w:tcPr>
            <w:tcW w:w="24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砷</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eastAsia="zh-CN"/>
              </w:rPr>
              <w:t>污染程度</w:t>
            </w:r>
          </w:p>
        </w:tc>
        <w:tc>
          <w:tcPr>
            <w:tcW w:w="28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汞</w:t>
            </w:r>
          </w:p>
        </w:tc>
        <w:tc>
          <w:tcPr>
            <w:tcW w:w="32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sz w:val="18"/>
                <w:szCs w:val="18"/>
                <w:u w:val="none"/>
                <w:lang w:eastAsia="zh-CN"/>
              </w:rPr>
              <w:t>污染程度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4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青龙河1#</w:t>
            </w:r>
          </w:p>
        </w:tc>
        <w:tc>
          <w:tcPr>
            <w:tcW w:w="24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-1.28 </w:t>
            </w:r>
          </w:p>
        </w:tc>
        <w:tc>
          <w:tcPr>
            <w:tcW w:w="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4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-2.90 </w:t>
            </w:r>
          </w:p>
        </w:tc>
        <w:tc>
          <w:tcPr>
            <w:tcW w:w="31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4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-2.58 </w:t>
            </w:r>
          </w:p>
        </w:tc>
        <w:tc>
          <w:tcPr>
            <w:tcW w:w="29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8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-2.63 </w:t>
            </w:r>
          </w:p>
        </w:tc>
        <w:tc>
          <w:tcPr>
            <w:tcW w:w="99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-3.13 </w:t>
            </w:r>
          </w:p>
        </w:tc>
        <w:tc>
          <w:tcPr>
            <w:tcW w:w="35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-0.91 </w:t>
            </w:r>
          </w:p>
        </w:tc>
        <w:tc>
          <w:tcPr>
            <w:tcW w:w="35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-1.31 </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80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-6.17 </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4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青龙河2#</w:t>
            </w:r>
          </w:p>
        </w:tc>
        <w:tc>
          <w:tcPr>
            <w:tcW w:w="24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-3.16 </w:t>
            </w:r>
          </w:p>
        </w:tc>
        <w:tc>
          <w:tcPr>
            <w:tcW w:w="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4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-3.68 </w:t>
            </w:r>
          </w:p>
        </w:tc>
        <w:tc>
          <w:tcPr>
            <w:tcW w:w="31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4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-3.51 </w:t>
            </w:r>
          </w:p>
        </w:tc>
        <w:tc>
          <w:tcPr>
            <w:tcW w:w="29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8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-3.43 </w:t>
            </w:r>
          </w:p>
        </w:tc>
        <w:tc>
          <w:tcPr>
            <w:tcW w:w="99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-3.26 </w:t>
            </w:r>
          </w:p>
        </w:tc>
        <w:tc>
          <w:tcPr>
            <w:tcW w:w="35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-0.68 </w:t>
            </w:r>
          </w:p>
        </w:tc>
        <w:tc>
          <w:tcPr>
            <w:tcW w:w="35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-2.39 </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80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-5.68 </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4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青龙河3#</w:t>
            </w:r>
          </w:p>
        </w:tc>
        <w:tc>
          <w:tcPr>
            <w:tcW w:w="24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-2.21 </w:t>
            </w:r>
          </w:p>
        </w:tc>
        <w:tc>
          <w:tcPr>
            <w:tcW w:w="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4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-2.52 </w:t>
            </w:r>
          </w:p>
        </w:tc>
        <w:tc>
          <w:tcPr>
            <w:tcW w:w="31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4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-2.39 </w:t>
            </w:r>
          </w:p>
        </w:tc>
        <w:tc>
          <w:tcPr>
            <w:tcW w:w="29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8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-2.27 </w:t>
            </w:r>
          </w:p>
        </w:tc>
        <w:tc>
          <w:tcPr>
            <w:tcW w:w="99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-2.54 </w:t>
            </w:r>
          </w:p>
        </w:tc>
        <w:tc>
          <w:tcPr>
            <w:tcW w:w="35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0.15 </w:t>
            </w:r>
          </w:p>
        </w:tc>
        <w:tc>
          <w:tcPr>
            <w:tcW w:w="35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eastAsia="zh-CN"/>
              </w:rPr>
              <w:t>轻度污染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-2.60 </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80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-3.91 </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4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青龙河4#</w:t>
            </w:r>
          </w:p>
        </w:tc>
        <w:tc>
          <w:tcPr>
            <w:tcW w:w="24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-2.75 </w:t>
            </w:r>
          </w:p>
        </w:tc>
        <w:tc>
          <w:tcPr>
            <w:tcW w:w="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4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-2.73 </w:t>
            </w:r>
          </w:p>
        </w:tc>
        <w:tc>
          <w:tcPr>
            <w:tcW w:w="31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4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-2.57 </w:t>
            </w:r>
          </w:p>
        </w:tc>
        <w:tc>
          <w:tcPr>
            <w:tcW w:w="29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8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-2.83 </w:t>
            </w:r>
          </w:p>
        </w:tc>
        <w:tc>
          <w:tcPr>
            <w:tcW w:w="99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-2.73 </w:t>
            </w:r>
          </w:p>
        </w:tc>
        <w:tc>
          <w:tcPr>
            <w:tcW w:w="35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-1.79 </w:t>
            </w:r>
          </w:p>
        </w:tc>
        <w:tc>
          <w:tcPr>
            <w:tcW w:w="35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-2.49 </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80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-6.17 </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青龙河5#</w:t>
            </w:r>
          </w:p>
        </w:tc>
        <w:tc>
          <w:tcPr>
            <w:tcW w:w="24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-2.00 </w:t>
            </w:r>
          </w:p>
        </w:tc>
        <w:tc>
          <w:tcPr>
            <w:tcW w:w="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4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-2.40 </w:t>
            </w:r>
          </w:p>
        </w:tc>
        <w:tc>
          <w:tcPr>
            <w:tcW w:w="31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4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-2.45 </w:t>
            </w:r>
          </w:p>
        </w:tc>
        <w:tc>
          <w:tcPr>
            <w:tcW w:w="29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28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 xml:space="preserve">-2.29 </w:t>
            </w:r>
          </w:p>
        </w:tc>
        <w:tc>
          <w:tcPr>
            <w:tcW w:w="99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-2.31 </w:t>
            </w:r>
          </w:p>
        </w:tc>
        <w:tc>
          <w:tcPr>
            <w:tcW w:w="35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0.00 </w:t>
            </w:r>
          </w:p>
        </w:tc>
        <w:tc>
          <w:tcPr>
            <w:tcW w:w="35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eastAsia="zh-CN"/>
              </w:rPr>
              <w:t>轻度污染</w:t>
            </w:r>
          </w:p>
        </w:tc>
        <w:tc>
          <w:tcPr>
            <w:tcW w:w="70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-3.46 </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c>
          <w:tcPr>
            <w:tcW w:w="80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eastAsia="zh-CN"/>
              </w:rPr>
            </w:pPr>
            <w:r>
              <w:rPr>
                <w:rFonts w:hint="default" w:ascii="Times New Roman" w:hAnsi="Times New Roman" w:eastAsia="宋体" w:cs="Times New Roman"/>
                <w:i w:val="0"/>
                <w:iCs w:val="0"/>
                <w:color w:val="auto"/>
                <w:sz w:val="18"/>
                <w:szCs w:val="18"/>
                <w:u w:val="none"/>
                <w:lang w:val="en-US" w:eastAsia="zh-CN"/>
              </w:rPr>
              <w:t xml:space="preserve">-3.91 </w:t>
            </w:r>
          </w:p>
        </w:tc>
        <w:tc>
          <w:tcPr>
            <w:tcW w:w="32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eastAsia="zh-CN"/>
              </w:rPr>
              <w:t>无污染</w:t>
            </w:r>
          </w:p>
        </w:tc>
      </w:tr>
    </w:tbl>
    <w:p>
      <w:pPr>
        <w:pStyle w:val="16"/>
        <w:keepNext w:val="0"/>
        <w:keepLines w:val="0"/>
        <w:pageBreakBefore w:val="0"/>
        <w:widowControl w:val="0"/>
        <w:kinsoku/>
        <w:wordWrap/>
        <w:overflowPunct/>
        <w:topLinePunct w:val="0"/>
        <w:autoSpaceDE/>
        <w:autoSpaceDN/>
        <w:bidi w:val="0"/>
        <w:adjustRightInd/>
        <w:snapToGrid/>
        <w:spacing w:before="0" w:beforeLines="50"/>
        <w:ind w:right="0" w:firstLine="480"/>
        <w:jc w:val="both"/>
        <w:textAlignment w:val="auto"/>
        <w:rPr>
          <w:rFonts w:ascii="Times New Roman" w:hAnsi="Times New Roman"/>
          <w:color w:val="auto"/>
          <w:kern w:val="21"/>
          <w:sz w:val="24"/>
          <w:szCs w:val="20"/>
        </w:rPr>
      </w:pPr>
      <w:r>
        <w:rPr>
          <w:rFonts w:hint="eastAsia" w:ascii="Times New Roman" w:hAnsi="Times New Roman"/>
          <w:color w:val="auto"/>
          <w:kern w:val="21"/>
          <w:sz w:val="24"/>
          <w:szCs w:val="20"/>
          <w:lang w:eastAsia="zh-CN"/>
        </w:rPr>
        <w:t>从青龙河五个点位的底泥重金属分析结果看，底泥重金属污染程度较轻，除</w:t>
      </w:r>
      <w:r>
        <w:rPr>
          <w:rFonts w:hint="eastAsia" w:ascii="Times New Roman" w:hAnsi="Times New Roman"/>
          <w:color w:val="auto"/>
          <w:kern w:val="21"/>
          <w:sz w:val="24"/>
          <w:szCs w:val="20"/>
          <w:lang w:val="en-US" w:eastAsia="zh-CN"/>
        </w:rPr>
        <w:t>3#</w:t>
      </w:r>
      <w:r>
        <w:rPr>
          <w:rFonts w:hint="eastAsia" w:ascii="Times New Roman" w:hAnsi="Times New Roman"/>
          <w:color w:val="auto"/>
          <w:kern w:val="21"/>
          <w:sz w:val="24"/>
          <w:szCs w:val="24"/>
          <w:lang w:val="en-US" w:eastAsia="zh-CN"/>
        </w:rPr>
        <w:t>进入拟建湿地前断面</w:t>
      </w:r>
      <w:r>
        <w:rPr>
          <w:rFonts w:hint="eastAsia" w:ascii="Times New Roman" w:hAnsi="Times New Roman"/>
          <w:color w:val="auto"/>
          <w:kern w:val="21"/>
          <w:sz w:val="24"/>
          <w:szCs w:val="20"/>
          <w:lang w:val="en-US" w:eastAsia="zh-CN"/>
        </w:rPr>
        <w:t>、5#</w:t>
      </w:r>
      <w:r>
        <w:rPr>
          <w:rFonts w:hint="eastAsia" w:ascii="Times New Roman" w:hAnsi="Times New Roman"/>
          <w:color w:val="auto"/>
          <w:kern w:val="21"/>
          <w:sz w:val="24"/>
          <w:szCs w:val="24"/>
          <w:lang w:val="en-US" w:eastAsia="zh-CN"/>
        </w:rPr>
        <w:t>入龙川江汇入口断面</w:t>
      </w:r>
      <w:r>
        <w:rPr>
          <w:rFonts w:hint="eastAsia" w:ascii="Times New Roman" w:hAnsi="Times New Roman"/>
          <w:color w:val="auto"/>
          <w:kern w:val="21"/>
          <w:sz w:val="24"/>
          <w:szCs w:val="20"/>
          <w:lang w:val="en-US" w:eastAsia="zh-CN"/>
        </w:rPr>
        <w:t>点位</w:t>
      </w:r>
      <w:r>
        <w:rPr>
          <w:rFonts w:hint="eastAsia" w:ascii="Times New Roman" w:hAnsi="Times New Roman"/>
          <w:color w:val="auto"/>
          <w:kern w:val="21"/>
          <w:sz w:val="24"/>
          <w:szCs w:val="20"/>
          <w:lang w:eastAsia="zh-CN"/>
        </w:rPr>
        <w:t>镉有轻度污染外，其余重金属指标均为无污染。</w:t>
      </w:r>
    </w:p>
    <w:p>
      <w:pPr>
        <w:pStyle w:val="6"/>
        <w:tabs>
          <w:tab w:val="left" w:pos="3491"/>
        </w:tabs>
        <w:spacing w:after="0"/>
        <w:rPr>
          <w:rFonts w:eastAsia="宋体"/>
          <w:color w:val="auto"/>
          <w:kern w:val="21"/>
          <w:sz w:val="24"/>
          <w:szCs w:val="24"/>
        </w:rPr>
        <w:sectPr>
          <w:pgSz w:w="16840" w:h="11910" w:orient="landscape"/>
          <w:pgMar w:top="1803" w:right="1440" w:bottom="1803" w:left="1440" w:header="392" w:footer="998" w:gutter="0"/>
          <w:cols w:space="0" w:num="1"/>
          <w:rtlGutter w:val="0"/>
          <w:docGrid w:linePitch="0" w:charSpace="0"/>
        </w:sectPr>
      </w:pPr>
    </w:p>
    <w:p>
      <w:pPr>
        <w:pStyle w:val="6"/>
        <w:tabs>
          <w:tab w:val="left" w:pos="3491"/>
        </w:tabs>
        <w:spacing w:after="0"/>
        <w:rPr>
          <w:rFonts w:eastAsia="宋体"/>
          <w:color w:val="auto"/>
          <w:kern w:val="21"/>
          <w:sz w:val="24"/>
          <w:szCs w:val="24"/>
          <w:highlight w:val="none"/>
        </w:rPr>
      </w:pPr>
      <w:bookmarkStart w:id="223" w:name="_Toc15266"/>
      <w:r>
        <w:rPr>
          <w:rFonts w:eastAsia="宋体"/>
          <w:color w:val="auto"/>
          <w:kern w:val="21"/>
          <w:sz w:val="24"/>
          <w:szCs w:val="24"/>
          <w:highlight w:val="none"/>
        </w:rPr>
        <w:t>4.2.</w:t>
      </w:r>
      <w:r>
        <w:rPr>
          <w:rFonts w:hint="eastAsia" w:eastAsia="宋体"/>
          <w:color w:val="auto"/>
          <w:kern w:val="21"/>
          <w:sz w:val="24"/>
          <w:szCs w:val="24"/>
          <w:highlight w:val="none"/>
        </w:rPr>
        <w:t>4</w:t>
      </w:r>
      <w:r>
        <w:rPr>
          <w:rFonts w:eastAsia="宋体"/>
          <w:color w:val="auto"/>
          <w:kern w:val="21"/>
          <w:sz w:val="24"/>
          <w:szCs w:val="24"/>
          <w:highlight w:val="none"/>
        </w:rPr>
        <w:t>地下水环境现状调查与评价</w:t>
      </w:r>
      <w:bookmarkEnd w:id="223"/>
    </w:p>
    <w:p>
      <w:pPr>
        <w:adjustRightInd w:val="0"/>
        <w:snapToGrid w:val="0"/>
        <w:ind w:firstLine="480"/>
        <w:rPr>
          <w:color w:val="auto"/>
          <w:kern w:val="21"/>
          <w:szCs w:val="20"/>
          <w:highlight w:val="none"/>
        </w:rPr>
      </w:pPr>
      <w:r>
        <w:rPr>
          <w:color w:val="auto"/>
          <w:kern w:val="21"/>
          <w:szCs w:val="20"/>
          <w:highlight w:val="none"/>
        </w:rPr>
        <w:t>为了解项目所在地的地下水水质状况，本次评价</w:t>
      </w:r>
      <w:r>
        <w:rPr>
          <w:rFonts w:hint="eastAsia"/>
          <w:color w:val="auto"/>
          <w:kern w:val="21"/>
          <w:szCs w:val="20"/>
          <w:highlight w:val="none"/>
        </w:rPr>
        <w:t>引用云南长源检测技术有限公司2022年3月25日编制的《楚雄市富民工业园区污水处理厂</w:t>
      </w:r>
      <w:r>
        <w:rPr>
          <w:rFonts w:hint="eastAsia"/>
          <w:color w:val="auto"/>
          <w:kern w:val="21"/>
          <w:szCs w:val="20"/>
          <w:highlight w:val="none"/>
          <w:lang w:eastAsia="zh-CN"/>
        </w:rPr>
        <w:t>二期</w:t>
      </w:r>
      <w:r>
        <w:rPr>
          <w:rFonts w:hint="eastAsia"/>
          <w:color w:val="auto"/>
          <w:kern w:val="21"/>
          <w:szCs w:val="20"/>
          <w:highlight w:val="none"/>
        </w:rPr>
        <w:t>工程地下水环境质量现状监测》监测报告（见附件</w:t>
      </w:r>
      <w:r>
        <w:rPr>
          <w:rFonts w:hint="eastAsia"/>
          <w:color w:val="auto"/>
          <w:kern w:val="21"/>
          <w:szCs w:val="20"/>
          <w:highlight w:val="none"/>
          <w:lang w:val="en-US" w:eastAsia="zh-CN"/>
        </w:rPr>
        <w:t>9</w:t>
      </w:r>
      <w:r>
        <w:rPr>
          <w:rFonts w:hint="eastAsia"/>
          <w:color w:val="auto"/>
          <w:kern w:val="21"/>
          <w:szCs w:val="20"/>
          <w:highlight w:val="none"/>
        </w:rPr>
        <w:t>），</w:t>
      </w:r>
      <w:r>
        <w:rPr>
          <w:color w:val="auto"/>
          <w:kern w:val="21"/>
          <w:szCs w:val="20"/>
          <w:highlight w:val="none"/>
        </w:rPr>
        <w:t>内容如下：</w:t>
      </w:r>
    </w:p>
    <w:p>
      <w:pPr>
        <w:adjustRightInd w:val="0"/>
        <w:snapToGrid w:val="0"/>
        <w:ind w:firstLine="482"/>
        <w:rPr>
          <w:b/>
          <w:bCs/>
          <w:color w:val="auto"/>
          <w:kern w:val="21"/>
          <w:szCs w:val="20"/>
          <w:highlight w:val="none"/>
        </w:rPr>
      </w:pPr>
      <w:r>
        <w:rPr>
          <w:b/>
          <w:bCs/>
          <w:color w:val="auto"/>
          <w:kern w:val="21"/>
          <w:szCs w:val="20"/>
          <w:highlight w:val="none"/>
        </w:rPr>
        <w:t>1、监测点位</w:t>
      </w:r>
    </w:p>
    <w:p>
      <w:pPr>
        <w:pStyle w:val="23"/>
        <w:spacing w:after="0" w:line="360" w:lineRule="auto"/>
        <w:ind w:left="0" w:leftChars="0" w:firstLine="480"/>
        <w:rPr>
          <w:color w:val="auto"/>
          <w:kern w:val="21"/>
          <w:szCs w:val="20"/>
          <w:highlight w:val="none"/>
        </w:rPr>
      </w:pPr>
      <w:r>
        <w:rPr>
          <w:rFonts w:hint="eastAsia"/>
          <w:color w:val="auto"/>
          <w:kern w:val="21"/>
          <w:szCs w:val="20"/>
          <w:highlight w:val="none"/>
        </w:rPr>
        <w:t>根据水文地质图楚雄幅，区域地下水流向大致为自东南向西北方向，本项目监测点位上游设置1个点（大东村），侧翼设置1个点（</w:t>
      </w:r>
      <w:r>
        <w:rPr>
          <w:color w:val="auto"/>
          <w:kern w:val="21"/>
          <w:szCs w:val="20"/>
          <w:highlight w:val="none"/>
        </w:rPr>
        <w:t>王家小屯</w:t>
      </w:r>
      <w:r>
        <w:rPr>
          <w:rFonts w:hint="eastAsia"/>
          <w:color w:val="auto"/>
          <w:kern w:val="21"/>
          <w:szCs w:val="20"/>
          <w:highlight w:val="none"/>
        </w:rPr>
        <w:t>），下游设置3个点位，由于项目东侧外干、迤干村已拆除，西侧则为山体，没有办法开展地下水监测，因此，选择项目东南侧的</w:t>
      </w:r>
      <w:r>
        <w:rPr>
          <w:color w:val="auto"/>
          <w:kern w:val="21"/>
          <w:szCs w:val="20"/>
          <w:highlight w:val="none"/>
        </w:rPr>
        <w:t>王家小屯</w:t>
      </w:r>
      <w:r>
        <w:rPr>
          <w:rFonts w:hint="eastAsia"/>
          <w:color w:val="auto"/>
          <w:kern w:val="21"/>
          <w:szCs w:val="20"/>
          <w:highlight w:val="none"/>
        </w:rPr>
        <w:t>作为侧翼监测点，项目选取的地下水监测点在区域内具有一定的代表性，总体位符合《环境影响评价技术导则 地下水环境》（HJ 610-2016）要求。地下水监测点与本项目关系见</w:t>
      </w:r>
      <w:r>
        <w:rPr>
          <w:rFonts w:hint="eastAsia"/>
          <w:color w:val="auto"/>
          <w:kern w:val="21"/>
          <w:szCs w:val="20"/>
          <w:highlight w:val="none"/>
          <w:lang w:eastAsia="zh-CN"/>
        </w:rPr>
        <w:t>下表</w:t>
      </w:r>
      <w:r>
        <w:rPr>
          <w:rFonts w:hint="eastAsia"/>
          <w:color w:val="auto"/>
          <w:kern w:val="21"/>
          <w:szCs w:val="20"/>
          <w:highlight w:val="none"/>
        </w:rPr>
        <w:t>。</w:t>
      </w:r>
    </w:p>
    <w:p>
      <w:pPr>
        <w:numPr>
          <w:ilvl w:val="0"/>
          <w:numId w:val="9"/>
        </w:numPr>
        <w:ind w:left="0" w:leftChars="0" w:firstLine="0" w:firstLineChars="0"/>
        <w:jc w:val="center"/>
        <w:rPr>
          <w:b/>
          <w:bCs/>
          <w:color w:val="auto"/>
          <w:kern w:val="21"/>
          <w:szCs w:val="20"/>
          <w:highlight w:val="none"/>
        </w:rPr>
      </w:pPr>
      <w:r>
        <w:rPr>
          <w:rFonts w:hint="eastAsia"/>
          <w:b/>
          <w:bCs/>
          <w:color w:val="auto"/>
          <w:kern w:val="21"/>
          <w:sz w:val="24"/>
          <w:szCs w:val="24"/>
          <w:lang w:eastAsia="zh-CN"/>
        </w:rPr>
        <w:t>地下水</w:t>
      </w:r>
      <w:r>
        <w:rPr>
          <w:rFonts w:hint="eastAsia"/>
          <w:b/>
          <w:bCs/>
          <w:color w:val="auto"/>
          <w:kern w:val="21"/>
          <w:szCs w:val="20"/>
          <w:highlight w:val="none"/>
        </w:rPr>
        <w:t>监测点与本项目的位置关系表</w:t>
      </w:r>
    </w:p>
    <w:tbl>
      <w:tblPr>
        <w:tblStyle w:val="51"/>
        <w:tblW w:w="824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4"/>
        <w:gridCol w:w="990"/>
        <w:gridCol w:w="1100"/>
        <w:gridCol w:w="1310"/>
        <w:gridCol w:w="1590"/>
        <w:gridCol w:w="15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6" w:hRule="atLeast"/>
          <w:jc w:val="center"/>
        </w:trPr>
        <w:tc>
          <w:tcPr>
            <w:tcW w:w="1664" w:type="dxa"/>
            <w:vMerge w:val="restart"/>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pacing w:val="12"/>
                <w:sz w:val="21"/>
                <w:szCs w:val="21"/>
                <w:highlight w:val="none"/>
              </w:rPr>
              <w:t>保</w:t>
            </w:r>
            <w:r>
              <w:rPr>
                <w:color w:val="auto"/>
                <w:spacing w:val="8"/>
                <w:sz w:val="21"/>
                <w:szCs w:val="21"/>
                <w:highlight w:val="none"/>
              </w:rPr>
              <w:t>护目标名称</w:t>
            </w:r>
          </w:p>
        </w:tc>
        <w:tc>
          <w:tcPr>
            <w:tcW w:w="2090" w:type="dxa"/>
            <w:gridSpan w:val="2"/>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pacing w:val="6"/>
                <w:sz w:val="21"/>
                <w:szCs w:val="21"/>
                <w:highlight w:val="none"/>
              </w:rPr>
              <w:t>坐标</w:t>
            </w:r>
          </w:p>
        </w:tc>
        <w:tc>
          <w:tcPr>
            <w:tcW w:w="1310" w:type="dxa"/>
            <w:vMerge w:val="restart"/>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pacing w:val="5"/>
                <w:sz w:val="21"/>
                <w:szCs w:val="21"/>
                <w:highlight w:val="none"/>
              </w:rPr>
              <w:t>与</w:t>
            </w:r>
            <w:r>
              <w:rPr>
                <w:color w:val="auto"/>
                <w:spacing w:val="4"/>
                <w:sz w:val="21"/>
                <w:szCs w:val="21"/>
                <w:highlight w:val="none"/>
              </w:rPr>
              <w:t>厂</w:t>
            </w:r>
            <w:r>
              <w:rPr>
                <w:color w:val="auto"/>
                <w:spacing w:val="6"/>
                <w:sz w:val="21"/>
                <w:szCs w:val="21"/>
                <w:highlight w:val="none"/>
              </w:rPr>
              <w:t>址方</w:t>
            </w:r>
            <w:r>
              <w:rPr>
                <w:color w:val="auto"/>
                <w:spacing w:val="2"/>
                <w:sz w:val="21"/>
                <w:szCs w:val="21"/>
                <w:highlight w:val="none"/>
              </w:rPr>
              <w:t>位</w:t>
            </w:r>
          </w:p>
        </w:tc>
        <w:tc>
          <w:tcPr>
            <w:tcW w:w="1590" w:type="dxa"/>
            <w:vMerge w:val="restart"/>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pacing w:val="5"/>
                <w:position w:val="3"/>
                <w:sz w:val="21"/>
                <w:szCs w:val="21"/>
                <w:highlight w:val="none"/>
              </w:rPr>
              <w:t>距离厂界（</w:t>
            </w:r>
            <w:r>
              <w:rPr>
                <w:color w:val="auto"/>
                <w:position w:val="3"/>
                <w:sz w:val="21"/>
                <w:szCs w:val="21"/>
                <w:highlight w:val="none"/>
              </w:rPr>
              <w:t>km</w:t>
            </w:r>
            <w:r>
              <w:rPr>
                <w:rFonts w:hint="eastAsia"/>
                <w:color w:val="auto"/>
                <w:spacing w:val="5"/>
                <w:position w:val="3"/>
                <w:sz w:val="21"/>
                <w:szCs w:val="21"/>
                <w:highlight w:val="none"/>
              </w:rPr>
              <w:t>）</w:t>
            </w:r>
          </w:p>
        </w:tc>
        <w:tc>
          <w:tcPr>
            <w:tcW w:w="1590" w:type="dxa"/>
            <w:vMerge w:val="restart"/>
            <w:vAlign w:val="center"/>
          </w:tcPr>
          <w:p>
            <w:pPr>
              <w:widowControl/>
              <w:kinsoku w:val="0"/>
              <w:autoSpaceDE w:val="0"/>
              <w:autoSpaceDN w:val="0"/>
              <w:spacing w:line="240" w:lineRule="auto"/>
              <w:ind w:firstLine="0" w:firstLineChars="0"/>
              <w:jc w:val="center"/>
              <w:textAlignment w:val="baseline"/>
              <w:rPr>
                <w:color w:val="auto"/>
                <w:spacing w:val="5"/>
                <w:position w:val="3"/>
                <w:sz w:val="21"/>
                <w:szCs w:val="21"/>
                <w:highlight w:val="none"/>
              </w:rPr>
            </w:pPr>
            <w:r>
              <w:rPr>
                <w:rFonts w:hint="eastAsia"/>
                <w:color w:val="auto"/>
                <w:spacing w:val="5"/>
                <w:position w:val="3"/>
                <w:sz w:val="21"/>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1664" w:type="dxa"/>
            <w:vMerge w:val="continue"/>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pacing w:val="5"/>
                <w:sz w:val="21"/>
                <w:szCs w:val="21"/>
                <w:highlight w:val="none"/>
              </w:rPr>
              <w:t>北纬</w:t>
            </w:r>
          </w:p>
        </w:tc>
        <w:tc>
          <w:tcPr>
            <w:tcW w:w="110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pacing w:val="3"/>
                <w:sz w:val="21"/>
                <w:szCs w:val="21"/>
                <w:highlight w:val="none"/>
              </w:rPr>
              <w:t>东经</w:t>
            </w:r>
          </w:p>
        </w:tc>
        <w:tc>
          <w:tcPr>
            <w:tcW w:w="1310" w:type="dxa"/>
            <w:vMerge w:val="continue"/>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p>
        </w:tc>
        <w:tc>
          <w:tcPr>
            <w:tcW w:w="1590" w:type="dxa"/>
            <w:vMerge w:val="continue"/>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p>
        </w:tc>
        <w:tc>
          <w:tcPr>
            <w:tcW w:w="1590" w:type="dxa"/>
            <w:vMerge w:val="continue"/>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8" w:hRule="atLeast"/>
          <w:jc w:val="center"/>
        </w:trPr>
        <w:tc>
          <w:tcPr>
            <w:tcW w:w="1664"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pacing w:val="11"/>
                <w:sz w:val="21"/>
                <w:szCs w:val="21"/>
                <w:highlight w:val="none"/>
              </w:rPr>
              <w:t>上平凹屯泉点</w:t>
            </w: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25°2′17″</w:t>
            </w:r>
          </w:p>
        </w:tc>
        <w:tc>
          <w:tcPr>
            <w:tcW w:w="110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101°34′45″</w:t>
            </w:r>
          </w:p>
        </w:tc>
        <w:tc>
          <w:tcPr>
            <w:tcW w:w="131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北</w:t>
            </w:r>
          </w:p>
        </w:tc>
        <w:tc>
          <w:tcPr>
            <w:tcW w:w="15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pacing w:val="-4"/>
                <w:sz w:val="21"/>
                <w:szCs w:val="21"/>
                <w:highlight w:val="none"/>
              </w:rPr>
              <w:t>2.7</w:t>
            </w:r>
          </w:p>
        </w:tc>
        <w:tc>
          <w:tcPr>
            <w:tcW w:w="1590" w:type="dxa"/>
            <w:vAlign w:val="center"/>
          </w:tcPr>
          <w:p>
            <w:pPr>
              <w:widowControl/>
              <w:kinsoku w:val="0"/>
              <w:autoSpaceDE w:val="0"/>
              <w:autoSpaceDN w:val="0"/>
              <w:spacing w:line="240" w:lineRule="auto"/>
              <w:ind w:firstLine="0" w:firstLineChars="0"/>
              <w:jc w:val="center"/>
              <w:textAlignment w:val="baseline"/>
              <w:rPr>
                <w:color w:val="auto"/>
                <w:spacing w:val="-4"/>
                <w:sz w:val="21"/>
                <w:szCs w:val="21"/>
                <w:highlight w:val="none"/>
              </w:rPr>
            </w:pPr>
            <w:r>
              <w:rPr>
                <w:rFonts w:hint="eastAsia"/>
                <w:color w:val="auto"/>
                <w:spacing w:val="-4"/>
                <w:sz w:val="21"/>
                <w:szCs w:val="21"/>
                <w:highlight w:val="none"/>
              </w:rPr>
              <w:t>下游监测点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7" w:hRule="atLeast"/>
          <w:jc w:val="center"/>
        </w:trPr>
        <w:tc>
          <w:tcPr>
            <w:tcW w:w="1664"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pacing w:val="7"/>
                <w:sz w:val="21"/>
                <w:szCs w:val="21"/>
                <w:highlight w:val="none"/>
              </w:rPr>
              <w:t>罗刀凹泉点</w:t>
            </w: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25°2′49″</w:t>
            </w:r>
          </w:p>
        </w:tc>
        <w:tc>
          <w:tcPr>
            <w:tcW w:w="110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101°36′23″</w:t>
            </w:r>
          </w:p>
        </w:tc>
        <w:tc>
          <w:tcPr>
            <w:tcW w:w="131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z w:val="21"/>
                <w:szCs w:val="21"/>
                <w:highlight w:val="none"/>
              </w:rPr>
              <w:t>东北</w:t>
            </w:r>
          </w:p>
        </w:tc>
        <w:tc>
          <w:tcPr>
            <w:tcW w:w="15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pacing w:val="-4"/>
                <w:sz w:val="21"/>
                <w:szCs w:val="21"/>
                <w:highlight w:val="none"/>
              </w:rPr>
              <w:t>2.5</w:t>
            </w:r>
          </w:p>
        </w:tc>
        <w:tc>
          <w:tcPr>
            <w:tcW w:w="1590" w:type="dxa"/>
            <w:vAlign w:val="center"/>
          </w:tcPr>
          <w:p>
            <w:pPr>
              <w:widowControl/>
              <w:kinsoku w:val="0"/>
              <w:autoSpaceDE w:val="0"/>
              <w:autoSpaceDN w:val="0"/>
              <w:spacing w:line="240" w:lineRule="auto"/>
              <w:ind w:firstLine="0" w:firstLineChars="0"/>
              <w:jc w:val="center"/>
              <w:textAlignment w:val="baseline"/>
              <w:rPr>
                <w:color w:val="auto"/>
                <w:spacing w:val="-4"/>
                <w:sz w:val="21"/>
                <w:szCs w:val="21"/>
                <w:highlight w:val="none"/>
              </w:rPr>
            </w:pPr>
            <w:r>
              <w:rPr>
                <w:rFonts w:hint="eastAsia"/>
                <w:color w:val="auto"/>
                <w:spacing w:val="-4"/>
                <w:sz w:val="21"/>
                <w:szCs w:val="21"/>
                <w:highlight w:val="none"/>
              </w:rPr>
              <w:t>下游监测点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664"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沙溪冲水井</w:t>
            </w: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25°2′32″</w:t>
            </w:r>
          </w:p>
        </w:tc>
        <w:tc>
          <w:tcPr>
            <w:tcW w:w="110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101°35′56″</w:t>
            </w:r>
          </w:p>
        </w:tc>
        <w:tc>
          <w:tcPr>
            <w:tcW w:w="131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z w:val="21"/>
                <w:szCs w:val="21"/>
                <w:highlight w:val="none"/>
              </w:rPr>
              <w:t>东北</w:t>
            </w:r>
          </w:p>
        </w:tc>
        <w:tc>
          <w:tcPr>
            <w:tcW w:w="15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pacing w:val="-4"/>
                <w:sz w:val="21"/>
                <w:szCs w:val="21"/>
                <w:highlight w:val="none"/>
              </w:rPr>
              <w:t>1</w:t>
            </w:r>
            <w:r>
              <w:rPr>
                <w:color w:val="auto"/>
                <w:spacing w:val="-3"/>
                <w:sz w:val="21"/>
                <w:szCs w:val="21"/>
                <w:highlight w:val="none"/>
              </w:rPr>
              <w:t>.</w:t>
            </w:r>
            <w:r>
              <w:rPr>
                <w:rFonts w:hint="eastAsia"/>
                <w:color w:val="auto"/>
                <w:spacing w:val="-3"/>
                <w:sz w:val="21"/>
                <w:szCs w:val="21"/>
                <w:highlight w:val="none"/>
              </w:rPr>
              <w:t>9</w:t>
            </w:r>
          </w:p>
        </w:tc>
        <w:tc>
          <w:tcPr>
            <w:tcW w:w="1590" w:type="dxa"/>
            <w:vAlign w:val="center"/>
          </w:tcPr>
          <w:p>
            <w:pPr>
              <w:widowControl/>
              <w:kinsoku w:val="0"/>
              <w:autoSpaceDE w:val="0"/>
              <w:autoSpaceDN w:val="0"/>
              <w:spacing w:line="240" w:lineRule="auto"/>
              <w:ind w:firstLine="0" w:firstLineChars="0"/>
              <w:jc w:val="center"/>
              <w:textAlignment w:val="baseline"/>
              <w:rPr>
                <w:color w:val="auto"/>
                <w:spacing w:val="-4"/>
                <w:sz w:val="21"/>
                <w:szCs w:val="21"/>
                <w:highlight w:val="none"/>
              </w:rPr>
            </w:pPr>
            <w:r>
              <w:rPr>
                <w:rFonts w:hint="eastAsia"/>
                <w:color w:val="auto"/>
                <w:spacing w:val="-4"/>
                <w:sz w:val="21"/>
                <w:szCs w:val="21"/>
                <w:highlight w:val="none"/>
              </w:rPr>
              <w:t>下游监测点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664"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王家小屯水井</w:t>
            </w: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25°1′5″</w:t>
            </w:r>
          </w:p>
        </w:tc>
        <w:tc>
          <w:tcPr>
            <w:tcW w:w="110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101°36′32″</w:t>
            </w:r>
          </w:p>
        </w:tc>
        <w:tc>
          <w:tcPr>
            <w:tcW w:w="131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z w:val="21"/>
                <w:szCs w:val="21"/>
                <w:highlight w:val="none"/>
              </w:rPr>
              <w:t>东南</w:t>
            </w:r>
          </w:p>
        </w:tc>
        <w:tc>
          <w:tcPr>
            <w:tcW w:w="15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pacing w:val="-4"/>
                <w:sz w:val="21"/>
                <w:szCs w:val="21"/>
                <w:highlight w:val="none"/>
              </w:rPr>
              <w:t>0.4</w:t>
            </w:r>
          </w:p>
        </w:tc>
        <w:tc>
          <w:tcPr>
            <w:tcW w:w="1590" w:type="dxa"/>
            <w:vAlign w:val="center"/>
          </w:tcPr>
          <w:p>
            <w:pPr>
              <w:widowControl/>
              <w:kinsoku w:val="0"/>
              <w:autoSpaceDE w:val="0"/>
              <w:autoSpaceDN w:val="0"/>
              <w:spacing w:line="240" w:lineRule="auto"/>
              <w:ind w:firstLine="0" w:firstLineChars="0"/>
              <w:jc w:val="center"/>
              <w:textAlignment w:val="baseline"/>
              <w:rPr>
                <w:color w:val="auto"/>
                <w:spacing w:val="-4"/>
                <w:sz w:val="21"/>
                <w:szCs w:val="21"/>
                <w:highlight w:val="none"/>
              </w:rPr>
            </w:pPr>
            <w:r>
              <w:rPr>
                <w:rFonts w:hint="eastAsia"/>
                <w:color w:val="auto"/>
                <w:spacing w:val="-4"/>
                <w:sz w:val="21"/>
                <w:szCs w:val="21"/>
                <w:highlight w:val="none"/>
              </w:rPr>
              <w:t>侧翼监测点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664"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大东村水井</w:t>
            </w:r>
          </w:p>
        </w:tc>
        <w:tc>
          <w:tcPr>
            <w:tcW w:w="9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24°59′51″</w:t>
            </w:r>
          </w:p>
        </w:tc>
        <w:tc>
          <w:tcPr>
            <w:tcW w:w="110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color w:val="auto"/>
                <w:sz w:val="21"/>
                <w:szCs w:val="21"/>
                <w:highlight w:val="none"/>
              </w:rPr>
              <w:t>101°36′39″</w:t>
            </w:r>
          </w:p>
        </w:tc>
        <w:tc>
          <w:tcPr>
            <w:tcW w:w="131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z w:val="21"/>
                <w:szCs w:val="21"/>
                <w:highlight w:val="none"/>
              </w:rPr>
              <w:t>西南</w:t>
            </w:r>
          </w:p>
        </w:tc>
        <w:tc>
          <w:tcPr>
            <w:tcW w:w="1590" w:type="dxa"/>
            <w:vAlign w:val="center"/>
          </w:tcPr>
          <w:p>
            <w:pPr>
              <w:widowControl/>
              <w:kinsoku w:val="0"/>
              <w:autoSpaceDE w:val="0"/>
              <w:autoSpaceDN w:val="0"/>
              <w:spacing w:line="240" w:lineRule="auto"/>
              <w:ind w:firstLine="0" w:firstLineChars="0"/>
              <w:jc w:val="center"/>
              <w:textAlignment w:val="baseline"/>
              <w:rPr>
                <w:color w:val="auto"/>
                <w:sz w:val="21"/>
                <w:szCs w:val="21"/>
                <w:highlight w:val="none"/>
              </w:rPr>
            </w:pPr>
            <w:r>
              <w:rPr>
                <w:rFonts w:hint="eastAsia"/>
                <w:color w:val="auto"/>
                <w:spacing w:val="-4"/>
                <w:sz w:val="21"/>
                <w:szCs w:val="21"/>
                <w:highlight w:val="none"/>
              </w:rPr>
              <w:t>2.3</w:t>
            </w:r>
          </w:p>
        </w:tc>
        <w:tc>
          <w:tcPr>
            <w:tcW w:w="1590" w:type="dxa"/>
            <w:vAlign w:val="center"/>
          </w:tcPr>
          <w:p>
            <w:pPr>
              <w:widowControl/>
              <w:kinsoku w:val="0"/>
              <w:autoSpaceDE w:val="0"/>
              <w:autoSpaceDN w:val="0"/>
              <w:spacing w:line="240" w:lineRule="auto"/>
              <w:ind w:firstLine="0" w:firstLineChars="0"/>
              <w:jc w:val="center"/>
              <w:textAlignment w:val="baseline"/>
              <w:rPr>
                <w:color w:val="auto"/>
                <w:spacing w:val="-4"/>
                <w:sz w:val="21"/>
                <w:szCs w:val="21"/>
                <w:highlight w:val="none"/>
              </w:rPr>
            </w:pPr>
            <w:r>
              <w:rPr>
                <w:rFonts w:hint="eastAsia"/>
                <w:color w:val="auto"/>
                <w:spacing w:val="-4"/>
                <w:sz w:val="21"/>
                <w:szCs w:val="21"/>
                <w:highlight w:val="none"/>
              </w:rPr>
              <w:t>上游监测点</w:t>
            </w:r>
          </w:p>
        </w:tc>
      </w:tr>
    </w:tbl>
    <w:p>
      <w:pPr>
        <w:adjustRightInd w:val="0"/>
        <w:snapToGrid w:val="0"/>
        <w:ind w:firstLine="482"/>
        <w:rPr>
          <w:b/>
          <w:bCs/>
          <w:color w:val="auto"/>
          <w:kern w:val="21"/>
          <w:highlight w:val="none"/>
        </w:rPr>
      </w:pPr>
      <w:r>
        <w:rPr>
          <w:b/>
          <w:bCs/>
          <w:color w:val="auto"/>
          <w:kern w:val="21"/>
          <w:highlight w:val="none"/>
        </w:rPr>
        <w:t>2、监测因子</w:t>
      </w:r>
    </w:p>
    <w:p>
      <w:pPr>
        <w:ind w:firstLine="480"/>
        <w:rPr>
          <w:color w:val="auto"/>
          <w:kern w:val="21"/>
          <w:highlight w:val="none"/>
        </w:rPr>
      </w:pPr>
      <w:r>
        <w:rPr>
          <w:color w:val="auto"/>
          <w:highlight w:val="none"/>
        </w:rPr>
        <w:t>环境因子：K+、Na+、Ca</w:t>
      </w:r>
      <w:r>
        <w:rPr>
          <w:color w:val="auto"/>
          <w:highlight w:val="none"/>
          <w:vertAlign w:val="superscript"/>
        </w:rPr>
        <w:t>2+</w:t>
      </w:r>
      <w:r>
        <w:rPr>
          <w:color w:val="auto"/>
          <w:highlight w:val="none"/>
        </w:rPr>
        <w:t>、Mg</w:t>
      </w:r>
      <w:r>
        <w:rPr>
          <w:color w:val="auto"/>
          <w:highlight w:val="none"/>
          <w:vertAlign w:val="superscript"/>
        </w:rPr>
        <w:t>2+</w:t>
      </w:r>
      <w:r>
        <w:rPr>
          <w:color w:val="auto"/>
          <w:highlight w:val="none"/>
        </w:rPr>
        <w:t>、CO</w:t>
      </w:r>
      <w:r>
        <w:rPr>
          <w:color w:val="auto"/>
          <w:highlight w:val="none"/>
          <w:vertAlign w:val="subscript"/>
        </w:rPr>
        <w:t>3</w:t>
      </w:r>
      <w:r>
        <w:rPr>
          <w:color w:val="auto"/>
          <w:highlight w:val="none"/>
          <w:vertAlign w:val="superscript"/>
        </w:rPr>
        <w:t>2-</w:t>
      </w:r>
      <w:r>
        <w:rPr>
          <w:color w:val="auto"/>
          <w:highlight w:val="none"/>
        </w:rPr>
        <w:t>、HCO</w:t>
      </w:r>
      <w:r>
        <w:rPr>
          <w:color w:val="auto"/>
          <w:highlight w:val="none"/>
          <w:vertAlign w:val="subscript"/>
        </w:rPr>
        <w:t>3</w:t>
      </w:r>
      <w:r>
        <w:rPr>
          <w:color w:val="auto"/>
          <w:highlight w:val="none"/>
          <w:vertAlign w:val="superscript"/>
        </w:rPr>
        <w:t>-</w:t>
      </w:r>
      <w:r>
        <w:rPr>
          <w:color w:val="auto"/>
          <w:highlight w:val="none"/>
        </w:rPr>
        <w:t>、Cl</w:t>
      </w:r>
      <w:r>
        <w:rPr>
          <w:color w:val="auto"/>
          <w:highlight w:val="none"/>
          <w:vertAlign w:val="superscript"/>
        </w:rPr>
        <w:t>-</w:t>
      </w:r>
      <w:r>
        <w:rPr>
          <w:color w:val="auto"/>
          <w:highlight w:val="none"/>
        </w:rPr>
        <w:t>、SO</w:t>
      </w:r>
      <w:r>
        <w:rPr>
          <w:color w:val="auto"/>
          <w:highlight w:val="none"/>
          <w:vertAlign w:val="subscript"/>
        </w:rPr>
        <w:t>4</w:t>
      </w:r>
      <w:r>
        <w:rPr>
          <w:color w:val="auto"/>
          <w:highlight w:val="none"/>
          <w:vertAlign w:val="superscript"/>
        </w:rPr>
        <w:t>2-</w:t>
      </w:r>
      <w:r>
        <w:rPr>
          <w:color w:val="auto"/>
          <w:highlight w:val="none"/>
        </w:rPr>
        <w:t>共8项。</w:t>
      </w:r>
    </w:p>
    <w:p>
      <w:pPr>
        <w:autoSpaceDN w:val="0"/>
        <w:ind w:firstLine="480"/>
        <w:textAlignment w:val="center"/>
        <w:rPr>
          <w:color w:val="auto"/>
          <w:kern w:val="21"/>
          <w:highlight w:val="none"/>
        </w:rPr>
      </w:pPr>
      <w:r>
        <w:rPr>
          <w:rFonts w:hint="eastAsia"/>
          <w:color w:val="auto"/>
          <w:kern w:val="21"/>
          <w:highlight w:val="none"/>
        </w:rPr>
        <w:t>基本因子：</w:t>
      </w:r>
      <w:r>
        <w:rPr>
          <w:color w:val="auto"/>
          <w:kern w:val="21"/>
          <w:highlight w:val="none"/>
        </w:rPr>
        <w:t>pH、耗氧量、总硬度、溶解性固体总量、氯化物、硫酸盐、硝酸盐、亚硝酸盐、硫化物、氰化物、氟化物、氨氮、砷、镉、铅、铜、锌、铁、锰、汞、六价铬、总大肠菌群、细菌总数共</w:t>
      </w:r>
      <w:r>
        <w:rPr>
          <w:rFonts w:hint="eastAsia"/>
          <w:color w:val="auto"/>
          <w:kern w:val="21"/>
          <w:highlight w:val="none"/>
        </w:rPr>
        <w:t>23</w:t>
      </w:r>
      <w:r>
        <w:rPr>
          <w:color w:val="auto"/>
          <w:kern w:val="21"/>
          <w:highlight w:val="none"/>
        </w:rPr>
        <w:t>项。</w:t>
      </w:r>
    </w:p>
    <w:p>
      <w:pPr>
        <w:ind w:firstLine="482"/>
        <w:rPr>
          <w:b/>
          <w:bCs/>
          <w:color w:val="auto"/>
          <w:kern w:val="21"/>
          <w:highlight w:val="none"/>
        </w:rPr>
      </w:pPr>
      <w:r>
        <w:rPr>
          <w:b/>
          <w:bCs/>
          <w:color w:val="auto"/>
          <w:kern w:val="21"/>
          <w:highlight w:val="none"/>
        </w:rPr>
        <w:t>3、监测时间和频次</w:t>
      </w:r>
    </w:p>
    <w:p>
      <w:pPr>
        <w:ind w:firstLine="480"/>
        <w:rPr>
          <w:color w:val="auto"/>
          <w:kern w:val="21"/>
          <w:highlight w:val="none"/>
        </w:rPr>
      </w:pPr>
      <w:r>
        <w:rPr>
          <w:color w:val="auto"/>
          <w:kern w:val="21"/>
          <w:highlight w:val="none"/>
        </w:rPr>
        <w:t>202</w:t>
      </w:r>
      <w:r>
        <w:rPr>
          <w:rFonts w:hint="eastAsia"/>
          <w:color w:val="auto"/>
          <w:kern w:val="21"/>
          <w:highlight w:val="none"/>
        </w:rPr>
        <w:t>2</w:t>
      </w:r>
      <w:r>
        <w:rPr>
          <w:color w:val="auto"/>
          <w:kern w:val="21"/>
          <w:highlight w:val="none"/>
        </w:rPr>
        <w:t>年</w:t>
      </w:r>
      <w:r>
        <w:rPr>
          <w:rFonts w:hint="eastAsia"/>
          <w:color w:val="auto"/>
          <w:kern w:val="21"/>
          <w:highlight w:val="none"/>
        </w:rPr>
        <w:t>3</w:t>
      </w:r>
      <w:r>
        <w:rPr>
          <w:color w:val="auto"/>
          <w:kern w:val="21"/>
          <w:highlight w:val="none"/>
        </w:rPr>
        <w:t>月1</w:t>
      </w:r>
      <w:r>
        <w:rPr>
          <w:rFonts w:hint="eastAsia"/>
          <w:color w:val="auto"/>
          <w:kern w:val="21"/>
          <w:highlight w:val="none"/>
        </w:rPr>
        <w:t>7</w:t>
      </w:r>
      <w:r>
        <w:rPr>
          <w:color w:val="auto"/>
          <w:kern w:val="21"/>
          <w:highlight w:val="none"/>
        </w:rPr>
        <w:t>日至202</w:t>
      </w:r>
      <w:r>
        <w:rPr>
          <w:rFonts w:hint="eastAsia"/>
          <w:color w:val="auto"/>
          <w:kern w:val="21"/>
          <w:highlight w:val="none"/>
        </w:rPr>
        <w:t>2</w:t>
      </w:r>
      <w:r>
        <w:rPr>
          <w:color w:val="auto"/>
          <w:kern w:val="21"/>
          <w:highlight w:val="none"/>
        </w:rPr>
        <w:t>年</w:t>
      </w:r>
      <w:r>
        <w:rPr>
          <w:rFonts w:hint="eastAsia"/>
          <w:color w:val="auto"/>
          <w:kern w:val="21"/>
          <w:highlight w:val="none"/>
        </w:rPr>
        <w:t>3</w:t>
      </w:r>
      <w:r>
        <w:rPr>
          <w:color w:val="auto"/>
          <w:kern w:val="21"/>
          <w:highlight w:val="none"/>
        </w:rPr>
        <w:t>月1</w:t>
      </w:r>
      <w:r>
        <w:rPr>
          <w:rFonts w:hint="eastAsia"/>
          <w:color w:val="auto"/>
          <w:kern w:val="21"/>
          <w:highlight w:val="none"/>
        </w:rPr>
        <w:t>8</w:t>
      </w:r>
      <w:r>
        <w:rPr>
          <w:color w:val="auto"/>
          <w:kern w:val="21"/>
          <w:highlight w:val="none"/>
        </w:rPr>
        <w:t>日，连续监测</w:t>
      </w:r>
      <w:r>
        <w:rPr>
          <w:rFonts w:hint="eastAsia"/>
          <w:color w:val="auto"/>
          <w:kern w:val="21"/>
          <w:highlight w:val="none"/>
        </w:rPr>
        <w:t>2</w:t>
      </w:r>
      <w:r>
        <w:rPr>
          <w:color w:val="auto"/>
          <w:kern w:val="21"/>
          <w:highlight w:val="none"/>
        </w:rPr>
        <w:t>天，每天采样一次。</w:t>
      </w:r>
    </w:p>
    <w:p>
      <w:pPr>
        <w:ind w:firstLine="482"/>
        <w:rPr>
          <w:b/>
          <w:bCs/>
          <w:color w:val="auto"/>
          <w:kern w:val="21"/>
          <w:highlight w:val="none"/>
        </w:rPr>
      </w:pPr>
      <w:r>
        <w:rPr>
          <w:b/>
          <w:bCs/>
          <w:color w:val="auto"/>
          <w:kern w:val="21"/>
          <w:highlight w:val="none"/>
        </w:rPr>
        <w:t>4、分析方法</w:t>
      </w:r>
    </w:p>
    <w:p>
      <w:pPr>
        <w:ind w:firstLine="480"/>
        <w:rPr>
          <w:color w:val="auto"/>
          <w:kern w:val="21"/>
          <w:highlight w:val="none"/>
        </w:rPr>
      </w:pPr>
      <w:r>
        <w:rPr>
          <w:color w:val="auto"/>
          <w:kern w:val="21"/>
          <w:highlight w:val="none"/>
        </w:rPr>
        <w:t>地下水检测项目、方法、设备见</w:t>
      </w:r>
      <w:r>
        <w:rPr>
          <w:rFonts w:hint="eastAsia"/>
          <w:color w:val="auto"/>
          <w:kern w:val="21"/>
          <w:highlight w:val="none"/>
          <w:lang w:eastAsia="zh-CN"/>
        </w:rPr>
        <w:t>下表</w:t>
      </w:r>
      <w:r>
        <w:rPr>
          <w:color w:val="auto"/>
          <w:kern w:val="21"/>
          <w:highlight w:val="none"/>
        </w:rPr>
        <w:t>。</w:t>
      </w:r>
    </w:p>
    <w:p>
      <w:pPr>
        <w:pStyle w:val="2"/>
        <w:rPr>
          <w:color w:val="auto"/>
          <w:kern w:val="21"/>
          <w:highlight w:val="none"/>
        </w:rPr>
      </w:pPr>
    </w:p>
    <w:p>
      <w:pPr>
        <w:rPr>
          <w:color w:val="auto"/>
        </w:rPr>
      </w:pPr>
    </w:p>
    <w:p>
      <w:pPr>
        <w:numPr>
          <w:ilvl w:val="0"/>
          <w:numId w:val="9"/>
        </w:numPr>
        <w:ind w:left="0" w:leftChars="0" w:firstLine="0" w:firstLineChars="0"/>
        <w:jc w:val="center"/>
        <w:rPr>
          <w:b/>
          <w:color w:val="auto"/>
          <w:kern w:val="21"/>
          <w:highlight w:val="none"/>
          <w:lang w:bidi="he-IL"/>
        </w:rPr>
      </w:pPr>
      <w:r>
        <w:rPr>
          <w:b/>
          <w:color w:val="auto"/>
          <w:kern w:val="21"/>
          <w:highlight w:val="none"/>
          <w:lang w:bidi="he-IL"/>
        </w:rPr>
        <w:t>地下水检测</w:t>
      </w:r>
      <w:r>
        <w:rPr>
          <w:rFonts w:hint="eastAsia"/>
          <w:b/>
          <w:bCs/>
          <w:color w:val="auto"/>
          <w:kern w:val="21"/>
          <w:sz w:val="24"/>
          <w:szCs w:val="24"/>
          <w:lang w:eastAsia="zh-CN"/>
        </w:rPr>
        <w:t>项目</w:t>
      </w:r>
      <w:r>
        <w:rPr>
          <w:b/>
          <w:color w:val="auto"/>
          <w:kern w:val="21"/>
          <w:highlight w:val="none"/>
          <w:lang w:bidi="he-IL"/>
        </w:rPr>
        <w:t>、方法、设备一览表</w:t>
      </w:r>
    </w:p>
    <w:tbl>
      <w:tblPr>
        <w:tblStyle w:val="51"/>
        <w:tblW w:w="858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9"/>
        <w:gridCol w:w="3068"/>
        <w:gridCol w:w="1601"/>
        <w:gridCol w:w="1258"/>
        <w:gridCol w:w="13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b/>
                <w:color w:val="auto"/>
                <w:sz w:val="21"/>
                <w:szCs w:val="21"/>
                <w:highlight w:val="none"/>
              </w:rPr>
            </w:pPr>
            <w:r>
              <w:rPr>
                <w:rFonts w:hint="eastAsia" w:ascii="宋体"/>
                <w:b/>
                <w:color w:val="auto"/>
                <w:sz w:val="21"/>
                <w:szCs w:val="21"/>
                <w:highlight w:val="none"/>
              </w:rPr>
              <w:t>检测项目</w:t>
            </w:r>
          </w:p>
        </w:tc>
        <w:tc>
          <w:tcPr>
            <w:tcW w:w="3068" w:type="dxa"/>
            <w:vAlign w:val="center"/>
          </w:tcPr>
          <w:p>
            <w:pPr>
              <w:pStyle w:val="197"/>
              <w:autoSpaceDE w:val="0"/>
              <w:autoSpaceDN w:val="0"/>
              <w:adjustRightInd w:val="0"/>
              <w:snapToGrid w:val="0"/>
              <w:ind w:firstLineChars="0"/>
              <w:jc w:val="center"/>
              <w:rPr>
                <w:rFonts w:ascii="宋体"/>
                <w:b/>
                <w:color w:val="auto"/>
                <w:sz w:val="21"/>
                <w:szCs w:val="21"/>
                <w:highlight w:val="none"/>
              </w:rPr>
            </w:pPr>
            <w:r>
              <w:rPr>
                <w:rFonts w:hint="eastAsia" w:ascii="宋体"/>
                <w:b/>
                <w:color w:val="auto"/>
                <w:sz w:val="21"/>
                <w:szCs w:val="21"/>
                <w:highlight w:val="none"/>
              </w:rPr>
              <w:t>检测方法</w:t>
            </w:r>
          </w:p>
        </w:tc>
        <w:tc>
          <w:tcPr>
            <w:tcW w:w="1601" w:type="dxa"/>
            <w:vAlign w:val="center"/>
          </w:tcPr>
          <w:p>
            <w:pPr>
              <w:pStyle w:val="197"/>
              <w:autoSpaceDE w:val="0"/>
              <w:autoSpaceDN w:val="0"/>
              <w:adjustRightInd w:val="0"/>
              <w:snapToGrid w:val="0"/>
              <w:ind w:firstLineChars="0"/>
              <w:jc w:val="center"/>
              <w:rPr>
                <w:rFonts w:ascii="宋体"/>
                <w:b/>
                <w:color w:val="auto"/>
                <w:sz w:val="21"/>
                <w:szCs w:val="21"/>
                <w:highlight w:val="none"/>
              </w:rPr>
            </w:pPr>
            <w:r>
              <w:rPr>
                <w:rFonts w:hint="eastAsia" w:ascii="宋体"/>
                <w:b/>
                <w:color w:val="auto"/>
                <w:sz w:val="21"/>
                <w:szCs w:val="21"/>
                <w:highlight w:val="none"/>
              </w:rPr>
              <w:t>检测和分析设备</w:t>
            </w:r>
          </w:p>
        </w:tc>
        <w:tc>
          <w:tcPr>
            <w:tcW w:w="1258" w:type="dxa"/>
            <w:vAlign w:val="center"/>
          </w:tcPr>
          <w:p>
            <w:pPr>
              <w:pStyle w:val="197"/>
              <w:autoSpaceDE w:val="0"/>
              <w:autoSpaceDN w:val="0"/>
              <w:adjustRightInd w:val="0"/>
              <w:snapToGrid w:val="0"/>
              <w:ind w:firstLineChars="0"/>
              <w:jc w:val="center"/>
              <w:rPr>
                <w:rFonts w:ascii="宋体"/>
                <w:b/>
                <w:color w:val="auto"/>
                <w:sz w:val="21"/>
                <w:szCs w:val="21"/>
                <w:highlight w:val="none"/>
              </w:rPr>
            </w:pPr>
            <w:r>
              <w:rPr>
                <w:rFonts w:hint="eastAsia" w:ascii="宋体"/>
                <w:b/>
                <w:color w:val="auto"/>
                <w:sz w:val="21"/>
                <w:szCs w:val="21"/>
                <w:highlight w:val="none"/>
              </w:rPr>
              <w:t>仪器编号</w:t>
            </w:r>
          </w:p>
        </w:tc>
        <w:tc>
          <w:tcPr>
            <w:tcW w:w="1302" w:type="dxa"/>
            <w:vAlign w:val="center"/>
          </w:tcPr>
          <w:p>
            <w:pPr>
              <w:pStyle w:val="197"/>
              <w:autoSpaceDE w:val="0"/>
              <w:autoSpaceDN w:val="0"/>
              <w:adjustRightInd w:val="0"/>
              <w:snapToGrid w:val="0"/>
              <w:ind w:firstLineChars="0"/>
              <w:jc w:val="center"/>
              <w:rPr>
                <w:rFonts w:ascii="宋体"/>
                <w:b/>
                <w:color w:val="auto"/>
                <w:sz w:val="21"/>
                <w:szCs w:val="21"/>
                <w:highlight w:val="none"/>
              </w:rPr>
            </w:pPr>
            <w:r>
              <w:rPr>
                <w:rFonts w:hint="eastAsia" w:ascii="宋体"/>
                <w:b/>
                <w:color w:val="auto"/>
                <w:sz w:val="21"/>
                <w:szCs w:val="21"/>
                <w:highlight w:val="none"/>
              </w:rPr>
              <w:t>最低检出限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地下水水位</w:t>
            </w:r>
          </w:p>
        </w:tc>
        <w:tc>
          <w:tcPr>
            <w:tcW w:w="3068"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地下水监测工程技术规范</w:t>
            </w:r>
            <w:r>
              <w:rPr>
                <w:color w:val="auto"/>
                <w:sz w:val="21"/>
                <w:szCs w:val="21"/>
                <w:highlight w:val="none"/>
              </w:rPr>
              <w:t>GB/T51040-2014</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50</w:t>
            </w:r>
            <w:r>
              <w:rPr>
                <w:rFonts w:hint="eastAsia" w:ascii="宋体"/>
                <w:color w:val="auto"/>
                <w:sz w:val="21"/>
                <w:szCs w:val="21"/>
                <w:highlight w:val="none"/>
              </w:rPr>
              <w:t>米钢尺水位计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CY-XC029</w:t>
            </w:r>
          </w:p>
        </w:tc>
        <w:tc>
          <w:tcPr>
            <w:tcW w:w="1302" w:type="dxa"/>
            <w:vAlign w:val="center"/>
          </w:tcPr>
          <w:p>
            <w:pPr>
              <w:pStyle w:val="197"/>
              <w:autoSpaceDE w:val="0"/>
              <w:autoSpaceDN w:val="0"/>
              <w:adjustRightInd w:val="0"/>
              <w:snapToGrid w:val="0"/>
              <w:ind w:firstLineChars="0"/>
              <w:jc w:val="center"/>
              <w:rPr>
                <w:rFonts w:ascii="宋体" w:hAnsi="宋体"/>
                <w:color w:val="auto"/>
                <w:sz w:val="21"/>
                <w:szCs w:val="21"/>
                <w:highlight w:val="none"/>
              </w:rPr>
            </w:pPr>
            <w:r>
              <w:rPr>
                <w:rFonts w:ascii="宋体" w:hAnsi="宋体"/>
                <w:color w:val="auto"/>
                <w:sz w:val="21"/>
                <w:szCs w:val="21"/>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pH</w:t>
            </w:r>
            <w:r>
              <w:rPr>
                <w:rFonts w:hint="eastAsia" w:ascii="宋体"/>
                <w:color w:val="auto"/>
                <w:sz w:val="21"/>
                <w:szCs w:val="21"/>
                <w:highlight w:val="none"/>
              </w:rPr>
              <w:t>值</w:t>
            </w:r>
          </w:p>
        </w:tc>
        <w:tc>
          <w:tcPr>
            <w:tcW w:w="3068" w:type="dxa"/>
            <w:vAlign w:val="center"/>
          </w:tcPr>
          <w:p>
            <w:pPr>
              <w:pStyle w:val="197"/>
              <w:tabs>
                <w:tab w:val="left" w:pos="1893"/>
              </w:tabs>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w:t>
            </w:r>
            <w:r>
              <w:rPr>
                <w:color w:val="auto"/>
                <w:sz w:val="21"/>
                <w:szCs w:val="21"/>
                <w:highlight w:val="none"/>
              </w:rPr>
              <w:t>pH</w:t>
            </w:r>
            <w:r>
              <w:rPr>
                <w:rFonts w:hint="eastAsia" w:ascii="宋体"/>
                <w:color w:val="auto"/>
                <w:sz w:val="21"/>
                <w:szCs w:val="21"/>
                <w:highlight w:val="none"/>
              </w:rPr>
              <w:t>值的测定电极法</w:t>
            </w:r>
            <w:r>
              <w:rPr>
                <w:color w:val="auto"/>
                <w:sz w:val="21"/>
                <w:szCs w:val="21"/>
                <w:highlight w:val="none"/>
              </w:rPr>
              <w:t>HJ1147-2020</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pH</w:t>
            </w:r>
            <w:r>
              <w:rPr>
                <w:rFonts w:hint="eastAsia" w:ascii="宋体"/>
                <w:color w:val="auto"/>
                <w:sz w:val="21"/>
                <w:szCs w:val="21"/>
                <w:highlight w:val="none"/>
              </w:rPr>
              <w:t>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CY-FX010</w:t>
            </w:r>
          </w:p>
        </w:tc>
        <w:tc>
          <w:tcPr>
            <w:tcW w:w="1302"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0.01pH</w:t>
            </w:r>
            <w:r>
              <w:rPr>
                <w:rFonts w:hint="eastAsia" w:ascii="宋体"/>
                <w:color w:val="auto"/>
                <w:sz w:val="21"/>
                <w:szCs w:val="21"/>
                <w:highlight w:val="none"/>
              </w:rPr>
              <w:t>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流量</w:t>
            </w:r>
          </w:p>
        </w:tc>
        <w:tc>
          <w:tcPr>
            <w:tcW w:w="3068"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河流流量测验规范流速仪法</w:t>
            </w:r>
            <w:r>
              <w:rPr>
                <w:color w:val="auto"/>
                <w:sz w:val="21"/>
                <w:szCs w:val="21"/>
                <w:highlight w:val="none"/>
              </w:rPr>
              <w:t>GB50179-2015</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LA300-A</w:t>
            </w:r>
            <w:r>
              <w:rPr>
                <w:rFonts w:hint="eastAsia" w:ascii="宋体"/>
                <w:color w:val="auto"/>
                <w:sz w:val="21"/>
                <w:szCs w:val="21"/>
                <w:highlight w:val="none"/>
              </w:rPr>
              <w:t>型便携式流速仪</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CY-XC020</w:t>
            </w:r>
          </w:p>
        </w:tc>
        <w:tc>
          <w:tcPr>
            <w:tcW w:w="1302" w:type="dxa"/>
            <w:vAlign w:val="center"/>
          </w:tcPr>
          <w:p>
            <w:pPr>
              <w:pStyle w:val="197"/>
              <w:autoSpaceDE w:val="0"/>
              <w:autoSpaceDN w:val="0"/>
              <w:adjustRightInd w:val="0"/>
              <w:snapToGrid w:val="0"/>
              <w:ind w:firstLineChars="0"/>
              <w:jc w:val="center"/>
              <w:rPr>
                <w:rFonts w:ascii="宋体" w:hAnsi="宋体"/>
                <w:color w:val="auto"/>
                <w:sz w:val="21"/>
                <w:szCs w:val="21"/>
                <w:highlight w:val="none"/>
              </w:rPr>
            </w:pPr>
            <w:r>
              <w:rPr>
                <w:rFonts w:ascii="宋体" w:hAnsi="宋体"/>
                <w:color w:val="auto"/>
                <w:sz w:val="21"/>
                <w:szCs w:val="21"/>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耗氧量</w:t>
            </w:r>
          </w:p>
        </w:tc>
        <w:tc>
          <w:tcPr>
            <w:tcW w:w="3068"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生活饮用水标准检验方法有机物综合指标酸性高锰酸钾滴定法</w:t>
            </w:r>
            <w:r>
              <w:rPr>
                <w:color w:val="auto"/>
                <w:sz w:val="21"/>
                <w:szCs w:val="21"/>
                <w:highlight w:val="none"/>
              </w:rPr>
              <w:t>GB/T5750.7-2006</w:t>
            </w:r>
            <w:r>
              <w:rPr>
                <w:rFonts w:hint="eastAsia" w:ascii="宋体"/>
                <w:color w:val="auto"/>
                <w:sz w:val="21"/>
                <w:szCs w:val="21"/>
                <w:highlight w:val="none"/>
              </w:rPr>
              <w:t>（</w:t>
            </w:r>
            <w:r>
              <w:rPr>
                <w:color w:val="auto"/>
                <w:sz w:val="21"/>
                <w:szCs w:val="21"/>
                <w:highlight w:val="none"/>
              </w:rPr>
              <w:t>1.1</w:t>
            </w:r>
            <w:r>
              <w:rPr>
                <w:rFonts w:hint="eastAsia" w:ascii="宋体"/>
                <w:color w:val="auto"/>
                <w:sz w:val="21"/>
                <w:szCs w:val="21"/>
                <w:highlight w:val="none"/>
              </w:rPr>
              <w:t>）</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棕色滴定管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CY-DD25-001</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0.05mg/L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硫化物</w:t>
            </w:r>
          </w:p>
        </w:tc>
        <w:tc>
          <w:tcPr>
            <w:tcW w:w="3068"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水质硫化物的测定亚甲基蓝分光光度法</w:t>
            </w:r>
            <w:r>
              <w:rPr>
                <w:color w:val="auto"/>
                <w:sz w:val="21"/>
                <w:szCs w:val="21"/>
                <w:highlight w:val="none"/>
              </w:rPr>
              <w:t>HJ1226-2021</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722N</w:t>
            </w:r>
            <w:r>
              <w:rPr>
                <w:rFonts w:hint="eastAsia" w:ascii="宋体"/>
                <w:color w:val="auto"/>
                <w:sz w:val="21"/>
                <w:szCs w:val="21"/>
                <w:highlight w:val="none"/>
              </w:rPr>
              <w:t>可见分光光度计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CY-FX003</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0.003mg/L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氰化物</w:t>
            </w:r>
          </w:p>
        </w:tc>
        <w:tc>
          <w:tcPr>
            <w:tcW w:w="3068"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水质氰化物的测定容量法和分光光度法</w:t>
            </w:r>
            <w:r>
              <w:rPr>
                <w:color w:val="auto"/>
                <w:sz w:val="21"/>
                <w:szCs w:val="21"/>
                <w:highlight w:val="none"/>
              </w:rPr>
              <w:t>HJ484-2009</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722N</w:t>
            </w:r>
            <w:r>
              <w:rPr>
                <w:rFonts w:hint="eastAsia" w:ascii="宋体"/>
                <w:color w:val="auto"/>
                <w:sz w:val="21"/>
                <w:szCs w:val="21"/>
                <w:highlight w:val="none"/>
              </w:rPr>
              <w:t>可见分光光度计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CY-FX003</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0.004mg/L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氟化物</w:t>
            </w:r>
          </w:p>
        </w:tc>
        <w:tc>
          <w:tcPr>
            <w:tcW w:w="3068"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水质氟化物的测定离子选择电极法</w:t>
            </w:r>
            <w:r>
              <w:rPr>
                <w:color w:val="auto"/>
                <w:sz w:val="21"/>
                <w:szCs w:val="21"/>
                <w:highlight w:val="none"/>
              </w:rPr>
              <w:t>GB7484-87</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离子计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CY-FX011</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0.05mg/L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氯化物</w:t>
            </w:r>
          </w:p>
        </w:tc>
        <w:tc>
          <w:tcPr>
            <w:tcW w:w="3068"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水质氯化物的测定硝酸银滴定法</w:t>
            </w:r>
            <w:r>
              <w:rPr>
                <w:color w:val="auto"/>
                <w:sz w:val="21"/>
                <w:szCs w:val="21"/>
                <w:highlight w:val="none"/>
              </w:rPr>
              <w:t>GB11896-89</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棕色滴定管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CY-DD25-003</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10mg/L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硝酸盐氮</w:t>
            </w:r>
          </w:p>
        </w:tc>
        <w:tc>
          <w:tcPr>
            <w:tcW w:w="3068" w:type="dxa"/>
            <w:vAlign w:val="center"/>
          </w:tcPr>
          <w:p>
            <w:pPr>
              <w:pStyle w:val="197"/>
              <w:tabs>
                <w:tab w:val="left" w:pos="637"/>
              </w:tabs>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水质硝酸盐氮的测定酚二磺酸分光光度法</w:t>
            </w:r>
            <w:r>
              <w:rPr>
                <w:color w:val="auto"/>
                <w:sz w:val="21"/>
                <w:szCs w:val="21"/>
                <w:highlight w:val="none"/>
              </w:rPr>
              <w:t>GB7480-87</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722N</w:t>
            </w:r>
            <w:r>
              <w:rPr>
                <w:rFonts w:hint="eastAsia" w:ascii="宋体"/>
                <w:color w:val="auto"/>
                <w:sz w:val="21"/>
                <w:szCs w:val="21"/>
                <w:highlight w:val="none"/>
              </w:rPr>
              <w:t>可见分光光度计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CY-FX003</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0.02mg/L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亚硝酸盐氮</w:t>
            </w:r>
          </w:p>
        </w:tc>
        <w:tc>
          <w:tcPr>
            <w:tcW w:w="3068" w:type="dxa"/>
            <w:vAlign w:val="center"/>
          </w:tcPr>
          <w:p>
            <w:pPr>
              <w:pStyle w:val="197"/>
              <w:tabs>
                <w:tab w:val="left" w:pos="1384"/>
              </w:tabs>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水质亚硝酸盐氮的测定分光光度法</w:t>
            </w:r>
            <w:r>
              <w:rPr>
                <w:color w:val="auto"/>
                <w:sz w:val="21"/>
                <w:szCs w:val="21"/>
                <w:highlight w:val="none"/>
              </w:rPr>
              <w:t>GB7493-87</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722N</w:t>
            </w:r>
            <w:r>
              <w:rPr>
                <w:rFonts w:hint="eastAsia" w:ascii="宋体"/>
                <w:color w:val="auto"/>
                <w:sz w:val="21"/>
                <w:szCs w:val="21"/>
                <w:highlight w:val="none"/>
              </w:rPr>
              <w:t>可见分光光度计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CY-FX003</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0.003mg/L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总硬度</w:t>
            </w:r>
          </w:p>
        </w:tc>
        <w:tc>
          <w:tcPr>
            <w:tcW w:w="3068"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水质钙和镁总量的测定</w:t>
            </w:r>
            <w:r>
              <w:rPr>
                <w:color w:val="auto"/>
                <w:sz w:val="21"/>
                <w:szCs w:val="21"/>
                <w:highlight w:val="none"/>
              </w:rPr>
              <w:t>EDTA</w:t>
            </w:r>
            <w:r>
              <w:rPr>
                <w:rFonts w:hint="eastAsia" w:ascii="宋体"/>
                <w:color w:val="auto"/>
                <w:sz w:val="21"/>
                <w:szCs w:val="21"/>
                <w:highlight w:val="none"/>
              </w:rPr>
              <w:t>滴定法</w:t>
            </w:r>
            <w:r>
              <w:rPr>
                <w:color w:val="auto"/>
                <w:sz w:val="21"/>
                <w:szCs w:val="21"/>
                <w:highlight w:val="none"/>
              </w:rPr>
              <w:t>GB7477-87</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棕色滴定管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CY-DD25-002</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5mg/L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硫酸盐</w:t>
            </w:r>
          </w:p>
        </w:tc>
        <w:tc>
          <w:tcPr>
            <w:tcW w:w="3068"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水质硫酸盐的测定铬酸钡分光光度法</w:t>
            </w:r>
            <w:r>
              <w:rPr>
                <w:color w:val="auto"/>
                <w:sz w:val="21"/>
                <w:szCs w:val="21"/>
                <w:highlight w:val="none"/>
              </w:rPr>
              <w:t>(</w:t>
            </w:r>
            <w:r>
              <w:rPr>
                <w:rFonts w:hint="eastAsia" w:ascii="宋体"/>
                <w:color w:val="auto"/>
                <w:sz w:val="21"/>
                <w:szCs w:val="21"/>
                <w:highlight w:val="none"/>
              </w:rPr>
              <w:t>试行</w:t>
            </w:r>
            <w:r>
              <w:rPr>
                <w:color w:val="auto"/>
                <w:sz w:val="21"/>
                <w:szCs w:val="21"/>
                <w:highlight w:val="none"/>
              </w:rPr>
              <w:t>)HJ/T342-2007</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722N</w:t>
            </w:r>
            <w:r>
              <w:rPr>
                <w:rFonts w:hint="eastAsia" w:ascii="宋体"/>
                <w:color w:val="auto"/>
                <w:sz w:val="21"/>
                <w:szCs w:val="21"/>
                <w:highlight w:val="none"/>
              </w:rPr>
              <w:t>可见分光光度计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CY-FX003</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8mg/L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铁</w:t>
            </w:r>
          </w:p>
        </w:tc>
        <w:tc>
          <w:tcPr>
            <w:tcW w:w="3068" w:type="dxa"/>
            <w:vMerge w:val="restart"/>
            <w:vAlign w:val="center"/>
          </w:tcPr>
          <w:p>
            <w:pPr>
              <w:pStyle w:val="197"/>
              <w:tabs>
                <w:tab w:val="left" w:pos="777"/>
                <w:tab w:val="left" w:pos="2246"/>
              </w:tabs>
              <w:autoSpaceDE w:val="0"/>
              <w:autoSpaceDN w:val="0"/>
              <w:adjustRightInd w:val="0"/>
              <w:snapToGrid w:val="0"/>
              <w:ind w:firstLineChars="0"/>
              <w:rPr>
                <w:color w:val="auto"/>
                <w:sz w:val="21"/>
                <w:szCs w:val="21"/>
                <w:highlight w:val="none"/>
              </w:rPr>
            </w:pPr>
            <w:r>
              <w:rPr>
                <w:rFonts w:hint="eastAsia" w:ascii="宋体"/>
                <w:color w:val="auto"/>
                <w:sz w:val="21"/>
                <w:szCs w:val="21"/>
                <w:highlight w:val="none"/>
              </w:rPr>
              <w:t>水质铁、锰的测定火焰原子吸收分光光度法</w:t>
            </w:r>
            <w:r>
              <w:rPr>
                <w:color w:val="auto"/>
                <w:sz w:val="21"/>
                <w:szCs w:val="21"/>
                <w:highlight w:val="none"/>
              </w:rPr>
              <w:t>GB11911-89</w:t>
            </w:r>
          </w:p>
        </w:tc>
        <w:tc>
          <w:tcPr>
            <w:tcW w:w="1601" w:type="dxa"/>
            <w:vMerge w:val="restart"/>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原子吸收分光光度仪</w:t>
            </w:r>
          </w:p>
        </w:tc>
        <w:tc>
          <w:tcPr>
            <w:tcW w:w="1258" w:type="dxa"/>
            <w:vMerge w:val="restart"/>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CY-FX022</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0.03mg/L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锰</w:t>
            </w: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25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0.01mg/L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砷</w:t>
            </w:r>
          </w:p>
        </w:tc>
        <w:tc>
          <w:tcPr>
            <w:tcW w:w="3068" w:type="dxa"/>
            <w:vMerge w:val="restart"/>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水质汞、砷、硒、铋和锑的测定原子荧光法</w:t>
            </w:r>
            <w:r>
              <w:rPr>
                <w:color w:val="auto"/>
                <w:sz w:val="21"/>
                <w:szCs w:val="21"/>
                <w:highlight w:val="none"/>
              </w:rPr>
              <w:t>HJ694-2014</w:t>
            </w:r>
          </w:p>
        </w:tc>
        <w:tc>
          <w:tcPr>
            <w:tcW w:w="1601" w:type="dxa"/>
            <w:vMerge w:val="restart"/>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原子荧光光度计</w:t>
            </w:r>
          </w:p>
        </w:tc>
        <w:tc>
          <w:tcPr>
            <w:tcW w:w="1258" w:type="dxa"/>
            <w:vMerge w:val="restart"/>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CY-FX023</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0.3μg/L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汞</w:t>
            </w: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25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0.04μg/L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铜</w:t>
            </w:r>
          </w:p>
        </w:tc>
        <w:tc>
          <w:tcPr>
            <w:tcW w:w="3068" w:type="dxa"/>
            <w:vMerge w:val="restart"/>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水质铜、锌、铅、镉的测定原子吸收分光光度法</w:t>
            </w:r>
            <w:r>
              <w:rPr>
                <w:color w:val="auto"/>
                <w:sz w:val="21"/>
                <w:szCs w:val="21"/>
                <w:highlight w:val="none"/>
              </w:rPr>
              <w:t>GB7475-87</w:t>
            </w:r>
          </w:p>
        </w:tc>
        <w:tc>
          <w:tcPr>
            <w:tcW w:w="1601" w:type="dxa"/>
            <w:vMerge w:val="restart"/>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原子吸收分光光度仪</w:t>
            </w:r>
          </w:p>
        </w:tc>
        <w:tc>
          <w:tcPr>
            <w:tcW w:w="1258" w:type="dxa"/>
            <w:vMerge w:val="restart"/>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CY-FX022</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螯合萃取法</w:t>
            </w:r>
            <w:r>
              <w:rPr>
                <w:color w:val="auto"/>
                <w:sz w:val="21"/>
                <w:szCs w:val="21"/>
                <w:highlight w:val="none"/>
              </w:rPr>
              <w:t>1×10-3mg/L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铅</w:t>
            </w: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25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螯合萃取法</w:t>
            </w:r>
            <w:r>
              <w:rPr>
                <w:color w:val="auto"/>
                <w:sz w:val="21"/>
                <w:szCs w:val="21"/>
                <w:highlight w:val="none"/>
              </w:rPr>
              <w:t>0.010mg/L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锌</w:t>
            </w: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25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0.05mg/L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镉</w:t>
            </w: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25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螯合萃取法</w:t>
            </w:r>
            <w:r>
              <w:rPr>
                <w:color w:val="auto"/>
                <w:sz w:val="21"/>
                <w:szCs w:val="21"/>
                <w:highlight w:val="none"/>
              </w:rPr>
              <w:t>1×10-3mg/L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溶解性固体总量</w:t>
            </w:r>
          </w:p>
        </w:tc>
        <w:tc>
          <w:tcPr>
            <w:tcW w:w="3068"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地下水质分析方法第</w:t>
            </w:r>
            <w:r>
              <w:rPr>
                <w:color w:val="auto"/>
                <w:sz w:val="21"/>
                <w:szCs w:val="21"/>
                <w:highlight w:val="none"/>
              </w:rPr>
              <w:t>9</w:t>
            </w:r>
            <w:r>
              <w:rPr>
                <w:rFonts w:hint="eastAsia" w:ascii="宋体"/>
                <w:color w:val="auto"/>
                <w:sz w:val="21"/>
                <w:szCs w:val="21"/>
                <w:highlight w:val="none"/>
              </w:rPr>
              <w:t>部分：溶解性固体总量的测定重量法</w:t>
            </w:r>
            <w:r>
              <w:rPr>
                <w:color w:val="auto"/>
                <w:sz w:val="21"/>
                <w:szCs w:val="21"/>
                <w:highlight w:val="none"/>
              </w:rPr>
              <w:t>DZ/T0064.9-2021</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FA2004</w:t>
            </w:r>
            <w:r>
              <w:rPr>
                <w:rFonts w:hint="eastAsia" w:ascii="宋体"/>
                <w:color w:val="auto"/>
                <w:sz w:val="21"/>
                <w:szCs w:val="21"/>
                <w:highlight w:val="none"/>
              </w:rPr>
              <w:t>电子天平</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CY-FX006</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4mg/L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六价铬</w:t>
            </w:r>
          </w:p>
        </w:tc>
        <w:tc>
          <w:tcPr>
            <w:tcW w:w="3068" w:type="dxa"/>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水质六价铬的测定二苯碳酰二肼分光光度法</w:t>
            </w:r>
            <w:r>
              <w:rPr>
                <w:color w:val="auto"/>
                <w:sz w:val="21"/>
                <w:szCs w:val="21"/>
                <w:highlight w:val="none"/>
              </w:rPr>
              <w:t>GB7467-87</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color w:val="auto"/>
                <w:sz w:val="21"/>
                <w:szCs w:val="21"/>
                <w:highlight w:val="none"/>
              </w:rPr>
              <w:t>722N</w:t>
            </w:r>
            <w:r>
              <w:rPr>
                <w:rFonts w:hint="eastAsia" w:ascii="宋体"/>
                <w:color w:val="auto"/>
                <w:sz w:val="21"/>
                <w:szCs w:val="21"/>
                <w:highlight w:val="none"/>
              </w:rPr>
              <w:t>可见分光光度计</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CY-FX003</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0.004mg/L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Merge w:val="restart"/>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细菌总数</w:t>
            </w:r>
          </w:p>
        </w:tc>
        <w:tc>
          <w:tcPr>
            <w:tcW w:w="3068" w:type="dxa"/>
            <w:vMerge w:val="restart"/>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水质细菌总数的测定平皿计数法</w:t>
            </w:r>
            <w:r>
              <w:rPr>
                <w:color w:val="auto"/>
                <w:sz w:val="21"/>
                <w:szCs w:val="21"/>
                <w:highlight w:val="none"/>
              </w:rPr>
              <w:t>HJ1000-2018</w:t>
            </w: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菌落计数器</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CY-FX025</w:t>
            </w:r>
          </w:p>
        </w:tc>
        <w:tc>
          <w:tcPr>
            <w:tcW w:w="1302" w:type="dxa"/>
            <w:vMerge w:val="restart"/>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1CFU/ml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电热恒温培养箱</w:t>
            </w:r>
          </w:p>
        </w:tc>
        <w:tc>
          <w:tcPr>
            <w:tcW w:w="1258"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CY-FX016</w:t>
            </w:r>
          </w:p>
        </w:tc>
        <w:tc>
          <w:tcPr>
            <w:tcW w:w="1302"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*K+</w:t>
            </w:r>
          </w:p>
        </w:tc>
        <w:tc>
          <w:tcPr>
            <w:tcW w:w="3068" w:type="dxa"/>
            <w:vMerge w:val="restart"/>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水质可溶性阳离子（</w:t>
            </w:r>
            <w:r>
              <w:rPr>
                <w:color w:val="auto"/>
                <w:sz w:val="21"/>
                <w:szCs w:val="21"/>
                <w:highlight w:val="none"/>
              </w:rPr>
              <w:t>Li+</w:t>
            </w:r>
            <w:r>
              <w:rPr>
                <w:rFonts w:hint="eastAsia" w:ascii="宋体"/>
                <w:color w:val="auto"/>
                <w:sz w:val="21"/>
                <w:szCs w:val="21"/>
                <w:highlight w:val="none"/>
              </w:rPr>
              <w:t>、</w:t>
            </w:r>
            <w:r>
              <w:rPr>
                <w:color w:val="auto"/>
                <w:sz w:val="21"/>
                <w:szCs w:val="21"/>
                <w:highlight w:val="none"/>
              </w:rPr>
              <w:t>Na+</w:t>
            </w:r>
            <w:r>
              <w:rPr>
                <w:rFonts w:hint="eastAsia" w:ascii="宋体"/>
                <w:color w:val="auto"/>
                <w:sz w:val="21"/>
                <w:szCs w:val="21"/>
                <w:highlight w:val="none"/>
              </w:rPr>
              <w:t>、</w:t>
            </w:r>
            <w:r>
              <w:rPr>
                <w:color w:val="auto"/>
                <w:sz w:val="21"/>
                <w:szCs w:val="21"/>
                <w:highlight w:val="none"/>
              </w:rPr>
              <w:t>NH4+</w:t>
            </w:r>
            <w:r>
              <w:rPr>
                <w:rFonts w:hint="eastAsia" w:ascii="宋体"/>
                <w:color w:val="auto"/>
                <w:sz w:val="21"/>
                <w:szCs w:val="21"/>
                <w:highlight w:val="none"/>
              </w:rPr>
              <w:t>、</w:t>
            </w:r>
            <w:r>
              <w:rPr>
                <w:color w:val="auto"/>
                <w:sz w:val="21"/>
                <w:szCs w:val="21"/>
                <w:highlight w:val="none"/>
              </w:rPr>
              <w:t>K+</w:t>
            </w:r>
            <w:r>
              <w:rPr>
                <w:rFonts w:hint="eastAsia" w:ascii="宋体"/>
                <w:color w:val="auto"/>
                <w:sz w:val="21"/>
                <w:szCs w:val="21"/>
                <w:highlight w:val="none"/>
              </w:rPr>
              <w:t>、</w:t>
            </w:r>
            <w:r>
              <w:rPr>
                <w:color w:val="auto"/>
                <w:sz w:val="21"/>
                <w:szCs w:val="21"/>
                <w:highlight w:val="none"/>
              </w:rPr>
              <w:t>Ca2+</w:t>
            </w:r>
            <w:r>
              <w:rPr>
                <w:rFonts w:hint="eastAsia" w:ascii="宋体"/>
                <w:color w:val="auto"/>
                <w:sz w:val="21"/>
                <w:szCs w:val="21"/>
                <w:highlight w:val="none"/>
              </w:rPr>
              <w:t>、</w:t>
            </w:r>
            <w:r>
              <w:rPr>
                <w:color w:val="auto"/>
                <w:sz w:val="21"/>
                <w:szCs w:val="21"/>
                <w:highlight w:val="none"/>
              </w:rPr>
              <w:t>Mg2+</w:t>
            </w:r>
            <w:r>
              <w:rPr>
                <w:rFonts w:hint="eastAsia" w:ascii="宋体"/>
                <w:color w:val="auto"/>
                <w:sz w:val="21"/>
                <w:szCs w:val="21"/>
                <w:highlight w:val="none"/>
              </w:rPr>
              <w:t>）的测定离子色谱法</w:t>
            </w:r>
            <w:r>
              <w:rPr>
                <w:color w:val="auto"/>
                <w:sz w:val="21"/>
                <w:szCs w:val="21"/>
                <w:highlight w:val="none"/>
              </w:rPr>
              <w:t>HJ812-2016</w:t>
            </w:r>
          </w:p>
        </w:tc>
        <w:tc>
          <w:tcPr>
            <w:tcW w:w="1601" w:type="dxa"/>
            <w:vMerge w:val="restart"/>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离子色谱仪</w:t>
            </w:r>
            <w:r>
              <w:rPr>
                <w:color w:val="auto"/>
                <w:sz w:val="21"/>
                <w:szCs w:val="21"/>
                <w:highlight w:val="none"/>
              </w:rPr>
              <w:t>/CIC-D100</w:t>
            </w:r>
            <w:r>
              <w:rPr>
                <w:rFonts w:hint="eastAsia" w:ascii="宋体"/>
                <w:color w:val="auto"/>
                <w:sz w:val="21"/>
                <w:szCs w:val="21"/>
                <w:highlight w:val="none"/>
              </w:rPr>
              <w:t>型</w:t>
            </w:r>
          </w:p>
        </w:tc>
        <w:tc>
          <w:tcPr>
            <w:tcW w:w="1258" w:type="dxa"/>
            <w:vMerge w:val="restart"/>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J173</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0.02mg/L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*Na+</w:t>
            </w: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25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0.02mg/L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*Ca2+</w:t>
            </w: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25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0.03mg/L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*Mg2+</w:t>
            </w: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25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0.02mg/L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*CO2-3</w:t>
            </w:r>
          </w:p>
        </w:tc>
        <w:tc>
          <w:tcPr>
            <w:tcW w:w="3068" w:type="dxa"/>
            <w:vMerge w:val="restart"/>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地下水质分析方法第</w:t>
            </w:r>
            <w:r>
              <w:rPr>
                <w:color w:val="auto"/>
                <w:sz w:val="21"/>
                <w:szCs w:val="21"/>
                <w:highlight w:val="none"/>
              </w:rPr>
              <w:t>49</w:t>
            </w:r>
            <w:r>
              <w:rPr>
                <w:rFonts w:hint="eastAsia" w:ascii="宋体"/>
                <w:color w:val="auto"/>
                <w:sz w:val="21"/>
                <w:szCs w:val="21"/>
                <w:highlight w:val="none"/>
              </w:rPr>
              <w:t>部分：碳酸根、重碳酸根和氢氧根离子的测定滴定法</w:t>
            </w:r>
            <w:r>
              <w:rPr>
                <w:color w:val="auto"/>
                <w:sz w:val="21"/>
                <w:szCs w:val="21"/>
                <w:highlight w:val="none"/>
              </w:rPr>
              <w:t>DZ/T0064.49-2021</w:t>
            </w:r>
          </w:p>
        </w:tc>
        <w:tc>
          <w:tcPr>
            <w:tcW w:w="1601" w:type="dxa"/>
            <w:vMerge w:val="restart"/>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滴定管</w:t>
            </w:r>
            <w:r>
              <w:rPr>
                <w:color w:val="auto"/>
                <w:sz w:val="21"/>
                <w:szCs w:val="21"/>
                <w:highlight w:val="none"/>
              </w:rPr>
              <w:t>/25mL</w:t>
            </w:r>
          </w:p>
        </w:tc>
        <w:tc>
          <w:tcPr>
            <w:tcW w:w="1258" w:type="dxa"/>
            <w:vMerge w:val="restart"/>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F096</w:t>
            </w:r>
          </w:p>
        </w:tc>
        <w:tc>
          <w:tcPr>
            <w:tcW w:w="1302" w:type="dxa"/>
            <w:vMerge w:val="restart"/>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定量限：</w:t>
            </w:r>
            <w:r>
              <w:rPr>
                <w:color w:val="auto"/>
                <w:sz w:val="21"/>
                <w:szCs w:val="21"/>
                <w:highlight w:val="none"/>
              </w:rPr>
              <w:t>5mg/L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*HCO</w:t>
            </w:r>
            <w:r>
              <w:rPr>
                <w:color w:val="auto"/>
                <w:sz w:val="21"/>
                <w:szCs w:val="21"/>
                <w:highlight w:val="none"/>
                <w:vertAlign w:val="subscript"/>
              </w:rPr>
              <w:t>3</w:t>
            </w:r>
            <w:r>
              <w:rPr>
                <w:color w:val="auto"/>
                <w:sz w:val="21"/>
                <w:szCs w:val="21"/>
                <w:highlight w:val="none"/>
                <w:vertAlign w:val="superscript"/>
              </w:rPr>
              <w:t>-</w:t>
            </w: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25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302"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*Cl-</w:t>
            </w:r>
          </w:p>
        </w:tc>
        <w:tc>
          <w:tcPr>
            <w:tcW w:w="3068" w:type="dxa"/>
            <w:vMerge w:val="restart"/>
            <w:vAlign w:val="center"/>
          </w:tcPr>
          <w:p>
            <w:pPr>
              <w:pStyle w:val="197"/>
              <w:autoSpaceDE w:val="0"/>
              <w:autoSpaceDN w:val="0"/>
              <w:adjustRightInd w:val="0"/>
              <w:snapToGrid w:val="0"/>
              <w:ind w:firstLineChars="0"/>
              <w:jc w:val="center"/>
              <w:rPr>
                <w:color w:val="auto"/>
                <w:sz w:val="21"/>
                <w:szCs w:val="21"/>
                <w:highlight w:val="none"/>
              </w:rPr>
            </w:pPr>
            <w:r>
              <w:rPr>
                <w:rFonts w:hint="eastAsia" w:ascii="宋体"/>
                <w:color w:val="auto"/>
                <w:sz w:val="21"/>
                <w:szCs w:val="21"/>
                <w:highlight w:val="none"/>
              </w:rPr>
              <w:t>水质无机阴离子（</w:t>
            </w:r>
            <w:r>
              <w:rPr>
                <w:color w:val="auto"/>
                <w:sz w:val="21"/>
                <w:szCs w:val="21"/>
                <w:highlight w:val="none"/>
              </w:rPr>
              <w:t>F-</w:t>
            </w:r>
            <w:r>
              <w:rPr>
                <w:rFonts w:hint="eastAsia" w:ascii="宋体"/>
                <w:color w:val="auto"/>
                <w:sz w:val="21"/>
                <w:szCs w:val="21"/>
                <w:highlight w:val="none"/>
              </w:rPr>
              <w:t>、</w:t>
            </w:r>
            <w:r>
              <w:rPr>
                <w:color w:val="auto"/>
                <w:sz w:val="21"/>
                <w:szCs w:val="21"/>
                <w:highlight w:val="none"/>
              </w:rPr>
              <w:t>Cl-</w:t>
            </w:r>
            <w:r>
              <w:rPr>
                <w:rFonts w:hint="eastAsia" w:ascii="宋体"/>
                <w:color w:val="auto"/>
                <w:sz w:val="21"/>
                <w:szCs w:val="21"/>
                <w:highlight w:val="none"/>
              </w:rPr>
              <w:t>、</w:t>
            </w:r>
            <w:r>
              <w:rPr>
                <w:color w:val="auto"/>
                <w:sz w:val="21"/>
                <w:szCs w:val="21"/>
                <w:highlight w:val="none"/>
              </w:rPr>
              <w:t>NO2-</w:t>
            </w:r>
            <w:r>
              <w:rPr>
                <w:rFonts w:hint="eastAsia" w:ascii="宋体"/>
                <w:color w:val="auto"/>
                <w:sz w:val="21"/>
                <w:szCs w:val="21"/>
                <w:highlight w:val="none"/>
              </w:rPr>
              <w:t>、</w:t>
            </w:r>
            <w:r>
              <w:rPr>
                <w:color w:val="auto"/>
                <w:sz w:val="21"/>
                <w:szCs w:val="21"/>
                <w:highlight w:val="none"/>
              </w:rPr>
              <w:t>Br-</w:t>
            </w:r>
            <w:r>
              <w:rPr>
                <w:rFonts w:hint="eastAsia" w:ascii="宋体"/>
                <w:color w:val="auto"/>
                <w:sz w:val="21"/>
                <w:szCs w:val="21"/>
                <w:highlight w:val="none"/>
              </w:rPr>
              <w:t>、</w:t>
            </w:r>
            <w:r>
              <w:rPr>
                <w:color w:val="auto"/>
                <w:sz w:val="21"/>
                <w:szCs w:val="21"/>
                <w:highlight w:val="none"/>
              </w:rPr>
              <w:t>NO3-</w:t>
            </w:r>
            <w:r>
              <w:rPr>
                <w:rFonts w:hint="eastAsia" w:ascii="宋体"/>
                <w:color w:val="auto"/>
                <w:sz w:val="21"/>
                <w:szCs w:val="21"/>
                <w:highlight w:val="none"/>
              </w:rPr>
              <w:t>、</w:t>
            </w:r>
            <w:r>
              <w:rPr>
                <w:color w:val="auto"/>
                <w:sz w:val="21"/>
                <w:szCs w:val="21"/>
                <w:highlight w:val="none"/>
              </w:rPr>
              <w:t>PO43-</w:t>
            </w:r>
            <w:r>
              <w:rPr>
                <w:rFonts w:hint="eastAsia" w:ascii="宋体"/>
                <w:color w:val="auto"/>
                <w:sz w:val="21"/>
                <w:szCs w:val="21"/>
                <w:highlight w:val="none"/>
              </w:rPr>
              <w:t>、</w:t>
            </w:r>
            <w:r>
              <w:rPr>
                <w:color w:val="auto"/>
                <w:sz w:val="21"/>
                <w:szCs w:val="21"/>
                <w:highlight w:val="none"/>
              </w:rPr>
              <w:t>SO2-</w:t>
            </w:r>
            <w:r>
              <w:rPr>
                <w:rFonts w:hint="eastAsia" w:ascii="宋体"/>
                <w:color w:val="auto"/>
                <w:sz w:val="21"/>
                <w:szCs w:val="21"/>
                <w:highlight w:val="none"/>
              </w:rPr>
              <w:t>、</w:t>
            </w:r>
            <w:r>
              <w:rPr>
                <w:color w:val="auto"/>
                <w:sz w:val="21"/>
                <w:szCs w:val="21"/>
                <w:highlight w:val="none"/>
              </w:rPr>
              <w:t>32-SO</w:t>
            </w:r>
            <w:r>
              <w:rPr>
                <w:color w:val="auto"/>
                <w:sz w:val="21"/>
                <w:szCs w:val="21"/>
                <w:highlight w:val="none"/>
                <w:vertAlign w:val="subscript"/>
              </w:rPr>
              <w:t>4</w:t>
            </w:r>
            <w:r>
              <w:rPr>
                <w:rFonts w:hint="eastAsia" w:ascii="宋体"/>
                <w:color w:val="auto"/>
                <w:sz w:val="21"/>
                <w:szCs w:val="21"/>
                <w:highlight w:val="none"/>
              </w:rPr>
              <w:t>）的测定离子色谱法</w:t>
            </w:r>
            <w:r>
              <w:rPr>
                <w:color w:val="auto"/>
                <w:sz w:val="21"/>
                <w:szCs w:val="21"/>
                <w:highlight w:val="none"/>
              </w:rPr>
              <w:t>HJ84-2016</w:t>
            </w:r>
          </w:p>
        </w:tc>
        <w:tc>
          <w:tcPr>
            <w:tcW w:w="1601" w:type="dxa"/>
            <w:vMerge w:val="restart"/>
            <w:vAlign w:val="center"/>
          </w:tcPr>
          <w:p>
            <w:pPr>
              <w:pStyle w:val="197"/>
              <w:autoSpaceDE w:val="0"/>
              <w:autoSpaceDN w:val="0"/>
              <w:adjustRightInd w:val="0"/>
              <w:snapToGrid w:val="0"/>
              <w:ind w:firstLineChars="0"/>
              <w:jc w:val="center"/>
              <w:rPr>
                <w:rFonts w:ascii="宋体"/>
                <w:color w:val="auto"/>
                <w:sz w:val="21"/>
                <w:szCs w:val="21"/>
                <w:highlight w:val="none"/>
              </w:rPr>
            </w:pPr>
            <w:r>
              <w:rPr>
                <w:rFonts w:hint="eastAsia" w:ascii="宋体"/>
                <w:color w:val="auto"/>
                <w:sz w:val="21"/>
                <w:szCs w:val="21"/>
                <w:highlight w:val="none"/>
              </w:rPr>
              <w:t>离子色谱仪</w:t>
            </w:r>
            <w:r>
              <w:rPr>
                <w:color w:val="auto"/>
                <w:sz w:val="21"/>
                <w:szCs w:val="21"/>
                <w:highlight w:val="none"/>
              </w:rPr>
              <w:t>/CIC-D100</w:t>
            </w:r>
            <w:r>
              <w:rPr>
                <w:rFonts w:hint="eastAsia" w:ascii="宋体"/>
                <w:color w:val="auto"/>
                <w:sz w:val="21"/>
                <w:szCs w:val="21"/>
                <w:highlight w:val="none"/>
              </w:rPr>
              <w:t>型</w:t>
            </w:r>
          </w:p>
        </w:tc>
        <w:tc>
          <w:tcPr>
            <w:tcW w:w="1258" w:type="dxa"/>
            <w:vMerge w:val="restart"/>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J172</w:t>
            </w: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0.007mg/L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359"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*SO42-</w:t>
            </w:r>
          </w:p>
        </w:tc>
        <w:tc>
          <w:tcPr>
            <w:tcW w:w="306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601"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258" w:type="dxa"/>
            <w:vMerge w:val="continue"/>
            <w:vAlign w:val="center"/>
          </w:tcPr>
          <w:p>
            <w:pPr>
              <w:autoSpaceDE w:val="0"/>
              <w:autoSpaceDN w:val="0"/>
              <w:adjustRightInd w:val="0"/>
              <w:snapToGrid w:val="0"/>
              <w:spacing w:line="240" w:lineRule="auto"/>
              <w:ind w:firstLine="0" w:firstLineChars="0"/>
              <w:jc w:val="center"/>
              <w:rPr>
                <w:color w:val="auto"/>
                <w:sz w:val="21"/>
                <w:szCs w:val="21"/>
                <w:highlight w:val="none"/>
              </w:rPr>
            </w:pPr>
          </w:p>
        </w:tc>
        <w:tc>
          <w:tcPr>
            <w:tcW w:w="1302" w:type="dxa"/>
            <w:vAlign w:val="center"/>
          </w:tcPr>
          <w:p>
            <w:pPr>
              <w:pStyle w:val="197"/>
              <w:autoSpaceDE w:val="0"/>
              <w:autoSpaceDN w:val="0"/>
              <w:adjustRightInd w:val="0"/>
              <w:snapToGrid w:val="0"/>
              <w:ind w:firstLineChars="0"/>
              <w:jc w:val="center"/>
              <w:rPr>
                <w:color w:val="auto"/>
                <w:sz w:val="21"/>
                <w:szCs w:val="21"/>
                <w:highlight w:val="none"/>
              </w:rPr>
            </w:pPr>
            <w:r>
              <w:rPr>
                <w:color w:val="auto"/>
                <w:sz w:val="21"/>
                <w:szCs w:val="21"/>
                <w:highlight w:val="none"/>
              </w:rPr>
              <w:t>0.018mg/L</w:t>
            </w:r>
          </w:p>
        </w:tc>
      </w:tr>
    </w:tbl>
    <w:p>
      <w:pPr>
        <w:adjustRightInd w:val="0"/>
        <w:snapToGrid w:val="0"/>
        <w:ind w:firstLine="482"/>
        <w:rPr>
          <w:b/>
          <w:bCs/>
          <w:color w:val="auto"/>
          <w:kern w:val="21"/>
          <w:highlight w:val="none"/>
        </w:rPr>
      </w:pPr>
      <w:r>
        <w:rPr>
          <w:b/>
          <w:bCs/>
          <w:color w:val="auto"/>
          <w:kern w:val="21"/>
          <w:highlight w:val="none"/>
        </w:rPr>
        <w:t>5、评价方法</w:t>
      </w:r>
    </w:p>
    <w:p>
      <w:pPr>
        <w:adjustRightInd w:val="0"/>
        <w:snapToGrid w:val="0"/>
        <w:ind w:left="138" w:firstLine="480"/>
        <w:rPr>
          <w:color w:val="auto"/>
          <w:kern w:val="21"/>
          <w:highlight w:val="none"/>
        </w:rPr>
      </w:pPr>
      <w:r>
        <w:rPr>
          <w:color w:val="auto"/>
          <w:kern w:val="21"/>
          <w:highlight w:val="none"/>
        </w:rPr>
        <w:t>根据《环境影响评价技术导则地下水环境》（HJ610-2016）8.4.1.2地下水环境现状评价采用标准指数法，</w:t>
      </w:r>
      <w:r>
        <w:rPr>
          <w:color w:val="auto"/>
          <w:kern w:val="21"/>
          <w:highlight w:val="none"/>
          <w:lang w:bidi="ar"/>
        </w:rPr>
        <w:t>评价方法采用《环境影响评价技术导则地表水环境》（HJ2.3-2018）所推荐的单因子标准指数法，公式见地表水环境现状评价。</w:t>
      </w:r>
    </w:p>
    <w:p>
      <w:pPr>
        <w:widowControl/>
        <w:adjustRightInd w:val="0"/>
        <w:snapToGrid w:val="0"/>
        <w:ind w:firstLine="482"/>
        <w:jc w:val="left"/>
        <w:rPr>
          <w:b/>
          <w:bCs/>
          <w:color w:val="auto"/>
          <w:kern w:val="21"/>
          <w:highlight w:val="none"/>
        </w:rPr>
      </w:pPr>
      <w:r>
        <w:rPr>
          <w:b/>
          <w:bCs/>
          <w:color w:val="auto"/>
          <w:kern w:val="21"/>
          <w:highlight w:val="none"/>
          <w:lang w:bidi="ar"/>
        </w:rPr>
        <w:t>6、监测结果和评价</w:t>
      </w:r>
    </w:p>
    <w:p>
      <w:pPr>
        <w:widowControl/>
        <w:adjustRightInd w:val="0"/>
        <w:snapToGrid w:val="0"/>
        <w:ind w:firstLine="480"/>
        <w:jc w:val="left"/>
        <w:rPr>
          <w:color w:val="auto"/>
          <w:kern w:val="21"/>
          <w:highlight w:val="none"/>
        </w:rPr>
      </w:pPr>
      <w:r>
        <w:rPr>
          <w:color w:val="auto"/>
          <w:kern w:val="21"/>
          <w:highlight w:val="none"/>
          <w:lang w:bidi="ar"/>
        </w:rPr>
        <w:t>本次地下水水质现状监测统计结果和评价结果见</w:t>
      </w:r>
      <w:r>
        <w:rPr>
          <w:color w:val="auto"/>
          <w:kern w:val="21"/>
          <w:highlight w:val="none"/>
        </w:rPr>
        <w:t>表</w:t>
      </w:r>
      <w:r>
        <w:rPr>
          <w:rFonts w:hint="eastAsia"/>
          <w:color w:val="auto"/>
          <w:kern w:val="21"/>
          <w:highlight w:val="none"/>
          <w:lang w:eastAsia="zh-CN"/>
        </w:rPr>
        <w:t>下表</w:t>
      </w:r>
      <w:r>
        <w:rPr>
          <w:color w:val="auto"/>
          <w:kern w:val="21"/>
          <w:highlight w:val="none"/>
        </w:rPr>
        <w:t>。</w:t>
      </w:r>
    </w:p>
    <w:p>
      <w:pPr>
        <w:numPr>
          <w:ilvl w:val="0"/>
          <w:numId w:val="9"/>
        </w:numPr>
        <w:ind w:left="0" w:leftChars="0" w:firstLine="0" w:firstLineChars="0"/>
        <w:jc w:val="center"/>
        <w:rPr>
          <w:b/>
          <w:bCs/>
          <w:color w:val="auto"/>
          <w:kern w:val="21"/>
          <w:highlight w:val="none"/>
          <w:lang w:val="zh-CN"/>
        </w:rPr>
      </w:pPr>
      <w:r>
        <w:rPr>
          <w:b/>
          <w:bCs/>
          <w:color w:val="auto"/>
          <w:kern w:val="21"/>
          <w:highlight w:val="none"/>
          <w:lang w:val="zh-CN"/>
        </w:rPr>
        <w:t>地下水</w:t>
      </w:r>
      <w:r>
        <w:rPr>
          <w:rFonts w:hint="eastAsia"/>
          <w:b/>
          <w:bCs/>
          <w:color w:val="auto"/>
          <w:kern w:val="21"/>
          <w:highlight w:val="none"/>
          <w:lang w:val="zh-CN"/>
        </w:rPr>
        <w:t>环境因子</w:t>
      </w:r>
      <w:r>
        <w:rPr>
          <w:b/>
          <w:bCs/>
          <w:color w:val="auto"/>
          <w:kern w:val="21"/>
          <w:highlight w:val="none"/>
          <w:lang w:val="zh-CN"/>
        </w:rPr>
        <w:t>监测结果</w:t>
      </w:r>
      <w:r>
        <w:rPr>
          <w:rFonts w:hint="eastAsia"/>
          <w:b/>
          <w:bCs/>
          <w:color w:val="auto"/>
          <w:kern w:val="21"/>
          <w:highlight w:val="none"/>
        </w:rPr>
        <w:t xml:space="preserve">   </w:t>
      </w:r>
      <w:r>
        <w:rPr>
          <w:b/>
          <w:bCs/>
          <w:color w:val="auto"/>
          <w:kern w:val="21"/>
          <w:highlight w:val="none"/>
          <w:lang w:val="zh-CN"/>
        </w:rPr>
        <w:t>单位：mg/L</w:t>
      </w:r>
    </w:p>
    <w:tbl>
      <w:tblPr>
        <w:tblStyle w:val="51"/>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41"/>
        <w:gridCol w:w="1317"/>
        <w:gridCol w:w="683"/>
        <w:gridCol w:w="683"/>
        <w:gridCol w:w="550"/>
        <w:gridCol w:w="584"/>
        <w:gridCol w:w="583"/>
        <w:gridCol w:w="733"/>
        <w:gridCol w:w="650"/>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restart"/>
            <w:vAlign w:val="center"/>
          </w:tcPr>
          <w:p>
            <w:pPr>
              <w:adjustRightInd w:val="0"/>
              <w:snapToGrid w:val="0"/>
              <w:spacing w:line="240" w:lineRule="auto"/>
              <w:ind w:firstLine="0" w:firstLineChars="0"/>
              <w:jc w:val="center"/>
              <w:rPr>
                <w:b/>
                <w:bCs/>
                <w:color w:val="auto"/>
                <w:kern w:val="21"/>
                <w:sz w:val="21"/>
                <w:szCs w:val="21"/>
                <w:highlight w:val="none"/>
              </w:rPr>
            </w:pPr>
            <w:r>
              <w:rPr>
                <w:b/>
                <w:bCs/>
                <w:color w:val="auto"/>
                <w:kern w:val="21"/>
                <w:sz w:val="21"/>
                <w:szCs w:val="21"/>
                <w:highlight w:val="none"/>
              </w:rPr>
              <w:t>监测点位</w:t>
            </w:r>
          </w:p>
        </w:tc>
        <w:tc>
          <w:tcPr>
            <w:tcW w:w="1317" w:type="dxa"/>
            <w:vMerge w:val="restart"/>
            <w:vAlign w:val="center"/>
          </w:tcPr>
          <w:p>
            <w:pPr>
              <w:adjustRightInd w:val="0"/>
              <w:snapToGrid w:val="0"/>
              <w:spacing w:line="240" w:lineRule="auto"/>
              <w:ind w:firstLine="0" w:firstLineChars="0"/>
              <w:jc w:val="center"/>
              <w:rPr>
                <w:b/>
                <w:bCs/>
                <w:color w:val="auto"/>
                <w:kern w:val="21"/>
                <w:sz w:val="21"/>
                <w:szCs w:val="21"/>
                <w:highlight w:val="none"/>
              </w:rPr>
            </w:pPr>
            <w:r>
              <w:rPr>
                <w:b/>
                <w:bCs/>
                <w:color w:val="auto"/>
                <w:kern w:val="21"/>
                <w:sz w:val="21"/>
                <w:szCs w:val="21"/>
                <w:highlight w:val="none"/>
              </w:rPr>
              <w:t>监测日期</w:t>
            </w:r>
          </w:p>
        </w:tc>
        <w:tc>
          <w:tcPr>
            <w:tcW w:w="5308" w:type="dxa"/>
            <w:gridSpan w:val="8"/>
            <w:vAlign w:val="center"/>
          </w:tcPr>
          <w:p>
            <w:pPr>
              <w:widowControl/>
              <w:adjustRightInd w:val="0"/>
              <w:snapToGrid w:val="0"/>
              <w:spacing w:line="240" w:lineRule="auto"/>
              <w:ind w:firstLine="0" w:firstLineChars="0"/>
              <w:jc w:val="center"/>
              <w:textAlignment w:val="top"/>
              <w:rPr>
                <w:b/>
                <w:bCs/>
                <w:color w:val="auto"/>
                <w:kern w:val="21"/>
                <w:sz w:val="21"/>
                <w:szCs w:val="21"/>
                <w:highlight w:val="none"/>
              </w:rPr>
            </w:pPr>
            <w:r>
              <w:rPr>
                <w:rFonts w:hint="eastAsia"/>
                <w:b/>
                <w:bCs/>
                <w:color w:val="auto"/>
                <w:kern w:val="21"/>
                <w:sz w:val="21"/>
                <w:szCs w:val="21"/>
                <w:highlight w:val="none"/>
              </w:rPr>
              <w:t>监测因子及结果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1941" w:type="dxa"/>
            <w:vMerge w:val="continue"/>
            <w:vAlign w:val="center"/>
          </w:tcPr>
          <w:p>
            <w:pPr>
              <w:adjustRightInd w:val="0"/>
              <w:snapToGrid w:val="0"/>
              <w:spacing w:line="240" w:lineRule="auto"/>
              <w:ind w:firstLine="0" w:firstLineChars="0"/>
              <w:jc w:val="center"/>
              <w:rPr>
                <w:b/>
                <w:bCs/>
                <w:color w:val="auto"/>
                <w:kern w:val="21"/>
                <w:sz w:val="21"/>
                <w:szCs w:val="21"/>
                <w:highlight w:val="none"/>
              </w:rPr>
            </w:pPr>
          </w:p>
        </w:tc>
        <w:tc>
          <w:tcPr>
            <w:tcW w:w="1317" w:type="dxa"/>
            <w:vMerge w:val="continue"/>
            <w:vAlign w:val="center"/>
          </w:tcPr>
          <w:p>
            <w:pPr>
              <w:adjustRightInd w:val="0"/>
              <w:snapToGrid w:val="0"/>
              <w:spacing w:line="240" w:lineRule="auto"/>
              <w:ind w:firstLine="0" w:firstLineChars="0"/>
              <w:jc w:val="center"/>
              <w:rPr>
                <w:b/>
                <w:bCs/>
                <w:color w:val="auto"/>
                <w:kern w:val="21"/>
                <w:sz w:val="21"/>
                <w:szCs w:val="21"/>
                <w:highlight w:val="none"/>
              </w:rPr>
            </w:pP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0"/>
                <w:sz w:val="21"/>
                <w:szCs w:val="21"/>
                <w:highlight w:val="none"/>
                <w:lang w:val="en-US" w:eastAsia="zh-CN" w:bidi="ar"/>
              </w:rPr>
            </w:pPr>
            <w:r>
              <w:rPr>
                <w:color w:val="auto"/>
                <w:kern w:val="0"/>
                <w:sz w:val="21"/>
                <w:szCs w:val="21"/>
                <w:highlight w:val="none"/>
                <w:lang w:bidi="ar"/>
              </w:rPr>
              <w:t>HCO</w:t>
            </w:r>
            <w:r>
              <w:rPr>
                <w:color w:val="auto"/>
                <w:kern w:val="0"/>
                <w:sz w:val="21"/>
                <w:szCs w:val="21"/>
                <w:highlight w:val="none"/>
                <w:vertAlign w:val="subscript"/>
                <w:lang w:bidi="ar"/>
              </w:rPr>
              <w:t>3</w:t>
            </w:r>
            <w:r>
              <w:rPr>
                <w:color w:val="auto"/>
                <w:kern w:val="0"/>
                <w:sz w:val="21"/>
                <w:szCs w:val="21"/>
                <w:highlight w:val="none"/>
                <w:vertAlign w:val="superscript"/>
                <w:lang w:bidi="ar"/>
              </w:rPr>
              <w:t>-</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0"/>
                <w:sz w:val="21"/>
                <w:szCs w:val="21"/>
                <w:highlight w:val="none"/>
                <w:lang w:val="en-US" w:eastAsia="zh-CN" w:bidi="ar"/>
              </w:rPr>
            </w:pPr>
            <w:r>
              <w:rPr>
                <w:color w:val="auto"/>
                <w:kern w:val="0"/>
                <w:sz w:val="21"/>
                <w:szCs w:val="21"/>
                <w:highlight w:val="none"/>
                <w:lang w:bidi="ar"/>
              </w:rPr>
              <w:t>CO</w:t>
            </w:r>
            <w:r>
              <w:rPr>
                <w:color w:val="auto"/>
                <w:kern w:val="0"/>
                <w:sz w:val="21"/>
                <w:szCs w:val="21"/>
                <w:highlight w:val="none"/>
                <w:vertAlign w:val="subscript"/>
                <w:lang w:bidi="ar"/>
              </w:rPr>
              <w:t>3</w:t>
            </w:r>
            <w:r>
              <w:rPr>
                <w:color w:val="auto"/>
                <w:kern w:val="0"/>
                <w:sz w:val="21"/>
                <w:szCs w:val="21"/>
                <w:highlight w:val="none"/>
                <w:vertAlign w:val="superscript"/>
                <w:lang w:bidi="ar"/>
              </w:rPr>
              <w:t>2-</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0"/>
                <w:sz w:val="21"/>
                <w:szCs w:val="21"/>
                <w:highlight w:val="none"/>
                <w:lang w:val="en-US" w:eastAsia="zh-CN" w:bidi="ar"/>
              </w:rPr>
            </w:pPr>
            <w:r>
              <w:rPr>
                <w:color w:val="auto"/>
                <w:kern w:val="0"/>
                <w:sz w:val="21"/>
                <w:szCs w:val="21"/>
                <w:highlight w:val="none"/>
                <w:lang w:bidi="ar"/>
              </w:rPr>
              <w:t>Cl</w:t>
            </w:r>
            <w:r>
              <w:rPr>
                <w:color w:val="auto"/>
                <w:kern w:val="0"/>
                <w:sz w:val="21"/>
                <w:szCs w:val="21"/>
                <w:highlight w:val="none"/>
                <w:vertAlign w:val="superscript"/>
                <w:lang w:bidi="ar"/>
              </w:rPr>
              <w:t>-</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0"/>
                <w:sz w:val="21"/>
                <w:szCs w:val="21"/>
                <w:highlight w:val="none"/>
                <w:lang w:val="en-US" w:eastAsia="zh-CN" w:bidi="ar"/>
              </w:rPr>
            </w:pPr>
            <w:r>
              <w:rPr>
                <w:color w:val="auto"/>
                <w:kern w:val="0"/>
                <w:sz w:val="21"/>
                <w:szCs w:val="21"/>
                <w:highlight w:val="none"/>
                <w:lang w:bidi="ar"/>
              </w:rPr>
              <w:t>SO</w:t>
            </w:r>
            <w:r>
              <w:rPr>
                <w:rStyle w:val="66"/>
                <w:color w:val="auto"/>
                <w:highlight w:val="none"/>
                <w:lang w:bidi="ar"/>
              </w:rPr>
              <w:t>4</w:t>
            </w:r>
            <w:r>
              <w:rPr>
                <w:rStyle w:val="102"/>
                <w:color w:val="auto"/>
                <w:highlight w:val="none"/>
                <w:lang w:bidi="ar"/>
              </w:rPr>
              <w:t>2-</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0"/>
                <w:sz w:val="21"/>
                <w:szCs w:val="21"/>
                <w:highlight w:val="none"/>
                <w:lang w:val="en-US" w:eastAsia="zh-CN" w:bidi="ar"/>
              </w:rPr>
            </w:pPr>
            <w:r>
              <w:rPr>
                <w:color w:val="auto"/>
                <w:kern w:val="0"/>
                <w:sz w:val="21"/>
                <w:szCs w:val="21"/>
                <w:highlight w:val="none"/>
                <w:lang w:bidi="ar"/>
              </w:rPr>
              <w:t>K</w:t>
            </w:r>
            <w:r>
              <w:rPr>
                <w:color w:val="auto"/>
                <w:kern w:val="0"/>
                <w:sz w:val="21"/>
                <w:szCs w:val="21"/>
                <w:highlight w:val="none"/>
                <w:vertAlign w:val="superscript"/>
                <w:lang w:bidi="ar"/>
              </w:rPr>
              <w:t>+</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0"/>
                <w:sz w:val="21"/>
                <w:szCs w:val="21"/>
                <w:highlight w:val="none"/>
                <w:lang w:val="en-US" w:eastAsia="zh-CN" w:bidi="ar"/>
              </w:rPr>
            </w:pPr>
            <w:r>
              <w:rPr>
                <w:color w:val="auto"/>
                <w:kern w:val="0"/>
                <w:sz w:val="21"/>
                <w:szCs w:val="21"/>
                <w:highlight w:val="none"/>
                <w:lang w:bidi="ar"/>
              </w:rPr>
              <w:t>Na</w:t>
            </w:r>
            <w:r>
              <w:rPr>
                <w:color w:val="auto"/>
                <w:kern w:val="0"/>
                <w:sz w:val="21"/>
                <w:szCs w:val="21"/>
                <w:highlight w:val="none"/>
                <w:vertAlign w:val="superscript"/>
                <w:lang w:bidi="ar"/>
              </w:rPr>
              <w:t>+</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0"/>
                <w:sz w:val="21"/>
                <w:szCs w:val="21"/>
                <w:highlight w:val="none"/>
                <w:lang w:val="en-US" w:eastAsia="zh-CN" w:bidi="ar"/>
              </w:rPr>
            </w:pPr>
            <w:r>
              <w:rPr>
                <w:color w:val="auto"/>
                <w:kern w:val="0"/>
                <w:sz w:val="21"/>
                <w:szCs w:val="21"/>
                <w:highlight w:val="none"/>
                <w:lang w:bidi="ar"/>
              </w:rPr>
              <w:t>Ca</w:t>
            </w:r>
            <w:r>
              <w:rPr>
                <w:color w:val="auto"/>
                <w:kern w:val="0"/>
                <w:sz w:val="21"/>
                <w:szCs w:val="21"/>
                <w:highlight w:val="none"/>
                <w:vertAlign w:val="superscript"/>
                <w:lang w:bidi="ar"/>
              </w:rPr>
              <w:t>2+</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0"/>
                <w:sz w:val="21"/>
                <w:szCs w:val="21"/>
                <w:highlight w:val="none"/>
                <w:lang w:val="en-US" w:eastAsia="zh-CN" w:bidi="ar"/>
              </w:rPr>
            </w:pPr>
            <w:r>
              <w:rPr>
                <w:color w:val="auto"/>
                <w:kern w:val="0"/>
                <w:sz w:val="21"/>
                <w:szCs w:val="21"/>
                <w:highlight w:val="none"/>
                <w:lang w:bidi="ar"/>
              </w:rPr>
              <w:t>Mg</w:t>
            </w:r>
            <w:r>
              <w:rPr>
                <w:color w:val="auto"/>
                <w:kern w:val="0"/>
                <w:sz w:val="21"/>
                <w:szCs w:val="21"/>
                <w:highlight w:val="none"/>
                <w:vertAlign w:val="superscript"/>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restart"/>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1#地下水</w:t>
            </w:r>
          </w:p>
        </w:tc>
        <w:tc>
          <w:tcPr>
            <w:tcW w:w="1317" w:type="dxa"/>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2022.3.17</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105</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5L</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6.4</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0.94</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1.3</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5.32</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26.8</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continue"/>
            <w:vAlign w:val="center"/>
          </w:tcPr>
          <w:p>
            <w:pPr>
              <w:adjustRightInd w:val="0"/>
              <w:snapToGrid w:val="0"/>
              <w:spacing w:line="240" w:lineRule="auto"/>
              <w:ind w:firstLine="0" w:firstLineChars="0"/>
              <w:jc w:val="center"/>
              <w:rPr>
                <w:color w:val="auto"/>
                <w:kern w:val="21"/>
                <w:sz w:val="21"/>
                <w:szCs w:val="21"/>
                <w:highlight w:val="none"/>
              </w:rPr>
            </w:pPr>
          </w:p>
        </w:tc>
        <w:tc>
          <w:tcPr>
            <w:tcW w:w="1317" w:type="dxa"/>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2022.3.18</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98</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5L</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6.31</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0.953</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1.36</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5.35</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26.9</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restart"/>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2#地下水</w:t>
            </w:r>
          </w:p>
        </w:tc>
        <w:tc>
          <w:tcPr>
            <w:tcW w:w="1317" w:type="dxa"/>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2022.3.17</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210</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5L</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5.43</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7.96</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2.29</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8.68</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49.2</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continue"/>
            <w:vAlign w:val="center"/>
          </w:tcPr>
          <w:p>
            <w:pPr>
              <w:adjustRightInd w:val="0"/>
              <w:snapToGrid w:val="0"/>
              <w:spacing w:line="240" w:lineRule="auto"/>
              <w:ind w:firstLine="0" w:firstLineChars="0"/>
              <w:jc w:val="center"/>
              <w:rPr>
                <w:color w:val="auto"/>
                <w:kern w:val="21"/>
                <w:sz w:val="21"/>
                <w:szCs w:val="21"/>
                <w:highlight w:val="none"/>
              </w:rPr>
            </w:pPr>
          </w:p>
        </w:tc>
        <w:tc>
          <w:tcPr>
            <w:tcW w:w="1317" w:type="dxa"/>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2022.3.18</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197</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5L</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5.32</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8</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2.26</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8.66</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49.8</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restart"/>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3#沙溪冲水井</w:t>
            </w:r>
          </w:p>
        </w:tc>
        <w:tc>
          <w:tcPr>
            <w:tcW w:w="1317" w:type="dxa"/>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2022.3.17</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263</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5L</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6.11</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38.2</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1.31</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12.6</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82.9</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continue"/>
            <w:vAlign w:val="center"/>
          </w:tcPr>
          <w:p>
            <w:pPr>
              <w:adjustRightInd w:val="0"/>
              <w:snapToGrid w:val="0"/>
              <w:spacing w:line="240" w:lineRule="auto"/>
              <w:ind w:firstLine="0" w:firstLineChars="0"/>
              <w:jc w:val="center"/>
              <w:rPr>
                <w:color w:val="auto"/>
                <w:kern w:val="21"/>
                <w:sz w:val="21"/>
                <w:szCs w:val="21"/>
                <w:highlight w:val="none"/>
              </w:rPr>
            </w:pPr>
          </w:p>
        </w:tc>
        <w:tc>
          <w:tcPr>
            <w:tcW w:w="1317" w:type="dxa"/>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2022.3.18</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277</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5L</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6.03</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39.1</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1.24</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12.8</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83</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restart"/>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4#王家小屯地下水</w:t>
            </w:r>
          </w:p>
        </w:tc>
        <w:tc>
          <w:tcPr>
            <w:tcW w:w="1317" w:type="dxa"/>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2022.3.17</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264</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5L</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11.6</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58.2</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0.91</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14.8</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87.4</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continue"/>
            <w:vAlign w:val="center"/>
          </w:tcPr>
          <w:p>
            <w:pPr>
              <w:adjustRightInd w:val="0"/>
              <w:snapToGrid w:val="0"/>
              <w:spacing w:line="240" w:lineRule="auto"/>
              <w:ind w:firstLine="0" w:firstLineChars="0"/>
              <w:jc w:val="center"/>
              <w:rPr>
                <w:color w:val="auto"/>
                <w:kern w:val="21"/>
                <w:sz w:val="21"/>
                <w:szCs w:val="21"/>
                <w:highlight w:val="none"/>
              </w:rPr>
            </w:pPr>
          </w:p>
        </w:tc>
        <w:tc>
          <w:tcPr>
            <w:tcW w:w="1317" w:type="dxa"/>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2022.3.18</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278</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5L</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11.5</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58.1</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0.96</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14.8</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87.3</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restart"/>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5#大东村地下水</w:t>
            </w:r>
          </w:p>
        </w:tc>
        <w:tc>
          <w:tcPr>
            <w:tcW w:w="1317" w:type="dxa"/>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2022.3.17</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112</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5L</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95.7</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20.2</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4.5</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11.8</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78.4</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1" w:type="dxa"/>
            <w:vMerge w:val="continue"/>
            <w:vAlign w:val="center"/>
          </w:tcPr>
          <w:p>
            <w:pPr>
              <w:adjustRightInd w:val="0"/>
              <w:snapToGrid w:val="0"/>
              <w:spacing w:line="240" w:lineRule="auto"/>
              <w:ind w:firstLine="0" w:firstLineChars="0"/>
              <w:jc w:val="center"/>
              <w:rPr>
                <w:color w:val="auto"/>
                <w:kern w:val="21"/>
                <w:sz w:val="21"/>
                <w:szCs w:val="21"/>
                <w:highlight w:val="none"/>
              </w:rPr>
            </w:pPr>
          </w:p>
        </w:tc>
        <w:tc>
          <w:tcPr>
            <w:tcW w:w="1317" w:type="dxa"/>
            <w:vAlign w:val="center"/>
          </w:tcPr>
          <w:p>
            <w:pPr>
              <w:adjustRightInd w:val="0"/>
              <w:snapToGrid w:val="0"/>
              <w:spacing w:line="240" w:lineRule="auto"/>
              <w:ind w:firstLine="0" w:firstLineChars="0"/>
              <w:jc w:val="center"/>
              <w:rPr>
                <w:color w:val="auto"/>
                <w:kern w:val="21"/>
                <w:sz w:val="21"/>
                <w:szCs w:val="21"/>
                <w:highlight w:val="none"/>
              </w:rPr>
            </w:pPr>
            <w:r>
              <w:rPr>
                <w:color w:val="auto"/>
                <w:kern w:val="21"/>
                <w:sz w:val="21"/>
                <w:szCs w:val="21"/>
                <w:highlight w:val="none"/>
              </w:rPr>
              <w:t>2022.3.18</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123</w:t>
            </w:r>
          </w:p>
        </w:tc>
        <w:tc>
          <w:tcPr>
            <w:tcW w:w="6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5L</w:t>
            </w:r>
          </w:p>
        </w:tc>
        <w:tc>
          <w:tcPr>
            <w:tcW w:w="5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95.5</w:t>
            </w:r>
          </w:p>
        </w:tc>
        <w:tc>
          <w:tcPr>
            <w:tcW w:w="584"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18.8</w:t>
            </w:r>
          </w:p>
        </w:tc>
        <w:tc>
          <w:tcPr>
            <w:tcW w:w="58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4.71</w:t>
            </w:r>
          </w:p>
        </w:tc>
        <w:tc>
          <w:tcPr>
            <w:tcW w:w="733"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11.8</w:t>
            </w:r>
          </w:p>
        </w:tc>
        <w:tc>
          <w:tcPr>
            <w:tcW w:w="650"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79.2</w:t>
            </w:r>
          </w:p>
        </w:tc>
        <w:tc>
          <w:tcPr>
            <w:tcW w:w="842" w:type="dxa"/>
            <w:vAlign w:val="center"/>
          </w:tcPr>
          <w:p>
            <w:pPr>
              <w:widowControl/>
              <w:adjustRightInd w:val="0"/>
              <w:snapToGrid w:val="0"/>
              <w:spacing w:line="240" w:lineRule="auto"/>
              <w:ind w:firstLine="0" w:firstLineChars="0"/>
              <w:jc w:val="center"/>
              <w:textAlignment w:val="top"/>
              <w:rPr>
                <w:rFonts w:ascii="Times New Roman" w:hAnsi="Times New Roman" w:eastAsia="宋体" w:cs="Times New Roman"/>
                <w:color w:val="auto"/>
                <w:kern w:val="21"/>
                <w:sz w:val="21"/>
                <w:szCs w:val="21"/>
                <w:highlight w:val="none"/>
                <w:lang w:val="en-US" w:eastAsia="zh-CN" w:bidi="ar-SA"/>
              </w:rPr>
            </w:pPr>
            <w:r>
              <w:rPr>
                <w:color w:val="auto"/>
                <w:kern w:val="0"/>
                <w:sz w:val="21"/>
                <w:szCs w:val="21"/>
                <w:highlight w:val="none"/>
                <w:lang w:bidi="ar"/>
              </w:rPr>
              <w:t>9.99</w:t>
            </w:r>
          </w:p>
        </w:tc>
      </w:tr>
    </w:tbl>
    <w:p>
      <w:pPr>
        <w:pStyle w:val="23"/>
        <w:ind w:left="0" w:leftChars="0" w:firstLine="0" w:firstLineChars="0"/>
        <w:rPr>
          <w:color w:val="auto"/>
          <w:kern w:val="21"/>
          <w:highlight w:val="none"/>
        </w:rPr>
        <w:sectPr>
          <w:pgSz w:w="11910" w:h="16840"/>
          <w:pgMar w:top="1440" w:right="1803" w:bottom="1440" w:left="1803" w:header="392" w:footer="997" w:gutter="0"/>
          <w:cols w:space="720" w:num="1"/>
        </w:sectPr>
      </w:pPr>
    </w:p>
    <w:p>
      <w:pPr>
        <w:numPr>
          <w:ilvl w:val="0"/>
          <w:numId w:val="9"/>
        </w:numPr>
        <w:ind w:left="0" w:leftChars="0" w:firstLine="0" w:firstLineChars="0"/>
        <w:jc w:val="center"/>
        <w:rPr>
          <w:b/>
          <w:bCs/>
          <w:color w:val="auto"/>
          <w:kern w:val="21"/>
          <w:highlight w:val="none"/>
          <w:lang w:val="zh-CN"/>
        </w:rPr>
      </w:pPr>
      <w:r>
        <w:rPr>
          <w:b/>
          <w:bCs/>
          <w:color w:val="auto"/>
          <w:kern w:val="21"/>
          <w:highlight w:val="none"/>
          <w:lang w:val="zh-CN"/>
        </w:rPr>
        <w:t>地下水</w:t>
      </w:r>
      <w:r>
        <w:rPr>
          <w:rFonts w:hint="eastAsia"/>
          <w:b/>
          <w:bCs/>
          <w:color w:val="auto"/>
          <w:kern w:val="21"/>
          <w:highlight w:val="none"/>
          <w:lang w:val="zh-CN"/>
        </w:rPr>
        <w:t>基本因子</w:t>
      </w:r>
      <w:r>
        <w:rPr>
          <w:b/>
          <w:bCs/>
          <w:color w:val="auto"/>
          <w:kern w:val="21"/>
          <w:highlight w:val="none"/>
          <w:lang w:val="zh-CN"/>
        </w:rPr>
        <w:t>监测结果与评价</w:t>
      </w:r>
      <w:r>
        <w:rPr>
          <w:rFonts w:hint="eastAsia"/>
          <w:b/>
          <w:bCs/>
          <w:color w:val="auto"/>
          <w:kern w:val="21"/>
          <w:highlight w:val="none"/>
        </w:rPr>
        <w:t xml:space="preserve">      </w:t>
      </w:r>
      <w:r>
        <w:rPr>
          <w:b/>
          <w:bCs/>
          <w:color w:val="auto"/>
          <w:kern w:val="21"/>
          <w:highlight w:val="none"/>
          <w:lang w:val="zh-CN"/>
        </w:rPr>
        <w:t>单位：mg/L</w:t>
      </w:r>
    </w:p>
    <w:tbl>
      <w:tblPr>
        <w:tblStyle w:val="51"/>
        <w:tblW w:w="15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0"/>
        <w:gridCol w:w="905"/>
        <w:gridCol w:w="640"/>
        <w:gridCol w:w="578"/>
        <w:gridCol w:w="369"/>
        <w:gridCol w:w="692"/>
        <w:gridCol w:w="548"/>
        <w:gridCol w:w="519"/>
        <w:gridCol w:w="463"/>
        <w:gridCol w:w="731"/>
        <w:gridCol w:w="589"/>
        <w:gridCol w:w="621"/>
        <w:gridCol w:w="611"/>
        <w:gridCol w:w="439"/>
        <w:gridCol w:w="632"/>
        <w:gridCol w:w="665"/>
        <w:gridCol w:w="653"/>
        <w:gridCol w:w="643"/>
        <w:gridCol w:w="600"/>
        <w:gridCol w:w="568"/>
        <w:gridCol w:w="568"/>
        <w:gridCol w:w="557"/>
        <w:gridCol w:w="632"/>
        <w:gridCol w:w="58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restart"/>
            <w:vAlign w:val="center"/>
          </w:tcPr>
          <w:p>
            <w:pPr>
              <w:adjustRightInd w:val="0"/>
              <w:snapToGrid w:val="0"/>
              <w:spacing w:line="240" w:lineRule="auto"/>
              <w:ind w:firstLine="0" w:firstLineChars="0"/>
              <w:jc w:val="center"/>
              <w:rPr>
                <w:b/>
                <w:bCs/>
                <w:color w:val="auto"/>
                <w:kern w:val="21"/>
                <w:sz w:val="15"/>
                <w:szCs w:val="15"/>
                <w:highlight w:val="none"/>
              </w:rPr>
            </w:pPr>
            <w:r>
              <w:rPr>
                <w:b/>
                <w:bCs/>
                <w:color w:val="auto"/>
                <w:kern w:val="21"/>
                <w:sz w:val="15"/>
                <w:szCs w:val="15"/>
                <w:highlight w:val="none"/>
              </w:rPr>
              <w:t>监测点位</w:t>
            </w:r>
          </w:p>
        </w:tc>
        <w:tc>
          <w:tcPr>
            <w:tcW w:w="905" w:type="dxa"/>
            <w:vMerge w:val="restart"/>
            <w:vAlign w:val="center"/>
          </w:tcPr>
          <w:p>
            <w:pPr>
              <w:adjustRightInd w:val="0"/>
              <w:snapToGrid w:val="0"/>
              <w:spacing w:line="240" w:lineRule="auto"/>
              <w:ind w:firstLine="0" w:firstLineChars="0"/>
              <w:jc w:val="center"/>
              <w:rPr>
                <w:b/>
                <w:bCs/>
                <w:color w:val="auto"/>
                <w:kern w:val="21"/>
                <w:sz w:val="15"/>
                <w:szCs w:val="15"/>
                <w:highlight w:val="none"/>
              </w:rPr>
            </w:pPr>
            <w:r>
              <w:rPr>
                <w:b/>
                <w:bCs/>
                <w:color w:val="auto"/>
                <w:kern w:val="21"/>
                <w:sz w:val="15"/>
                <w:szCs w:val="15"/>
                <w:highlight w:val="none"/>
              </w:rPr>
              <w:t>监测日期</w:t>
            </w:r>
          </w:p>
        </w:tc>
        <w:tc>
          <w:tcPr>
            <w:tcW w:w="13344" w:type="dxa"/>
            <w:gridSpan w:val="23"/>
            <w:vAlign w:val="center"/>
          </w:tcPr>
          <w:p>
            <w:pPr>
              <w:widowControl/>
              <w:adjustRightInd w:val="0"/>
              <w:snapToGrid w:val="0"/>
              <w:spacing w:line="240" w:lineRule="auto"/>
              <w:ind w:firstLine="0" w:firstLineChars="0"/>
              <w:jc w:val="center"/>
              <w:textAlignment w:val="top"/>
              <w:rPr>
                <w:b/>
                <w:bCs/>
                <w:color w:val="auto"/>
                <w:kern w:val="21"/>
                <w:sz w:val="15"/>
                <w:szCs w:val="15"/>
                <w:highlight w:val="none"/>
              </w:rPr>
            </w:pPr>
            <w:r>
              <w:rPr>
                <w:rFonts w:hint="eastAsia"/>
                <w:b/>
                <w:bCs/>
                <w:color w:val="auto"/>
                <w:kern w:val="21"/>
                <w:sz w:val="15"/>
                <w:szCs w:val="15"/>
                <w:highlight w:val="none"/>
              </w:rPr>
              <w:t>监测因子及结果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b/>
                <w:bCs/>
                <w:color w:val="auto"/>
                <w:kern w:val="21"/>
                <w:sz w:val="15"/>
                <w:szCs w:val="15"/>
                <w:highlight w:val="none"/>
              </w:rPr>
            </w:pPr>
          </w:p>
        </w:tc>
        <w:tc>
          <w:tcPr>
            <w:tcW w:w="905" w:type="dxa"/>
            <w:vMerge w:val="continue"/>
            <w:vAlign w:val="center"/>
          </w:tcPr>
          <w:p>
            <w:pPr>
              <w:adjustRightInd w:val="0"/>
              <w:snapToGrid w:val="0"/>
              <w:spacing w:line="240" w:lineRule="auto"/>
              <w:ind w:firstLine="0" w:firstLineChars="0"/>
              <w:jc w:val="center"/>
              <w:rPr>
                <w:b/>
                <w:bCs/>
                <w:color w:val="auto"/>
                <w:kern w:val="21"/>
                <w:sz w:val="15"/>
                <w:szCs w:val="15"/>
                <w:highlight w:val="none"/>
              </w:rPr>
            </w:pPr>
          </w:p>
        </w:tc>
        <w:tc>
          <w:tcPr>
            <w:tcW w:w="640"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pH</w:t>
            </w:r>
            <w:r>
              <w:rPr>
                <w:rStyle w:val="73"/>
                <w:rFonts w:hint="default" w:ascii="Times New Roman" w:hAnsi="Times New Roman" w:cs="Times New Roman"/>
                <w:b/>
                <w:bCs/>
                <w:color w:val="auto"/>
                <w:sz w:val="15"/>
                <w:szCs w:val="15"/>
                <w:highlight w:val="none"/>
                <w:lang w:bidi="ar"/>
              </w:rPr>
              <w:t>（无量纲）</w:t>
            </w:r>
          </w:p>
        </w:tc>
        <w:tc>
          <w:tcPr>
            <w:tcW w:w="578"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耗氧量</w:t>
            </w:r>
          </w:p>
        </w:tc>
        <w:tc>
          <w:tcPr>
            <w:tcW w:w="369"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总硬度</w:t>
            </w:r>
          </w:p>
        </w:tc>
        <w:tc>
          <w:tcPr>
            <w:tcW w:w="692"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溶解性固体总量</w:t>
            </w:r>
          </w:p>
        </w:tc>
        <w:tc>
          <w:tcPr>
            <w:tcW w:w="548"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氯化物</w:t>
            </w:r>
          </w:p>
        </w:tc>
        <w:tc>
          <w:tcPr>
            <w:tcW w:w="519"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硫酸盐</w:t>
            </w:r>
          </w:p>
        </w:tc>
        <w:tc>
          <w:tcPr>
            <w:tcW w:w="463"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硝酸盐</w:t>
            </w:r>
          </w:p>
        </w:tc>
        <w:tc>
          <w:tcPr>
            <w:tcW w:w="731"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亚硝酸盐</w:t>
            </w:r>
          </w:p>
        </w:tc>
        <w:tc>
          <w:tcPr>
            <w:tcW w:w="589"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硫化物</w:t>
            </w:r>
          </w:p>
        </w:tc>
        <w:tc>
          <w:tcPr>
            <w:tcW w:w="621"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氰化物</w:t>
            </w:r>
          </w:p>
        </w:tc>
        <w:tc>
          <w:tcPr>
            <w:tcW w:w="611"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氟化物</w:t>
            </w:r>
          </w:p>
        </w:tc>
        <w:tc>
          <w:tcPr>
            <w:tcW w:w="439"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氨氮</w:t>
            </w:r>
          </w:p>
        </w:tc>
        <w:tc>
          <w:tcPr>
            <w:tcW w:w="632"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砷</w:t>
            </w:r>
          </w:p>
        </w:tc>
        <w:tc>
          <w:tcPr>
            <w:tcW w:w="665"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镉</w:t>
            </w:r>
          </w:p>
        </w:tc>
        <w:tc>
          <w:tcPr>
            <w:tcW w:w="653"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铅</w:t>
            </w:r>
          </w:p>
        </w:tc>
        <w:tc>
          <w:tcPr>
            <w:tcW w:w="643"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铜</w:t>
            </w:r>
          </w:p>
        </w:tc>
        <w:tc>
          <w:tcPr>
            <w:tcW w:w="600"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锌</w:t>
            </w:r>
          </w:p>
        </w:tc>
        <w:tc>
          <w:tcPr>
            <w:tcW w:w="568"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铁</w:t>
            </w:r>
          </w:p>
        </w:tc>
        <w:tc>
          <w:tcPr>
            <w:tcW w:w="568"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锰</w:t>
            </w:r>
          </w:p>
        </w:tc>
        <w:tc>
          <w:tcPr>
            <w:tcW w:w="557"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汞</w:t>
            </w:r>
          </w:p>
        </w:tc>
        <w:tc>
          <w:tcPr>
            <w:tcW w:w="632"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六价铬</w:t>
            </w:r>
          </w:p>
        </w:tc>
        <w:tc>
          <w:tcPr>
            <w:tcW w:w="589"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总大肠菌群</w:t>
            </w:r>
            <w:r>
              <w:rPr>
                <w:color w:val="auto"/>
                <w:sz w:val="15"/>
                <w:szCs w:val="15"/>
                <w:highlight w:val="none"/>
              </w:rPr>
              <w:t>(MPN/100mL)</w:t>
            </w:r>
          </w:p>
        </w:tc>
        <w:tc>
          <w:tcPr>
            <w:tcW w:w="437" w:type="dxa"/>
            <w:vAlign w:val="center"/>
          </w:tcPr>
          <w:p>
            <w:pPr>
              <w:widowControl/>
              <w:adjustRightInd w:val="0"/>
              <w:snapToGrid w:val="0"/>
              <w:spacing w:line="240" w:lineRule="auto"/>
              <w:ind w:firstLine="0" w:firstLineChars="0"/>
              <w:jc w:val="center"/>
              <w:textAlignment w:val="top"/>
              <w:rPr>
                <w:b/>
                <w:bCs/>
                <w:color w:val="auto"/>
                <w:kern w:val="0"/>
                <w:sz w:val="15"/>
                <w:szCs w:val="15"/>
                <w:highlight w:val="none"/>
                <w:lang w:bidi="ar"/>
              </w:rPr>
            </w:pPr>
            <w:r>
              <w:rPr>
                <w:b/>
                <w:bCs/>
                <w:color w:val="auto"/>
                <w:kern w:val="0"/>
                <w:sz w:val="15"/>
                <w:szCs w:val="15"/>
                <w:highlight w:val="none"/>
                <w:lang w:bidi="ar"/>
              </w:rPr>
              <w:t>细菌总数（</w:t>
            </w:r>
            <w:r>
              <w:rPr>
                <w:rStyle w:val="106"/>
                <w:b/>
                <w:bCs/>
                <w:color w:val="auto"/>
                <w:sz w:val="15"/>
                <w:szCs w:val="15"/>
                <w:highlight w:val="none"/>
                <w:lang w:bidi="ar"/>
              </w:rPr>
              <w:t>CFU/mL</w:t>
            </w:r>
            <w:r>
              <w:rPr>
                <w:rStyle w:val="73"/>
                <w:rFonts w:hint="default" w:ascii="Times New Roman" w:hAnsi="Times New Roman" w:cs="Times New Roman"/>
                <w:b/>
                <w:bCs/>
                <w:color w:val="auto"/>
                <w:sz w:val="15"/>
                <w:szCs w:val="15"/>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0" w:type="dxa"/>
            <w:vMerge w:val="restart"/>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1#地下水</w:t>
            </w: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2022.3.17</w:t>
            </w:r>
          </w:p>
        </w:tc>
        <w:tc>
          <w:tcPr>
            <w:tcW w:w="64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w:t>
            </w:r>
          </w:p>
        </w:tc>
        <w:tc>
          <w:tcPr>
            <w:tcW w:w="57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0.91</w:t>
            </w:r>
          </w:p>
        </w:tc>
        <w:tc>
          <w:tcPr>
            <w:tcW w:w="36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79</w:t>
            </w:r>
          </w:p>
        </w:tc>
        <w:tc>
          <w:tcPr>
            <w:tcW w:w="69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85</w:t>
            </w:r>
          </w:p>
        </w:tc>
        <w:tc>
          <w:tcPr>
            <w:tcW w:w="54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10L</w:t>
            </w:r>
          </w:p>
        </w:tc>
        <w:tc>
          <w:tcPr>
            <w:tcW w:w="51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9</w:t>
            </w:r>
          </w:p>
        </w:tc>
        <w:tc>
          <w:tcPr>
            <w:tcW w:w="46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0.5</w:t>
            </w:r>
          </w:p>
        </w:tc>
        <w:tc>
          <w:tcPr>
            <w:tcW w:w="73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62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61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43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0.04</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0.0003L</w:t>
            </w:r>
          </w:p>
        </w:tc>
        <w:tc>
          <w:tcPr>
            <w:tcW w:w="665"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5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0.010L</w:t>
            </w:r>
          </w:p>
        </w:tc>
        <w:tc>
          <w:tcPr>
            <w:tcW w:w="64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0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0.01L</w:t>
            </w:r>
          </w:p>
        </w:tc>
        <w:tc>
          <w:tcPr>
            <w:tcW w:w="55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0.00011</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w:t>
            </w:r>
          </w:p>
        </w:tc>
        <w:tc>
          <w:tcPr>
            <w:tcW w:w="43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2022.3.18</w:t>
            </w:r>
          </w:p>
        </w:tc>
        <w:tc>
          <w:tcPr>
            <w:tcW w:w="64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7.9</w:t>
            </w:r>
          </w:p>
        </w:tc>
        <w:tc>
          <w:tcPr>
            <w:tcW w:w="57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0.96</w:t>
            </w:r>
          </w:p>
        </w:tc>
        <w:tc>
          <w:tcPr>
            <w:tcW w:w="36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81</w:t>
            </w:r>
          </w:p>
        </w:tc>
        <w:tc>
          <w:tcPr>
            <w:tcW w:w="69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92</w:t>
            </w:r>
          </w:p>
        </w:tc>
        <w:tc>
          <w:tcPr>
            <w:tcW w:w="54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10L</w:t>
            </w:r>
          </w:p>
        </w:tc>
        <w:tc>
          <w:tcPr>
            <w:tcW w:w="51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w:t>
            </w:r>
          </w:p>
        </w:tc>
        <w:tc>
          <w:tcPr>
            <w:tcW w:w="46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0.49</w:t>
            </w:r>
          </w:p>
        </w:tc>
        <w:tc>
          <w:tcPr>
            <w:tcW w:w="73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62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61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w:t>
            </w:r>
          </w:p>
        </w:tc>
        <w:tc>
          <w:tcPr>
            <w:tcW w:w="43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0.031</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0.0003L</w:t>
            </w:r>
          </w:p>
        </w:tc>
        <w:tc>
          <w:tcPr>
            <w:tcW w:w="665"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5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0.010L</w:t>
            </w:r>
          </w:p>
        </w:tc>
        <w:tc>
          <w:tcPr>
            <w:tcW w:w="64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0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0.01L</w:t>
            </w:r>
          </w:p>
        </w:tc>
        <w:tc>
          <w:tcPr>
            <w:tcW w:w="55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0.00011</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w:t>
            </w:r>
          </w:p>
        </w:tc>
        <w:tc>
          <w:tcPr>
            <w:tcW w:w="43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标准值</w:t>
            </w:r>
          </w:p>
        </w:tc>
        <w:tc>
          <w:tcPr>
            <w:tcW w:w="640"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6.5</w:t>
            </w:r>
            <w:r>
              <w:rPr>
                <w:color w:val="auto"/>
                <w:kern w:val="21"/>
                <w:sz w:val="15"/>
                <w:szCs w:val="15"/>
                <w:highlight w:val="none"/>
              </w:rPr>
              <w:t>~</w:t>
            </w:r>
            <w:r>
              <w:rPr>
                <w:rFonts w:hint="eastAsia"/>
                <w:color w:val="auto"/>
                <w:kern w:val="21"/>
                <w:sz w:val="15"/>
                <w:szCs w:val="15"/>
                <w:highlight w:val="none"/>
              </w:rPr>
              <w:t>8.5</w:t>
            </w:r>
          </w:p>
        </w:tc>
        <w:tc>
          <w:tcPr>
            <w:tcW w:w="57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3</w:t>
            </w:r>
          </w:p>
        </w:tc>
        <w:tc>
          <w:tcPr>
            <w:tcW w:w="36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450</w:t>
            </w:r>
          </w:p>
        </w:tc>
        <w:tc>
          <w:tcPr>
            <w:tcW w:w="69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1000</w:t>
            </w:r>
          </w:p>
        </w:tc>
        <w:tc>
          <w:tcPr>
            <w:tcW w:w="54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250</w:t>
            </w:r>
          </w:p>
        </w:tc>
        <w:tc>
          <w:tcPr>
            <w:tcW w:w="51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250</w:t>
            </w:r>
          </w:p>
        </w:tc>
        <w:tc>
          <w:tcPr>
            <w:tcW w:w="46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20</w:t>
            </w:r>
          </w:p>
        </w:tc>
        <w:tc>
          <w:tcPr>
            <w:tcW w:w="73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58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0.02</w:t>
            </w:r>
          </w:p>
        </w:tc>
        <w:tc>
          <w:tcPr>
            <w:tcW w:w="62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0.05</w:t>
            </w:r>
          </w:p>
        </w:tc>
        <w:tc>
          <w:tcPr>
            <w:tcW w:w="61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43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0.5</w:t>
            </w:r>
          </w:p>
        </w:tc>
        <w:tc>
          <w:tcPr>
            <w:tcW w:w="63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0.01</w:t>
            </w:r>
          </w:p>
        </w:tc>
        <w:tc>
          <w:tcPr>
            <w:tcW w:w="665"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0.005</w:t>
            </w:r>
          </w:p>
        </w:tc>
        <w:tc>
          <w:tcPr>
            <w:tcW w:w="65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0.01</w:t>
            </w:r>
          </w:p>
        </w:tc>
        <w:tc>
          <w:tcPr>
            <w:tcW w:w="64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600"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56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0.3</w:t>
            </w:r>
          </w:p>
        </w:tc>
        <w:tc>
          <w:tcPr>
            <w:tcW w:w="56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0.1</w:t>
            </w:r>
          </w:p>
        </w:tc>
        <w:tc>
          <w:tcPr>
            <w:tcW w:w="557"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0.001</w:t>
            </w:r>
          </w:p>
        </w:tc>
        <w:tc>
          <w:tcPr>
            <w:tcW w:w="63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0.05</w:t>
            </w:r>
          </w:p>
        </w:tc>
        <w:tc>
          <w:tcPr>
            <w:tcW w:w="58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3</w:t>
            </w:r>
          </w:p>
        </w:tc>
        <w:tc>
          <w:tcPr>
            <w:tcW w:w="437"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widowControl/>
              <w:adjustRightInd w:val="0"/>
              <w:snapToGrid w:val="0"/>
              <w:spacing w:line="240" w:lineRule="auto"/>
              <w:ind w:firstLine="0" w:firstLineChars="0"/>
              <w:jc w:val="center"/>
              <w:rPr>
                <w:color w:val="auto"/>
                <w:kern w:val="21"/>
                <w:sz w:val="15"/>
                <w:szCs w:val="15"/>
                <w:highlight w:val="none"/>
              </w:rPr>
            </w:pPr>
            <w:r>
              <w:rPr>
                <w:i/>
                <w:color w:val="auto"/>
                <w:kern w:val="21"/>
                <w:sz w:val="15"/>
                <w:szCs w:val="15"/>
                <w:highlight w:val="none"/>
                <w:lang w:bidi="ar"/>
              </w:rPr>
              <w:t>Pi</w:t>
            </w:r>
            <w:r>
              <w:rPr>
                <w:color w:val="auto"/>
                <w:kern w:val="21"/>
                <w:sz w:val="15"/>
                <w:szCs w:val="15"/>
                <w:highlight w:val="none"/>
              </w:rPr>
              <w:t>最大指数</w:t>
            </w:r>
          </w:p>
        </w:tc>
        <w:tc>
          <w:tcPr>
            <w:tcW w:w="64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0.94</w:t>
            </w:r>
          </w:p>
        </w:tc>
        <w:tc>
          <w:tcPr>
            <w:tcW w:w="57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0.32</w:t>
            </w:r>
          </w:p>
        </w:tc>
        <w:tc>
          <w:tcPr>
            <w:tcW w:w="36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0.18</w:t>
            </w:r>
          </w:p>
        </w:tc>
        <w:tc>
          <w:tcPr>
            <w:tcW w:w="69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0.092</w:t>
            </w:r>
          </w:p>
        </w:tc>
        <w:tc>
          <w:tcPr>
            <w:tcW w:w="54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0.04</w:t>
            </w:r>
          </w:p>
        </w:tc>
        <w:tc>
          <w:tcPr>
            <w:tcW w:w="51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0.04</w:t>
            </w:r>
          </w:p>
        </w:tc>
        <w:tc>
          <w:tcPr>
            <w:tcW w:w="46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0.025</w:t>
            </w:r>
          </w:p>
        </w:tc>
        <w:tc>
          <w:tcPr>
            <w:tcW w:w="73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0.004</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0.15</w:t>
            </w:r>
          </w:p>
        </w:tc>
        <w:tc>
          <w:tcPr>
            <w:tcW w:w="62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61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0.05</w:t>
            </w:r>
          </w:p>
        </w:tc>
        <w:tc>
          <w:tcPr>
            <w:tcW w:w="43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0.03</w:t>
            </w:r>
          </w:p>
        </w:tc>
        <w:tc>
          <w:tcPr>
            <w:tcW w:w="665"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0.2</w:t>
            </w:r>
          </w:p>
        </w:tc>
        <w:tc>
          <w:tcPr>
            <w:tcW w:w="65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1</w:t>
            </w:r>
          </w:p>
        </w:tc>
        <w:tc>
          <w:tcPr>
            <w:tcW w:w="64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0.001</w:t>
            </w:r>
          </w:p>
        </w:tc>
        <w:tc>
          <w:tcPr>
            <w:tcW w:w="60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0.005</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w:t>
            </w:r>
          </w:p>
        </w:tc>
        <w:tc>
          <w:tcPr>
            <w:tcW w:w="55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0.11</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2.33</w:t>
            </w:r>
          </w:p>
        </w:tc>
        <w:tc>
          <w:tcPr>
            <w:tcW w:w="43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超标倍数</w:t>
            </w:r>
          </w:p>
        </w:tc>
        <w:tc>
          <w:tcPr>
            <w:tcW w:w="64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7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36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9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4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1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6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73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2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1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3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65"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5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4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0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5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2.33</w:t>
            </w:r>
          </w:p>
        </w:tc>
        <w:tc>
          <w:tcPr>
            <w:tcW w:w="43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restart"/>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2#地下水</w:t>
            </w: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2022.3.17</w:t>
            </w:r>
          </w:p>
        </w:tc>
        <w:tc>
          <w:tcPr>
            <w:tcW w:w="64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7.6</w:t>
            </w:r>
          </w:p>
        </w:tc>
        <w:tc>
          <w:tcPr>
            <w:tcW w:w="57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1.04</w:t>
            </w:r>
          </w:p>
        </w:tc>
        <w:tc>
          <w:tcPr>
            <w:tcW w:w="36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160</w:t>
            </w:r>
          </w:p>
        </w:tc>
        <w:tc>
          <w:tcPr>
            <w:tcW w:w="69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185</w:t>
            </w:r>
          </w:p>
        </w:tc>
        <w:tc>
          <w:tcPr>
            <w:tcW w:w="54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10L</w:t>
            </w:r>
          </w:p>
        </w:tc>
        <w:tc>
          <w:tcPr>
            <w:tcW w:w="51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8L</w:t>
            </w:r>
          </w:p>
        </w:tc>
        <w:tc>
          <w:tcPr>
            <w:tcW w:w="46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0.11</w:t>
            </w:r>
          </w:p>
        </w:tc>
        <w:tc>
          <w:tcPr>
            <w:tcW w:w="73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62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61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0.08</w:t>
            </w:r>
          </w:p>
        </w:tc>
        <w:tc>
          <w:tcPr>
            <w:tcW w:w="43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0.025L</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0.0006</w:t>
            </w:r>
          </w:p>
        </w:tc>
        <w:tc>
          <w:tcPr>
            <w:tcW w:w="665"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5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0.010L</w:t>
            </w:r>
          </w:p>
        </w:tc>
        <w:tc>
          <w:tcPr>
            <w:tcW w:w="64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0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w:t>
            </w:r>
          </w:p>
        </w:tc>
        <w:tc>
          <w:tcPr>
            <w:tcW w:w="55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0.00011</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&lt;2</w:t>
            </w:r>
          </w:p>
        </w:tc>
        <w:tc>
          <w:tcPr>
            <w:tcW w:w="43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2022.3.18</w:t>
            </w:r>
          </w:p>
        </w:tc>
        <w:tc>
          <w:tcPr>
            <w:tcW w:w="64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7.7</w:t>
            </w:r>
          </w:p>
        </w:tc>
        <w:tc>
          <w:tcPr>
            <w:tcW w:w="57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1.01</w:t>
            </w:r>
          </w:p>
        </w:tc>
        <w:tc>
          <w:tcPr>
            <w:tcW w:w="36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166</w:t>
            </w:r>
          </w:p>
        </w:tc>
        <w:tc>
          <w:tcPr>
            <w:tcW w:w="69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176</w:t>
            </w:r>
          </w:p>
        </w:tc>
        <w:tc>
          <w:tcPr>
            <w:tcW w:w="54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10L</w:t>
            </w:r>
          </w:p>
        </w:tc>
        <w:tc>
          <w:tcPr>
            <w:tcW w:w="51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8L</w:t>
            </w:r>
          </w:p>
        </w:tc>
        <w:tc>
          <w:tcPr>
            <w:tcW w:w="46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0.11</w:t>
            </w:r>
          </w:p>
        </w:tc>
        <w:tc>
          <w:tcPr>
            <w:tcW w:w="73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62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61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0.08</w:t>
            </w:r>
          </w:p>
        </w:tc>
        <w:tc>
          <w:tcPr>
            <w:tcW w:w="43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0.025L</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0.0006</w:t>
            </w:r>
          </w:p>
        </w:tc>
        <w:tc>
          <w:tcPr>
            <w:tcW w:w="665"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5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0.010L</w:t>
            </w:r>
          </w:p>
        </w:tc>
        <w:tc>
          <w:tcPr>
            <w:tcW w:w="64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0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w:t>
            </w:r>
          </w:p>
        </w:tc>
        <w:tc>
          <w:tcPr>
            <w:tcW w:w="55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0.00011</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&lt;2</w:t>
            </w:r>
          </w:p>
        </w:tc>
        <w:tc>
          <w:tcPr>
            <w:tcW w:w="43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标准值</w:t>
            </w:r>
          </w:p>
        </w:tc>
        <w:tc>
          <w:tcPr>
            <w:tcW w:w="640"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6.5</w:t>
            </w:r>
            <w:r>
              <w:rPr>
                <w:color w:val="auto"/>
                <w:kern w:val="21"/>
                <w:sz w:val="15"/>
                <w:szCs w:val="15"/>
                <w:highlight w:val="none"/>
              </w:rPr>
              <w:t>~</w:t>
            </w:r>
            <w:r>
              <w:rPr>
                <w:rFonts w:hint="eastAsia"/>
                <w:color w:val="auto"/>
                <w:kern w:val="21"/>
                <w:sz w:val="15"/>
                <w:szCs w:val="15"/>
                <w:highlight w:val="none"/>
              </w:rPr>
              <w:t>8.5</w:t>
            </w:r>
          </w:p>
        </w:tc>
        <w:tc>
          <w:tcPr>
            <w:tcW w:w="57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3</w:t>
            </w:r>
          </w:p>
        </w:tc>
        <w:tc>
          <w:tcPr>
            <w:tcW w:w="36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450</w:t>
            </w:r>
          </w:p>
        </w:tc>
        <w:tc>
          <w:tcPr>
            <w:tcW w:w="69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1000</w:t>
            </w:r>
          </w:p>
        </w:tc>
        <w:tc>
          <w:tcPr>
            <w:tcW w:w="54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250</w:t>
            </w:r>
          </w:p>
        </w:tc>
        <w:tc>
          <w:tcPr>
            <w:tcW w:w="51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250</w:t>
            </w:r>
          </w:p>
        </w:tc>
        <w:tc>
          <w:tcPr>
            <w:tcW w:w="46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20</w:t>
            </w:r>
          </w:p>
        </w:tc>
        <w:tc>
          <w:tcPr>
            <w:tcW w:w="73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58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0.02</w:t>
            </w:r>
          </w:p>
        </w:tc>
        <w:tc>
          <w:tcPr>
            <w:tcW w:w="62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0.05</w:t>
            </w:r>
          </w:p>
        </w:tc>
        <w:tc>
          <w:tcPr>
            <w:tcW w:w="61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43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0.5</w:t>
            </w:r>
          </w:p>
        </w:tc>
        <w:tc>
          <w:tcPr>
            <w:tcW w:w="63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0.01</w:t>
            </w:r>
          </w:p>
        </w:tc>
        <w:tc>
          <w:tcPr>
            <w:tcW w:w="665"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0.005</w:t>
            </w:r>
          </w:p>
        </w:tc>
        <w:tc>
          <w:tcPr>
            <w:tcW w:w="65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0.01</w:t>
            </w:r>
          </w:p>
        </w:tc>
        <w:tc>
          <w:tcPr>
            <w:tcW w:w="64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600"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56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0.3</w:t>
            </w:r>
          </w:p>
        </w:tc>
        <w:tc>
          <w:tcPr>
            <w:tcW w:w="56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0.1</w:t>
            </w:r>
          </w:p>
        </w:tc>
        <w:tc>
          <w:tcPr>
            <w:tcW w:w="557"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0.001</w:t>
            </w:r>
          </w:p>
        </w:tc>
        <w:tc>
          <w:tcPr>
            <w:tcW w:w="63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0.05</w:t>
            </w:r>
          </w:p>
        </w:tc>
        <w:tc>
          <w:tcPr>
            <w:tcW w:w="58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3</w:t>
            </w:r>
          </w:p>
        </w:tc>
        <w:tc>
          <w:tcPr>
            <w:tcW w:w="437"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widowControl/>
              <w:adjustRightInd w:val="0"/>
              <w:snapToGrid w:val="0"/>
              <w:spacing w:line="240" w:lineRule="auto"/>
              <w:ind w:firstLine="0" w:firstLineChars="0"/>
              <w:jc w:val="center"/>
              <w:rPr>
                <w:color w:val="auto"/>
                <w:kern w:val="21"/>
                <w:sz w:val="15"/>
                <w:szCs w:val="15"/>
                <w:highlight w:val="none"/>
              </w:rPr>
            </w:pPr>
            <w:r>
              <w:rPr>
                <w:i/>
                <w:color w:val="auto"/>
                <w:kern w:val="21"/>
                <w:sz w:val="15"/>
                <w:szCs w:val="15"/>
                <w:highlight w:val="none"/>
                <w:lang w:bidi="ar"/>
              </w:rPr>
              <w:t>Pi</w:t>
            </w:r>
            <w:r>
              <w:rPr>
                <w:color w:val="auto"/>
                <w:kern w:val="21"/>
                <w:sz w:val="15"/>
                <w:szCs w:val="15"/>
                <w:highlight w:val="none"/>
              </w:rPr>
              <w:t>最大指数</w:t>
            </w:r>
          </w:p>
        </w:tc>
        <w:tc>
          <w:tcPr>
            <w:tcW w:w="64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0.91</w:t>
            </w:r>
          </w:p>
        </w:tc>
        <w:tc>
          <w:tcPr>
            <w:tcW w:w="57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0.35</w:t>
            </w:r>
          </w:p>
        </w:tc>
        <w:tc>
          <w:tcPr>
            <w:tcW w:w="36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0.37</w:t>
            </w:r>
          </w:p>
        </w:tc>
        <w:tc>
          <w:tcPr>
            <w:tcW w:w="69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0.19</w:t>
            </w:r>
          </w:p>
        </w:tc>
        <w:tc>
          <w:tcPr>
            <w:tcW w:w="54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0.04</w:t>
            </w:r>
          </w:p>
        </w:tc>
        <w:tc>
          <w:tcPr>
            <w:tcW w:w="51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0.03</w:t>
            </w:r>
          </w:p>
        </w:tc>
        <w:tc>
          <w:tcPr>
            <w:tcW w:w="46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0.006</w:t>
            </w:r>
          </w:p>
        </w:tc>
        <w:tc>
          <w:tcPr>
            <w:tcW w:w="73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0.003</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0.15</w:t>
            </w:r>
          </w:p>
        </w:tc>
        <w:tc>
          <w:tcPr>
            <w:tcW w:w="62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61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43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0.05</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0.06</w:t>
            </w:r>
          </w:p>
        </w:tc>
        <w:tc>
          <w:tcPr>
            <w:tcW w:w="665"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0.2</w:t>
            </w:r>
          </w:p>
        </w:tc>
        <w:tc>
          <w:tcPr>
            <w:tcW w:w="65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1</w:t>
            </w:r>
          </w:p>
        </w:tc>
        <w:tc>
          <w:tcPr>
            <w:tcW w:w="64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0.001</w:t>
            </w:r>
          </w:p>
        </w:tc>
        <w:tc>
          <w:tcPr>
            <w:tcW w:w="60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0.005</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0.3</w:t>
            </w:r>
          </w:p>
        </w:tc>
        <w:tc>
          <w:tcPr>
            <w:tcW w:w="55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0.11</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0.67</w:t>
            </w:r>
          </w:p>
        </w:tc>
        <w:tc>
          <w:tcPr>
            <w:tcW w:w="43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超标倍数</w:t>
            </w:r>
          </w:p>
        </w:tc>
        <w:tc>
          <w:tcPr>
            <w:tcW w:w="64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7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36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9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4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1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6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73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2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1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3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65"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5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4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0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5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3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restart"/>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3#沙溪冲水井</w:t>
            </w: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2022.3.17</w:t>
            </w:r>
          </w:p>
        </w:tc>
        <w:tc>
          <w:tcPr>
            <w:tcW w:w="64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7.7</w:t>
            </w:r>
          </w:p>
        </w:tc>
        <w:tc>
          <w:tcPr>
            <w:tcW w:w="57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0.77</w:t>
            </w:r>
          </w:p>
        </w:tc>
        <w:tc>
          <w:tcPr>
            <w:tcW w:w="36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245</w:t>
            </w:r>
          </w:p>
        </w:tc>
        <w:tc>
          <w:tcPr>
            <w:tcW w:w="69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266</w:t>
            </w:r>
          </w:p>
        </w:tc>
        <w:tc>
          <w:tcPr>
            <w:tcW w:w="54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10L</w:t>
            </w:r>
          </w:p>
        </w:tc>
        <w:tc>
          <w:tcPr>
            <w:tcW w:w="51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48</w:t>
            </w:r>
          </w:p>
        </w:tc>
        <w:tc>
          <w:tcPr>
            <w:tcW w:w="46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0.02L</w:t>
            </w:r>
          </w:p>
        </w:tc>
        <w:tc>
          <w:tcPr>
            <w:tcW w:w="73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62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61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43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0.025L</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0.0003L</w:t>
            </w:r>
          </w:p>
        </w:tc>
        <w:tc>
          <w:tcPr>
            <w:tcW w:w="665"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5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0.010L</w:t>
            </w:r>
          </w:p>
        </w:tc>
        <w:tc>
          <w:tcPr>
            <w:tcW w:w="64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0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0.01L</w:t>
            </w:r>
          </w:p>
        </w:tc>
        <w:tc>
          <w:tcPr>
            <w:tcW w:w="55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0.0001</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&lt;2</w:t>
            </w:r>
          </w:p>
        </w:tc>
        <w:tc>
          <w:tcPr>
            <w:tcW w:w="43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2022.3.18</w:t>
            </w:r>
          </w:p>
        </w:tc>
        <w:tc>
          <w:tcPr>
            <w:tcW w:w="64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7.7</w:t>
            </w:r>
          </w:p>
        </w:tc>
        <w:tc>
          <w:tcPr>
            <w:tcW w:w="57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0.8</w:t>
            </w:r>
          </w:p>
        </w:tc>
        <w:tc>
          <w:tcPr>
            <w:tcW w:w="36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248</w:t>
            </w:r>
          </w:p>
        </w:tc>
        <w:tc>
          <w:tcPr>
            <w:tcW w:w="69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255</w:t>
            </w:r>
          </w:p>
        </w:tc>
        <w:tc>
          <w:tcPr>
            <w:tcW w:w="54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10L</w:t>
            </w:r>
          </w:p>
        </w:tc>
        <w:tc>
          <w:tcPr>
            <w:tcW w:w="51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49</w:t>
            </w:r>
          </w:p>
        </w:tc>
        <w:tc>
          <w:tcPr>
            <w:tcW w:w="46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0.02L</w:t>
            </w:r>
          </w:p>
        </w:tc>
        <w:tc>
          <w:tcPr>
            <w:tcW w:w="73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62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61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43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0.031</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0.0003L</w:t>
            </w:r>
          </w:p>
        </w:tc>
        <w:tc>
          <w:tcPr>
            <w:tcW w:w="665"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5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0.010L</w:t>
            </w:r>
          </w:p>
        </w:tc>
        <w:tc>
          <w:tcPr>
            <w:tcW w:w="64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0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0.01L</w:t>
            </w:r>
          </w:p>
        </w:tc>
        <w:tc>
          <w:tcPr>
            <w:tcW w:w="55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0.00011</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&lt;2</w:t>
            </w:r>
          </w:p>
        </w:tc>
        <w:tc>
          <w:tcPr>
            <w:tcW w:w="43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标准值</w:t>
            </w:r>
          </w:p>
        </w:tc>
        <w:tc>
          <w:tcPr>
            <w:tcW w:w="640"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6.5</w:t>
            </w:r>
            <w:r>
              <w:rPr>
                <w:color w:val="auto"/>
                <w:kern w:val="21"/>
                <w:sz w:val="15"/>
                <w:szCs w:val="15"/>
                <w:highlight w:val="none"/>
              </w:rPr>
              <w:t>~</w:t>
            </w:r>
            <w:r>
              <w:rPr>
                <w:rFonts w:hint="eastAsia"/>
                <w:color w:val="auto"/>
                <w:kern w:val="21"/>
                <w:sz w:val="15"/>
                <w:szCs w:val="15"/>
                <w:highlight w:val="none"/>
              </w:rPr>
              <w:t>8.5</w:t>
            </w:r>
          </w:p>
        </w:tc>
        <w:tc>
          <w:tcPr>
            <w:tcW w:w="57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3</w:t>
            </w:r>
          </w:p>
        </w:tc>
        <w:tc>
          <w:tcPr>
            <w:tcW w:w="36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450</w:t>
            </w:r>
          </w:p>
        </w:tc>
        <w:tc>
          <w:tcPr>
            <w:tcW w:w="69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1000</w:t>
            </w:r>
          </w:p>
        </w:tc>
        <w:tc>
          <w:tcPr>
            <w:tcW w:w="54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250</w:t>
            </w:r>
          </w:p>
        </w:tc>
        <w:tc>
          <w:tcPr>
            <w:tcW w:w="51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250</w:t>
            </w:r>
          </w:p>
        </w:tc>
        <w:tc>
          <w:tcPr>
            <w:tcW w:w="46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20</w:t>
            </w:r>
          </w:p>
        </w:tc>
        <w:tc>
          <w:tcPr>
            <w:tcW w:w="73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58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0.02</w:t>
            </w:r>
          </w:p>
        </w:tc>
        <w:tc>
          <w:tcPr>
            <w:tcW w:w="62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0.05</w:t>
            </w:r>
          </w:p>
        </w:tc>
        <w:tc>
          <w:tcPr>
            <w:tcW w:w="61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43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0.5</w:t>
            </w:r>
          </w:p>
        </w:tc>
        <w:tc>
          <w:tcPr>
            <w:tcW w:w="63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0.01</w:t>
            </w:r>
          </w:p>
        </w:tc>
        <w:tc>
          <w:tcPr>
            <w:tcW w:w="665"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0.005</w:t>
            </w:r>
          </w:p>
        </w:tc>
        <w:tc>
          <w:tcPr>
            <w:tcW w:w="65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0.01</w:t>
            </w:r>
          </w:p>
        </w:tc>
        <w:tc>
          <w:tcPr>
            <w:tcW w:w="64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600"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56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0.3</w:t>
            </w:r>
          </w:p>
        </w:tc>
        <w:tc>
          <w:tcPr>
            <w:tcW w:w="56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0.1</w:t>
            </w:r>
          </w:p>
        </w:tc>
        <w:tc>
          <w:tcPr>
            <w:tcW w:w="557"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0.001</w:t>
            </w:r>
          </w:p>
        </w:tc>
        <w:tc>
          <w:tcPr>
            <w:tcW w:w="63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0.05</w:t>
            </w:r>
          </w:p>
        </w:tc>
        <w:tc>
          <w:tcPr>
            <w:tcW w:w="58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3</w:t>
            </w:r>
          </w:p>
        </w:tc>
        <w:tc>
          <w:tcPr>
            <w:tcW w:w="437"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widowControl/>
              <w:adjustRightInd w:val="0"/>
              <w:snapToGrid w:val="0"/>
              <w:spacing w:line="240" w:lineRule="auto"/>
              <w:ind w:firstLine="0" w:firstLineChars="0"/>
              <w:jc w:val="center"/>
              <w:rPr>
                <w:color w:val="auto"/>
                <w:kern w:val="21"/>
                <w:sz w:val="15"/>
                <w:szCs w:val="15"/>
                <w:highlight w:val="none"/>
              </w:rPr>
            </w:pPr>
            <w:r>
              <w:rPr>
                <w:i/>
                <w:color w:val="auto"/>
                <w:kern w:val="21"/>
                <w:sz w:val="15"/>
                <w:szCs w:val="15"/>
                <w:highlight w:val="none"/>
                <w:lang w:bidi="ar"/>
              </w:rPr>
              <w:t>Pi</w:t>
            </w:r>
            <w:r>
              <w:rPr>
                <w:color w:val="auto"/>
                <w:kern w:val="21"/>
                <w:sz w:val="15"/>
                <w:szCs w:val="15"/>
                <w:highlight w:val="none"/>
              </w:rPr>
              <w:t>最大指数</w:t>
            </w:r>
          </w:p>
        </w:tc>
        <w:tc>
          <w:tcPr>
            <w:tcW w:w="64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0.91</w:t>
            </w:r>
          </w:p>
        </w:tc>
        <w:tc>
          <w:tcPr>
            <w:tcW w:w="57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0.27</w:t>
            </w:r>
          </w:p>
        </w:tc>
        <w:tc>
          <w:tcPr>
            <w:tcW w:w="36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0.55</w:t>
            </w:r>
          </w:p>
        </w:tc>
        <w:tc>
          <w:tcPr>
            <w:tcW w:w="69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0.27</w:t>
            </w:r>
          </w:p>
        </w:tc>
        <w:tc>
          <w:tcPr>
            <w:tcW w:w="54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0.04</w:t>
            </w:r>
          </w:p>
        </w:tc>
        <w:tc>
          <w:tcPr>
            <w:tcW w:w="51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0.196</w:t>
            </w:r>
          </w:p>
        </w:tc>
        <w:tc>
          <w:tcPr>
            <w:tcW w:w="46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0.001</w:t>
            </w:r>
          </w:p>
        </w:tc>
        <w:tc>
          <w:tcPr>
            <w:tcW w:w="73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0.003</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0.15</w:t>
            </w:r>
          </w:p>
        </w:tc>
        <w:tc>
          <w:tcPr>
            <w:tcW w:w="62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61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0.05</w:t>
            </w:r>
          </w:p>
        </w:tc>
        <w:tc>
          <w:tcPr>
            <w:tcW w:w="43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0.062</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0.03</w:t>
            </w:r>
          </w:p>
        </w:tc>
        <w:tc>
          <w:tcPr>
            <w:tcW w:w="665"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0.2</w:t>
            </w:r>
          </w:p>
        </w:tc>
        <w:tc>
          <w:tcPr>
            <w:tcW w:w="65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1</w:t>
            </w:r>
          </w:p>
        </w:tc>
        <w:tc>
          <w:tcPr>
            <w:tcW w:w="64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0.001</w:t>
            </w:r>
          </w:p>
        </w:tc>
        <w:tc>
          <w:tcPr>
            <w:tcW w:w="60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0.005</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w:t>
            </w:r>
          </w:p>
        </w:tc>
        <w:tc>
          <w:tcPr>
            <w:tcW w:w="55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0.11</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0.67</w:t>
            </w:r>
          </w:p>
        </w:tc>
        <w:tc>
          <w:tcPr>
            <w:tcW w:w="43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超标倍数</w:t>
            </w:r>
          </w:p>
        </w:tc>
        <w:tc>
          <w:tcPr>
            <w:tcW w:w="64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7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36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9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4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1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6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73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2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1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3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65"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5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4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0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5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3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restart"/>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4#王家小屯地下水</w:t>
            </w: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2022.3.17</w:t>
            </w:r>
          </w:p>
        </w:tc>
        <w:tc>
          <w:tcPr>
            <w:tcW w:w="64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7.7</w:t>
            </w:r>
          </w:p>
        </w:tc>
        <w:tc>
          <w:tcPr>
            <w:tcW w:w="57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1.02</w:t>
            </w:r>
          </w:p>
        </w:tc>
        <w:tc>
          <w:tcPr>
            <w:tcW w:w="36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261</w:t>
            </w:r>
          </w:p>
        </w:tc>
        <w:tc>
          <w:tcPr>
            <w:tcW w:w="69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274</w:t>
            </w:r>
          </w:p>
        </w:tc>
        <w:tc>
          <w:tcPr>
            <w:tcW w:w="54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11</w:t>
            </w:r>
          </w:p>
        </w:tc>
        <w:tc>
          <w:tcPr>
            <w:tcW w:w="51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51</w:t>
            </w:r>
          </w:p>
        </w:tc>
        <w:tc>
          <w:tcPr>
            <w:tcW w:w="46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0.41</w:t>
            </w:r>
          </w:p>
        </w:tc>
        <w:tc>
          <w:tcPr>
            <w:tcW w:w="73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0.006</w:t>
            </w:r>
          </w:p>
        </w:tc>
        <w:tc>
          <w:tcPr>
            <w:tcW w:w="62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61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0.12</w:t>
            </w:r>
          </w:p>
        </w:tc>
        <w:tc>
          <w:tcPr>
            <w:tcW w:w="43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0.04</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0.0004</w:t>
            </w:r>
          </w:p>
        </w:tc>
        <w:tc>
          <w:tcPr>
            <w:tcW w:w="665"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5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0.010L</w:t>
            </w:r>
          </w:p>
        </w:tc>
        <w:tc>
          <w:tcPr>
            <w:tcW w:w="64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0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0.01L</w:t>
            </w:r>
          </w:p>
        </w:tc>
        <w:tc>
          <w:tcPr>
            <w:tcW w:w="55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0.00011</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&lt;2</w:t>
            </w:r>
          </w:p>
        </w:tc>
        <w:tc>
          <w:tcPr>
            <w:tcW w:w="43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2022.3.18</w:t>
            </w:r>
          </w:p>
        </w:tc>
        <w:tc>
          <w:tcPr>
            <w:tcW w:w="64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7.6</w:t>
            </w:r>
          </w:p>
        </w:tc>
        <w:tc>
          <w:tcPr>
            <w:tcW w:w="57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1.06</w:t>
            </w:r>
          </w:p>
        </w:tc>
        <w:tc>
          <w:tcPr>
            <w:tcW w:w="36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262</w:t>
            </w:r>
          </w:p>
        </w:tc>
        <w:tc>
          <w:tcPr>
            <w:tcW w:w="69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274</w:t>
            </w:r>
          </w:p>
        </w:tc>
        <w:tc>
          <w:tcPr>
            <w:tcW w:w="54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12</w:t>
            </w:r>
          </w:p>
        </w:tc>
        <w:tc>
          <w:tcPr>
            <w:tcW w:w="51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51</w:t>
            </w:r>
          </w:p>
        </w:tc>
        <w:tc>
          <w:tcPr>
            <w:tcW w:w="46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0.43</w:t>
            </w:r>
          </w:p>
        </w:tc>
        <w:tc>
          <w:tcPr>
            <w:tcW w:w="73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62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61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0.11</w:t>
            </w:r>
          </w:p>
        </w:tc>
        <w:tc>
          <w:tcPr>
            <w:tcW w:w="43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0.025L</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0.0004</w:t>
            </w:r>
          </w:p>
        </w:tc>
        <w:tc>
          <w:tcPr>
            <w:tcW w:w="665"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5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0.010L</w:t>
            </w:r>
          </w:p>
        </w:tc>
        <w:tc>
          <w:tcPr>
            <w:tcW w:w="64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0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0.01L</w:t>
            </w:r>
          </w:p>
        </w:tc>
        <w:tc>
          <w:tcPr>
            <w:tcW w:w="55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0.00011</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&lt;2</w:t>
            </w:r>
          </w:p>
        </w:tc>
        <w:tc>
          <w:tcPr>
            <w:tcW w:w="43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标准值</w:t>
            </w:r>
          </w:p>
        </w:tc>
        <w:tc>
          <w:tcPr>
            <w:tcW w:w="640"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6.5</w:t>
            </w:r>
            <w:r>
              <w:rPr>
                <w:color w:val="auto"/>
                <w:kern w:val="21"/>
                <w:sz w:val="15"/>
                <w:szCs w:val="15"/>
                <w:highlight w:val="none"/>
              </w:rPr>
              <w:t>~</w:t>
            </w:r>
            <w:r>
              <w:rPr>
                <w:rFonts w:hint="eastAsia"/>
                <w:color w:val="auto"/>
                <w:kern w:val="21"/>
                <w:sz w:val="15"/>
                <w:szCs w:val="15"/>
                <w:highlight w:val="none"/>
              </w:rPr>
              <w:t>8.5</w:t>
            </w:r>
          </w:p>
        </w:tc>
        <w:tc>
          <w:tcPr>
            <w:tcW w:w="57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3</w:t>
            </w:r>
          </w:p>
        </w:tc>
        <w:tc>
          <w:tcPr>
            <w:tcW w:w="36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450</w:t>
            </w:r>
          </w:p>
        </w:tc>
        <w:tc>
          <w:tcPr>
            <w:tcW w:w="69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1000</w:t>
            </w:r>
          </w:p>
        </w:tc>
        <w:tc>
          <w:tcPr>
            <w:tcW w:w="54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250</w:t>
            </w:r>
          </w:p>
        </w:tc>
        <w:tc>
          <w:tcPr>
            <w:tcW w:w="51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250</w:t>
            </w:r>
          </w:p>
        </w:tc>
        <w:tc>
          <w:tcPr>
            <w:tcW w:w="46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20</w:t>
            </w:r>
          </w:p>
        </w:tc>
        <w:tc>
          <w:tcPr>
            <w:tcW w:w="73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58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0.02</w:t>
            </w:r>
          </w:p>
        </w:tc>
        <w:tc>
          <w:tcPr>
            <w:tcW w:w="62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0.05</w:t>
            </w:r>
          </w:p>
        </w:tc>
        <w:tc>
          <w:tcPr>
            <w:tcW w:w="61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43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0.5</w:t>
            </w:r>
          </w:p>
        </w:tc>
        <w:tc>
          <w:tcPr>
            <w:tcW w:w="63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0.01</w:t>
            </w:r>
          </w:p>
        </w:tc>
        <w:tc>
          <w:tcPr>
            <w:tcW w:w="665"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0.005</w:t>
            </w:r>
          </w:p>
        </w:tc>
        <w:tc>
          <w:tcPr>
            <w:tcW w:w="65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0.01</w:t>
            </w:r>
          </w:p>
        </w:tc>
        <w:tc>
          <w:tcPr>
            <w:tcW w:w="64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600"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56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0.3</w:t>
            </w:r>
          </w:p>
        </w:tc>
        <w:tc>
          <w:tcPr>
            <w:tcW w:w="56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0.1</w:t>
            </w:r>
          </w:p>
        </w:tc>
        <w:tc>
          <w:tcPr>
            <w:tcW w:w="557"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0.001</w:t>
            </w:r>
          </w:p>
        </w:tc>
        <w:tc>
          <w:tcPr>
            <w:tcW w:w="63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0.05</w:t>
            </w:r>
          </w:p>
        </w:tc>
        <w:tc>
          <w:tcPr>
            <w:tcW w:w="58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3</w:t>
            </w:r>
          </w:p>
        </w:tc>
        <w:tc>
          <w:tcPr>
            <w:tcW w:w="437"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widowControl/>
              <w:adjustRightInd w:val="0"/>
              <w:snapToGrid w:val="0"/>
              <w:spacing w:line="240" w:lineRule="auto"/>
              <w:ind w:firstLine="0" w:firstLineChars="0"/>
              <w:jc w:val="center"/>
              <w:rPr>
                <w:color w:val="auto"/>
                <w:kern w:val="21"/>
                <w:sz w:val="15"/>
                <w:szCs w:val="15"/>
                <w:highlight w:val="none"/>
              </w:rPr>
            </w:pPr>
            <w:r>
              <w:rPr>
                <w:i/>
                <w:color w:val="auto"/>
                <w:kern w:val="21"/>
                <w:sz w:val="15"/>
                <w:szCs w:val="15"/>
                <w:highlight w:val="none"/>
                <w:lang w:bidi="ar"/>
              </w:rPr>
              <w:t>Pi</w:t>
            </w:r>
            <w:r>
              <w:rPr>
                <w:color w:val="auto"/>
                <w:kern w:val="21"/>
                <w:sz w:val="15"/>
                <w:szCs w:val="15"/>
                <w:highlight w:val="none"/>
              </w:rPr>
              <w:t>最大指数</w:t>
            </w:r>
          </w:p>
        </w:tc>
        <w:tc>
          <w:tcPr>
            <w:tcW w:w="64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0.91</w:t>
            </w:r>
          </w:p>
        </w:tc>
        <w:tc>
          <w:tcPr>
            <w:tcW w:w="57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0.35</w:t>
            </w:r>
          </w:p>
        </w:tc>
        <w:tc>
          <w:tcPr>
            <w:tcW w:w="36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0.58</w:t>
            </w:r>
          </w:p>
        </w:tc>
        <w:tc>
          <w:tcPr>
            <w:tcW w:w="69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0.27</w:t>
            </w:r>
          </w:p>
        </w:tc>
        <w:tc>
          <w:tcPr>
            <w:tcW w:w="54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0.05</w:t>
            </w:r>
          </w:p>
        </w:tc>
        <w:tc>
          <w:tcPr>
            <w:tcW w:w="51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0.204</w:t>
            </w:r>
          </w:p>
        </w:tc>
        <w:tc>
          <w:tcPr>
            <w:tcW w:w="46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0.02</w:t>
            </w:r>
          </w:p>
        </w:tc>
        <w:tc>
          <w:tcPr>
            <w:tcW w:w="73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0.003</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0.15</w:t>
            </w:r>
          </w:p>
        </w:tc>
        <w:tc>
          <w:tcPr>
            <w:tcW w:w="62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61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0.12</w:t>
            </w:r>
          </w:p>
        </w:tc>
        <w:tc>
          <w:tcPr>
            <w:tcW w:w="43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0.04</w:t>
            </w:r>
          </w:p>
        </w:tc>
        <w:tc>
          <w:tcPr>
            <w:tcW w:w="665"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0.2</w:t>
            </w:r>
          </w:p>
        </w:tc>
        <w:tc>
          <w:tcPr>
            <w:tcW w:w="65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1</w:t>
            </w:r>
          </w:p>
        </w:tc>
        <w:tc>
          <w:tcPr>
            <w:tcW w:w="64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0.001</w:t>
            </w:r>
          </w:p>
        </w:tc>
        <w:tc>
          <w:tcPr>
            <w:tcW w:w="60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0.05</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w:t>
            </w:r>
          </w:p>
        </w:tc>
        <w:tc>
          <w:tcPr>
            <w:tcW w:w="55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0.11</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0.67</w:t>
            </w:r>
          </w:p>
        </w:tc>
        <w:tc>
          <w:tcPr>
            <w:tcW w:w="43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超标倍数</w:t>
            </w:r>
          </w:p>
        </w:tc>
        <w:tc>
          <w:tcPr>
            <w:tcW w:w="64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7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36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9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4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1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6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73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2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1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3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65"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5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4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0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5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3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restart"/>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5#大东村地下水</w:t>
            </w: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2022.3.17</w:t>
            </w:r>
          </w:p>
        </w:tc>
        <w:tc>
          <w:tcPr>
            <w:tcW w:w="64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7.2</w:t>
            </w:r>
          </w:p>
        </w:tc>
        <w:tc>
          <w:tcPr>
            <w:tcW w:w="57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0.93</w:t>
            </w:r>
          </w:p>
        </w:tc>
        <w:tc>
          <w:tcPr>
            <w:tcW w:w="36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244</w:t>
            </w:r>
          </w:p>
        </w:tc>
        <w:tc>
          <w:tcPr>
            <w:tcW w:w="69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268</w:t>
            </w:r>
          </w:p>
        </w:tc>
        <w:tc>
          <w:tcPr>
            <w:tcW w:w="54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91</w:t>
            </w:r>
          </w:p>
        </w:tc>
        <w:tc>
          <w:tcPr>
            <w:tcW w:w="51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21</w:t>
            </w:r>
          </w:p>
        </w:tc>
        <w:tc>
          <w:tcPr>
            <w:tcW w:w="46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1.88</w:t>
            </w:r>
          </w:p>
        </w:tc>
        <w:tc>
          <w:tcPr>
            <w:tcW w:w="73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62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61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43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0.025L</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0.0004</w:t>
            </w:r>
          </w:p>
        </w:tc>
        <w:tc>
          <w:tcPr>
            <w:tcW w:w="665"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5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0.010L</w:t>
            </w:r>
          </w:p>
        </w:tc>
        <w:tc>
          <w:tcPr>
            <w:tcW w:w="64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0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0.01L</w:t>
            </w:r>
          </w:p>
        </w:tc>
        <w:tc>
          <w:tcPr>
            <w:tcW w:w="55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0.00013</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&lt;2</w:t>
            </w:r>
          </w:p>
        </w:tc>
        <w:tc>
          <w:tcPr>
            <w:tcW w:w="43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2022.3.18</w:t>
            </w:r>
          </w:p>
        </w:tc>
        <w:tc>
          <w:tcPr>
            <w:tcW w:w="64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7.1</w:t>
            </w:r>
          </w:p>
        </w:tc>
        <w:tc>
          <w:tcPr>
            <w:tcW w:w="57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0.9</w:t>
            </w:r>
          </w:p>
        </w:tc>
        <w:tc>
          <w:tcPr>
            <w:tcW w:w="36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244</w:t>
            </w:r>
          </w:p>
        </w:tc>
        <w:tc>
          <w:tcPr>
            <w:tcW w:w="69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263</w:t>
            </w:r>
          </w:p>
        </w:tc>
        <w:tc>
          <w:tcPr>
            <w:tcW w:w="54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87</w:t>
            </w:r>
          </w:p>
        </w:tc>
        <w:tc>
          <w:tcPr>
            <w:tcW w:w="51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21</w:t>
            </w:r>
          </w:p>
        </w:tc>
        <w:tc>
          <w:tcPr>
            <w:tcW w:w="46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2</w:t>
            </w:r>
          </w:p>
        </w:tc>
        <w:tc>
          <w:tcPr>
            <w:tcW w:w="73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0.003L</w:t>
            </w:r>
          </w:p>
        </w:tc>
        <w:tc>
          <w:tcPr>
            <w:tcW w:w="62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611"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43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0.025L</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0.0004</w:t>
            </w:r>
          </w:p>
        </w:tc>
        <w:tc>
          <w:tcPr>
            <w:tcW w:w="665"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5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0.010L</w:t>
            </w:r>
          </w:p>
        </w:tc>
        <w:tc>
          <w:tcPr>
            <w:tcW w:w="643"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0.001L</w:t>
            </w:r>
          </w:p>
        </w:tc>
        <w:tc>
          <w:tcPr>
            <w:tcW w:w="600"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0.05L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0.03L</w:t>
            </w:r>
          </w:p>
        </w:tc>
        <w:tc>
          <w:tcPr>
            <w:tcW w:w="568"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0.01L</w:t>
            </w:r>
          </w:p>
        </w:tc>
        <w:tc>
          <w:tcPr>
            <w:tcW w:w="55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0.00013</w:t>
            </w:r>
          </w:p>
        </w:tc>
        <w:tc>
          <w:tcPr>
            <w:tcW w:w="632"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0.004L</w:t>
            </w:r>
          </w:p>
        </w:tc>
        <w:tc>
          <w:tcPr>
            <w:tcW w:w="589"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&lt;2</w:t>
            </w:r>
          </w:p>
        </w:tc>
        <w:tc>
          <w:tcPr>
            <w:tcW w:w="437" w:type="dxa"/>
            <w:vAlign w:val="center"/>
          </w:tcPr>
          <w:p>
            <w:pPr>
              <w:widowControl/>
              <w:adjustRightInd w:val="0"/>
              <w:snapToGrid w:val="0"/>
              <w:spacing w:line="240" w:lineRule="auto"/>
              <w:ind w:firstLine="0" w:firstLineChars="0"/>
              <w:jc w:val="center"/>
              <w:textAlignment w:val="top"/>
              <w:rPr>
                <w:color w:val="auto"/>
                <w:kern w:val="21"/>
                <w:sz w:val="15"/>
                <w:szCs w:val="15"/>
                <w:highlight w:val="none"/>
              </w:rPr>
            </w:pPr>
            <w:r>
              <w:rPr>
                <w:color w:val="auto"/>
                <w:kern w:val="0"/>
                <w:sz w:val="15"/>
                <w:szCs w:val="15"/>
                <w:highlight w:val="none"/>
                <w:lang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标准值</w:t>
            </w:r>
          </w:p>
        </w:tc>
        <w:tc>
          <w:tcPr>
            <w:tcW w:w="640"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6.5</w:t>
            </w:r>
            <w:r>
              <w:rPr>
                <w:color w:val="auto"/>
                <w:kern w:val="21"/>
                <w:sz w:val="15"/>
                <w:szCs w:val="15"/>
                <w:highlight w:val="none"/>
              </w:rPr>
              <w:t>~</w:t>
            </w:r>
            <w:r>
              <w:rPr>
                <w:rFonts w:hint="eastAsia"/>
                <w:color w:val="auto"/>
                <w:kern w:val="21"/>
                <w:sz w:val="15"/>
                <w:szCs w:val="15"/>
                <w:highlight w:val="none"/>
              </w:rPr>
              <w:t>8.5</w:t>
            </w:r>
          </w:p>
        </w:tc>
        <w:tc>
          <w:tcPr>
            <w:tcW w:w="57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3</w:t>
            </w:r>
          </w:p>
        </w:tc>
        <w:tc>
          <w:tcPr>
            <w:tcW w:w="36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450</w:t>
            </w:r>
          </w:p>
        </w:tc>
        <w:tc>
          <w:tcPr>
            <w:tcW w:w="69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1000</w:t>
            </w:r>
          </w:p>
        </w:tc>
        <w:tc>
          <w:tcPr>
            <w:tcW w:w="54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250</w:t>
            </w:r>
          </w:p>
        </w:tc>
        <w:tc>
          <w:tcPr>
            <w:tcW w:w="51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250</w:t>
            </w:r>
          </w:p>
        </w:tc>
        <w:tc>
          <w:tcPr>
            <w:tcW w:w="46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20</w:t>
            </w:r>
          </w:p>
        </w:tc>
        <w:tc>
          <w:tcPr>
            <w:tcW w:w="73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58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0.02</w:t>
            </w:r>
          </w:p>
        </w:tc>
        <w:tc>
          <w:tcPr>
            <w:tcW w:w="62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0.05</w:t>
            </w:r>
          </w:p>
        </w:tc>
        <w:tc>
          <w:tcPr>
            <w:tcW w:w="611"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43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0.5</w:t>
            </w:r>
          </w:p>
        </w:tc>
        <w:tc>
          <w:tcPr>
            <w:tcW w:w="63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0.01</w:t>
            </w:r>
          </w:p>
        </w:tc>
        <w:tc>
          <w:tcPr>
            <w:tcW w:w="665"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0.005</w:t>
            </w:r>
          </w:p>
        </w:tc>
        <w:tc>
          <w:tcPr>
            <w:tcW w:w="65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0.01</w:t>
            </w:r>
          </w:p>
        </w:tc>
        <w:tc>
          <w:tcPr>
            <w:tcW w:w="643"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600"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w:t>
            </w:r>
          </w:p>
        </w:tc>
        <w:tc>
          <w:tcPr>
            <w:tcW w:w="56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0.3</w:t>
            </w:r>
          </w:p>
        </w:tc>
        <w:tc>
          <w:tcPr>
            <w:tcW w:w="568"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0.1</w:t>
            </w:r>
          </w:p>
        </w:tc>
        <w:tc>
          <w:tcPr>
            <w:tcW w:w="557"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0.001</w:t>
            </w:r>
          </w:p>
        </w:tc>
        <w:tc>
          <w:tcPr>
            <w:tcW w:w="632"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0.05</w:t>
            </w:r>
          </w:p>
        </w:tc>
        <w:tc>
          <w:tcPr>
            <w:tcW w:w="589"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3</w:t>
            </w:r>
          </w:p>
        </w:tc>
        <w:tc>
          <w:tcPr>
            <w:tcW w:w="437" w:type="dxa"/>
            <w:vAlign w:val="center"/>
          </w:tcPr>
          <w:p>
            <w:pPr>
              <w:autoSpaceDN w:val="0"/>
              <w:adjustRightInd w:val="0"/>
              <w:snapToGrid w:val="0"/>
              <w:spacing w:line="240" w:lineRule="auto"/>
              <w:ind w:firstLine="0" w:firstLineChars="0"/>
              <w:jc w:val="center"/>
              <w:textAlignment w:val="center"/>
              <w:rPr>
                <w:color w:val="auto"/>
                <w:kern w:val="21"/>
                <w:sz w:val="15"/>
                <w:szCs w:val="15"/>
                <w:highlight w:val="none"/>
              </w:rPr>
            </w:pPr>
            <w:r>
              <w:rPr>
                <w:rFonts w:hint="eastAsia"/>
                <w:color w:val="auto"/>
                <w:kern w:val="21"/>
                <w:sz w:val="15"/>
                <w:szCs w:val="15"/>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widowControl/>
              <w:adjustRightInd w:val="0"/>
              <w:snapToGrid w:val="0"/>
              <w:spacing w:line="240" w:lineRule="auto"/>
              <w:ind w:firstLine="0" w:firstLineChars="0"/>
              <w:jc w:val="center"/>
              <w:rPr>
                <w:color w:val="auto"/>
                <w:kern w:val="21"/>
                <w:sz w:val="15"/>
                <w:szCs w:val="15"/>
                <w:highlight w:val="none"/>
              </w:rPr>
            </w:pPr>
            <w:r>
              <w:rPr>
                <w:i/>
                <w:color w:val="auto"/>
                <w:kern w:val="21"/>
                <w:sz w:val="15"/>
                <w:szCs w:val="15"/>
                <w:highlight w:val="none"/>
                <w:lang w:bidi="ar"/>
              </w:rPr>
              <w:t>Pi</w:t>
            </w:r>
            <w:r>
              <w:rPr>
                <w:color w:val="auto"/>
                <w:kern w:val="21"/>
                <w:sz w:val="15"/>
                <w:szCs w:val="15"/>
                <w:highlight w:val="none"/>
              </w:rPr>
              <w:t>最大指数</w:t>
            </w:r>
          </w:p>
        </w:tc>
        <w:tc>
          <w:tcPr>
            <w:tcW w:w="64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0.85</w:t>
            </w:r>
          </w:p>
        </w:tc>
        <w:tc>
          <w:tcPr>
            <w:tcW w:w="57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0.31</w:t>
            </w:r>
          </w:p>
        </w:tc>
        <w:tc>
          <w:tcPr>
            <w:tcW w:w="36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0.54</w:t>
            </w:r>
          </w:p>
        </w:tc>
        <w:tc>
          <w:tcPr>
            <w:tcW w:w="69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0.27</w:t>
            </w:r>
          </w:p>
        </w:tc>
        <w:tc>
          <w:tcPr>
            <w:tcW w:w="54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0.36</w:t>
            </w:r>
          </w:p>
        </w:tc>
        <w:tc>
          <w:tcPr>
            <w:tcW w:w="51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0.084</w:t>
            </w:r>
          </w:p>
        </w:tc>
        <w:tc>
          <w:tcPr>
            <w:tcW w:w="46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w:t>
            </w:r>
          </w:p>
        </w:tc>
        <w:tc>
          <w:tcPr>
            <w:tcW w:w="73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0.003</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0.15</w:t>
            </w:r>
          </w:p>
        </w:tc>
        <w:tc>
          <w:tcPr>
            <w:tcW w:w="62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61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0.05</w:t>
            </w:r>
          </w:p>
        </w:tc>
        <w:tc>
          <w:tcPr>
            <w:tcW w:w="43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0.05</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0.04</w:t>
            </w:r>
          </w:p>
        </w:tc>
        <w:tc>
          <w:tcPr>
            <w:tcW w:w="665"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0.2</w:t>
            </w:r>
          </w:p>
        </w:tc>
        <w:tc>
          <w:tcPr>
            <w:tcW w:w="65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1</w:t>
            </w:r>
          </w:p>
        </w:tc>
        <w:tc>
          <w:tcPr>
            <w:tcW w:w="64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0.001</w:t>
            </w:r>
          </w:p>
        </w:tc>
        <w:tc>
          <w:tcPr>
            <w:tcW w:w="60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0.05</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w:t>
            </w:r>
          </w:p>
        </w:tc>
        <w:tc>
          <w:tcPr>
            <w:tcW w:w="55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0.13</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0.08</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0.67</w:t>
            </w:r>
          </w:p>
        </w:tc>
        <w:tc>
          <w:tcPr>
            <w:tcW w:w="43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dxa"/>
            <w:vMerge w:val="continue"/>
            <w:vAlign w:val="center"/>
          </w:tcPr>
          <w:p>
            <w:pPr>
              <w:adjustRightInd w:val="0"/>
              <w:snapToGrid w:val="0"/>
              <w:spacing w:line="240" w:lineRule="auto"/>
              <w:ind w:firstLine="0" w:firstLineChars="0"/>
              <w:jc w:val="center"/>
              <w:rPr>
                <w:color w:val="auto"/>
                <w:kern w:val="21"/>
                <w:sz w:val="15"/>
                <w:szCs w:val="15"/>
                <w:highlight w:val="none"/>
              </w:rPr>
            </w:pPr>
          </w:p>
        </w:tc>
        <w:tc>
          <w:tcPr>
            <w:tcW w:w="905" w:type="dxa"/>
            <w:vAlign w:val="center"/>
          </w:tcPr>
          <w:p>
            <w:pPr>
              <w:adjustRightInd w:val="0"/>
              <w:snapToGrid w:val="0"/>
              <w:spacing w:line="240" w:lineRule="auto"/>
              <w:ind w:firstLine="0" w:firstLineChars="0"/>
              <w:jc w:val="center"/>
              <w:rPr>
                <w:color w:val="auto"/>
                <w:kern w:val="21"/>
                <w:sz w:val="15"/>
                <w:szCs w:val="15"/>
                <w:highlight w:val="none"/>
              </w:rPr>
            </w:pPr>
            <w:r>
              <w:rPr>
                <w:color w:val="auto"/>
                <w:kern w:val="21"/>
                <w:sz w:val="15"/>
                <w:szCs w:val="15"/>
                <w:highlight w:val="none"/>
              </w:rPr>
              <w:t>超标倍数</w:t>
            </w:r>
          </w:p>
        </w:tc>
        <w:tc>
          <w:tcPr>
            <w:tcW w:w="64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7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36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9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4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1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6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73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2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11"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3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65"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5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43"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00"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68"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5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632"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589"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c>
          <w:tcPr>
            <w:tcW w:w="437" w:type="dxa"/>
            <w:vAlign w:val="center"/>
          </w:tcPr>
          <w:p>
            <w:pPr>
              <w:adjustRightInd w:val="0"/>
              <w:snapToGrid w:val="0"/>
              <w:spacing w:line="240" w:lineRule="auto"/>
              <w:ind w:firstLine="0" w:firstLineChars="0"/>
              <w:jc w:val="center"/>
              <w:rPr>
                <w:color w:val="auto"/>
                <w:kern w:val="21"/>
                <w:sz w:val="15"/>
                <w:szCs w:val="15"/>
                <w:highlight w:val="none"/>
              </w:rPr>
            </w:pPr>
            <w:r>
              <w:rPr>
                <w:rFonts w:hint="eastAsia"/>
                <w:color w:val="auto"/>
                <w:kern w:val="21"/>
                <w:sz w:val="15"/>
                <w:szCs w:val="15"/>
                <w:highlight w:val="none"/>
              </w:rPr>
              <w:t>/</w:t>
            </w:r>
          </w:p>
        </w:tc>
      </w:tr>
    </w:tbl>
    <w:p>
      <w:pPr>
        <w:ind w:firstLine="480"/>
        <w:rPr>
          <w:color w:val="auto"/>
          <w:kern w:val="21"/>
          <w:highlight w:val="yellow"/>
        </w:rPr>
        <w:sectPr>
          <w:pgSz w:w="16840" w:h="11910" w:orient="landscape"/>
          <w:pgMar w:top="1803" w:right="1440" w:bottom="1803" w:left="1440" w:header="0" w:footer="997" w:gutter="0"/>
          <w:cols w:space="720" w:num="1"/>
        </w:sectPr>
      </w:pPr>
    </w:p>
    <w:p>
      <w:pPr>
        <w:adjustRightInd w:val="0"/>
        <w:snapToGrid w:val="0"/>
        <w:ind w:firstLine="480"/>
        <w:rPr>
          <w:color w:val="auto"/>
          <w:kern w:val="21"/>
          <w:highlight w:val="none"/>
        </w:rPr>
      </w:pPr>
      <w:r>
        <w:rPr>
          <w:rFonts w:hint="eastAsia"/>
          <w:color w:val="auto"/>
          <w:kern w:val="21"/>
          <w:highlight w:val="none"/>
          <w:lang w:eastAsia="zh-CN"/>
        </w:rPr>
        <w:t>根据表</w:t>
      </w:r>
      <w:r>
        <w:rPr>
          <w:rFonts w:hint="eastAsia"/>
          <w:color w:val="auto"/>
          <w:kern w:val="21"/>
          <w:highlight w:val="none"/>
          <w:lang w:val="en-US" w:eastAsia="zh-CN"/>
        </w:rPr>
        <w:t>4-23</w:t>
      </w:r>
      <w:r>
        <w:rPr>
          <w:rFonts w:hint="eastAsia"/>
          <w:color w:val="auto"/>
          <w:kern w:val="21"/>
          <w:highlight w:val="none"/>
          <w:lang w:eastAsia="zh-CN"/>
        </w:rPr>
        <w:t>八大离子的监测结果，按照舒卡列夫分类方法得出项目区域地下水水化学类型为重碳酸盐—钙水（HCO</w:t>
      </w:r>
      <w:r>
        <w:rPr>
          <w:rFonts w:hint="eastAsia"/>
          <w:color w:val="auto"/>
          <w:kern w:val="21"/>
          <w:highlight w:val="none"/>
          <w:vertAlign w:val="subscript"/>
          <w:lang w:eastAsia="zh-CN"/>
        </w:rPr>
        <w:t>3</w:t>
      </w:r>
      <w:r>
        <w:rPr>
          <w:rFonts w:hint="eastAsia"/>
          <w:color w:val="auto"/>
          <w:kern w:val="21"/>
          <w:highlight w:val="none"/>
          <w:lang w:eastAsia="zh-CN"/>
        </w:rPr>
        <w:t>-Mg）类型。根据表</w:t>
      </w:r>
      <w:r>
        <w:rPr>
          <w:rFonts w:hint="eastAsia"/>
          <w:color w:val="auto"/>
          <w:kern w:val="21"/>
          <w:highlight w:val="none"/>
          <w:lang w:val="en-US" w:eastAsia="zh-CN"/>
        </w:rPr>
        <w:t>4-24</w:t>
      </w:r>
      <w:r>
        <w:rPr>
          <w:color w:val="auto"/>
          <w:kern w:val="21"/>
          <w:highlight w:val="none"/>
        </w:rPr>
        <w:t>可知，</w:t>
      </w:r>
      <w:r>
        <w:rPr>
          <w:rFonts w:hint="eastAsia"/>
          <w:color w:val="auto"/>
          <w:kern w:val="21"/>
          <w:highlight w:val="none"/>
        </w:rPr>
        <w:t>2#-5#地下水监测点</w:t>
      </w:r>
      <w:r>
        <w:rPr>
          <w:color w:val="auto"/>
          <w:kern w:val="21"/>
          <w:highlight w:val="none"/>
        </w:rPr>
        <w:t>pH、耗氧量、总硬度、溶解性固体总量、氯化物、硫酸盐、硝酸盐、亚硝酸盐、硫化物、氰化物、氟化物、氨氮、砷、镉、铅、铜、锌、铁、锰、汞、六价铬、总大肠菌群、细菌总数共</w:t>
      </w:r>
      <w:r>
        <w:rPr>
          <w:rFonts w:hint="eastAsia"/>
          <w:color w:val="auto"/>
          <w:kern w:val="21"/>
          <w:highlight w:val="none"/>
        </w:rPr>
        <w:t>23</w:t>
      </w:r>
      <w:r>
        <w:rPr>
          <w:color w:val="auto"/>
          <w:kern w:val="21"/>
          <w:highlight w:val="none"/>
        </w:rPr>
        <w:t>项检测指标均满足《地下水质量标准》（GB/T14848-2017）中的Ⅲ类标准值。</w:t>
      </w:r>
      <w:r>
        <w:rPr>
          <w:rFonts w:hint="eastAsia"/>
          <w:color w:val="auto"/>
          <w:kern w:val="21"/>
          <w:highlight w:val="none"/>
        </w:rPr>
        <w:t>1#监测点位于上平凹屯，该村已拆迁，正在进行永兴平山府楼盘建设，监测点可能受到生活面源污染，导致本次监测总大肠菌群和细菌总数超标，通过现场取样，地下水无色、无气味、无浮油、清澈，其他21个指标也均满足</w:t>
      </w:r>
      <w:r>
        <w:rPr>
          <w:color w:val="auto"/>
          <w:kern w:val="21"/>
          <w:highlight w:val="none"/>
        </w:rPr>
        <w:t>《地下水质量标准》（GB/T14848-2017）中的Ⅲ类标准值</w:t>
      </w:r>
      <w:r>
        <w:rPr>
          <w:rFonts w:hint="eastAsia"/>
          <w:color w:val="auto"/>
          <w:kern w:val="21"/>
          <w:highlight w:val="none"/>
        </w:rPr>
        <w:t>，证明该区域地下水环境质量总体良好，应加强监测泉点周边环境卫生清理，总大肠菌群和细菌总数指标可以达标。</w:t>
      </w:r>
    </w:p>
    <w:p>
      <w:pPr>
        <w:pStyle w:val="6"/>
        <w:spacing w:after="0"/>
        <w:rPr>
          <w:rFonts w:eastAsia="宋体"/>
          <w:color w:val="auto"/>
          <w:kern w:val="21"/>
          <w:sz w:val="24"/>
          <w:szCs w:val="24"/>
        </w:rPr>
      </w:pPr>
      <w:bookmarkStart w:id="224" w:name="_Toc29243"/>
      <w:r>
        <w:rPr>
          <w:rFonts w:eastAsia="宋体"/>
          <w:color w:val="auto"/>
          <w:kern w:val="21"/>
          <w:sz w:val="24"/>
          <w:szCs w:val="24"/>
        </w:rPr>
        <w:t>4.2.5声环境现状监测</w:t>
      </w:r>
      <w:bookmarkEnd w:id="224"/>
    </w:p>
    <w:p>
      <w:pPr>
        <w:widowControl/>
        <w:jc w:val="left"/>
        <w:rPr>
          <w:rFonts w:hint="eastAsia" w:eastAsia="宋体"/>
          <w:bCs/>
          <w:color w:val="auto"/>
          <w:kern w:val="21"/>
          <w:lang w:eastAsia="zh-CN" w:bidi="ar"/>
        </w:rPr>
      </w:pPr>
      <w:bookmarkStart w:id="225" w:name="_Toc94629505"/>
      <w:bookmarkStart w:id="226" w:name="_Toc99213516"/>
      <w:bookmarkStart w:id="227" w:name="_Toc81630089"/>
      <w:bookmarkStart w:id="228" w:name="_Toc99331124"/>
      <w:bookmarkStart w:id="229" w:name="_Toc90810365"/>
      <w:bookmarkStart w:id="230" w:name="_Toc99214066"/>
      <w:bookmarkStart w:id="231" w:name="_Toc85044569"/>
      <w:r>
        <w:rPr>
          <w:rFonts w:hint="eastAsia"/>
          <w:bCs/>
          <w:color w:val="auto"/>
          <w:kern w:val="21"/>
          <w:lang w:eastAsia="zh-CN" w:bidi="ar"/>
        </w:rPr>
        <w:t>为了解本项目最新声环境现状，本次环评引用污水处理厂二期环境现状监测报告中厂界声环境现状监测值。</w:t>
      </w:r>
    </w:p>
    <w:p>
      <w:pPr>
        <w:widowControl/>
        <w:ind w:firstLine="480"/>
        <w:jc w:val="left"/>
        <w:rPr>
          <w:bCs/>
          <w:color w:val="auto"/>
          <w:kern w:val="21"/>
        </w:rPr>
      </w:pPr>
      <w:r>
        <w:rPr>
          <w:bCs/>
          <w:color w:val="auto"/>
          <w:kern w:val="21"/>
          <w:lang w:bidi="ar"/>
        </w:rPr>
        <w:t>1、监测点布设</w:t>
      </w:r>
    </w:p>
    <w:p>
      <w:pPr>
        <w:adjustRightInd w:val="0"/>
        <w:snapToGrid w:val="0"/>
        <w:ind w:firstLine="480"/>
        <w:rPr>
          <w:bCs/>
          <w:color w:val="auto"/>
          <w:kern w:val="21"/>
        </w:rPr>
      </w:pPr>
      <w:r>
        <w:rPr>
          <w:color w:val="auto"/>
          <w:kern w:val="21"/>
        </w:rPr>
        <w:t>在项目区厂界设置4个厂界噪声监测点，位置为项目边界东、南、西、北各设1个监测点，</w:t>
      </w:r>
      <w:r>
        <w:rPr>
          <w:rFonts w:hint="eastAsia"/>
          <w:color w:val="auto"/>
          <w:kern w:val="21"/>
        </w:rPr>
        <w:t>楚雄市思源实验学校</w:t>
      </w:r>
      <w:r>
        <w:rPr>
          <w:bCs/>
          <w:color w:val="auto"/>
          <w:kern w:val="21"/>
        </w:rPr>
        <w:t>设置1个监测点</w:t>
      </w:r>
      <w:r>
        <w:rPr>
          <w:color w:val="auto"/>
          <w:kern w:val="21"/>
        </w:rPr>
        <w:t>，共5个测点。</w:t>
      </w:r>
    </w:p>
    <w:p>
      <w:pPr>
        <w:widowControl/>
        <w:adjustRightInd w:val="0"/>
        <w:snapToGrid w:val="0"/>
        <w:ind w:firstLine="480"/>
        <w:jc w:val="left"/>
        <w:rPr>
          <w:bCs/>
          <w:color w:val="auto"/>
          <w:kern w:val="21"/>
        </w:rPr>
      </w:pPr>
      <w:r>
        <w:rPr>
          <w:bCs/>
          <w:color w:val="auto"/>
          <w:kern w:val="21"/>
          <w:lang w:bidi="ar"/>
        </w:rPr>
        <w:t>2、监测因子</w:t>
      </w:r>
    </w:p>
    <w:p>
      <w:pPr>
        <w:widowControl/>
        <w:adjustRightInd w:val="0"/>
        <w:snapToGrid w:val="0"/>
        <w:ind w:firstLine="480"/>
        <w:jc w:val="left"/>
        <w:rPr>
          <w:bCs/>
          <w:color w:val="auto"/>
          <w:kern w:val="21"/>
        </w:rPr>
      </w:pPr>
      <w:r>
        <w:rPr>
          <w:bCs/>
          <w:color w:val="auto"/>
          <w:kern w:val="21"/>
          <w:lang w:bidi="ar"/>
        </w:rPr>
        <w:t>监测因子：Leq</w:t>
      </w:r>
      <w:r>
        <w:rPr>
          <w:rFonts w:hint="eastAsia"/>
          <w:bCs/>
          <w:color w:val="auto"/>
          <w:kern w:val="21"/>
          <w:lang w:bidi="ar"/>
        </w:rPr>
        <w:t>（</w:t>
      </w:r>
      <w:r>
        <w:rPr>
          <w:bCs/>
          <w:color w:val="auto"/>
          <w:kern w:val="21"/>
          <w:lang w:bidi="ar"/>
        </w:rPr>
        <w:t>A</w:t>
      </w:r>
      <w:r>
        <w:rPr>
          <w:rFonts w:hint="eastAsia"/>
          <w:bCs/>
          <w:color w:val="auto"/>
          <w:kern w:val="21"/>
          <w:lang w:bidi="ar"/>
        </w:rPr>
        <w:t>）</w:t>
      </w:r>
      <w:r>
        <w:rPr>
          <w:bCs/>
          <w:color w:val="auto"/>
          <w:kern w:val="21"/>
          <w:lang w:bidi="ar"/>
        </w:rPr>
        <w:t>。</w:t>
      </w:r>
    </w:p>
    <w:p>
      <w:pPr>
        <w:adjustRightInd w:val="0"/>
        <w:snapToGrid w:val="0"/>
        <w:ind w:firstLine="480"/>
        <w:rPr>
          <w:bCs/>
          <w:color w:val="auto"/>
          <w:kern w:val="21"/>
        </w:rPr>
      </w:pPr>
      <w:r>
        <w:rPr>
          <w:bCs/>
          <w:color w:val="auto"/>
          <w:kern w:val="21"/>
        </w:rPr>
        <w:t>3、监测时间和频次</w:t>
      </w:r>
    </w:p>
    <w:p>
      <w:pPr>
        <w:adjustRightInd w:val="0"/>
        <w:snapToGrid w:val="0"/>
        <w:ind w:firstLine="480"/>
        <w:rPr>
          <w:bCs/>
          <w:color w:val="auto"/>
          <w:kern w:val="21"/>
        </w:rPr>
      </w:pPr>
      <w:r>
        <w:rPr>
          <w:bCs/>
          <w:color w:val="auto"/>
          <w:kern w:val="21"/>
        </w:rPr>
        <w:t>202</w:t>
      </w:r>
      <w:r>
        <w:rPr>
          <w:rFonts w:hint="eastAsia"/>
          <w:bCs/>
          <w:color w:val="auto"/>
          <w:kern w:val="21"/>
        </w:rPr>
        <w:t>1</w:t>
      </w:r>
      <w:r>
        <w:rPr>
          <w:bCs/>
          <w:color w:val="auto"/>
          <w:kern w:val="21"/>
        </w:rPr>
        <w:t>年</w:t>
      </w:r>
      <w:r>
        <w:rPr>
          <w:rFonts w:hint="eastAsia"/>
          <w:bCs/>
          <w:color w:val="auto"/>
          <w:kern w:val="21"/>
        </w:rPr>
        <w:t>5</w:t>
      </w:r>
      <w:r>
        <w:rPr>
          <w:bCs/>
          <w:color w:val="auto"/>
          <w:kern w:val="21"/>
        </w:rPr>
        <w:t>月1</w:t>
      </w:r>
      <w:r>
        <w:rPr>
          <w:rFonts w:hint="eastAsia"/>
          <w:bCs/>
          <w:color w:val="auto"/>
          <w:kern w:val="21"/>
        </w:rPr>
        <w:t>0</w:t>
      </w:r>
      <w:r>
        <w:rPr>
          <w:bCs/>
          <w:color w:val="auto"/>
          <w:kern w:val="21"/>
        </w:rPr>
        <w:t>日至202</w:t>
      </w:r>
      <w:r>
        <w:rPr>
          <w:rFonts w:hint="eastAsia"/>
          <w:bCs/>
          <w:color w:val="auto"/>
          <w:kern w:val="21"/>
        </w:rPr>
        <w:t>1</w:t>
      </w:r>
      <w:r>
        <w:rPr>
          <w:bCs/>
          <w:color w:val="auto"/>
          <w:kern w:val="21"/>
        </w:rPr>
        <w:t>年</w:t>
      </w:r>
      <w:r>
        <w:rPr>
          <w:rFonts w:hint="eastAsia"/>
          <w:bCs/>
          <w:color w:val="auto"/>
          <w:kern w:val="21"/>
        </w:rPr>
        <w:t>5</w:t>
      </w:r>
      <w:r>
        <w:rPr>
          <w:bCs/>
          <w:color w:val="auto"/>
          <w:kern w:val="21"/>
        </w:rPr>
        <w:t>月1</w:t>
      </w:r>
      <w:r>
        <w:rPr>
          <w:rFonts w:hint="eastAsia"/>
          <w:bCs/>
          <w:color w:val="auto"/>
          <w:kern w:val="21"/>
        </w:rPr>
        <w:t>1</w:t>
      </w:r>
      <w:r>
        <w:rPr>
          <w:bCs/>
          <w:color w:val="auto"/>
          <w:kern w:val="21"/>
        </w:rPr>
        <w:t>日，连续监测2天，</w:t>
      </w:r>
      <w:r>
        <w:rPr>
          <w:color w:val="auto"/>
          <w:kern w:val="21"/>
        </w:rPr>
        <w:t>每天昼、夜各1次</w:t>
      </w:r>
      <w:r>
        <w:rPr>
          <w:bCs/>
          <w:color w:val="auto"/>
          <w:kern w:val="21"/>
        </w:rPr>
        <w:t>。</w:t>
      </w:r>
    </w:p>
    <w:p>
      <w:pPr>
        <w:widowControl/>
        <w:numPr>
          <w:ilvl w:val="0"/>
          <w:numId w:val="10"/>
        </w:numPr>
        <w:adjustRightInd w:val="0"/>
        <w:snapToGrid w:val="0"/>
        <w:ind w:firstLine="480"/>
        <w:jc w:val="left"/>
        <w:rPr>
          <w:bCs/>
          <w:color w:val="auto"/>
          <w:kern w:val="21"/>
          <w:lang w:bidi="ar"/>
        </w:rPr>
      </w:pPr>
      <w:r>
        <w:rPr>
          <w:bCs/>
          <w:color w:val="auto"/>
          <w:kern w:val="21"/>
          <w:lang w:bidi="ar"/>
        </w:rPr>
        <w:t>分析方法</w:t>
      </w:r>
    </w:p>
    <w:p>
      <w:pPr>
        <w:pStyle w:val="16"/>
        <w:adjustRightInd/>
        <w:spacing w:before="0"/>
        <w:ind w:right="0" w:firstLine="480"/>
        <w:rPr>
          <w:rFonts w:ascii="Times New Roman" w:hAnsi="Times New Roman"/>
          <w:color w:val="auto"/>
          <w:kern w:val="21"/>
          <w:sz w:val="24"/>
          <w:szCs w:val="24"/>
        </w:rPr>
      </w:pPr>
      <w:r>
        <w:rPr>
          <w:rFonts w:ascii="Times New Roman" w:hAnsi="Times New Roman"/>
          <w:color w:val="auto"/>
          <w:kern w:val="21"/>
          <w:sz w:val="24"/>
          <w:szCs w:val="24"/>
        </w:rPr>
        <w:t>噪声检测项目、方法及设备见</w:t>
      </w:r>
      <w:r>
        <w:rPr>
          <w:rFonts w:hint="eastAsia" w:ascii="Times New Roman" w:hAnsi="Times New Roman"/>
          <w:color w:val="auto"/>
          <w:kern w:val="21"/>
          <w:sz w:val="24"/>
          <w:szCs w:val="24"/>
          <w:lang w:eastAsia="zh-CN"/>
        </w:rPr>
        <w:t>下表</w:t>
      </w:r>
      <w:r>
        <w:rPr>
          <w:rFonts w:ascii="Times New Roman" w:hAnsi="Times New Roman"/>
          <w:color w:val="auto"/>
          <w:kern w:val="21"/>
          <w:sz w:val="24"/>
          <w:szCs w:val="24"/>
        </w:rPr>
        <w:t>。</w:t>
      </w:r>
    </w:p>
    <w:p>
      <w:pPr>
        <w:numPr>
          <w:ilvl w:val="0"/>
          <w:numId w:val="9"/>
        </w:numPr>
        <w:ind w:left="0" w:leftChars="0" w:firstLine="0" w:firstLineChars="0"/>
        <w:jc w:val="center"/>
        <w:rPr>
          <w:b/>
          <w:color w:val="auto"/>
          <w:kern w:val="21"/>
          <w:lang w:bidi="he-IL"/>
        </w:rPr>
      </w:pPr>
      <w:r>
        <w:rPr>
          <w:b/>
          <w:color w:val="auto"/>
          <w:kern w:val="21"/>
          <w:lang w:bidi="he-IL"/>
        </w:rPr>
        <w:t>检测项目、方法、设备一览表</w:t>
      </w:r>
    </w:p>
    <w:tbl>
      <w:tblPr>
        <w:tblStyle w:val="51"/>
        <w:tblW w:w="890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1299"/>
        <w:gridCol w:w="2838"/>
        <w:gridCol w:w="2266"/>
        <w:gridCol w:w="1253"/>
        <w:gridCol w:w="12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3" w:hRule="atLeast"/>
          <w:jc w:val="center"/>
        </w:trPr>
        <w:tc>
          <w:tcPr>
            <w:tcW w:w="1299" w:type="dxa"/>
            <w:vAlign w:val="center"/>
          </w:tcPr>
          <w:p>
            <w:pPr>
              <w:widowControl/>
              <w:spacing w:line="300" w:lineRule="exact"/>
              <w:ind w:firstLine="0" w:firstLineChars="0"/>
              <w:jc w:val="center"/>
              <w:rPr>
                <w:b/>
                <w:bCs/>
                <w:color w:val="auto"/>
                <w:kern w:val="21"/>
                <w:sz w:val="21"/>
                <w:szCs w:val="21"/>
              </w:rPr>
            </w:pPr>
            <w:r>
              <w:rPr>
                <w:b/>
                <w:bCs/>
                <w:color w:val="auto"/>
                <w:kern w:val="21"/>
                <w:sz w:val="21"/>
                <w:szCs w:val="21"/>
              </w:rPr>
              <w:t>检测</w:t>
            </w:r>
          </w:p>
          <w:p>
            <w:pPr>
              <w:widowControl/>
              <w:spacing w:line="300" w:lineRule="exact"/>
              <w:ind w:firstLine="0" w:firstLineChars="0"/>
              <w:jc w:val="center"/>
              <w:rPr>
                <w:b/>
                <w:bCs/>
                <w:color w:val="auto"/>
                <w:kern w:val="21"/>
                <w:sz w:val="21"/>
                <w:szCs w:val="21"/>
              </w:rPr>
            </w:pPr>
            <w:r>
              <w:rPr>
                <w:b/>
                <w:bCs/>
                <w:color w:val="auto"/>
                <w:kern w:val="21"/>
                <w:sz w:val="21"/>
                <w:szCs w:val="21"/>
              </w:rPr>
              <w:t>项目</w:t>
            </w:r>
          </w:p>
        </w:tc>
        <w:tc>
          <w:tcPr>
            <w:tcW w:w="2838" w:type="dxa"/>
            <w:vAlign w:val="center"/>
          </w:tcPr>
          <w:p>
            <w:pPr>
              <w:widowControl/>
              <w:spacing w:line="300" w:lineRule="exact"/>
              <w:ind w:firstLine="0" w:firstLineChars="0"/>
              <w:jc w:val="center"/>
              <w:rPr>
                <w:b/>
                <w:bCs/>
                <w:color w:val="auto"/>
                <w:kern w:val="21"/>
                <w:sz w:val="21"/>
                <w:szCs w:val="21"/>
              </w:rPr>
            </w:pPr>
            <w:r>
              <w:rPr>
                <w:b/>
                <w:bCs/>
                <w:color w:val="auto"/>
                <w:kern w:val="21"/>
                <w:sz w:val="21"/>
                <w:szCs w:val="21"/>
                <w:lang w:bidi="he-IL"/>
              </w:rPr>
              <w:t>检测依据/标准名称</w:t>
            </w:r>
          </w:p>
        </w:tc>
        <w:tc>
          <w:tcPr>
            <w:tcW w:w="2266" w:type="dxa"/>
            <w:vAlign w:val="center"/>
          </w:tcPr>
          <w:p>
            <w:pPr>
              <w:widowControl/>
              <w:spacing w:line="300" w:lineRule="exact"/>
              <w:ind w:firstLine="0" w:firstLineChars="0"/>
              <w:jc w:val="center"/>
              <w:rPr>
                <w:b/>
                <w:bCs/>
                <w:color w:val="auto"/>
                <w:kern w:val="21"/>
                <w:sz w:val="21"/>
                <w:szCs w:val="21"/>
              </w:rPr>
            </w:pPr>
            <w:r>
              <w:rPr>
                <w:b/>
                <w:bCs/>
                <w:color w:val="auto"/>
                <w:kern w:val="21"/>
                <w:sz w:val="21"/>
                <w:szCs w:val="21"/>
              </w:rPr>
              <w:t>检测仪器设备</w:t>
            </w:r>
          </w:p>
          <w:p>
            <w:pPr>
              <w:widowControl/>
              <w:spacing w:line="300" w:lineRule="exact"/>
              <w:ind w:firstLine="0" w:firstLineChars="0"/>
              <w:jc w:val="center"/>
              <w:rPr>
                <w:b/>
                <w:bCs/>
                <w:color w:val="auto"/>
                <w:kern w:val="21"/>
                <w:sz w:val="21"/>
                <w:szCs w:val="21"/>
              </w:rPr>
            </w:pPr>
            <w:r>
              <w:rPr>
                <w:b/>
                <w:bCs/>
                <w:color w:val="auto"/>
                <w:kern w:val="21"/>
                <w:sz w:val="21"/>
                <w:szCs w:val="21"/>
              </w:rPr>
              <w:t>名称/型号</w:t>
            </w:r>
          </w:p>
        </w:tc>
        <w:tc>
          <w:tcPr>
            <w:tcW w:w="1253" w:type="dxa"/>
            <w:vAlign w:val="center"/>
          </w:tcPr>
          <w:p>
            <w:pPr>
              <w:widowControl/>
              <w:spacing w:line="300" w:lineRule="exact"/>
              <w:ind w:firstLine="0" w:firstLineChars="0"/>
              <w:jc w:val="center"/>
              <w:rPr>
                <w:b/>
                <w:bCs/>
                <w:color w:val="auto"/>
                <w:kern w:val="21"/>
                <w:sz w:val="21"/>
                <w:szCs w:val="21"/>
              </w:rPr>
            </w:pPr>
            <w:r>
              <w:rPr>
                <w:b/>
                <w:bCs/>
                <w:color w:val="auto"/>
                <w:kern w:val="21"/>
                <w:sz w:val="21"/>
                <w:szCs w:val="21"/>
              </w:rPr>
              <w:t>设备</w:t>
            </w:r>
          </w:p>
          <w:p>
            <w:pPr>
              <w:widowControl/>
              <w:spacing w:line="300" w:lineRule="exact"/>
              <w:ind w:firstLine="0" w:firstLineChars="0"/>
              <w:jc w:val="center"/>
              <w:rPr>
                <w:b/>
                <w:bCs/>
                <w:color w:val="auto"/>
                <w:kern w:val="21"/>
                <w:sz w:val="21"/>
                <w:szCs w:val="21"/>
              </w:rPr>
            </w:pPr>
            <w:r>
              <w:rPr>
                <w:b/>
                <w:bCs/>
                <w:color w:val="auto"/>
                <w:kern w:val="21"/>
                <w:sz w:val="21"/>
                <w:szCs w:val="21"/>
              </w:rPr>
              <w:t>编号</w:t>
            </w:r>
          </w:p>
        </w:tc>
        <w:tc>
          <w:tcPr>
            <w:tcW w:w="1250" w:type="dxa"/>
            <w:vAlign w:val="center"/>
          </w:tcPr>
          <w:p>
            <w:pPr>
              <w:widowControl/>
              <w:spacing w:line="300" w:lineRule="exact"/>
              <w:ind w:firstLine="0" w:firstLineChars="0"/>
              <w:jc w:val="center"/>
              <w:rPr>
                <w:b/>
                <w:bCs/>
                <w:color w:val="auto"/>
                <w:kern w:val="21"/>
                <w:sz w:val="21"/>
                <w:szCs w:val="21"/>
              </w:rPr>
            </w:pPr>
            <w:r>
              <w:rPr>
                <w:b/>
                <w:bCs/>
                <w:color w:val="auto"/>
                <w:kern w:val="21"/>
                <w:sz w:val="21"/>
                <w:szCs w:val="21"/>
              </w:rPr>
              <w:t>最低检</w:t>
            </w:r>
          </w:p>
          <w:p>
            <w:pPr>
              <w:widowControl/>
              <w:spacing w:line="300" w:lineRule="exact"/>
              <w:ind w:firstLine="0" w:firstLineChars="0"/>
              <w:jc w:val="center"/>
              <w:rPr>
                <w:b/>
                <w:bCs/>
                <w:color w:val="auto"/>
                <w:kern w:val="21"/>
                <w:sz w:val="21"/>
                <w:szCs w:val="21"/>
              </w:rPr>
            </w:pPr>
            <w:r>
              <w:rPr>
                <w:b/>
                <w:bCs/>
                <w:color w:val="auto"/>
                <w:kern w:val="21"/>
                <w:sz w:val="21"/>
                <w:szCs w:val="21"/>
              </w:rPr>
              <w:t>出限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3" w:hRule="atLeast"/>
          <w:jc w:val="center"/>
        </w:trPr>
        <w:tc>
          <w:tcPr>
            <w:tcW w:w="1299" w:type="dxa"/>
            <w:vAlign w:val="center"/>
          </w:tcPr>
          <w:p>
            <w:pPr>
              <w:widowControl/>
              <w:spacing w:beforeAutospacing="1" w:afterAutospacing="1" w:line="280" w:lineRule="exact"/>
              <w:ind w:firstLine="0" w:firstLineChars="0"/>
              <w:jc w:val="center"/>
              <w:rPr>
                <w:b/>
                <w:bCs/>
                <w:color w:val="auto"/>
                <w:kern w:val="21"/>
                <w:sz w:val="21"/>
                <w:szCs w:val="21"/>
                <w:lang w:bidi="he-IL"/>
              </w:rPr>
            </w:pPr>
            <w:r>
              <w:rPr>
                <w:color w:val="auto"/>
                <w:kern w:val="21"/>
                <w:sz w:val="21"/>
                <w:szCs w:val="21"/>
                <w:lang w:bidi="he-IL"/>
              </w:rPr>
              <w:t>厂界噪声</w:t>
            </w:r>
          </w:p>
        </w:tc>
        <w:tc>
          <w:tcPr>
            <w:tcW w:w="2838" w:type="dxa"/>
            <w:vAlign w:val="center"/>
          </w:tcPr>
          <w:p>
            <w:pPr>
              <w:widowControl/>
              <w:spacing w:line="280" w:lineRule="exact"/>
              <w:ind w:firstLine="0" w:firstLineChars="0"/>
              <w:jc w:val="center"/>
              <w:rPr>
                <w:color w:val="auto"/>
                <w:kern w:val="21"/>
                <w:sz w:val="21"/>
                <w:szCs w:val="21"/>
                <w:lang w:bidi="he-IL"/>
              </w:rPr>
            </w:pPr>
            <w:r>
              <w:rPr>
                <w:color w:val="auto"/>
                <w:kern w:val="21"/>
                <w:sz w:val="21"/>
                <w:szCs w:val="21"/>
                <w:lang w:bidi="he-IL"/>
              </w:rPr>
              <w:t>GB12348-2008</w:t>
            </w:r>
          </w:p>
          <w:p>
            <w:pPr>
              <w:widowControl/>
              <w:spacing w:line="280" w:lineRule="exact"/>
              <w:ind w:firstLine="0" w:firstLineChars="0"/>
              <w:jc w:val="center"/>
              <w:rPr>
                <w:color w:val="auto"/>
                <w:kern w:val="21"/>
                <w:sz w:val="21"/>
                <w:szCs w:val="21"/>
                <w:lang w:bidi="he-IL"/>
              </w:rPr>
            </w:pPr>
            <w:r>
              <w:rPr>
                <w:color w:val="auto"/>
                <w:kern w:val="21"/>
                <w:sz w:val="21"/>
                <w:szCs w:val="21"/>
                <w:lang w:bidi="he-IL"/>
              </w:rPr>
              <w:t>工业企业厂界环境噪声排放标准</w:t>
            </w:r>
          </w:p>
        </w:tc>
        <w:tc>
          <w:tcPr>
            <w:tcW w:w="2266" w:type="dxa"/>
            <w:vAlign w:val="center"/>
          </w:tcPr>
          <w:p>
            <w:pPr>
              <w:widowControl/>
              <w:spacing w:line="240" w:lineRule="auto"/>
              <w:ind w:firstLine="0" w:firstLineChars="0"/>
              <w:jc w:val="center"/>
              <w:rPr>
                <w:color w:val="auto"/>
                <w:kern w:val="21"/>
                <w:sz w:val="21"/>
                <w:szCs w:val="21"/>
              </w:rPr>
            </w:pPr>
            <w:r>
              <w:rPr>
                <w:color w:val="auto"/>
                <w:kern w:val="21"/>
                <w:sz w:val="21"/>
                <w:szCs w:val="21"/>
              </w:rPr>
              <w:t>AWA5688声级计</w:t>
            </w:r>
          </w:p>
          <w:p>
            <w:pPr>
              <w:widowControl/>
              <w:spacing w:line="240" w:lineRule="auto"/>
              <w:ind w:firstLine="0" w:firstLineChars="0"/>
              <w:jc w:val="center"/>
              <w:rPr>
                <w:b/>
                <w:bCs/>
                <w:color w:val="auto"/>
                <w:kern w:val="21"/>
                <w:sz w:val="21"/>
                <w:szCs w:val="21"/>
              </w:rPr>
            </w:pPr>
            <w:r>
              <w:rPr>
                <w:rFonts w:hint="eastAsia"/>
                <w:color w:val="auto"/>
                <w:kern w:val="21"/>
                <w:sz w:val="21"/>
                <w:szCs w:val="21"/>
              </w:rPr>
              <w:t>冰河610 GPS</w:t>
            </w:r>
          </w:p>
        </w:tc>
        <w:tc>
          <w:tcPr>
            <w:tcW w:w="1253" w:type="dxa"/>
            <w:vAlign w:val="center"/>
          </w:tcPr>
          <w:p>
            <w:pPr>
              <w:widowControl/>
              <w:spacing w:line="240" w:lineRule="auto"/>
              <w:ind w:firstLine="0" w:firstLineChars="0"/>
              <w:jc w:val="center"/>
              <w:rPr>
                <w:b/>
                <w:bCs/>
                <w:color w:val="auto"/>
                <w:kern w:val="21"/>
                <w:sz w:val="21"/>
                <w:szCs w:val="21"/>
              </w:rPr>
            </w:pPr>
            <w:r>
              <w:rPr>
                <w:rFonts w:hint="eastAsia"/>
                <w:color w:val="auto"/>
                <w:kern w:val="21"/>
                <w:sz w:val="21"/>
                <w:szCs w:val="21"/>
              </w:rPr>
              <w:t>STT-XC184 STT-XC385</w:t>
            </w:r>
          </w:p>
        </w:tc>
        <w:tc>
          <w:tcPr>
            <w:tcW w:w="1250" w:type="dxa"/>
            <w:vAlign w:val="center"/>
          </w:tcPr>
          <w:p>
            <w:pPr>
              <w:widowControl/>
              <w:spacing w:line="240" w:lineRule="auto"/>
              <w:ind w:firstLine="0" w:firstLineChars="0"/>
              <w:jc w:val="center"/>
              <w:rPr>
                <w:b/>
                <w:bCs/>
                <w:color w:val="auto"/>
                <w:kern w:val="21"/>
                <w:sz w:val="21"/>
                <w:szCs w:val="21"/>
              </w:rPr>
            </w:pPr>
            <w:r>
              <w:rPr>
                <w:color w:val="auto"/>
                <w:kern w:val="21"/>
                <w:sz w:val="21"/>
                <w:szCs w:val="21"/>
                <w:lang w:bidi="he-IL"/>
              </w:rPr>
              <w:t>/</w:t>
            </w:r>
          </w:p>
        </w:tc>
      </w:tr>
    </w:tbl>
    <w:p>
      <w:pPr>
        <w:widowControl/>
        <w:adjustRightInd w:val="0"/>
        <w:snapToGrid w:val="0"/>
        <w:ind w:firstLine="480"/>
        <w:jc w:val="left"/>
        <w:rPr>
          <w:bCs/>
          <w:color w:val="auto"/>
          <w:kern w:val="21"/>
        </w:rPr>
      </w:pPr>
      <w:r>
        <w:rPr>
          <w:bCs/>
          <w:color w:val="auto"/>
          <w:kern w:val="21"/>
          <w:lang w:bidi="ar"/>
        </w:rPr>
        <w:t>5、现状监测和评价结果</w:t>
      </w:r>
    </w:p>
    <w:p>
      <w:pPr>
        <w:widowControl/>
        <w:adjustRightInd w:val="0"/>
        <w:snapToGrid w:val="0"/>
        <w:ind w:firstLine="480"/>
        <w:jc w:val="left"/>
        <w:rPr>
          <w:bCs/>
          <w:color w:val="auto"/>
          <w:kern w:val="21"/>
          <w:lang w:bidi="ar"/>
        </w:rPr>
      </w:pPr>
      <w:r>
        <w:rPr>
          <w:bCs/>
          <w:color w:val="auto"/>
          <w:kern w:val="21"/>
          <w:lang w:bidi="ar"/>
        </w:rPr>
        <w:t>拟建项目声环境现状监测及评价结果见</w:t>
      </w:r>
      <w:r>
        <w:rPr>
          <w:rFonts w:hint="eastAsia"/>
          <w:bCs/>
          <w:color w:val="auto"/>
          <w:kern w:val="21"/>
          <w:lang w:eastAsia="zh-CN" w:bidi="ar"/>
        </w:rPr>
        <w:t>下表</w:t>
      </w:r>
      <w:r>
        <w:rPr>
          <w:bCs/>
          <w:color w:val="auto"/>
          <w:kern w:val="21"/>
          <w:lang w:bidi="ar"/>
        </w:rPr>
        <w:t>。</w:t>
      </w:r>
    </w:p>
    <w:p>
      <w:pPr>
        <w:pStyle w:val="2"/>
        <w:rPr>
          <w:color w:val="auto"/>
        </w:rPr>
      </w:pPr>
    </w:p>
    <w:p>
      <w:pPr>
        <w:numPr>
          <w:ilvl w:val="0"/>
          <w:numId w:val="9"/>
        </w:numPr>
        <w:ind w:left="0" w:leftChars="0" w:firstLine="0" w:firstLineChars="0"/>
        <w:jc w:val="center"/>
        <w:rPr>
          <w:b/>
          <w:color w:val="auto"/>
          <w:kern w:val="21"/>
        </w:rPr>
      </w:pPr>
      <w:r>
        <w:rPr>
          <w:b/>
          <w:color w:val="auto"/>
          <w:kern w:val="21"/>
          <w:lang w:bidi="ar"/>
        </w:rPr>
        <w:t>声环境现状监测及评价结果表</w:t>
      </w:r>
      <w:r>
        <w:rPr>
          <w:rFonts w:hint="eastAsia"/>
          <w:b/>
          <w:color w:val="auto"/>
          <w:kern w:val="21"/>
          <w:lang w:bidi="ar"/>
        </w:rPr>
        <w:t xml:space="preserve">  </w:t>
      </w:r>
      <w:r>
        <w:rPr>
          <w:b/>
          <w:color w:val="auto"/>
          <w:kern w:val="21"/>
          <w:lang w:bidi="ar"/>
        </w:rPr>
        <w:t>单位：Leq[dB</w:t>
      </w:r>
      <w:r>
        <w:rPr>
          <w:rFonts w:hint="eastAsia"/>
          <w:b/>
          <w:color w:val="auto"/>
          <w:kern w:val="21"/>
          <w:lang w:bidi="ar"/>
        </w:rPr>
        <w:t>（</w:t>
      </w:r>
      <w:r>
        <w:rPr>
          <w:b/>
          <w:color w:val="auto"/>
          <w:kern w:val="21"/>
          <w:lang w:bidi="ar"/>
        </w:rPr>
        <w:t>A</w:t>
      </w:r>
      <w:r>
        <w:rPr>
          <w:rFonts w:hint="eastAsia"/>
          <w:b/>
          <w:color w:val="auto"/>
          <w:kern w:val="21"/>
          <w:lang w:bidi="ar"/>
        </w:rPr>
        <w:t>）</w:t>
      </w:r>
      <w:r>
        <w:rPr>
          <w:b/>
          <w:color w:val="auto"/>
          <w:kern w:val="21"/>
          <w:lang w:bidi="ar"/>
        </w:rPr>
        <w:t>]</w:t>
      </w:r>
    </w:p>
    <w:tbl>
      <w:tblPr>
        <w:tblStyle w:val="51"/>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011"/>
        <w:gridCol w:w="2365"/>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81" w:type="dxa"/>
            <w:vMerge w:val="restart"/>
            <w:vAlign w:val="center"/>
          </w:tcPr>
          <w:p>
            <w:pPr>
              <w:adjustRightInd w:val="0"/>
              <w:snapToGrid w:val="0"/>
              <w:spacing w:line="240" w:lineRule="auto"/>
              <w:ind w:firstLine="0" w:firstLineChars="0"/>
              <w:jc w:val="center"/>
              <w:rPr>
                <w:b/>
                <w:bCs/>
                <w:color w:val="auto"/>
                <w:kern w:val="21"/>
                <w:sz w:val="21"/>
                <w:szCs w:val="21"/>
              </w:rPr>
            </w:pPr>
            <w:r>
              <w:rPr>
                <w:b/>
                <w:bCs/>
                <w:color w:val="auto"/>
                <w:kern w:val="21"/>
                <w:sz w:val="21"/>
                <w:szCs w:val="21"/>
              </w:rPr>
              <w:t>监测点位置</w:t>
            </w:r>
          </w:p>
        </w:tc>
        <w:tc>
          <w:tcPr>
            <w:tcW w:w="2011" w:type="dxa"/>
            <w:vMerge w:val="restart"/>
            <w:vAlign w:val="center"/>
          </w:tcPr>
          <w:p>
            <w:pPr>
              <w:adjustRightInd w:val="0"/>
              <w:snapToGrid w:val="0"/>
              <w:spacing w:line="240" w:lineRule="auto"/>
              <w:ind w:firstLine="0" w:firstLineChars="0"/>
              <w:jc w:val="center"/>
              <w:rPr>
                <w:b/>
                <w:bCs/>
                <w:color w:val="auto"/>
                <w:kern w:val="21"/>
                <w:sz w:val="21"/>
                <w:szCs w:val="21"/>
              </w:rPr>
            </w:pPr>
            <w:r>
              <w:rPr>
                <w:b/>
                <w:bCs/>
                <w:color w:val="auto"/>
                <w:kern w:val="21"/>
                <w:sz w:val="21"/>
                <w:szCs w:val="21"/>
              </w:rPr>
              <w:t>监测日期</w:t>
            </w:r>
          </w:p>
        </w:tc>
        <w:tc>
          <w:tcPr>
            <w:tcW w:w="4734" w:type="dxa"/>
            <w:gridSpan w:val="2"/>
            <w:vAlign w:val="center"/>
          </w:tcPr>
          <w:p>
            <w:pPr>
              <w:adjustRightInd w:val="0"/>
              <w:snapToGrid w:val="0"/>
              <w:spacing w:line="240" w:lineRule="auto"/>
              <w:ind w:firstLine="0" w:firstLineChars="0"/>
              <w:jc w:val="center"/>
              <w:rPr>
                <w:b/>
                <w:bCs/>
                <w:color w:val="auto"/>
                <w:kern w:val="21"/>
                <w:sz w:val="21"/>
                <w:szCs w:val="21"/>
              </w:rPr>
            </w:pPr>
            <w:r>
              <w:rPr>
                <w:b/>
                <w:bCs/>
                <w:color w:val="auto"/>
                <w:kern w:val="21"/>
                <w:sz w:val="21"/>
                <w:szCs w:val="21"/>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81" w:type="dxa"/>
            <w:vMerge w:val="continue"/>
            <w:tcBorders>
              <w:bottom w:val="single" w:color="auto" w:sz="4" w:space="0"/>
            </w:tcBorders>
            <w:vAlign w:val="center"/>
          </w:tcPr>
          <w:p>
            <w:pPr>
              <w:adjustRightInd w:val="0"/>
              <w:snapToGrid w:val="0"/>
              <w:spacing w:line="240" w:lineRule="auto"/>
              <w:ind w:firstLine="0" w:firstLineChars="0"/>
              <w:jc w:val="center"/>
              <w:rPr>
                <w:b/>
                <w:bCs/>
                <w:color w:val="auto"/>
                <w:kern w:val="21"/>
                <w:sz w:val="21"/>
                <w:szCs w:val="21"/>
              </w:rPr>
            </w:pPr>
          </w:p>
        </w:tc>
        <w:tc>
          <w:tcPr>
            <w:tcW w:w="2011" w:type="dxa"/>
            <w:vMerge w:val="continue"/>
            <w:tcBorders>
              <w:bottom w:val="single" w:color="auto" w:sz="4" w:space="0"/>
            </w:tcBorders>
            <w:vAlign w:val="center"/>
          </w:tcPr>
          <w:p>
            <w:pPr>
              <w:adjustRightInd w:val="0"/>
              <w:snapToGrid w:val="0"/>
              <w:spacing w:line="240" w:lineRule="auto"/>
              <w:ind w:firstLine="0" w:firstLineChars="0"/>
              <w:jc w:val="center"/>
              <w:rPr>
                <w:b/>
                <w:bCs/>
                <w:color w:val="auto"/>
                <w:kern w:val="21"/>
                <w:sz w:val="21"/>
                <w:szCs w:val="21"/>
              </w:rPr>
            </w:pPr>
          </w:p>
        </w:tc>
        <w:tc>
          <w:tcPr>
            <w:tcW w:w="2365" w:type="dxa"/>
            <w:tcBorders>
              <w:bottom w:val="single" w:color="auto" w:sz="4" w:space="0"/>
            </w:tcBorders>
            <w:vAlign w:val="center"/>
          </w:tcPr>
          <w:p>
            <w:pPr>
              <w:adjustRightInd w:val="0"/>
              <w:snapToGrid w:val="0"/>
              <w:spacing w:line="240" w:lineRule="auto"/>
              <w:ind w:firstLine="0" w:firstLineChars="0"/>
              <w:jc w:val="center"/>
              <w:rPr>
                <w:b/>
                <w:bCs/>
                <w:color w:val="auto"/>
                <w:kern w:val="21"/>
                <w:sz w:val="21"/>
                <w:szCs w:val="21"/>
              </w:rPr>
            </w:pPr>
            <w:r>
              <w:rPr>
                <w:b/>
                <w:bCs/>
                <w:color w:val="auto"/>
                <w:kern w:val="21"/>
                <w:sz w:val="21"/>
                <w:szCs w:val="21"/>
              </w:rPr>
              <w:t>昼间等效声级</w:t>
            </w:r>
          </w:p>
        </w:tc>
        <w:tc>
          <w:tcPr>
            <w:tcW w:w="2369" w:type="dxa"/>
            <w:tcBorders>
              <w:bottom w:val="single" w:color="auto" w:sz="4" w:space="0"/>
            </w:tcBorders>
            <w:vAlign w:val="center"/>
          </w:tcPr>
          <w:p>
            <w:pPr>
              <w:adjustRightInd w:val="0"/>
              <w:snapToGrid w:val="0"/>
              <w:spacing w:line="240" w:lineRule="auto"/>
              <w:ind w:firstLine="0" w:firstLineChars="0"/>
              <w:jc w:val="center"/>
              <w:rPr>
                <w:b/>
                <w:bCs/>
                <w:color w:val="auto"/>
                <w:kern w:val="21"/>
                <w:sz w:val="21"/>
                <w:szCs w:val="21"/>
              </w:rPr>
            </w:pPr>
            <w:r>
              <w:rPr>
                <w:b/>
                <w:bCs/>
                <w:color w:val="auto"/>
                <w:kern w:val="21"/>
                <w:sz w:val="21"/>
                <w:szCs w:val="21"/>
              </w:rPr>
              <w:t>夜间等效声级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81"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项目厂界东外1m处</w:t>
            </w:r>
          </w:p>
        </w:tc>
        <w:tc>
          <w:tcPr>
            <w:tcW w:w="2011"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202</w:t>
            </w:r>
            <w:r>
              <w:rPr>
                <w:rFonts w:hint="eastAsia"/>
                <w:color w:val="auto"/>
                <w:kern w:val="21"/>
                <w:sz w:val="21"/>
                <w:szCs w:val="21"/>
              </w:rPr>
              <w:t>1</w:t>
            </w:r>
            <w:r>
              <w:rPr>
                <w:color w:val="auto"/>
                <w:kern w:val="21"/>
                <w:sz w:val="21"/>
                <w:szCs w:val="21"/>
              </w:rPr>
              <w:t>/</w:t>
            </w:r>
            <w:r>
              <w:rPr>
                <w:rFonts w:hint="eastAsia"/>
                <w:color w:val="auto"/>
                <w:kern w:val="21"/>
                <w:sz w:val="21"/>
                <w:szCs w:val="21"/>
              </w:rPr>
              <w:t>5</w:t>
            </w:r>
            <w:r>
              <w:rPr>
                <w:color w:val="auto"/>
                <w:kern w:val="21"/>
                <w:sz w:val="21"/>
                <w:szCs w:val="21"/>
              </w:rPr>
              <w:t>/1</w:t>
            </w:r>
            <w:r>
              <w:rPr>
                <w:rFonts w:hint="eastAsia"/>
                <w:color w:val="auto"/>
                <w:kern w:val="21"/>
                <w:sz w:val="21"/>
                <w:szCs w:val="21"/>
              </w:rPr>
              <w:t>0</w:t>
            </w:r>
          </w:p>
        </w:tc>
        <w:tc>
          <w:tcPr>
            <w:tcW w:w="2365"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62.5</w:t>
            </w:r>
          </w:p>
        </w:tc>
        <w:tc>
          <w:tcPr>
            <w:tcW w:w="2369"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81" w:type="dxa"/>
            <w:vMerge w:val="continue"/>
            <w:vAlign w:val="center"/>
          </w:tcPr>
          <w:p>
            <w:pPr>
              <w:adjustRightInd w:val="0"/>
              <w:snapToGrid w:val="0"/>
              <w:spacing w:line="240" w:lineRule="auto"/>
              <w:ind w:firstLine="0" w:firstLineChars="0"/>
              <w:jc w:val="center"/>
              <w:rPr>
                <w:color w:val="auto"/>
                <w:kern w:val="21"/>
                <w:sz w:val="21"/>
                <w:szCs w:val="21"/>
              </w:rPr>
            </w:pPr>
          </w:p>
        </w:tc>
        <w:tc>
          <w:tcPr>
            <w:tcW w:w="2011"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202</w:t>
            </w:r>
            <w:r>
              <w:rPr>
                <w:rFonts w:hint="eastAsia"/>
                <w:color w:val="auto"/>
                <w:kern w:val="21"/>
                <w:sz w:val="21"/>
                <w:szCs w:val="21"/>
              </w:rPr>
              <w:t>1</w:t>
            </w:r>
            <w:r>
              <w:rPr>
                <w:color w:val="auto"/>
                <w:kern w:val="21"/>
                <w:sz w:val="21"/>
                <w:szCs w:val="21"/>
              </w:rPr>
              <w:t>/</w:t>
            </w:r>
            <w:r>
              <w:rPr>
                <w:rFonts w:hint="eastAsia"/>
                <w:color w:val="auto"/>
                <w:kern w:val="21"/>
                <w:sz w:val="21"/>
                <w:szCs w:val="21"/>
              </w:rPr>
              <w:t>5</w:t>
            </w:r>
            <w:r>
              <w:rPr>
                <w:color w:val="auto"/>
                <w:kern w:val="21"/>
                <w:sz w:val="21"/>
                <w:szCs w:val="21"/>
              </w:rPr>
              <w:t>/1</w:t>
            </w:r>
            <w:r>
              <w:rPr>
                <w:rFonts w:hint="eastAsia"/>
                <w:color w:val="auto"/>
                <w:kern w:val="21"/>
                <w:sz w:val="21"/>
                <w:szCs w:val="21"/>
              </w:rPr>
              <w:t>1</w:t>
            </w:r>
          </w:p>
        </w:tc>
        <w:tc>
          <w:tcPr>
            <w:tcW w:w="2365"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64.7</w:t>
            </w:r>
          </w:p>
        </w:tc>
        <w:tc>
          <w:tcPr>
            <w:tcW w:w="2369"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92" w:type="dxa"/>
            <w:gridSpan w:val="2"/>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《声环境质量标准》（GB3096-2008）</w:t>
            </w:r>
          </w:p>
          <w:p>
            <w:pPr>
              <w:adjustRightInd w:val="0"/>
              <w:snapToGrid w:val="0"/>
              <w:spacing w:line="240" w:lineRule="auto"/>
              <w:ind w:firstLine="0" w:firstLineChars="0"/>
              <w:jc w:val="center"/>
              <w:rPr>
                <w:color w:val="auto"/>
                <w:kern w:val="21"/>
                <w:sz w:val="21"/>
                <w:szCs w:val="21"/>
              </w:rPr>
            </w:pPr>
            <w:r>
              <w:rPr>
                <w:color w:val="auto"/>
                <w:kern w:val="21"/>
                <w:sz w:val="21"/>
                <w:szCs w:val="21"/>
              </w:rPr>
              <w:t>4a类标准值</w:t>
            </w:r>
          </w:p>
        </w:tc>
        <w:tc>
          <w:tcPr>
            <w:tcW w:w="2365" w:type="dxa"/>
            <w:vAlign w:val="center"/>
          </w:tcPr>
          <w:p>
            <w:pPr>
              <w:adjustRightInd w:val="0"/>
              <w:snapToGrid w:val="0"/>
              <w:spacing w:line="240" w:lineRule="auto"/>
              <w:ind w:firstLine="0" w:firstLineChars="0"/>
              <w:jc w:val="center"/>
              <w:rPr>
                <w:color w:val="auto"/>
                <w:kern w:val="21"/>
                <w:sz w:val="21"/>
                <w:szCs w:val="21"/>
                <w:lang w:bidi="ar"/>
              </w:rPr>
            </w:pPr>
            <w:r>
              <w:rPr>
                <w:color w:val="auto"/>
                <w:kern w:val="21"/>
                <w:sz w:val="21"/>
                <w:szCs w:val="21"/>
              </w:rPr>
              <w:t>70</w:t>
            </w:r>
          </w:p>
        </w:tc>
        <w:tc>
          <w:tcPr>
            <w:tcW w:w="2369" w:type="dxa"/>
            <w:vAlign w:val="center"/>
          </w:tcPr>
          <w:p>
            <w:pPr>
              <w:adjustRightInd w:val="0"/>
              <w:snapToGrid w:val="0"/>
              <w:spacing w:line="240" w:lineRule="auto"/>
              <w:ind w:firstLine="0" w:firstLineChars="0"/>
              <w:jc w:val="center"/>
              <w:rPr>
                <w:color w:val="auto"/>
                <w:kern w:val="21"/>
                <w:sz w:val="21"/>
                <w:szCs w:val="21"/>
                <w:lang w:bidi="ar"/>
              </w:rPr>
            </w:pPr>
            <w:r>
              <w:rPr>
                <w:color w:val="auto"/>
                <w:kern w:val="21"/>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92" w:type="dxa"/>
            <w:gridSpan w:val="2"/>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达标情况</w:t>
            </w:r>
          </w:p>
        </w:tc>
        <w:tc>
          <w:tcPr>
            <w:tcW w:w="2365" w:type="dxa"/>
            <w:vAlign w:val="center"/>
          </w:tcPr>
          <w:p>
            <w:pPr>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达标</w:t>
            </w:r>
          </w:p>
        </w:tc>
        <w:tc>
          <w:tcPr>
            <w:tcW w:w="2369" w:type="dxa"/>
            <w:vAlign w:val="center"/>
          </w:tcPr>
          <w:p>
            <w:pPr>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81"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项目厂界南外1m处</w:t>
            </w:r>
          </w:p>
        </w:tc>
        <w:tc>
          <w:tcPr>
            <w:tcW w:w="2011"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202</w:t>
            </w:r>
            <w:r>
              <w:rPr>
                <w:rFonts w:hint="eastAsia"/>
                <w:color w:val="auto"/>
                <w:kern w:val="21"/>
                <w:sz w:val="21"/>
                <w:szCs w:val="21"/>
              </w:rPr>
              <w:t>1</w:t>
            </w:r>
            <w:r>
              <w:rPr>
                <w:color w:val="auto"/>
                <w:kern w:val="21"/>
                <w:sz w:val="21"/>
                <w:szCs w:val="21"/>
              </w:rPr>
              <w:t>/</w:t>
            </w:r>
            <w:r>
              <w:rPr>
                <w:rFonts w:hint="eastAsia"/>
                <w:color w:val="auto"/>
                <w:kern w:val="21"/>
                <w:sz w:val="21"/>
                <w:szCs w:val="21"/>
              </w:rPr>
              <w:t>5</w:t>
            </w:r>
            <w:r>
              <w:rPr>
                <w:color w:val="auto"/>
                <w:kern w:val="21"/>
                <w:sz w:val="21"/>
                <w:szCs w:val="21"/>
              </w:rPr>
              <w:t>/1</w:t>
            </w:r>
            <w:r>
              <w:rPr>
                <w:rFonts w:hint="eastAsia"/>
                <w:color w:val="auto"/>
                <w:kern w:val="21"/>
                <w:sz w:val="21"/>
                <w:szCs w:val="21"/>
              </w:rPr>
              <w:t>0</w:t>
            </w:r>
          </w:p>
        </w:tc>
        <w:tc>
          <w:tcPr>
            <w:tcW w:w="2365"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56.7</w:t>
            </w:r>
          </w:p>
        </w:tc>
        <w:tc>
          <w:tcPr>
            <w:tcW w:w="2369"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81" w:type="dxa"/>
            <w:vMerge w:val="continue"/>
            <w:vAlign w:val="center"/>
          </w:tcPr>
          <w:p>
            <w:pPr>
              <w:adjustRightInd w:val="0"/>
              <w:snapToGrid w:val="0"/>
              <w:spacing w:line="240" w:lineRule="auto"/>
              <w:ind w:firstLine="0" w:firstLineChars="0"/>
              <w:jc w:val="center"/>
              <w:rPr>
                <w:color w:val="auto"/>
                <w:kern w:val="21"/>
                <w:sz w:val="21"/>
                <w:szCs w:val="21"/>
              </w:rPr>
            </w:pPr>
          </w:p>
        </w:tc>
        <w:tc>
          <w:tcPr>
            <w:tcW w:w="2011"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202</w:t>
            </w:r>
            <w:r>
              <w:rPr>
                <w:rFonts w:hint="eastAsia"/>
                <w:color w:val="auto"/>
                <w:kern w:val="21"/>
                <w:sz w:val="21"/>
                <w:szCs w:val="21"/>
              </w:rPr>
              <w:t>1</w:t>
            </w:r>
            <w:r>
              <w:rPr>
                <w:color w:val="auto"/>
                <w:kern w:val="21"/>
                <w:sz w:val="21"/>
                <w:szCs w:val="21"/>
              </w:rPr>
              <w:t>/</w:t>
            </w:r>
            <w:r>
              <w:rPr>
                <w:rFonts w:hint="eastAsia"/>
                <w:color w:val="auto"/>
                <w:kern w:val="21"/>
                <w:sz w:val="21"/>
                <w:szCs w:val="21"/>
              </w:rPr>
              <w:t>5</w:t>
            </w:r>
            <w:r>
              <w:rPr>
                <w:color w:val="auto"/>
                <w:kern w:val="21"/>
                <w:sz w:val="21"/>
                <w:szCs w:val="21"/>
              </w:rPr>
              <w:t>/1</w:t>
            </w:r>
            <w:r>
              <w:rPr>
                <w:rFonts w:hint="eastAsia"/>
                <w:color w:val="auto"/>
                <w:kern w:val="21"/>
                <w:sz w:val="21"/>
                <w:szCs w:val="21"/>
              </w:rPr>
              <w:t>1</w:t>
            </w:r>
          </w:p>
        </w:tc>
        <w:tc>
          <w:tcPr>
            <w:tcW w:w="2365"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57.8</w:t>
            </w:r>
          </w:p>
        </w:tc>
        <w:tc>
          <w:tcPr>
            <w:tcW w:w="2369"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81"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项目厂界西外1m处</w:t>
            </w:r>
          </w:p>
        </w:tc>
        <w:tc>
          <w:tcPr>
            <w:tcW w:w="2011"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202</w:t>
            </w:r>
            <w:r>
              <w:rPr>
                <w:rFonts w:hint="eastAsia"/>
                <w:color w:val="auto"/>
                <w:kern w:val="21"/>
                <w:sz w:val="21"/>
                <w:szCs w:val="21"/>
              </w:rPr>
              <w:t>1</w:t>
            </w:r>
            <w:r>
              <w:rPr>
                <w:color w:val="auto"/>
                <w:kern w:val="21"/>
                <w:sz w:val="21"/>
                <w:szCs w:val="21"/>
              </w:rPr>
              <w:t>/</w:t>
            </w:r>
            <w:r>
              <w:rPr>
                <w:rFonts w:hint="eastAsia"/>
                <w:color w:val="auto"/>
                <w:kern w:val="21"/>
                <w:sz w:val="21"/>
                <w:szCs w:val="21"/>
              </w:rPr>
              <w:t>5</w:t>
            </w:r>
            <w:r>
              <w:rPr>
                <w:color w:val="auto"/>
                <w:kern w:val="21"/>
                <w:sz w:val="21"/>
                <w:szCs w:val="21"/>
              </w:rPr>
              <w:t>/1</w:t>
            </w:r>
            <w:r>
              <w:rPr>
                <w:rFonts w:hint="eastAsia"/>
                <w:color w:val="auto"/>
                <w:kern w:val="21"/>
                <w:sz w:val="21"/>
                <w:szCs w:val="21"/>
              </w:rPr>
              <w:t>0</w:t>
            </w:r>
          </w:p>
        </w:tc>
        <w:tc>
          <w:tcPr>
            <w:tcW w:w="2365"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54.8</w:t>
            </w:r>
          </w:p>
        </w:tc>
        <w:tc>
          <w:tcPr>
            <w:tcW w:w="2369"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81" w:type="dxa"/>
            <w:vMerge w:val="continue"/>
            <w:vAlign w:val="center"/>
          </w:tcPr>
          <w:p>
            <w:pPr>
              <w:adjustRightInd w:val="0"/>
              <w:snapToGrid w:val="0"/>
              <w:spacing w:line="240" w:lineRule="auto"/>
              <w:ind w:firstLine="0" w:firstLineChars="0"/>
              <w:jc w:val="center"/>
              <w:rPr>
                <w:color w:val="auto"/>
                <w:kern w:val="21"/>
                <w:sz w:val="21"/>
                <w:szCs w:val="21"/>
              </w:rPr>
            </w:pPr>
          </w:p>
        </w:tc>
        <w:tc>
          <w:tcPr>
            <w:tcW w:w="2011"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202</w:t>
            </w:r>
            <w:r>
              <w:rPr>
                <w:rFonts w:hint="eastAsia"/>
                <w:color w:val="auto"/>
                <w:kern w:val="21"/>
                <w:sz w:val="21"/>
                <w:szCs w:val="21"/>
              </w:rPr>
              <w:t>1</w:t>
            </w:r>
            <w:r>
              <w:rPr>
                <w:color w:val="auto"/>
                <w:kern w:val="21"/>
                <w:sz w:val="21"/>
                <w:szCs w:val="21"/>
              </w:rPr>
              <w:t>/</w:t>
            </w:r>
            <w:r>
              <w:rPr>
                <w:rFonts w:hint="eastAsia"/>
                <w:color w:val="auto"/>
                <w:kern w:val="21"/>
                <w:sz w:val="21"/>
                <w:szCs w:val="21"/>
              </w:rPr>
              <w:t>5</w:t>
            </w:r>
            <w:r>
              <w:rPr>
                <w:color w:val="auto"/>
                <w:kern w:val="21"/>
                <w:sz w:val="21"/>
                <w:szCs w:val="21"/>
              </w:rPr>
              <w:t>/1</w:t>
            </w:r>
            <w:r>
              <w:rPr>
                <w:rFonts w:hint="eastAsia"/>
                <w:color w:val="auto"/>
                <w:kern w:val="21"/>
                <w:sz w:val="21"/>
                <w:szCs w:val="21"/>
              </w:rPr>
              <w:t>1</w:t>
            </w:r>
          </w:p>
        </w:tc>
        <w:tc>
          <w:tcPr>
            <w:tcW w:w="2365"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55.8</w:t>
            </w:r>
          </w:p>
        </w:tc>
        <w:tc>
          <w:tcPr>
            <w:tcW w:w="2369"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81" w:type="dxa"/>
            <w:vMerge w:val="restart"/>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项目厂界北外1m处</w:t>
            </w:r>
          </w:p>
        </w:tc>
        <w:tc>
          <w:tcPr>
            <w:tcW w:w="2011"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202</w:t>
            </w:r>
            <w:r>
              <w:rPr>
                <w:rFonts w:hint="eastAsia"/>
                <w:color w:val="auto"/>
                <w:kern w:val="21"/>
                <w:sz w:val="21"/>
                <w:szCs w:val="21"/>
              </w:rPr>
              <w:t>1</w:t>
            </w:r>
            <w:r>
              <w:rPr>
                <w:color w:val="auto"/>
                <w:kern w:val="21"/>
                <w:sz w:val="21"/>
                <w:szCs w:val="21"/>
              </w:rPr>
              <w:t>/</w:t>
            </w:r>
            <w:r>
              <w:rPr>
                <w:rFonts w:hint="eastAsia"/>
                <w:color w:val="auto"/>
                <w:kern w:val="21"/>
                <w:sz w:val="21"/>
                <w:szCs w:val="21"/>
              </w:rPr>
              <w:t>5</w:t>
            </w:r>
            <w:r>
              <w:rPr>
                <w:color w:val="auto"/>
                <w:kern w:val="21"/>
                <w:sz w:val="21"/>
                <w:szCs w:val="21"/>
              </w:rPr>
              <w:t>/1</w:t>
            </w:r>
            <w:r>
              <w:rPr>
                <w:rFonts w:hint="eastAsia"/>
                <w:color w:val="auto"/>
                <w:kern w:val="21"/>
                <w:sz w:val="21"/>
                <w:szCs w:val="21"/>
              </w:rPr>
              <w:t>0</w:t>
            </w:r>
          </w:p>
        </w:tc>
        <w:tc>
          <w:tcPr>
            <w:tcW w:w="2365"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57.8</w:t>
            </w:r>
          </w:p>
        </w:tc>
        <w:tc>
          <w:tcPr>
            <w:tcW w:w="2369"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81" w:type="dxa"/>
            <w:vMerge w:val="continue"/>
            <w:vAlign w:val="center"/>
          </w:tcPr>
          <w:p>
            <w:pPr>
              <w:adjustRightInd w:val="0"/>
              <w:snapToGrid w:val="0"/>
              <w:spacing w:line="240" w:lineRule="auto"/>
              <w:ind w:firstLine="0" w:firstLineChars="0"/>
              <w:jc w:val="center"/>
              <w:rPr>
                <w:color w:val="auto"/>
                <w:kern w:val="21"/>
                <w:sz w:val="21"/>
                <w:szCs w:val="21"/>
              </w:rPr>
            </w:pPr>
          </w:p>
        </w:tc>
        <w:tc>
          <w:tcPr>
            <w:tcW w:w="2011"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202</w:t>
            </w:r>
            <w:r>
              <w:rPr>
                <w:rFonts w:hint="eastAsia"/>
                <w:color w:val="auto"/>
                <w:kern w:val="21"/>
                <w:sz w:val="21"/>
                <w:szCs w:val="21"/>
              </w:rPr>
              <w:t>1</w:t>
            </w:r>
            <w:r>
              <w:rPr>
                <w:color w:val="auto"/>
                <w:kern w:val="21"/>
                <w:sz w:val="21"/>
                <w:szCs w:val="21"/>
              </w:rPr>
              <w:t>/</w:t>
            </w:r>
            <w:r>
              <w:rPr>
                <w:rFonts w:hint="eastAsia"/>
                <w:color w:val="auto"/>
                <w:kern w:val="21"/>
                <w:sz w:val="21"/>
                <w:szCs w:val="21"/>
              </w:rPr>
              <w:t>5</w:t>
            </w:r>
            <w:r>
              <w:rPr>
                <w:color w:val="auto"/>
                <w:kern w:val="21"/>
                <w:sz w:val="21"/>
                <w:szCs w:val="21"/>
              </w:rPr>
              <w:t>/1</w:t>
            </w:r>
            <w:r>
              <w:rPr>
                <w:rFonts w:hint="eastAsia"/>
                <w:color w:val="auto"/>
                <w:kern w:val="21"/>
                <w:sz w:val="21"/>
                <w:szCs w:val="21"/>
              </w:rPr>
              <w:t>1</w:t>
            </w:r>
          </w:p>
        </w:tc>
        <w:tc>
          <w:tcPr>
            <w:tcW w:w="2365"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55.9</w:t>
            </w:r>
          </w:p>
        </w:tc>
        <w:tc>
          <w:tcPr>
            <w:tcW w:w="2369" w:type="dxa"/>
            <w:vAlign w:val="center"/>
          </w:tcPr>
          <w:p>
            <w:pPr>
              <w:widowControl/>
              <w:spacing w:line="240" w:lineRule="auto"/>
              <w:ind w:firstLine="0" w:firstLineChars="0"/>
              <w:jc w:val="center"/>
              <w:textAlignment w:val="center"/>
              <w:rPr>
                <w:color w:val="auto"/>
                <w:kern w:val="21"/>
                <w:sz w:val="21"/>
                <w:szCs w:val="21"/>
              </w:rPr>
            </w:pPr>
            <w:r>
              <w:rPr>
                <w:rFonts w:hint="eastAsia"/>
                <w:color w:val="auto"/>
                <w:kern w:val="21"/>
                <w:sz w:val="21"/>
                <w:szCs w:val="21"/>
                <w:lang w:bidi="ar"/>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4192" w:type="dxa"/>
            <w:gridSpan w:val="2"/>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《声环境质量标准》（GB3096-2008）</w:t>
            </w:r>
            <w:r>
              <w:rPr>
                <w:rFonts w:hint="eastAsia"/>
                <w:color w:val="auto"/>
                <w:kern w:val="21"/>
                <w:sz w:val="21"/>
                <w:szCs w:val="21"/>
                <w:lang w:val="en-US" w:eastAsia="zh-CN"/>
              </w:rPr>
              <w:t>3</w:t>
            </w:r>
            <w:r>
              <w:rPr>
                <w:color w:val="auto"/>
                <w:kern w:val="21"/>
                <w:sz w:val="21"/>
                <w:szCs w:val="21"/>
              </w:rPr>
              <w:t>类标准值</w:t>
            </w:r>
          </w:p>
        </w:tc>
        <w:tc>
          <w:tcPr>
            <w:tcW w:w="2365"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color w:val="auto"/>
                <w:kern w:val="21"/>
                <w:sz w:val="21"/>
                <w:szCs w:val="21"/>
              </w:rPr>
              <w:t>6</w:t>
            </w:r>
            <w:r>
              <w:rPr>
                <w:rFonts w:hint="eastAsia"/>
                <w:color w:val="auto"/>
                <w:kern w:val="21"/>
                <w:sz w:val="21"/>
                <w:szCs w:val="21"/>
                <w:lang w:val="en-US" w:eastAsia="zh-CN"/>
              </w:rPr>
              <w:t>5</w:t>
            </w:r>
          </w:p>
        </w:tc>
        <w:tc>
          <w:tcPr>
            <w:tcW w:w="2369"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color w:val="auto"/>
                <w:kern w:val="21"/>
                <w:sz w:val="21"/>
                <w:szCs w:val="21"/>
              </w:rPr>
              <w:t>5</w:t>
            </w:r>
            <w:r>
              <w:rPr>
                <w:rFonts w:hint="eastAsia"/>
                <w:color w:val="auto"/>
                <w:kern w:val="21"/>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92" w:type="dxa"/>
            <w:gridSpan w:val="2"/>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达标情况</w:t>
            </w:r>
          </w:p>
        </w:tc>
        <w:tc>
          <w:tcPr>
            <w:tcW w:w="236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w:t>
            </w:r>
          </w:p>
        </w:tc>
        <w:tc>
          <w:tcPr>
            <w:tcW w:w="2369"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80"/>
        <w:jc w:val="left"/>
        <w:textAlignment w:val="auto"/>
        <w:rPr>
          <w:color w:val="auto"/>
          <w:kern w:val="21"/>
        </w:rPr>
      </w:pPr>
      <w:r>
        <w:rPr>
          <w:color w:val="auto"/>
          <w:kern w:val="21"/>
        </w:rPr>
        <w:t>从</w:t>
      </w:r>
      <w:r>
        <w:rPr>
          <w:rFonts w:hint="eastAsia"/>
          <w:color w:val="auto"/>
          <w:kern w:val="21"/>
          <w:lang w:eastAsia="zh-CN"/>
        </w:rPr>
        <w:t>上表</w:t>
      </w:r>
      <w:r>
        <w:rPr>
          <w:color w:val="auto"/>
          <w:kern w:val="21"/>
        </w:rPr>
        <w:t>监测结果可知，拟建项目东厂界声环境质量现状满足《声环境质量标准》（GB3906-2008）中的4a类标准值要求，南厂界、西厂界、北厂界声环境质量现状均满足《声环境质量标准》（GB3906-2008）中的</w:t>
      </w:r>
      <w:r>
        <w:rPr>
          <w:rFonts w:hint="eastAsia"/>
          <w:color w:val="auto"/>
          <w:kern w:val="21"/>
        </w:rPr>
        <w:t>3</w:t>
      </w:r>
      <w:r>
        <w:rPr>
          <w:color w:val="auto"/>
          <w:kern w:val="21"/>
        </w:rPr>
        <w:t>类标准值要求。</w:t>
      </w:r>
    </w:p>
    <w:p>
      <w:pPr>
        <w:pStyle w:val="6"/>
        <w:spacing w:after="0"/>
        <w:rPr>
          <w:rFonts w:eastAsia="宋体"/>
          <w:color w:val="auto"/>
          <w:kern w:val="21"/>
          <w:sz w:val="24"/>
          <w:szCs w:val="24"/>
        </w:rPr>
      </w:pPr>
      <w:bookmarkStart w:id="232" w:name="_Toc26063"/>
      <w:r>
        <w:rPr>
          <w:rFonts w:eastAsia="宋体"/>
          <w:color w:val="auto"/>
          <w:kern w:val="21"/>
          <w:sz w:val="24"/>
          <w:szCs w:val="24"/>
        </w:rPr>
        <w:t>4.2.6土壤环境现状</w:t>
      </w:r>
      <w:bookmarkEnd w:id="232"/>
    </w:p>
    <w:p>
      <w:pPr>
        <w:ind w:firstLine="480"/>
        <w:rPr>
          <w:bCs/>
          <w:color w:val="auto"/>
          <w:kern w:val="21"/>
        </w:rPr>
      </w:pPr>
      <w:r>
        <w:rPr>
          <w:color w:val="auto"/>
          <w:kern w:val="21"/>
          <w:lang w:bidi="ar"/>
        </w:rPr>
        <w:t>为了解项目建设场地内的土壤环境质量现状，</w:t>
      </w:r>
      <w:r>
        <w:rPr>
          <w:bCs/>
          <w:color w:val="auto"/>
          <w:kern w:val="21"/>
          <w:lang w:val="zh-CN"/>
        </w:rPr>
        <w:t>根据《环境影响评价技术导则土壤环境（试行）》（HJ964-2018），本项目土壤评价等级为三级，</w:t>
      </w:r>
      <w:r>
        <w:rPr>
          <w:bCs/>
          <w:color w:val="auto"/>
          <w:kern w:val="21"/>
        </w:rPr>
        <w:t>监测内容如下：</w:t>
      </w:r>
    </w:p>
    <w:p>
      <w:pPr>
        <w:widowControl/>
        <w:ind w:firstLine="480"/>
        <w:jc w:val="left"/>
        <w:rPr>
          <w:bCs/>
          <w:color w:val="auto"/>
          <w:kern w:val="21"/>
        </w:rPr>
      </w:pPr>
      <w:r>
        <w:rPr>
          <w:bCs/>
          <w:color w:val="auto"/>
          <w:kern w:val="21"/>
          <w:lang w:bidi="ar"/>
        </w:rPr>
        <w:t>1、监测点布设</w:t>
      </w:r>
    </w:p>
    <w:p>
      <w:pPr>
        <w:ind w:firstLine="480"/>
        <w:rPr>
          <w:bCs/>
          <w:color w:val="auto"/>
          <w:kern w:val="21"/>
        </w:rPr>
      </w:pPr>
      <w:r>
        <w:rPr>
          <w:bCs/>
          <w:color w:val="auto"/>
          <w:kern w:val="21"/>
          <w:lang w:val="zh-CN"/>
        </w:rPr>
        <w:t>根据《环境影响评价技术导则土壤环境（试行）》（HJ964-2018），本项目土壤评价等级为三级，所以</w:t>
      </w:r>
      <w:r>
        <w:rPr>
          <w:bCs/>
          <w:color w:val="auto"/>
          <w:kern w:val="21"/>
        </w:rPr>
        <w:t>在项目厂址中心、厂址东南面和厂址西南面各设置一个表层监测点。</w:t>
      </w:r>
    </w:p>
    <w:p>
      <w:pPr>
        <w:ind w:firstLine="480"/>
        <w:rPr>
          <w:bCs/>
          <w:color w:val="auto"/>
          <w:kern w:val="21"/>
        </w:rPr>
      </w:pPr>
      <w:r>
        <w:rPr>
          <w:bCs/>
          <w:color w:val="auto"/>
          <w:kern w:val="21"/>
          <w:lang w:bidi="ar"/>
        </w:rPr>
        <w:t>2、监测因子</w:t>
      </w:r>
    </w:p>
    <w:p>
      <w:pPr>
        <w:ind w:firstLine="480"/>
        <w:rPr>
          <w:color w:val="auto"/>
          <w:kern w:val="21"/>
        </w:rPr>
      </w:pPr>
      <w:r>
        <w:rPr>
          <w:color w:val="auto"/>
          <w:kern w:val="21"/>
        </w:rPr>
        <w:t>（1）重金属：砷、镉、六价铬、铜、铅、汞、镍共7项。</w:t>
      </w:r>
    </w:p>
    <w:p>
      <w:pPr>
        <w:ind w:firstLine="480"/>
        <w:rPr>
          <w:color w:val="auto"/>
          <w:kern w:val="21"/>
        </w:rPr>
      </w:pPr>
      <w:r>
        <w:rPr>
          <w:color w:val="auto"/>
          <w:kern w:val="21"/>
        </w:rPr>
        <w:t>（2）挥发性有机物：</w:t>
      </w:r>
    </w:p>
    <w:p>
      <w:pPr>
        <w:tabs>
          <w:tab w:val="left" w:pos="405"/>
          <w:tab w:val="left" w:pos="645"/>
        </w:tabs>
        <w:ind w:firstLine="480"/>
        <w:rPr>
          <w:color w:val="auto"/>
          <w:kern w:val="21"/>
        </w:rPr>
      </w:pPr>
      <w:r>
        <w:rPr>
          <w:color w:val="auto"/>
          <w:kern w:val="21"/>
        </w:rPr>
        <w:t>四氯化碳、氯仿、氯甲烷、1</w:t>
      </w:r>
      <w:r>
        <w:rPr>
          <w:rFonts w:hint="eastAsia"/>
          <w:color w:val="auto"/>
          <w:kern w:val="21"/>
        </w:rPr>
        <w:t>，</w:t>
      </w:r>
      <w:r>
        <w:rPr>
          <w:color w:val="auto"/>
          <w:kern w:val="21"/>
        </w:rPr>
        <w:t>1-二氯乙烷、1</w:t>
      </w:r>
      <w:r>
        <w:rPr>
          <w:rFonts w:hint="eastAsia"/>
          <w:color w:val="auto"/>
          <w:kern w:val="21"/>
        </w:rPr>
        <w:t>，</w:t>
      </w:r>
      <w:r>
        <w:rPr>
          <w:color w:val="auto"/>
          <w:kern w:val="21"/>
        </w:rPr>
        <w:t>2-二氯乙烷、1</w:t>
      </w:r>
      <w:r>
        <w:rPr>
          <w:rFonts w:hint="eastAsia"/>
          <w:color w:val="auto"/>
          <w:kern w:val="21"/>
        </w:rPr>
        <w:t>，</w:t>
      </w:r>
      <w:r>
        <w:rPr>
          <w:color w:val="auto"/>
          <w:kern w:val="21"/>
        </w:rPr>
        <w:t>1-二氯乙烯、顺-1</w:t>
      </w:r>
      <w:r>
        <w:rPr>
          <w:rFonts w:hint="eastAsia"/>
          <w:color w:val="auto"/>
          <w:kern w:val="21"/>
        </w:rPr>
        <w:t>，</w:t>
      </w:r>
      <w:r>
        <w:rPr>
          <w:color w:val="auto"/>
          <w:kern w:val="21"/>
        </w:rPr>
        <w:t>2-二氯乙烯、反-1</w:t>
      </w:r>
      <w:r>
        <w:rPr>
          <w:rFonts w:hint="eastAsia"/>
          <w:color w:val="auto"/>
          <w:kern w:val="21"/>
        </w:rPr>
        <w:t>，</w:t>
      </w:r>
      <w:r>
        <w:rPr>
          <w:color w:val="auto"/>
          <w:kern w:val="21"/>
        </w:rPr>
        <w:t>2-二氯乙烯、二氯甲烷、1</w:t>
      </w:r>
      <w:r>
        <w:rPr>
          <w:rFonts w:hint="eastAsia"/>
          <w:color w:val="auto"/>
          <w:kern w:val="21"/>
        </w:rPr>
        <w:t>，</w:t>
      </w:r>
      <w:r>
        <w:rPr>
          <w:color w:val="auto"/>
          <w:kern w:val="21"/>
        </w:rPr>
        <w:t>2-二氯丙烷、1</w:t>
      </w:r>
      <w:r>
        <w:rPr>
          <w:rFonts w:hint="eastAsia"/>
          <w:color w:val="auto"/>
          <w:kern w:val="21"/>
        </w:rPr>
        <w:t>，</w:t>
      </w:r>
      <w:r>
        <w:rPr>
          <w:color w:val="auto"/>
          <w:kern w:val="21"/>
        </w:rPr>
        <w:t>1</w:t>
      </w:r>
      <w:r>
        <w:rPr>
          <w:rFonts w:hint="eastAsia"/>
          <w:color w:val="auto"/>
          <w:kern w:val="21"/>
        </w:rPr>
        <w:t>，</w:t>
      </w:r>
      <w:r>
        <w:rPr>
          <w:color w:val="auto"/>
          <w:kern w:val="21"/>
        </w:rPr>
        <w:t>1</w:t>
      </w:r>
      <w:r>
        <w:rPr>
          <w:rFonts w:hint="eastAsia"/>
          <w:color w:val="auto"/>
          <w:kern w:val="21"/>
        </w:rPr>
        <w:t>，</w:t>
      </w:r>
      <w:r>
        <w:rPr>
          <w:color w:val="auto"/>
          <w:kern w:val="21"/>
        </w:rPr>
        <w:t>2-四氯乙烷、1</w:t>
      </w:r>
      <w:r>
        <w:rPr>
          <w:rFonts w:hint="eastAsia"/>
          <w:color w:val="auto"/>
          <w:kern w:val="21"/>
        </w:rPr>
        <w:t>，</w:t>
      </w:r>
      <w:r>
        <w:rPr>
          <w:color w:val="auto"/>
          <w:kern w:val="21"/>
        </w:rPr>
        <w:t>1</w:t>
      </w:r>
      <w:r>
        <w:rPr>
          <w:rFonts w:hint="eastAsia"/>
          <w:color w:val="auto"/>
          <w:kern w:val="21"/>
        </w:rPr>
        <w:t>，</w:t>
      </w:r>
      <w:r>
        <w:rPr>
          <w:color w:val="auto"/>
          <w:kern w:val="21"/>
        </w:rPr>
        <w:t>2</w:t>
      </w:r>
      <w:r>
        <w:rPr>
          <w:rFonts w:hint="eastAsia"/>
          <w:color w:val="auto"/>
          <w:kern w:val="21"/>
        </w:rPr>
        <w:t>，</w:t>
      </w:r>
      <w:r>
        <w:rPr>
          <w:color w:val="auto"/>
          <w:kern w:val="21"/>
        </w:rPr>
        <w:t>2-四氯乙烷、四氯乙烯、1</w:t>
      </w:r>
      <w:r>
        <w:rPr>
          <w:rFonts w:hint="eastAsia"/>
          <w:color w:val="auto"/>
          <w:kern w:val="21"/>
        </w:rPr>
        <w:t>，</w:t>
      </w:r>
      <w:r>
        <w:rPr>
          <w:color w:val="auto"/>
          <w:kern w:val="21"/>
        </w:rPr>
        <w:t>1</w:t>
      </w:r>
      <w:r>
        <w:rPr>
          <w:rFonts w:hint="eastAsia"/>
          <w:color w:val="auto"/>
          <w:kern w:val="21"/>
        </w:rPr>
        <w:t>，</w:t>
      </w:r>
      <w:r>
        <w:rPr>
          <w:color w:val="auto"/>
          <w:kern w:val="21"/>
        </w:rPr>
        <w:t>1-三氯乙烷、1</w:t>
      </w:r>
      <w:r>
        <w:rPr>
          <w:rFonts w:hint="eastAsia"/>
          <w:color w:val="auto"/>
          <w:kern w:val="21"/>
        </w:rPr>
        <w:t>，</w:t>
      </w:r>
      <w:r>
        <w:rPr>
          <w:color w:val="auto"/>
          <w:kern w:val="21"/>
        </w:rPr>
        <w:t>1</w:t>
      </w:r>
      <w:r>
        <w:rPr>
          <w:rFonts w:hint="eastAsia"/>
          <w:color w:val="auto"/>
          <w:kern w:val="21"/>
        </w:rPr>
        <w:t>，</w:t>
      </w:r>
      <w:r>
        <w:rPr>
          <w:color w:val="auto"/>
          <w:kern w:val="21"/>
        </w:rPr>
        <w:t>2-三氯乙烷、三氯乙烯、1</w:t>
      </w:r>
      <w:r>
        <w:rPr>
          <w:rFonts w:hint="eastAsia"/>
          <w:color w:val="auto"/>
          <w:kern w:val="21"/>
        </w:rPr>
        <w:t>，</w:t>
      </w:r>
      <w:r>
        <w:rPr>
          <w:color w:val="auto"/>
          <w:kern w:val="21"/>
        </w:rPr>
        <w:t>2</w:t>
      </w:r>
      <w:r>
        <w:rPr>
          <w:rFonts w:hint="eastAsia"/>
          <w:color w:val="auto"/>
          <w:kern w:val="21"/>
        </w:rPr>
        <w:t>，</w:t>
      </w:r>
      <w:r>
        <w:rPr>
          <w:color w:val="auto"/>
          <w:kern w:val="21"/>
        </w:rPr>
        <w:t>3-三氯丙烷、氯乙烯、苯、氯苯、1</w:t>
      </w:r>
      <w:r>
        <w:rPr>
          <w:rFonts w:hint="eastAsia"/>
          <w:color w:val="auto"/>
          <w:kern w:val="21"/>
        </w:rPr>
        <w:t>，</w:t>
      </w:r>
      <w:r>
        <w:rPr>
          <w:color w:val="auto"/>
          <w:kern w:val="21"/>
        </w:rPr>
        <w:t>2-二氯苯、1</w:t>
      </w:r>
      <w:r>
        <w:rPr>
          <w:rFonts w:hint="eastAsia"/>
          <w:color w:val="auto"/>
          <w:kern w:val="21"/>
        </w:rPr>
        <w:t>，</w:t>
      </w:r>
      <w:r>
        <w:rPr>
          <w:color w:val="auto"/>
          <w:kern w:val="21"/>
        </w:rPr>
        <w:t>4-二氯苯、乙苯、苯乙烯、甲苯、间二甲苯+对二甲苯、邻二甲苯，共27项。</w:t>
      </w:r>
    </w:p>
    <w:p>
      <w:pPr>
        <w:tabs>
          <w:tab w:val="left" w:pos="405"/>
          <w:tab w:val="left" w:pos="645"/>
        </w:tabs>
        <w:ind w:firstLine="480"/>
        <w:rPr>
          <w:color w:val="auto"/>
          <w:kern w:val="21"/>
        </w:rPr>
      </w:pPr>
      <w:r>
        <w:rPr>
          <w:color w:val="auto"/>
          <w:kern w:val="21"/>
        </w:rPr>
        <w:t>（3）半挥发性有机物：</w:t>
      </w:r>
    </w:p>
    <w:p>
      <w:pPr>
        <w:tabs>
          <w:tab w:val="left" w:pos="1301"/>
          <w:tab w:val="center" w:pos="4153"/>
          <w:tab w:val="right" w:pos="8306"/>
        </w:tabs>
        <w:ind w:firstLine="480"/>
        <w:rPr>
          <w:color w:val="auto"/>
          <w:kern w:val="21"/>
        </w:rPr>
      </w:pPr>
      <w:r>
        <w:rPr>
          <w:color w:val="auto"/>
          <w:kern w:val="21"/>
        </w:rPr>
        <w:t>硝基苯、苯胺、2-氯酚、苯并[a]蒽、苯并[a]芘、苯并[b]荧蒽、苯并[k]荧蒽、䓛、二苯并[a</w:t>
      </w:r>
      <w:r>
        <w:rPr>
          <w:rFonts w:hint="eastAsia"/>
          <w:color w:val="auto"/>
          <w:kern w:val="21"/>
        </w:rPr>
        <w:t>，</w:t>
      </w:r>
      <w:r>
        <w:rPr>
          <w:color w:val="auto"/>
          <w:kern w:val="21"/>
        </w:rPr>
        <w:t>h]蒽、茚并[1</w:t>
      </w:r>
      <w:r>
        <w:rPr>
          <w:rFonts w:hint="eastAsia"/>
          <w:color w:val="auto"/>
          <w:kern w:val="21"/>
        </w:rPr>
        <w:t>，</w:t>
      </w:r>
      <w:r>
        <w:rPr>
          <w:color w:val="auto"/>
          <w:kern w:val="21"/>
        </w:rPr>
        <w:t>2</w:t>
      </w:r>
      <w:r>
        <w:rPr>
          <w:rFonts w:hint="eastAsia"/>
          <w:color w:val="auto"/>
          <w:kern w:val="21"/>
        </w:rPr>
        <w:t>，</w:t>
      </w:r>
      <w:r>
        <w:rPr>
          <w:color w:val="auto"/>
          <w:kern w:val="21"/>
        </w:rPr>
        <w:t>3-cd]芘、萘，共11项。</w:t>
      </w:r>
    </w:p>
    <w:p>
      <w:pPr>
        <w:tabs>
          <w:tab w:val="left" w:pos="2395"/>
        </w:tabs>
        <w:ind w:firstLine="480"/>
        <w:rPr>
          <w:bCs/>
          <w:color w:val="auto"/>
          <w:kern w:val="21"/>
        </w:rPr>
      </w:pPr>
      <w:r>
        <w:rPr>
          <w:bCs/>
          <w:color w:val="auto"/>
          <w:kern w:val="21"/>
        </w:rPr>
        <w:t>3、监测时间及频率</w:t>
      </w:r>
    </w:p>
    <w:p>
      <w:pPr>
        <w:tabs>
          <w:tab w:val="left" w:pos="2395"/>
        </w:tabs>
        <w:ind w:firstLine="480"/>
        <w:rPr>
          <w:color w:val="auto"/>
          <w:kern w:val="21"/>
        </w:rPr>
      </w:pPr>
      <w:r>
        <w:rPr>
          <w:bCs/>
          <w:color w:val="auto"/>
          <w:kern w:val="21"/>
        </w:rPr>
        <w:t>2020年4月14日三个点位各取样一次。</w:t>
      </w:r>
    </w:p>
    <w:p>
      <w:pPr>
        <w:tabs>
          <w:tab w:val="left" w:pos="2395"/>
        </w:tabs>
        <w:ind w:firstLine="480"/>
        <w:rPr>
          <w:bCs/>
          <w:color w:val="auto"/>
          <w:kern w:val="21"/>
        </w:rPr>
      </w:pPr>
      <w:r>
        <w:rPr>
          <w:bCs/>
          <w:color w:val="auto"/>
          <w:kern w:val="21"/>
        </w:rPr>
        <w:t>4、评价方法</w:t>
      </w:r>
    </w:p>
    <w:p>
      <w:pPr>
        <w:widowControl/>
        <w:ind w:firstLine="480"/>
        <w:jc w:val="left"/>
        <w:rPr>
          <w:bCs/>
          <w:color w:val="auto"/>
          <w:kern w:val="21"/>
        </w:rPr>
      </w:pPr>
      <w:r>
        <w:rPr>
          <w:bCs/>
          <w:color w:val="auto"/>
          <w:kern w:val="21"/>
          <w:lang w:bidi="ar"/>
        </w:rPr>
        <w:t>对于评价标准为定值的土壤因子，其标准指数计算式：</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bCs/>
          <w:color w:val="auto"/>
          <w:kern w:val="21"/>
        </w:rPr>
      </w:pPr>
      <w:r>
        <w:rPr>
          <w:bCs/>
          <w:color w:val="auto"/>
          <w:kern w:val="21"/>
          <w:lang w:bidi="ar"/>
        </w:rPr>
        <w:t>Pi=Ci/Csi</w:t>
      </w:r>
    </w:p>
    <w:p>
      <w:pPr>
        <w:widowControl/>
        <w:ind w:firstLine="480"/>
        <w:jc w:val="left"/>
        <w:rPr>
          <w:bCs/>
          <w:color w:val="auto"/>
          <w:kern w:val="21"/>
        </w:rPr>
      </w:pPr>
      <w:r>
        <w:rPr>
          <w:bCs/>
          <w:color w:val="auto"/>
          <w:kern w:val="21"/>
          <w:lang w:bidi="ar"/>
        </w:rPr>
        <w:t>式中：Pi——第i个土壤因子的标准指数，量纲为1；</w:t>
      </w:r>
    </w:p>
    <w:p>
      <w:pPr>
        <w:widowControl/>
        <w:ind w:firstLine="1200" w:firstLineChars="500"/>
        <w:jc w:val="left"/>
        <w:rPr>
          <w:bCs/>
          <w:color w:val="auto"/>
          <w:kern w:val="21"/>
        </w:rPr>
      </w:pPr>
      <w:r>
        <w:rPr>
          <w:bCs/>
          <w:color w:val="auto"/>
          <w:kern w:val="21"/>
          <w:lang w:bidi="ar"/>
        </w:rPr>
        <w:t>Ci——第i个土壤因子的监测浓度值，mg/kg；</w:t>
      </w:r>
    </w:p>
    <w:p>
      <w:pPr>
        <w:widowControl/>
        <w:ind w:firstLine="1200" w:firstLineChars="500"/>
        <w:jc w:val="left"/>
        <w:rPr>
          <w:bCs/>
          <w:color w:val="auto"/>
          <w:kern w:val="21"/>
        </w:rPr>
      </w:pPr>
      <w:r>
        <w:rPr>
          <w:bCs/>
          <w:color w:val="auto"/>
          <w:kern w:val="21"/>
          <w:lang w:bidi="ar"/>
        </w:rPr>
        <w:t>Csi——第i个土壤因子的标准浓度值，mg/kg。</w:t>
      </w:r>
    </w:p>
    <w:p>
      <w:pPr>
        <w:tabs>
          <w:tab w:val="left" w:pos="2395"/>
        </w:tabs>
        <w:ind w:firstLine="480"/>
        <w:rPr>
          <w:bCs/>
          <w:color w:val="auto"/>
          <w:kern w:val="21"/>
        </w:rPr>
      </w:pPr>
      <w:r>
        <w:rPr>
          <w:bCs/>
          <w:color w:val="auto"/>
          <w:kern w:val="21"/>
        </w:rPr>
        <w:t>5、执行标准</w:t>
      </w:r>
    </w:p>
    <w:p>
      <w:pPr>
        <w:ind w:firstLine="480"/>
        <w:rPr>
          <w:bCs/>
          <w:color w:val="auto"/>
          <w:kern w:val="21"/>
        </w:rPr>
      </w:pPr>
      <w:r>
        <w:rPr>
          <w:bCs/>
          <w:color w:val="auto"/>
          <w:kern w:val="21"/>
        </w:rPr>
        <w:t>执行《土壤环境质量建设用地土壤污染风险管控标准（试行）》（GB36600-2018）第二类用地标准中的筛选值、管制值。</w:t>
      </w:r>
    </w:p>
    <w:p>
      <w:pPr>
        <w:widowControl/>
        <w:ind w:firstLine="480"/>
        <w:jc w:val="left"/>
        <w:rPr>
          <w:bCs/>
          <w:color w:val="auto"/>
          <w:kern w:val="21"/>
        </w:rPr>
      </w:pPr>
      <w:r>
        <w:rPr>
          <w:bCs/>
          <w:color w:val="auto"/>
          <w:kern w:val="21"/>
        </w:rPr>
        <w:t>6、</w:t>
      </w:r>
      <w:r>
        <w:rPr>
          <w:bCs/>
          <w:color w:val="auto"/>
          <w:kern w:val="21"/>
          <w:lang w:bidi="ar"/>
        </w:rPr>
        <w:t>监测结果与评价</w:t>
      </w:r>
    </w:p>
    <w:p>
      <w:pPr>
        <w:numPr>
          <w:ilvl w:val="0"/>
          <w:numId w:val="9"/>
        </w:numPr>
        <w:ind w:left="0" w:leftChars="0" w:firstLine="0" w:firstLineChars="0"/>
        <w:jc w:val="center"/>
        <w:rPr>
          <w:b/>
          <w:color w:val="auto"/>
          <w:kern w:val="21"/>
        </w:rPr>
      </w:pPr>
      <w:r>
        <w:rPr>
          <w:b/>
          <w:color w:val="auto"/>
          <w:kern w:val="21"/>
        </w:rPr>
        <w:t>厂址西南面土壤环境质量监测及评价结果</w:t>
      </w:r>
      <w:r>
        <w:rPr>
          <w:rFonts w:hint="eastAsia"/>
          <w:b/>
          <w:color w:val="auto"/>
          <w:kern w:val="21"/>
        </w:rPr>
        <w:t xml:space="preserve">   </w:t>
      </w:r>
      <w:r>
        <w:rPr>
          <w:b/>
          <w:color w:val="auto"/>
          <w:kern w:val="21"/>
        </w:rPr>
        <w:t>单位：mg/kg</w:t>
      </w:r>
    </w:p>
    <w:tbl>
      <w:tblPr>
        <w:tblStyle w:val="51"/>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9"/>
        <w:gridCol w:w="1165"/>
        <w:gridCol w:w="1163"/>
        <w:gridCol w:w="1163"/>
        <w:gridCol w:w="1165"/>
        <w:gridCol w:w="1160"/>
        <w:gridCol w:w="1163"/>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88"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一、金属和无机物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砷</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镉</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六价铬</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铜</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铅</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汞</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5"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8.87</w:t>
            </w:r>
          </w:p>
        </w:tc>
        <w:tc>
          <w:tcPr>
            <w:tcW w:w="1163"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0.28</w:t>
            </w:r>
          </w:p>
        </w:tc>
        <w:tc>
          <w:tcPr>
            <w:tcW w:w="1163"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2.00L</w:t>
            </w:r>
          </w:p>
        </w:tc>
        <w:tc>
          <w:tcPr>
            <w:tcW w:w="1165"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21</w:t>
            </w:r>
          </w:p>
        </w:tc>
        <w:tc>
          <w:tcPr>
            <w:tcW w:w="1160"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140</w:t>
            </w:r>
          </w:p>
        </w:tc>
        <w:tc>
          <w:tcPr>
            <w:tcW w:w="1163"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0.126</w:t>
            </w:r>
          </w:p>
        </w:tc>
        <w:tc>
          <w:tcPr>
            <w:tcW w:w="1160"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60</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65</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5.7</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18000</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800</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38</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140</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172</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78</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36000</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2500</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82</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88"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四氯化碳</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氯仿</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氯甲烷</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1-二氯乙烷</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2-二氯乙烷</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1-二氯乙烯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顺-1</w:t>
            </w:r>
            <w:r>
              <w:rPr>
                <w:rFonts w:hint="eastAsia"/>
                <w:bCs/>
                <w:color w:val="auto"/>
                <w:kern w:val="21"/>
                <w:sz w:val="21"/>
                <w:szCs w:val="21"/>
              </w:rPr>
              <w:t>，</w:t>
            </w:r>
            <w:r>
              <w:rPr>
                <w:bCs/>
                <w:color w:val="auto"/>
                <w:kern w:val="21"/>
                <w:sz w:val="21"/>
                <w:szCs w:val="21"/>
              </w:rPr>
              <w:t>2-二氯乙烯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1.1L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1.0L</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0.9</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37</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9</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66</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36</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21</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反-1</w:t>
            </w:r>
            <w:r>
              <w:rPr>
                <w:rFonts w:hint="eastAsia"/>
                <w:bCs/>
                <w:color w:val="auto"/>
                <w:kern w:val="21"/>
                <w:sz w:val="21"/>
                <w:szCs w:val="21"/>
              </w:rPr>
              <w:t>，</w:t>
            </w:r>
            <w:r>
              <w:rPr>
                <w:bCs/>
                <w:color w:val="auto"/>
                <w:kern w:val="21"/>
                <w:sz w:val="21"/>
                <w:szCs w:val="21"/>
              </w:rPr>
              <w:t>2-二氯乙烯</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二氯甲烷</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2-二氯丙烷</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2-四氯乙烷</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2-四氯乙烷</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四氯乙烯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1-三氯乙烷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1.4L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1.1L</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1.4L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54</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616</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6.8</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53</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163</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47</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183</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2-三氯乙烷</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三氯乙烯</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3-三氯丙烷</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氯乙烯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1.9L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0.5</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0.43</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270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4.3</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4-二氯苯</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乙苯</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苯乙烯</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甲苯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间二甲苯+对二甲苯</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邻二甲苯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1.1L</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570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640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570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640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88"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三、半挥发性有机物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硝基苯</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苯胺</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2-氯酚</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苯并[a]蒽</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苯并[a]芘</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苯并[b]荧蒽</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苯并[k]荧蒽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0.09L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0.05L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0.06L</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76</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260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2256</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760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663</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4500</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䓛</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二苯并[a</w:t>
            </w:r>
            <w:r>
              <w:rPr>
                <w:rFonts w:hint="eastAsia"/>
                <w:bCs/>
                <w:color w:val="auto"/>
                <w:kern w:val="21"/>
                <w:sz w:val="21"/>
                <w:szCs w:val="21"/>
              </w:rPr>
              <w:t>，</w:t>
            </w:r>
            <w:r>
              <w:rPr>
                <w:bCs/>
                <w:color w:val="auto"/>
                <w:kern w:val="21"/>
                <w:sz w:val="21"/>
                <w:szCs w:val="21"/>
              </w:rPr>
              <w:t>h]蒽</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茚并[1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3-cd]芘</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萘</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0.09L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1293</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12900</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165"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3"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3"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bl>
    <w:p>
      <w:pPr>
        <w:numPr>
          <w:ilvl w:val="0"/>
          <w:numId w:val="9"/>
        </w:numPr>
        <w:ind w:left="0" w:leftChars="0" w:firstLine="0" w:firstLineChars="0"/>
        <w:jc w:val="center"/>
        <w:rPr>
          <w:b/>
          <w:color w:val="auto"/>
          <w:kern w:val="21"/>
        </w:rPr>
      </w:pPr>
      <w:r>
        <w:rPr>
          <w:b/>
          <w:color w:val="auto"/>
          <w:kern w:val="21"/>
        </w:rPr>
        <w:t>厂址中心土壤环境质量监测及评价结果</w:t>
      </w:r>
      <w:r>
        <w:rPr>
          <w:rFonts w:hint="eastAsia"/>
          <w:b/>
          <w:color w:val="auto"/>
          <w:kern w:val="21"/>
        </w:rPr>
        <w:t xml:space="preserve">   </w:t>
      </w:r>
      <w:r>
        <w:rPr>
          <w:b/>
          <w:color w:val="auto"/>
          <w:kern w:val="21"/>
        </w:rPr>
        <w:t>单位：mg/kg</w:t>
      </w:r>
    </w:p>
    <w:tbl>
      <w:tblPr>
        <w:tblStyle w:val="51"/>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166"/>
        <w:gridCol w:w="1164"/>
        <w:gridCol w:w="1164"/>
        <w:gridCol w:w="1166"/>
        <w:gridCol w:w="1159"/>
        <w:gridCol w:w="1164"/>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一、金属和无机物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砷</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镉</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六价铬</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铜</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铅</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汞</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6.66</w:t>
            </w:r>
          </w:p>
        </w:tc>
        <w:tc>
          <w:tcPr>
            <w:tcW w:w="1164"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0.26</w:t>
            </w:r>
          </w:p>
        </w:tc>
        <w:tc>
          <w:tcPr>
            <w:tcW w:w="1164"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2.00L</w:t>
            </w:r>
          </w:p>
        </w:tc>
        <w:tc>
          <w:tcPr>
            <w:tcW w:w="1166"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18</w:t>
            </w:r>
          </w:p>
        </w:tc>
        <w:tc>
          <w:tcPr>
            <w:tcW w:w="1159"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147</w:t>
            </w:r>
          </w:p>
        </w:tc>
        <w:tc>
          <w:tcPr>
            <w:tcW w:w="1164"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0.146</w:t>
            </w:r>
          </w:p>
        </w:tc>
        <w:tc>
          <w:tcPr>
            <w:tcW w:w="1160"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60</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65</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5.7</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18000</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800</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38</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140</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172</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78</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36000</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2500</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82</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四氯化碳</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氯仿</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氯甲烷</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1-二氯乙烷</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2-二氯乙烷</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1-二氯乙烯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顺-1</w:t>
            </w:r>
            <w:r>
              <w:rPr>
                <w:rFonts w:hint="eastAsia"/>
                <w:bCs/>
                <w:color w:val="auto"/>
                <w:kern w:val="21"/>
                <w:sz w:val="21"/>
                <w:szCs w:val="21"/>
              </w:rPr>
              <w:t>，</w:t>
            </w:r>
            <w:r>
              <w:rPr>
                <w:bCs/>
                <w:color w:val="auto"/>
                <w:kern w:val="21"/>
                <w:sz w:val="21"/>
                <w:szCs w:val="21"/>
              </w:rPr>
              <w:t>2-二氯乙烯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1.1L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0.9</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37</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9</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66</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36</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21</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反-1</w:t>
            </w:r>
            <w:r>
              <w:rPr>
                <w:rFonts w:hint="eastAsia"/>
                <w:bCs/>
                <w:color w:val="auto"/>
                <w:kern w:val="21"/>
                <w:sz w:val="21"/>
                <w:szCs w:val="21"/>
              </w:rPr>
              <w:t>，</w:t>
            </w:r>
            <w:r>
              <w:rPr>
                <w:bCs/>
                <w:color w:val="auto"/>
                <w:kern w:val="21"/>
                <w:sz w:val="21"/>
                <w:szCs w:val="21"/>
              </w:rPr>
              <w:t>2-二氯乙烯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二氯甲烷</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2-二氯丙烷</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2-四氯乙烷</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2-四氯乙烷</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四氯乙烯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1-三氯乙烷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1.4L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1.1L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1.4L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54</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616</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6.8</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53</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163</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47</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183</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2-三氯乙烷</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三氯乙烯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3-三氯丙烷</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氯乙烯</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1.9L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0.5</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0.43</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270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4.3</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4-二氯苯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乙苯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苯乙烯</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甲苯</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间二甲苯+对二甲苯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邻二甲苯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1.1L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570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640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570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640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三、半挥发性有机物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硝基苯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苯胺</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2-氯酚</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苯并[a]蒽</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苯并[a]芘</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苯并[b]荧蒽</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苯并[k]荧蒽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0.09L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0.05L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0.06L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76</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260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2256</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760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663</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4500</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䓛</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二苯并[a</w:t>
            </w:r>
            <w:r>
              <w:rPr>
                <w:rFonts w:hint="eastAsia"/>
                <w:bCs/>
                <w:color w:val="auto"/>
                <w:kern w:val="21"/>
                <w:sz w:val="21"/>
                <w:szCs w:val="21"/>
              </w:rPr>
              <w:t>，</w:t>
            </w:r>
            <w:r>
              <w:rPr>
                <w:bCs/>
                <w:color w:val="auto"/>
                <w:kern w:val="21"/>
                <w:sz w:val="21"/>
                <w:szCs w:val="21"/>
              </w:rPr>
              <w:t>h]蒽</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茚并[1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3-cd]芘</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萘</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0.09L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1293</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700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bl>
    <w:p>
      <w:pPr>
        <w:numPr>
          <w:ilvl w:val="0"/>
          <w:numId w:val="9"/>
        </w:numPr>
        <w:ind w:left="0" w:leftChars="0" w:firstLine="0" w:firstLineChars="0"/>
        <w:jc w:val="center"/>
        <w:rPr>
          <w:b/>
          <w:color w:val="auto"/>
          <w:kern w:val="21"/>
        </w:rPr>
      </w:pPr>
      <w:r>
        <w:rPr>
          <w:b/>
          <w:color w:val="auto"/>
          <w:kern w:val="21"/>
        </w:rPr>
        <w:t>厂址东南面土壤环境质量监测及评价结果</w:t>
      </w:r>
      <w:r>
        <w:rPr>
          <w:rFonts w:hint="eastAsia"/>
          <w:b/>
          <w:color w:val="auto"/>
          <w:kern w:val="21"/>
        </w:rPr>
        <w:t xml:space="preserve">   </w:t>
      </w:r>
      <w:r>
        <w:rPr>
          <w:b/>
          <w:color w:val="auto"/>
          <w:kern w:val="21"/>
        </w:rPr>
        <w:t>单位：mg/kg</w:t>
      </w:r>
    </w:p>
    <w:tbl>
      <w:tblPr>
        <w:tblStyle w:val="51"/>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166"/>
        <w:gridCol w:w="1164"/>
        <w:gridCol w:w="1164"/>
        <w:gridCol w:w="1166"/>
        <w:gridCol w:w="1159"/>
        <w:gridCol w:w="1164"/>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一、金属和无机物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砷</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镉</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六价铬</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铜</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铅</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汞</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7.28</w:t>
            </w:r>
          </w:p>
        </w:tc>
        <w:tc>
          <w:tcPr>
            <w:tcW w:w="1164"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0.26</w:t>
            </w:r>
          </w:p>
        </w:tc>
        <w:tc>
          <w:tcPr>
            <w:tcW w:w="1164"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2.00L</w:t>
            </w:r>
          </w:p>
        </w:tc>
        <w:tc>
          <w:tcPr>
            <w:tcW w:w="1166"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13</w:t>
            </w:r>
          </w:p>
        </w:tc>
        <w:tc>
          <w:tcPr>
            <w:tcW w:w="1159"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138</w:t>
            </w:r>
          </w:p>
        </w:tc>
        <w:tc>
          <w:tcPr>
            <w:tcW w:w="1164"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0.132</w:t>
            </w:r>
          </w:p>
        </w:tc>
        <w:tc>
          <w:tcPr>
            <w:tcW w:w="1160" w:type="dxa"/>
            <w:vAlign w:val="center"/>
          </w:tcPr>
          <w:p>
            <w:pPr>
              <w:widowControl/>
              <w:adjustRightInd w:val="0"/>
              <w:snapToGrid w:val="0"/>
              <w:spacing w:line="240" w:lineRule="auto"/>
              <w:ind w:firstLine="0" w:firstLineChars="0"/>
              <w:jc w:val="center"/>
              <w:textAlignment w:val="bottom"/>
              <w:rPr>
                <w:bCs/>
                <w:color w:val="auto"/>
                <w:kern w:val="21"/>
                <w:sz w:val="21"/>
                <w:szCs w:val="21"/>
              </w:rPr>
            </w:pPr>
            <w:r>
              <w:rPr>
                <w:color w:val="auto"/>
                <w:kern w:val="21"/>
                <w:sz w:val="21"/>
                <w:szCs w:val="21"/>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60</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65</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5.7</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18000</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800</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38</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140</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172</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78</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36000</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2500</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82</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四氯化碳</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氯仿</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氯甲烷</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1-二氯乙烷</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2-二氯乙烷</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1-二氯乙烯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顺-1</w:t>
            </w:r>
            <w:r>
              <w:rPr>
                <w:rFonts w:hint="eastAsia"/>
                <w:bCs/>
                <w:color w:val="auto"/>
                <w:kern w:val="21"/>
                <w:sz w:val="21"/>
                <w:szCs w:val="21"/>
              </w:rPr>
              <w:t>，</w:t>
            </w:r>
            <w:r>
              <w:rPr>
                <w:bCs/>
                <w:color w:val="auto"/>
                <w:kern w:val="21"/>
                <w:sz w:val="21"/>
                <w:szCs w:val="21"/>
              </w:rPr>
              <w:t>2-二氯乙烯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1.1L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0.9</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37</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9</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66</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36</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21</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反-1</w:t>
            </w:r>
            <w:r>
              <w:rPr>
                <w:rFonts w:hint="eastAsia"/>
                <w:bCs/>
                <w:color w:val="auto"/>
                <w:kern w:val="21"/>
                <w:sz w:val="21"/>
                <w:szCs w:val="21"/>
              </w:rPr>
              <w:t>，</w:t>
            </w:r>
            <w:r>
              <w:rPr>
                <w:bCs/>
                <w:color w:val="auto"/>
                <w:kern w:val="21"/>
                <w:sz w:val="21"/>
                <w:szCs w:val="21"/>
              </w:rPr>
              <w:t>2-二氯乙烯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二氯甲烷</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2-二氯丙烷</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2-四氯乙烷</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2-四氯乙烷</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四氯乙烯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1-三氯乙烷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1.4L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1.1L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1.4L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54</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616</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6.8</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53</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163</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47</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183</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1</w:t>
            </w:r>
            <w:r>
              <w:rPr>
                <w:rFonts w:hint="eastAsia"/>
                <w:bCs/>
                <w:color w:val="auto"/>
                <w:kern w:val="21"/>
                <w:sz w:val="21"/>
                <w:szCs w:val="21"/>
              </w:rPr>
              <w:t>，</w:t>
            </w:r>
            <w:r>
              <w:rPr>
                <w:bCs/>
                <w:color w:val="auto"/>
                <w:kern w:val="21"/>
                <w:sz w:val="21"/>
                <w:szCs w:val="21"/>
              </w:rPr>
              <w:t>2-三氯乙烷</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三氯乙烯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3-三氯丙烷</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氯乙烯</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氯苯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2-二氯苯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1.9L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0.5</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0.43</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270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4.3</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1000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w:t>
            </w:r>
            <w:r>
              <w:rPr>
                <w:rFonts w:hint="eastAsia"/>
                <w:bCs/>
                <w:color w:val="auto"/>
                <w:kern w:val="21"/>
                <w:sz w:val="21"/>
                <w:szCs w:val="21"/>
              </w:rPr>
              <w:t>，</w:t>
            </w:r>
            <w:r>
              <w:rPr>
                <w:bCs/>
                <w:color w:val="auto"/>
                <w:kern w:val="21"/>
                <w:sz w:val="21"/>
                <w:szCs w:val="21"/>
              </w:rPr>
              <w:t>4-二氯苯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乙苯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苯乙烯</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甲苯</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间二甲苯+对二甲苯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邻二甲苯</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1.1L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1.3L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570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640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200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280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1200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570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640</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8"/>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三、半挥发性有机物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硝基苯</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苯胺</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2-氯酚</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苯并[a]蒽</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苯并[a]芘</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苯并[b]荧蒽</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苯并[k]荧蒽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0.09L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0.05L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0.06L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0.2L</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76</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260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2256</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760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663</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4500</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指标名称</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䓛</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二苯并[a</w:t>
            </w:r>
            <w:r>
              <w:rPr>
                <w:rFonts w:hint="eastAsia"/>
                <w:bCs/>
                <w:color w:val="auto"/>
                <w:kern w:val="21"/>
                <w:sz w:val="21"/>
                <w:szCs w:val="21"/>
              </w:rPr>
              <w:t>，</w:t>
            </w:r>
            <w:r>
              <w:rPr>
                <w:bCs/>
                <w:color w:val="auto"/>
                <w:kern w:val="21"/>
                <w:sz w:val="21"/>
                <w:szCs w:val="21"/>
              </w:rPr>
              <w:t>h]蒽</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茚并[1</w:t>
            </w:r>
            <w:r>
              <w:rPr>
                <w:rFonts w:hint="eastAsia"/>
                <w:bCs/>
                <w:color w:val="auto"/>
                <w:kern w:val="21"/>
                <w:sz w:val="21"/>
                <w:szCs w:val="21"/>
              </w:rPr>
              <w:t>，</w:t>
            </w:r>
            <w:r>
              <w:rPr>
                <w:bCs/>
                <w:color w:val="auto"/>
                <w:kern w:val="21"/>
                <w:sz w:val="21"/>
                <w:szCs w:val="21"/>
              </w:rPr>
              <w:t>2</w:t>
            </w:r>
            <w:r>
              <w:rPr>
                <w:rFonts w:hint="eastAsia"/>
                <w:bCs/>
                <w:color w:val="auto"/>
                <w:kern w:val="21"/>
                <w:sz w:val="21"/>
                <w:szCs w:val="21"/>
              </w:rPr>
              <w:t>，</w:t>
            </w:r>
            <w:r>
              <w:rPr>
                <w:bCs/>
                <w:color w:val="auto"/>
                <w:kern w:val="21"/>
                <w:sz w:val="21"/>
                <w:szCs w:val="21"/>
              </w:rPr>
              <w:t>3-cd]芘</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萘</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监测值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0.1L</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0.09L</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筛选值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1293</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管制值</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12900</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w:t>
            </w: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151</w:t>
            </w:r>
          </w:p>
        </w:tc>
        <w:tc>
          <w:tcPr>
            <w:tcW w:w="1166"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r>
              <w:rPr>
                <w:bCs/>
                <w:color w:val="auto"/>
                <w:kern w:val="21"/>
                <w:sz w:val="21"/>
                <w:szCs w:val="21"/>
              </w:rPr>
              <w:t>700</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达标情况</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4"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66" w:type="dxa"/>
            <w:vAlign w:val="center"/>
          </w:tcPr>
          <w:p>
            <w:pPr>
              <w:adjustRightInd w:val="0"/>
              <w:snapToGrid w:val="0"/>
              <w:spacing w:line="240" w:lineRule="auto"/>
              <w:ind w:firstLine="0" w:firstLineChars="0"/>
              <w:jc w:val="center"/>
              <w:rPr>
                <w:bCs/>
                <w:color w:val="auto"/>
                <w:kern w:val="21"/>
                <w:sz w:val="21"/>
                <w:szCs w:val="21"/>
              </w:rPr>
            </w:pPr>
            <w:r>
              <w:rPr>
                <w:bCs/>
                <w:color w:val="auto"/>
                <w:kern w:val="21"/>
                <w:sz w:val="21"/>
                <w:szCs w:val="21"/>
              </w:rPr>
              <w:t>达标</w:t>
            </w:r>
          </w:p>
        </w:tc>
        <w:tc>
          <w:tcPr>
            <w:tcW w:w="1159"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4"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c>
          <w:tcPr>
            <w:tcW w:w="1160" w:type="dxa"/>
            <w:vAlign w:val="center"/>
          </w:tcPr>
          <w:p>
            <w:pPr>
              <w:pStyle w:val="23"/>
              <w:adjustRightInd w:val="0"/>
              <w:snapToGrid w:val="0"/>
              <w:spacing w:after="0" w:line="240" w:lineRule="auto"/>
              <w:ind w:left="0" w:leftChars="0" w:firstLine="0" w:firstLineChars="0"/>
              <w:jc w:val="center"/>
              <w:rPr>
                <w:bCs/>
                <w:color w:val="auto"/>
                <w:kern w:val="21"/>
                <w:sz w:val="21"/>
                <w:szCs w:val="21"/>
              </w:rPr>
            </w:pPr>
          </w:p>
        </w:tc>
      </w:tr>
    </w:tbl>
    <w:p>
      <w:pPr>
        <w:keepNext w:val="0"/>
        <w:keepLines w:val="0"/>
        <w:pageBreakBefore w:val="0"/>
        <w:widowControl/>
        <w:kinsoku/>
        <w:wordWrap/>
        <w:overflowPunct/>
        <w:topLinePunct w:val="0"/>
        <w:autoSpaceDE/>
        <w:autoSpaceDN/>
        <w:bidi w:val="0"/>
        <w:adjustRightInd w:val="0"/>
        <w:snapToGrid w:val="0"/>
        <w:spacing w:before="157" w:beforeLines="50"/>
        <w:ind w:firstLine="480"/>
        <w:jc w:val="left"/>
        <w:textAlignment w:val="auto"/>
        <w:rPr>
          <w:color w:val="auto"/>
          <w:kern w:val="21"/>
        </w:rPr>
      </w:pPr>
      <w:r>
        <w:rPr>
          <w:color w:val="auto"/>
          <w:kern w:val="21"/>
          <w:lang w:bidi="ar"/>
        </w:rPr>
        <w:t>由</w:t>
      </w:r>
      <w:r>
        <w:rPr>
          <w:rFonts w:hint="eastAsia"/>
          <w:color w:val="auto"/>
          <w:kern w:val="21"/>
          <w:lang w:eastAsia="zh-CN" w:bidi="ar"/>
        </w:rPr>
        <w:t>上述监测及评价结果表</w:t>
      </w:r>
      <w:r>
        <w:rPr>
          <w:color w:val="auto"/>
          <w:kern w:val="21"/>
          <w:lang w:bidi="ar"/>
        </w:rPr>
        <w:t>可知，拟建项目厂区三个土壤监测点的各污染物因子均能满足《土壤环境质量建设用地土壤污染风险管控标准》（试行）（GB36600-2018）中第二类用地的筛选值和管控值的要求</w:t>
      </w:r>
      <w:r>
        <w:rPr>
          <w:color w:val="auto"/>
          <w:kern w:val="21"/>
        </w:rPr>
        <w:t>，厂区土壤环境质量良好。</w:t>
      </w:r>
    </w:p>
    <w:bookmarkEnd w:id="225"/>
    <w:bookmarkEnd w:id="226"/>
    <w:bookmarkEnd w:id="227"/>
    <w:bookmarkEnd w:id="228"/>
    <w:bookmarkEnd w:id="229"/>
    <w:bookmarkEnd w:id="230"/>
    <w:bookmarkEnd w:id="231"/>
    <w:p>
      <w:pPr>
        <w:pStyle w:val="5"/>
        <w:spacing w:after="0"/>
        <w:rPr>
          <w:color w:val="auto"/>
          <w:kern w:val="21"/>
          <w:sz w:val="28"/>
        </w:rPr>
      </w:pPr>
      <w:bookmarkStart w:id="233" w:name="_Toc31657"/>
      <w:r>
        <w:rPr>
          <w:color w:val="auto"/>
          <w:kern w:val="21"/>
          <w:sz w:val="28"/>
        </w:rPr>
        <w:t>4.3生态环境现状</w:t>
      </w:r>
      <w:bookmarkEnd w:id="233"/>
    </w:p>
    <w:p>
      <w:pPr>
        <w:widowControl/>
        <w:ind w:firstLine="480"/>
        <w:jc w:val="left"/>
        <w:rPr>
          <w:color w:val="auto"/>
          <w:kern w:val="21"/>
        </w:rPr>
      </w:pPr>
      <w:r>
        <w:rPr>
          <w:color w:val="auto"/>
          <w:kern w:val="21"/>
          <w:lang w:bidi="ar"/>
        </w:rPr>
        <w:t>目前评价区域生态系统属于自然生态系统，由于人为干扰破坏严重，生态系统的完整性较差。</w:t>
      </w:r>
    </w:p>
    <w:p>
      <w:pPr>
        <w:widowControl/>
        <w:ind w:firstLine="480"/>
        <w:jc w:val="left"/>
        <w:rPr>
          <w:color w:val="auto"/>
          <w:kern w:val="21"/>
          <w:lang w:bidi="ar"/>
        </w:rPr>
      </w:pPr>
      <w:r>
        <w:rPr>
          <w:color w:val="auto"/>
          <w:kern w:val="21"/>
          <w:lang w:bidi="ar"/>
        </w:rPr>
        <w:t>由于项目场地已经平整，原有植被已不复存在，周边植被主要分布在项目区西侧，生物多样性一般，植被类型和植物种类与周边区域相同，且植被较为常见，主要有桉树、合欢、火棘、女贞，艾蒿，鬼针草、紫茎泽兰等，场地东侧东升路人工种植有香樟、侧柏等行道树，周边分布的植物为当地分布较广、较常见的植物。评价区由于长期受人为开发活动的干扰影响，早已不存在大型野生动物栖息地，评价区的野生动物种类贫乏、数量稀少、生物多样性水平低下，经现场踏勘，未发现仅在当地分布的特有种类和珍稀濒危保护植物物种。</w:t>
      </w:r>
    </w:p>
    <w:p>
      <w:pPr>
        <w:ind w:firstLine="480"/>
        <w:rPr>
          <w:color w:val="auto"/>
          <w:kern w:val="21"/>
        </w:rPr>
      </w:pPr>
      <w:r>
        <w:rPr>
          <w:color w:val="auto"/>
          <w:kern w:val="21"/>
          <w:lang w:bidi="ar"/>
        </w:rPr>
        <w:t>项目评价区内动物主要为小型的哺乳动物以及两栖类的一些常见物种，如青蛙、蟾蜍等；哺乳动物主要有褐家鼠、褐尾鼠等小型兽类。鸟类主要有家燕、喜鹊、树麻雀、山麻雀等。经现场踏勘，未发现评价区内有国家及省级保护动、植物种分布。</w:t>
      </w:r>
      <w:r>
        <w:rPr>
          <w:color w:val="auto"/>
          <w:kern w:val="21"/>
        </w:rPr>
        <w:t>从植被、动物的多样性和丰富度上分析区域内生态环境质量一般。</w:t>
      </w:r>
    </w:p>
    <w:p>
      <w:pPr>
        <w:ind w:firstLine="480"/>
        <w:rPr>
          <w:color w:val="auto"/>
          <w:kern w:val="21"/>
        </w:rPr>
      </w:pPr>
      <w:r>
        <w:rPr>
          <w:color w:val="auto"/>
          <w:kern w:val="21"/>
        </w:rPr>
        <w:t>项目用地北面紧邻云南捷贸建设工程有限公司，南面紧邻富民庄甸工业园区二次供水泵站，西面紧邻一片林地，东面紧邻东升路，项目评价区土地利用现状图，见附图9。</w:t>
      </w:r>
    </w:p>
    <w:p>
      <w:pPr>
        <w:pStyle w:val="5"/>
        <w:spacing w:after="0"/>
        <w:rPr>
          <w:color w:val="auto"/>
          <w:kern w:val="21"/>
          <w:sz w:val="28"/>
        </w:rPr>
      </w:pPr>
      <w:bookmarkStart w:id="234" w:name="_Toc1098"/>
      <w:r>
        <w:rPr>
          <w:color w:val="auto"/>
          <w:kern w:val="21"/>
          <w:sz w:val="28"/>
        </w:rPr>
        <w:t>4.4项目周边污染源调查</w:t>
      </w:r>
      <w:bookmarkEnd w:id="234"/>
    </w:p>
    <w:p>
      <w:pPr>
        <w:pStyle w:val="23"/>
        <w:spacing w:after="0" w:line="360" w:lineRule="auto"/>
        <w:ind w:left="0" w:leftChars="0" w:firstLine="480"/>
        <w:rPr>
          <w:b/>
          <w:bCs/>
          <w:color w:val="auto"/>
          <w:kern w:val="21"/>
          <w:lang w:bidi="ar"/>
        </w:rPr>
      </w:pPr>
      <w:r>
        <w:rPr>
          <w:color w:val="auto"/>
          <w:kern w:val="21"/>
          <w:lang w:bidi="ar"/>
        </w:rPr>
        <w:t>项目选址位于楚雄市东升路西侧，紧邻富民工业园区外侧，项目周边已建项目有</w:t>
      </w:r>
      <w:r>
        <w:rPr>
          <w:color w:val="auto"/>
          <w:shd w:val="clear" w:color="auto" w:fill="FFFFFF"/>
        </w:rPr>
        <w:t>宇泽半导体（云南）有限公司年产5GW单晶硅拉棒及</w:t>
      </w:r>
      <w:r>
        <w:rPr>
          <w:rFonts w:hint="eastAsia"/>
          <w:color w:val="auto"/>
          <w:shd w:val="clear" w:color="auto" w:fill="FFFFFF"/>
          <w:lang w:val="en-US" w:eastAsia="zh-CN"/>
        </w:rPr>
        <w:t>3</w:t>
      </w:r>
      <w:r>
        <w:rPr>
          <w:color w:val="auto"/>
          <w:shd w:val="clear" w:color="auto" w:fill="FFFFFF"/>
        </w:rPr>
        <w:t>GW切片项目（一期）、云南麻叶生物科技有限公司工业大麻加工建设项目、云南赛维汉普500吨花叶加工提取大麻二酚项目</w:t>
      </w:r>
      <w:r>
        <w:rPr>
          <w:rFonts w:hint="eastAsia"/>
          <w:color w:val="auto"/>
          <w:shd w:val="clear" w:color="auto" w:fill="FFFFFF"/>
          <w:lang w:eastAsia="zh-CN"/>
        </w:rPr>
        <w:t>、湖南方盛制药股份有限公司工业大麻加工基地建设项目，正在建设的项目有</w:t>
      </w:r>
      <w:r>
        <w:rPr>
          <w:color w:val="auto"/>
          <w:kern w:val="21"/>
          <w:lang w:bidi="ar"/>
        </w:rPr>
        <w:t>晶科能源（楚雄）有限公司年产20吉瓦高效太阳能电池片生产线建设项目（一期）、</w:t>
      </w:r>
      <w:r>
        <w:rPr>
          <w:color w:val="auto"/>
          <w:shd w:val="clear" w:color="auto" w:fill="FFFFFF"/>
        </w:rPr>
        <w:t>年产5GW单晶硅拉棒及</w:t>
      </w:r>
      <w:r>
        <w:rPr>
          <w:rFonts w:hint="eastAsia"/>
          <w:color w:val="auto"/>
          <w:shd w:val="clear" w:color="auto" w:fill="FFFFFF"/>
          <w:lang w:val="en-US" w:eastAsia="zh-CN"/>
        </w:rPr>
        <w:t>2</w:t>
      </w:r>
      <w:r>
        <w:rPr>
          <w:color w:val="auto"/>
          <w:shd w:val="clear" w:color="auto" w:fill="FFFFFF"/>
        </w:rPr>
        <w:t>GW切片项目，</w:t>
      </w:r>
      <w:r>
        <w:rPr>
          <w:color w:val="auto"/>
          <w:kern w:val="21"/>
          <w:lang w:bidi="ar"/>
        </w:rPr>
        <w:t>项目周边污染源分布见附图10。</w:t>
      </w:r>
    </w:p>
    <w:p>
      <w:pPr>
        <w:pStyle w:val="23"/>
        <w:spacing w:after="0" w:line="360" w:lineRule="auto"/>
        <w:ind w:left="0" w:leftChars="0" w:firstLine="480"/>
        <w:rPr>
          <w:color w:val="auto"/>
          <w:kern w:val="21"/>
          <w:lang w:bidi="ar"/>
        </w:rPr>
      </w:pPr>
      <w:r>
        <w:rPr>
          <w:rFonts w:hint="eastAsia"/>
          <w:color w:val="auto"/>
          <w:kern w:val="21"/>
          <w:lang w:bidi="ar"/>
        </w:rPr>
        <w:t>从2019年开始，楚雄市住房和城乡建设局与中国交建合作开展PPP项目，对龙川江流域入河排污口进行整改，已批准不规范的整改，未批准的排污口全部封堵，2019年排污口</w:t>
      </w:r>
      <w:r>
        <w:rPr>
          <w:rFonts w:hint="eastAsia"/>
          <w:color w:val="auto"/>
          <w:kern w:val="21"/>
          <w:lang w:eastAsia="zh-CN" w:bidi="ar"/>
        </w:rPr>
        <w:t>设置</w:t>
      </w:r>
      <w:r>
        <w:rPr>
          <w:rFonts w:hint="eastAsia"/>
          <w:color w:val="auto"/>
          <w:kern w:val="21"/>
          <w:lang w:bidi="ar"/>
        </w:rPr>
        <w:t>工程共有排污口49个，属于龙川江的有10个，属于青龙河的有29个，属于河前小河的有4个，属于灵秀小河的有6个，全部整改完成；2020年整改完成了灵秀小河4个入河排污口；2021年整改完成灵秀小河2个入河排污口和青龙河2个入河排污口。</w:t>
      </w:r>
    </w:p>
    <w:p>
      <w:pPr>
        <w:pStyle w:val="23"/>
        <w:spacing w:after="0" w:line="360" w:lineRule="auto"/>
        <w:ind w:left="0" w:leftChars="0" w:firstLine="480"/>
        <w:rPr>
          <w:color w:val="auto"/>
          <w:kern w:val="21"/>
          <w:lang w:bidi="ar"/>
        </w:rPr>
      </w:pPr>
      <w:r>
        <w:rPr>
          <w:rFonts w:hint="eastAsia"/>
          <w:color w:val="auto"/>
          <w:kern w:val="21"/>
          <w:lang w:bidi="ar"/>
        </w:rPr>
        <w:t>经沿青龙河现场踏勘，目前，入青龙河排污口只有3个，本项目排污口及上游的楚雄市阳光桥入河排污口（</w:t>
      </w:r>
      <w:r>
        <w:rPr>
          <w:color w:val="auto"/>
        </w:rPr>
        <w:t>青龙河五号桥污水应急处理示范工程</w:t>
      </w:r>
      <w:r>
        <w:rPr>
          <w:rFonts w:hint="eastAsia"/>
          <w:color w:val="auto"/>
          <w:kern w:val="21"/>
          <w:lang w:bidi="ar"/>
        </w:rPr>
        <w:t>）和楚雄市职教园区入河排污口（</w:t>
      </w:r>
      <w:r>
        <w:rPr>
          <w:color w:val="auto"/>
        </w:rPr>
        <w:t>楚雄市青龙河段技师学院片区污水应急处理示范工程</w:t>
      </w:r>
      <w:r>
        <w:rPr>
          <w:rFonts w:hint="eastAsia"/>
          <w:color w:val="auto"/>
          <w:kern w:val="21"/>
          <w:lang w:bidi="ar"/>
        </w:rPr>
        <w:t>），该两个排污口</w:t>
      </w:r>
      <w:r>
        <w:rPr>
          <w:rFonts w:hint="eastAsia"/>
          <w:color w:val="auto"/>
          <w:kern w:val="21"/>
          <w:lang w:eastAsia="zh-CN" w:bidi="ar"/>
        </w:rPr>
        <w:t>分别位于本项目阳光桥排放口上游约</w:t>
      </w:r>
      <w:r>
        <w:rPr>
          <w:rFonts w:hint="eastAsia"/>
          <w:color w:val="auto"/>
          <w:kern w:val="21"/>
          <w:lang w:val="en-US" w:eastAsia="zh-CN" w:bidi="ar"/>
        </w:rPr>
        <w:t>110m和2.7km，</w:t>
      </w:r>
      <w:r>
        <w:rPr>
          <w:rFonts w:hint="eastAsia"/>
          <w:color w:val="auto"/>
          <w:kern w:val="21"/>
          <w:lang w:bidi="ar"/>
        </w:rPr>
        <w:t>2020年已通过入河排入口批准。</w:t>
      </w:r>
    </w:p>
    <w:p>
      <w:pPr>
        <w:ind w:firstLine="482"/>
        <w:rPr>
          <w:b/>
          <w:bCs/>
          <w:color w:val="auto"/>
        </w:rPr>
      </w:pPr>
      <w:r>
        <w:rPr>
          <w:b/>
          <w:bCs/>
          <w:iCs/>
          <w:color w:val="auto"/>
        </w:rPr>
        <w:t>1、</w:t>
      </w:r>
      <w:r>
        <w:rPr>
          <w:b/>
          <w:bCs/>
          <w:color w:val="auto"/>
        </w:rPr>
        <w:t>青龙河五号桥污水应急处理示范工程</w:t>
      </w:r>
    </w:p>
    <w:p>
      <w:pPr>
        <w:ind w:firstLine="480"/>
        <w:rPr>
          <w:color w:val="auto"/>
        </w:rPr>
      </w:pPr>
      <w:r>
        <w:rPr>
          <w:color w:val="auto"/>
        </w:rPr>
        <w:t>（1）工程概况</w:t>
      </w:r>
    </w:p>
    <w:p>
      <w:pPr>
        <w:pStyle w:val="16"/>
        <w:adjustRightInd/>
        <w:spacing w:before="0"/>
        <w:ind w:right="0" w:firstLine="480"/>
        <w:jc w:val="both"/>
        <w:rPr>
          <w:rFonts w:ascii="Times New Roman" w:hAnsi="Times New Roman"/>
          <w:color w:val="auto"/>
          <w:sz w:val="24"/>
          <w:szCs w:val="24"/>
        </w:rPr>
      </w:pPr>
      <w:r>
        <w:rPr>
          <w:rFonts w:ascii="Times New Roman" w:hAnsi="Times New Roman"/>
          <w:color w:val="auto"/>
          <w:sz w:val="24"/>
          <w:szCs w:val="24"/>
        </w:rPr>
        <w:t>楚雄市青龙河五号桥片区污水主要来自周边的小区，该片区总人口约3万人，污水未经处理直接排入青龙河，为了降低污水对青龙河水质的污染，楚雄市供排水公司在距离青龙河五号桥南侧约15m处的河岸边建设了1座处理规模为1000m</w:t>
      </w:r>
      <w:r>
        <w:rPr>
          <w:rFonts w:ascii="Times New Roman" w:hAnsi="Times New Roman"/>
          <w:color w:val="auto"/>
          <w:sz w:val="24"/>
          <w:szCs w:val="24"/>
          <w:vertAlign w:val="superscript"/>
        </w:rPr>
        <w:t>3</w:t>
      </w:r>
      <w:r>
        <w:rPr>
          <w:rFonts w:ascii="Times New Roman" w:hAnsi="Times New Roman"/>
          <w:color w:val="auto"/>
          <w:sz w:val="24"/>
          <w:szCs w:val="24"/>
        </w:rPr>
        <w:t>/d的污水处理工程对五号桥片区的生活污水进行收集处理，收集的污水经2套500m</w:t>
      </w:r>
      <w:r>
        <w:rPr>
          <w:rFonts w:ascii="Times New Roman" w:hAnsi="Times New Roman"/>
          <w:color w:val="auto"/>
          <w:sz w:val="24"/>
          <w:szCs w:val="24"/>
          <w:vertAlign w:val="superscript"/>
        </w:rPr>
        <w:t>3</w:t>
      </w:r>
      <w:r>
        <w:rPr>
          <w:rFonts w:ascii="Times New Roman" w:hAnsi="Times New Roman"/>
          <w:color w:val="auto"/>
          <w:sz w:val="24"/>
          <w:szCs w:val="24"/>
        </w:rPr>
        <w:t>/d的一体化ZHL智能污水处理系统处理达到《城镇污水处理厂污染物排放标准》一级A标准后排入青龙河。</w:t>
      </w:r>
    </w:p>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（2）污水处理工艺简介</w:t>
      </w:r>
    </w:p>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收集到的污水通过简易格栅处理后进入调节池，在调节池中进行初步水解酸化处理，之后污水通过设备自带的提升泵提升进入一体化ZHL智能污水处理系统进行处理。ZHL智能污水处理系统中配有生化膜过滤系统、微生物菌群处理系统、微孔曝气增氧系统、MBR膜系统、微生物回流系统等处理单元，该系统对进入的污水在降解COD的同时实现脱氮除磷，实现污水达标排放。ZHL智能污水处理系统内部配有全自动膜维护系统，可实现MBR膜自动清洗，保证出水水质稳定达标。</w:t>
      </w:r>
    </w:p>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（3）污水处理工程建设运行情况</w:t>
      </w:r>
    </w:p>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污水处理工程已于2019年10月建成并投入运营，目前运行良好。根据2020年7月楚雄磐源环境检测有限公司出具的工程出水水质检测报表，该污水处理工程的出水水质及评价结果见</w:t>
      </w:r>
      <w:r>
        <w:rPr>
          <w:rFonts w:hint="eastAsia" w:ascii="Times New Roman" w:hAnsi="Times New Roman"/>
          <w:color w:val="auto"/>
          <w:sz w:val="24"/>
          <w:szCs w:val="24"/>
          <w:lang w:eastAsia="zh-CN"/>
        </w:rPr>
        <w:t>下表</w:t>
      </w:r>
      <w:r>
        <w:rPr>
          <w:rFonts w:ascii="Times New Roman" w:hAnsi="Times New Roman"/>
          <w:color w:val="auto"/>
          <w:sz w:val="24"/>
          <w:szCs w:val="24"/>
        </w:rPr>
        <w:t>。</w:t>
      </w:r>
    </w:p>
    <w:p>
      <w:pPr>
        <w:numPr>
          <w:ilvl w:val="0"/>
          <w:numId w:val="9"/>
        </w:numPr>
        <w:ind w:left="0" w:leftChars="0" w:firstLine="0" w:firstLineChars="0"/>
        <w:jc w:val="center"/>
        <w:rPr>
          <w:b/>
          <w:bCs/>
          <w:iCs/>
          <w:color w:val="auto"/>
        </w:rPr>
      </w:pPr>
      <w:r>
        <w:rPr>
          <w:b/>
          <w:bCs/>
          <w:iCs/>
          <w:color w:val="auto"/>
        </w:rPr>
        <w:t>青龙河五号</w:t>
      </w:r>
      <w:r>
        <w:rPr>
          <w:b/>
          <w:bCs/>
          <w:color w:val="auto"/>
          <w:kern w:val="0"/>
          <w:lang w:val="zh-CN"/>
        </w:rPr>
        <w:t>桥污水处理工程出水水质监测结果与评价</w:t>
      </w:r>
      <w:r>
        <w:rPr>
          <w:rFonts w:hint="eastAsia"/>
          <w:b/>
          <w:bCs/>
          <w:color w:val="auto"/>
          <w:kern w:val="0"/>
        </w:rPr>
        <w:t xml:space="preserve"> </w:t>
      </w:r>
      <w:r>
        <w:rPr>
          <w:b/>
          <w:bCs/>
          <w:color w:val="auto"/>
          <w:kern w:val="0"/>
          <w:lang w:val="zh-CN"/>
        </w:rPr>
        <w:t>单位：mg/L</w:t>
      </w:r>
    </w:p>
    <w:tbl>
      <w:tblPr>
        <w:tblStyle w:val="51"/>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44"/>
        <w:gridCol w:w="852"/>
        <w:gridCol w:w="804"/>
        <w:gridCol w:w="696"/>
        <w:gridCol w:w="671"/>
        <w:gridCol w:w="637"/>
        <w:gridCol w:w="714"/>
        <w:gridCol w:w="822"/>
        <w:gridCol w:w="720"/>
        <w:gridCol w:w="732"/>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714" w:type="dxa"/>
            <w:vAlign w:val="center"/>
          </w:tcPr>
          <w:p>
            <w:pPr>
              <w:pStyle w:val="177"/>
              <w:adjustRightInd w:val="0"/>
              <w:snapToGrid w:val="0"/>
              <w:spacing w:before="0" w:after="0"/>
              <w:ind w:left="0" w:right="0"/>
              <w:rPr>
                <w:i w:val="0"/>
                <w:iCs/>
                <w:color w:val="auto"/>
                <w:szCs w:val="21"/>
              </w:rPr>
            </w:pPr>
            <w:r>
              <w:rPr>
                <w:i w:val="0"/>
                <w:iCs/>
                <w:color w:val="auto"/>
                <w:szCs w:val="21"/>
              </w:rPr>
              <w:t>项目</w:t>
            </w:r>
          </w:p>
        </w:tc>
        <w:tc>
          <w:tcPr>
            <w:tcW w:w="744" w:type="dxa"/>
            <w:vAlign w:val="center"/>
          </w:tcPr>
          <w:p>
            <w:pPr>
              <w:pStyle w:val="177"/>
              <w:adjustRightInd w:val="0"/>
              <w:snapToGrid w:val="0"/>
              <w:spacing w:before="0" w:after="0"/>
              <w:ind w:left="0" w:right="0"/>
              <w:rPr>
                <w:i w:val="0"/>
                <w:iCs/>
                <w:color w:val="auto"/>
                <w:szCs w:val="21"/>
              </w:rPr>
            </w:pPr>
            <w:r>
              <w:rPr>
                <w:i w:val="0"/>
                <w:iCs/>
                <w:color w:val="auto"/>
                <w:szCs w:val="21"/>
              </w:rPr>
              <w:t>BOD</w:t>
            </w:r>
            <w:r>
              <w:rPr>
                <w:i w:val="0"/>
                <w:iCs/>
                <w:color w:val="auto"/>
                <w:szCs w:val="21"/>
                <w:vertAlign w:val="subscript"/>
              </w:rPr>
              <w:t>5</w:t>
            </w:r>
          </w:p>
        </w:tc>
        <w:tc>
          <w:tcPr>
            <w:tcW w:w="852" w:type="dxa"/>
            <w:vAlign w:val="center"/>
          </w:tcPr>
          <w:p>
            <w:pPr>
              <w:pStyle w:val="177"/>
              <w:adjustRightInd w:val="0"/>
              <w:snapToGrid w:val="0"/>
              <w:spacing w:before="0" w:after="0"/>
              <w:ind w:left="0" w:right="0"/>
              <w:rPr>
                <w:i w:val="0"/>
                <w:iCs/>
                <w:color w:val="auto"/>
                <w:szCs w:val="21"/>
              </w:rPr>
            </w:pPr>
            <w:r>
              <w:rPr>
                <w:i w:val="0"/>
                <w:iCs/>
                <w:color w:val="auto"/>
                <w:szCs w:val="21"/>
              </w:rPr>
              <w:t>COD</w:t>
            </w:r>
            <w:r>
              <w:rPr>
                <w:i w:val="0"/>
                <w:iCs/>
                <w:color w:val="auto"/>
                <w:szCs w:val="21"/>
                <w:vertAlign w:val="subscript"/>
              </w:rPr>
              <w:t>Cr</w:t>
            </w:r>
          </w:p>
        </w:tc>
        <w:tc>
          <w:tcPr>
            <w:tcW w:w="804" w:type="dxa"/>
            <w:vAlign w:val="center"/>
          </w:tcPr>
          <w:p>
            <w:pPr>
              <w:pStyle w:val="177"/>
              <w:adjustRightInd w:val="0"/>
              <w:snapToGrid w:val="0"/>
              <w:spacing w:before="0" w:after="0"/>
              <w:ind w:left="0" w:right="0"/>
              <w:rPr>
                <w:i w:val="0"/>
                <w:iCs/>
                <w:color w:val="auto"/>
                <w:szCs w:val="21"/>
              </w:rPr>
            </w:pPr>
            <w:r>
              <w:rPr>
                <w:i w:val="0"/>
                <w:iCs/>
                <w:color w:val="auto"/>
                <w:szCs w:val="21"/>
              </w:rPr>
              <w:t>SS</w:t>
            </w:r>
          </w:p>
        </w:tc>
        <w:tc>
          <w:tcPr>
            <w:tcW w:w="696" w:type="dxa"/>
            <w:vAlign w:val="center"/>
          </w:tcPr>
          <w:p>
            <w:pPr>
              <w:pStyle w:val="177"/>
              <w:adjustRightInd w:val="0"/>
              <w:snapToGrid w:val="0"/>
              <w:spacing w:before="0" w:after="0"/>
              <w:ind w:left="0" w:right="0"/>
              <w:rPr>
                <w:i w:val="0"/>
                <w:iCs/>
                <w:color w:val="auto"/>
                <w:szCs w:val="21"/>
              </w:rPr>
            </w:pPr>
            <w:r>
              <w:rPr>
                <w:i w:val="0"/>
                <w:iCs/>
                <w:color w:val="auto"/>
                <w:szCs w:val="21"/>
              </w:rPr>
              <w:t>TP</w:t>
            </w:r>
          </w:p>
        </w:tc>
        <w:tc>
          <w:tcPr>
            <w:tcW w:w="671" w:type="dxa"/>
            <w:vAlign w:val="center"/>
          </w:tcPr>
          <w:p>
            <w:pPr>
              <w:pStyle w:val="177"/>
              <w:adjustRightInd w:val="0"/>
              <w:snapToGrid w:val="0"/>
              <w:spacing w:before="0" w:after="0"/>
              <w:ind w:left="0" w:right="0"/>
              <w:rPr>
                <w:i w:val="0"/>
                <w:iCs/>
                <w:color w:val="auto"/>
                <w:szCs w:val="21"/>
              </w:rPr>
            </w:pPr>
            <w:r>
              <w:rPr>
                <w:i w:val="0"/>
                <w:iCs/>
                <w:color w:val="auto"/>
                <w:szCs w:val="21"/>
              </w:rPr>
              <w:t>TN</w:t>
            </w:r>
          </w:p>
        </w:tc>
        <w:tc>
          <w:tcPr>
            <w:tcW w:w="637" w:type="dxa"/>
            <w:vAlign w:val="center"/>
          </w:tcPr>
          <w:p>
            <w:pPr>
              <w:pStyle w:val="177"/>
              <w:adjustRightInd w:val="0"/>
              <w:snapToGrid w:val="0"/>
              <w:spacing w:before="0" w:after="0"/>
              <w:ind w:left="0" w:right="0"/>
              <w:rPr>
                <w:i w:val="0"/>
                <w:iCs/>
                <w:color w:val="auto"/>
                <w:szCs w:val="21"/>
              </w:rPr>
            </w:pPr>
            <w:r>
              <w:rPr>
                <w:i w:val="0"/>
                <w:iCs/>
                <w:color w:val="auto"/>
                <w:szCs w:val="21"/>
              </w:rPr>
              <w:t>氨氮</w:t>
            </w:r>
          </w:p>
        </w:tc>
        <w:tc>
          <w:tcPr>
            <w:tcW w:w="714" w:type="dxa"/>
            <w:vAlign w:val="center"/>
          </w:tcPr>
          <w:p>
            <w:pPr>
              <w:pStyle w:val="177"/>
              <w:adjustRightInd w:val="0"/>
              <w:snapToGrid w:val="0"/>
              <w:spacing w:before="0" w:after="0"/>
              <w:ind w:left="0" w:right="0"/>
              <w:rPr>
                <w:i w:val="0"/>
                <w:iCs/>
                <w:color w:val="auto"/>
                <w:szCs w:val="21"/>
              </w:rPr>
            </w:pPr>
            <w:r>
              <w:rPr>
                <w:i w:val="0"/>
                <w:iCs/>
                <w:color w:val="auto"/>
                <w:szCs w:val="21"/>
              </w:rPr>
              <w:t>PH</w:t>
            </w:r>
          </w:p>
        </w:tc>
        <w:tc>
          <w:tcPr>
            <w:tcW w:w="822" w:type="dxa"/>
            <w:vAlign w:val="center"/>
          </w:tcPr>
          <w:p>
            <w:pPr>
              <w:pStyle w:val="177"/>
              <w:adjustRightInd w:val="0"/>
              <w:snapToGrid w:val="0"/>
              <w:spacing w:before="0" w:after="0"/>
              <w:ind w:left="0" w:right="0"/>
              <w:rPr>
                <w:i w:val="0"/>
                <w:iCs/>
                <w:color w:val="auto"/>
                <w:szCs w:val="21"/>
              </w:rPr>
            </w:pPr>
            <w:r>
              <w:rPr>
                <w:i w:val="0"/>
                <w:iCs/>
                <w:color w:val="auto"/>
                <w:szCs w:val="21"/>
              </w:rPr>
              <w:t>阴离子表面活性剂</w:t>
            </w:r>
          </w:p>
        </w:tc>
        <w:tc>
          <w:tcPr>
            <w:tcW w:w="720" w:type="dxa"/>
            <w:vAlign w:val="center"/>
          </w:tcPr>
          <w:p>
            <w:pPr>
              <w:pStyle w:val="177"/>
              <w:adjustRightInd w:val="0"/>
              <w:snapToGrid w:val="0"/>
              <w:spacing w:before="0" w:after="0"/>
              <w:ind w:left="0" w:right="0"/>
              <w:rPr>
                <w:i w:val="0"/>
                <w:iCs/>
                <w:color w:val="auto"/>
                <w:szCs w:val="21"/>
              </w:rPr>
            </w:pPr>
            <w:r>
              <w:rPr>
                <w:i w:val="0"/>
                <w:iCs/>
                <w:color w:val="auto"/>
                <w:szCs w:val="21"/>
              </w:rPr>
              <w:t>动植物油</w:t>
            </w:r>
          </w:p>
        </w:tc>
        <w:tc>
          <w:tcPr>
            <w:tcW w:w="732" w:type="dxa"/>
            <w:vAlign w:val="center"/>
          </w:tcPr>
          <w:p>
            <w:pPr>
              <w:pStyle w:val="177"/>
              <w:adjustRightInd w:val="0"/>
              <w:snapToGrid w:val="0"/>
              <w:spacing w:before="0" w:after="0"/>
              <w:ind w:left="0" w:right="0"/>
              <w:rPr>
                <w:i w:val="0"/>
                <w:iCs/>
                <w:color w:val="auto"/>
                <w:szCs w:val="21"/>
              </w:rPr>
            </w:pPr>
            <w:r>
              <w:rPr>
                <w:i w:val="0"/>
                <w:iCs/>
                <w:color w:val="auto"/>
                <w:szCs w:val="21"/>
              </w:rPr>
              <w:t>石油类</w:t>
            </w:r>
          </w:p>
        </w:tc>
        <w:tc>
          <w:tcPr>
            <w:tcW w:w="756" w:type="dxa"/>
            <w:vAlign w:val="center"/>
          </w:tcPr>
          <w:p>
            <w:pPr>
              <w:pStyle w:val="177"/>
              <w:adjustRightInd w:val="0"/>
              <w:snapToGrid w:val="0"/>
              <w:spacing w:before="0" w:after="0"/>
              <w:ind w:left="0" w:right="0"/>
              <w:rPr>
                <w:i w:val="0"/>
                <w:iCs/>
                <w:color w:val="auto"/>
                <w:szCs w:val="21"/>
              </w:rPr>
            </w:pPr>
            <w:r>
              <w:rPr>
                <w:i w:val="0"/>
                <w:iCs/>
                <w:color w:val="auto"/>
                <w:szCs w:val="21"/>
              </w:rPr>
              <w:t>色度（度）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714" w:type="dxa"/>
            <w:vAlign w:val="center"/>
          </w:tcPr>
          <w:p>
            <w:pPr>
              <w:pStyle w:val="177"/>
              <w:adjustRightInd w:val="0"/>
              <w:snapToGrid w:val="0"/>
              <w:spacing w:before="0" w:after="0"/>
              <w:ind w:left="0" w:right="0"/>
              <w:rPr>
                <w:i w:val="0"/>
                <w:iCs/>
                <w:color w:val="auto"/>
                <w:szCs w:val="21"/>
              </w:rPr>
            </w:pPr>
            <w:r>
              <w:rPr>
                <w:i w:val="0"/>
                <w:iCs/>
                <w:color w:val="auto"/>
                <w:szCs w:val="21"/>
              </w:rPr>
              <w:t>最大值</w:t>
            </w:r>
          </w:p>
        </w:tc>
        <w:tc>
          <w:tcPr>
            <w:tcW w:w="744" w:type="dxa"/>
            <w:vAlign w:val="center"/>
          </w:tcPr>
          <w:p>
            <w:pPr>
              <w:pStyle w:val="177"/>
              <w:adjustRightInd w:val="0"/>
              <w:snapToGrid w:val="0"/>
              <w:ind w:left="0" w:right="0"/>
              <w:rPr>
                <w:i w:val="0"/>
                <w:iCs/>
                <w:color w:val="auto"/>
                <w:szCs w:val="21"/>
              </w:rPr>
            </w:pPr>
            <w:r>
              <w:rPr>
                <w:i w:val="0"/>
                <w:iCs/>
                <w:color w:val="auto"/>
                <w:szCs w:val="21"/>
              </w:rPr>
              <w:t>3</w:t>
            </w:r>
          </w:p>
        </w:tc>
        <w:tc>
          <w:tcPr>
            <w:tcW w:w="852" w:type="dxa"/>
            <w:vAlign w:val="center"/>
          </w:tcPr>
          <w:p>
            <w:pPr>
              <w:pStyle w:val="177"/>
              <w:adjustRightInd w:val="0"/>
              <w:snapToGrid w:val="0"/>
              <w:ind w:left="0" w:right="0"/>
              <w:rPr>
                <w:i w:val="0"/>
                <w:iCs/>
                <w:color w:val="auto"/>
                <w:szCs w:val="21"/>
              </w:rPr>
            </w:pPr>
            <w:r>
              <w:rPr>
                <w:i w:val="0"/>
                <w:iCs/>
                <w:color w:val="auto"/>
                <w:szCs w:val="21"/>
              </w:rPr>
              <w:t>26</w:t>
            </w:r>
          </w:p>
        </w:tc>
        <w:tc>
          <w:tcPr>
            <w:tcW w:w="804" w:type="dxa"/>
            <w:vAlign w:val="center"/>
          </w:tcPr>
          <w:p>
            <w:pPr>
              <w:pStyle w:val="177"/>
              <w:adjustRightInd w:val="0"/>
              <w:snapToGrid w:val="0"/>
              <w:ind w:left="0" w:right="0"/>
              <w:rPr>
                <w:i w:val="0"/>
                <w:iCs/>
                <w:color w:val="auto"/>
                <w:szCs w:val="21"/>
              </w:rPr>
            </w:pPr>
            <w:r>
              <w:rPr>
                <w:i w:val="0"/>
                <w:iCs/>
                <w:color w:val="auto"/>
                <w:szCs w:val="21"/>
              </w:rPr>
              <w:t>2</w:t>
            </w:r>
          </w:p>
        </w:tc>
        <w:tc>
          <w:tcPr>
            <w:tcW w:w="696" w:type="dxa"/>
            <w:vAlign w:val="center"/>
          </w:tcPr>
          <w:p>
            <w:pPr>
              <w:pStyle w:val="177"/>
              <w:adjustRightInd w:val="0"/>
              <w:snapToGrid w:val="0"/>
              <w:ind w:left="0" w:right="0"/>
              <w:rPr>
                <w:i w:val="0"/>
                <w:iCs/>
                <w:color w:val="auto"/>
                <w:szCs w:val="21"/>
              </w:rPr>
            </w:pPr>
            <w:r>
              <w:rPr>
                <w:i w:val="0"/>
                <w:iCs/>
                <w:color w:val="auto"/>
                <w:szCs w:val="21"/>
              </w:rPr>
              <w:t>0.27</w:t>
            </w:r>
          </w:p>
        </w:tc>
        <w:tc>
          <w:tcPr>
            <w:tcW w:w="671" w:type="dxa"/>
            <w:vAlign w:val="center"/>
          </w:tcPr>
          <w:p>
            <w:pPr>
              <w:pStyle w:val="177"/>
              <w:adjustRightInd w:val="0"/>
              <w:snapToGrid w:val="0"/>
              <w:ind w:left="0" w:right="0"/>
              <w:rPr>
                <w:i w:val="0"/>
                <w:iCs/>
                <w:color w:val="auto"/>
                <w:szCs w:val="21"/>
              </w:rPr>
            </w:pPr>
            <w:r>
              <w:rPr>
                <w:i w:val="0"/>
                <w:iCs/>
                <w:color w:val="auto"/>
                <w:szCs w:val="21"/>
              </w:rPr>
              <w:t>13</w:t>
            </w:r>
          </w:p>
        </w:tc>
        <w:tc>
          <w:tcPr>
            <w:tcW w:w="637" w:type="dxa"/>
            <w:vAlign w:val="center"/>
          </w:tcPr>
          <w:p>
            <w:pPr>
              <w:pStyle w:val="177"/>
              <w:adjustRightInd w:val="0"/>
              <w:snapToGrid w:val="0"/>
              <w:ind w:left="0" w:right="0"/>
              <w:rPr>
                <w:i w:val="0"/>
                <w:iCs/>
                <w:color w:val="auto"/>
                <w:szCs w:val="21"/>
              </w:rPr>
            </w:pPr>
            <w:r>
              <w:rPr>
                <w:i w:val="0"/>
                <w:iCs/>
                <w:color w:val="auto"/>
                <w:szCs w:val="21"/>
              </w:rPr>
              <w:t>2.2</w:t>
            </w:r>
          </w:p>
        </w:tc>
        <w:tc>
          <w:tcPr>
            <w:tcW w:w="714" w:type="dxa"/>
            <w:vAlign w:val="center"/>
          </w:tcPr>
          <w:p>
            <w:pPr>
              <w:pStyle w:val="177"/>
              <w:adjustRightInd w:val="0"/>
              <w:snapToGrid w:val="0"/>
              <w:ind w:left="0" w:right="0"/>
              <w:rPr>
                <w:i w:val="0"/>
                <w:iCs/>
                <w:color w:val="auto"/>
                <w:szCs w:val="21"/>
              </w:rPr>
            </w:pPr>
            <w:r>
              <w:rPr>
                <w:i w:val="0"/>
                <w:iCs/>
                <w:color w:val="auto"/>
                <w:szCs w:val="21"/>
              </w:rPr>
              <w:t>7.8</w:t>
            </w:r>
          </w:p>
        </w:tc>
        <w:tc>
          <w:tcPr>
            <w:tcW w:w="822" w:type="dxa"/>
            <w:vAlign w:val="center"/>
          </w:tcPr>
          <w:p>
            <w:pPr>
              <w:pStyle w:val="177"/>
              <w:adjustRightInd w:val="0"/>
              <w:snapToGrid w:val="0"/>
              <w:ind w:left="0" w:right="0"/>
              <w:rPr>
                <w:i w:val="0"/>
                <w:iCs/>
                <w:color w:val="auto"/>
                <w:szCs w:val="21"/>
                <w:highlight w:val="none"/>
              </w:rPr>
            </w:pPr>
            <w:r>
              <w:rPr>
                <w:i w:val="0"/>
                <w:iCs/>
                <w:color w:val="auto"/>
                <w:szCs w:val="21"/>
                <w:highlight w:val="none"/>
              </w:rPr>
              <w:t>0.50</w:t>
            </w:r>
          </w:p>
        </w:tc>
        <w:tc>
          <w:tcPr>
            <w:tcW w:w="720" w:type="dxa"/>
            <w:vAlign w:val="center"/>
          </w:tcPr>
          <w:p>
            <w:pPr>
              <w:pStyle w:val="177"/>
              <w:adjustRightInd w:val="0"/>
              <w:snapToGrid w:val="0"/>
              <w:ind w:left="0" w:right="0"/>
              <w:rPr>
                <w:i w:val="0"/>
                <w:iCs/>
                <w:color w:val="auto"/>
                <w:szCs w:val="21"/>
              </w:rPr>
            </w:pPr>
            <w:r>
              <w:rPr>
                <w:i w:val="0"/>
                <w:iCs/>
                <w:color w:val="auto"/>
                <w:szCs w:val="21"/>
              </w:rPr>
              <w:t>0.43</w:t>
            </w:r>
          </w:p>
        </w:tc>
        <w:tc>
          <w:tcPr>
            <w:tcW w:w="732" w:type="dxa"/>
            <w:vAlign w:val="center"/>
          </w:tcPr>
          <w:p>
            <w:pPr>
              <w:pStyle w:val="177"/>
              <w:adjustRightInd w:val="0"/>
              <w:snapToGrid w:val="0"/>
              <w:ind w:left="0" w:right="0"/>
              <w:rPr>
                <w:i w:val="0"/>
                <w:iCs/>
                <w:color w:val="auto"/>
                <w:szCs w:val="21"/>
              </w:rPr>
            </w:pPr>
            <w:r>
              <w:rPr>
                <w:i w:val="0"/>
                <w:iCs/>
                <w:color w:val="auto"/>
                <w:szCs w:val="21"/>
              </w:rPr>
              <w:t>0.02</w:t>
            </w:r>
          </w:p>
        </w:tc>
        <w:tc>
          <w:tcPr>
            <w:tcW w:w="756" w:type="dxa"/>
            <w:vAlign w:val="center"/>
          </w:tcPr>
          <w:p>
            <w:pPr>
              <w:pStyle w:val="177"/>
              <w:adjustRightInd w:val="0"/>
              <w:snapToGrid w:val="0"/>
              <w:ind w:left="0" w:right="0"/>
              <w:rPr>
                <w:i w:val="0"/>
                <w:iCs/>
                <w:color w:val="auto"/>
                <w:szCs w:val="21"/>
              </w:rPr>
            </w:pPr>
            <w:r>
              <w:rPr>
                <w:i w:val="0"/>
                <w:iCs/>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4" w:type="dxa"/>
            <w:vAlign w:val="center"/>
          </w:tcPr>
          <w:p>
            <w:pPr>
              <w:pStyle w:val="177"/>
              <w:adjustRightInd w:val="0"/>
              <w:snapToGrid w:val="0"/>
              <w:spacing w:before="0" w:after="0"/>
              <w:ind w:left="0" w:right="0"/>
              <w:rPr>
                <w:i w:val="0"/>
                <w:iCs/>
                <w:color w:val="auto"/>
                <w:szCs w:val="21"/>
              </w:rPr>
            </w:pPr>
            <w:r>
              <w:rPr>
                <w:i w:val="0"/>
                <w:iCs/>
                <w:color w:val="auto"/>
                <w:szCs w:val="21"/>
              </w:rPr>
              <w:t>一级A标准限值</w:t>
            </w:r>
          </w:p>
        </w:tc>
        <w:tc>
          <w:tcPr>
            <w:tcW w:w="744" w:type="dxa"/>
            <w:vAlign w:val="center"/>
          </w:tcPr>
          <w:p>
            <w:pPr>
              <w:pStyle w:val="177"/>
              <w:adjustRightInd w:val="0"/>
              <w:snapToGrid w:val="0"/>
              <w:spacing w:before="0" w:after="0"/>
              <w:ind w:left="0" w:right="0"/>
              <w:rPr>
                <w:i w:val="0"/>
                <w:iCs/>
                <w:color w:val="auto"/>
                <w:szCs w:val="21"/>
              </w:rPr>
            </w:pPr>
            <w:r>
              <w:rPr>
                <w:i w:val="0"/>
                <w:iCs/>
                <w:color w:val="auto"/>
                <w:szCs w:val="21"/>
              </w:rPr>
              <w:t>≤10</w:t>
            </w:r>
          </w:p>
        </w:tc>
        <w:tc>
          <w:tcPr>
            <w:tcW w:w="852" w:type="dxa"/>
            <w:vAlign w:val="center"/>
          </w:tcPr>
          <w:p>
            <w:pPr>
              <w:pStyle w:val="177"/>
              <w:adjustRightInd w:val="0"/>
              <w:snapToGrid w:val="0"/>
              <w:spacing w:before="0" w:after="0"/>
              <w:ind w:left="0" w:right="0"/>
              <w:rPr>
                <w:i w:val="0"/>
                <w:iCs/>
                <w:color w:val="auto"/>
                <w:szCs w:val="21"/>
              </w:rPr>
            </w:pPr>
            <w:r>
              <w:rPr>
                <w:i w:val="0"/>
                <w:iCs/>
                <w:color w:val="auto"/>
                <w:szCs w:val="21"/>
              </w:rPr>
              <w:t>≤50</w:t>
            </w:r>
          </w:p>
        </w:tc>
        <w:tc>
          <w:tcPr>
            <w:tcW w:w="804" w:type="dxa"/>
            <w:vAlign w:val="center"/>
          </w:tcPr>
          <w:p>
            <w:pPr>
              <w:pStyle w:val="177"/>
              <w:adjustRightInd w:val="0"/>
              <w:snapToGrid w:val="0"/>
              <w:spacing w:before="0" w:after="0"/>
              <w:ind w:left="0" w:right="0"/>
              <w:rPr>
                <w:i w:val="0"/>
                <w:iCs/>
                <w:color w:val="auto"/>
                <w:szCs w:val="21"/>
              </w:rPr>
            </w:pPr>
            <w:r>
              <w:rPr>
                <w:i w:val="0"/>
                <w:iCs/>
                <w:color w:val="auto"/>
                <w:szCs w:val="21"/>
              </w:rPr>
              <w:t>≤10</w:t>
            </w:r>
          </w:p>
        </w:tc>
        <w:tc>
          <w:tcPr>
            <w:tcW w:w="696" w:type="dxa"/>
            <w:vAlign w:val="center"/>
          </w:tcPr>
          <w:p>
            <w:pPr>
              <w:pStyle w:val="177"/>
              <w:adjustRightInd w:val="0"/>
              <w:snapToGrid w:val="0"/>
              <w:spacing w:before="0" w:after="0"/>
              <w:ind w:left="0" w:right="0"/>
              <w:rPr>
                <w:i w:val="0"/>
                <w:iCs/>
                <w:color w:val="auto"/>
                <w:szCs w:val="21"/>
              </w:rPr>
            </w:pPr>
            <w:r>
              <w:rPr>
                <w:i w:val="0"/>
                <w:iCs/>
                <w:color w:val="auto"/>
                <w:szCs w:val="21"/>
              </w:rPr>
              <w:t>≤0.5</w:t>
            </w:r>
          </w:p>
        </w:tc>
        <w:tc>
          <w:tcPr>
            <w:tcW w:w="671" w:type="dxa"/>
            <w:vAlign w:val="center"/>
          </w:tcPr>
          <w:p>
            <w:pPr>
              <w:pStyle w:val="177"/>
              <w:adjustRightInd w:val="0"/>
              <w:snapToGrid w:val="0"/>
              <w:spacing w:before="0" w:after="0"/>
              <w:ind w:left="0" w:right="0"/>
              <w:rPr>
                <w:i w:val="0"/>
                <w:iCs/>
                <w:color w:val="auto"/>
                <w:szCs w:val="21"/>
              </w:rPr>
            </w:pPr>
            <w:r>
              <w:rPr>
                <w:i w:val="0"/>
                <w:iCs/>
                <w:color w:val="auto"/>
                <w:szCs w:val="21"/>
              </w:rPr>
              <w:t>≤15</w:t>
            </w:r>
          </w:p>
        </w:tc>
        <w:tc>
          <w:tcPr>
            <w:tcW w:w="637" w:type="dxa"/>
            <w:vAlign w:val="center"/>
          </w:tcPr>
          <w:p>
            <w:pPr>
              <w:pStyle w:val="177"/>
              <w:adjustRightInd w:val="0"/>
              <w:snapToGrid w:val="0"/>
              <w:spacing w:before="0" w:after="0"/>
              <w:ind w:left="0" w:right="0"/>
              <w:rPr>
                <w:i w:val="0"/>
                <w:iCs/>
                <w:color w:val="auto"/>
                <w:szCs w:val="21"/>
              </w:rPr>
            </w:pPr>
            <w:r>
              <w:rPr>
                <w:i w:val="0"/>
                <w:iCs/>
                <w:color w:val="auto"/>
                <w:szCs w:val="21"/>
              </w:rPr>
              <w:t>5</w:t>
            </w:r>
          </w:p>
        </w:tc>
        <w:tc>
          <w:tcPr>
            <w:tcW w:w="714" w:type="dxa"/>
            <w:vAlign w:val="center"/>
          </w:tcPr>
          <w:p>
            <w:pPr>
              <w:pStyle w:val="177"/>
              <w:adjustRightInd w:val="0"/>
              <w:snapToGrid w:val="0"/>
              <w:spacing w:before="0" w:after="0"/>
              <w:ind w:left="0" w:right="0"/>
              <w:rPr>
                <w:i w:val="0"/>
                <w:iCs/>
                <w:color w:val="auto"/>
                <w:szCs w:val="21"/>
              </w:rPr>
            </w:pPr>
            <w:r>
              <w:rPr>
                <w:i w:val="0"/>
                <w:iCs/>
                <w:color w:val="auto"/>
                <w:szCs w:val="21"/>
              </w:rPr>
              <w:t>6-9</w:t>
            </w:r>
          </w:p>
        </w:tc>
        <w:tc>
          <w:tcPr>
            <w:tcW w:w="822" w:type="dxa"/>
            <w:vAlign w:val="center"/>
          </w:tcPr>
          <w:p>
            <w:pPr>
              <w:pStyle w:val="177"/>
              <w:adjustRightInd w:val="0"/>
              <w:snapToGrid w:val="0"/>
              <w:spacing w:before="0" w:after="0"/>
              <w:ind w:left="0" w:right="0"/>
              <w:rPr>
                <w:rFonts w:hint="eastAsia" w:eastAsia="宋体"/>
                <w:i w:val="0"/>
                <w:iCs/>
                <w:color w:val="auto"/>
                <w:szCs w:val="21"/>
                <w:highlight w:val="none"/>
                <w:lang w:val="en-US" w:eastAsia="zh-CN"/>
              </w:rPr>
            </w:pPr>
            <w:r>
              <w:rPr>
                <w:i w:val="0"/>
                <w:iCs/>
                <w:color w:val="auto"/>
                <w:szCs w:val="21"/>
                <w:highlight w:val="none"/>
              </w:rPr>
              <w:t>0.5</w:t>
            </w:r>
            <w:r>
              <w:rPr>
                <w:rFonts w:hint="eastAsia"/>
                <w:i w:val="0"/>
                <w:iCs/>
                <w:color w:val="auto"/>
                <w:szCs w:val="21"/>
                <w:highlight w:val="none"/>
                <w:lang w:val="en-US" w:eastAsia="zh-CN"/>
              </w:rPr>
              <w:t>0</w:t>
            </w:r>
          </w:p>
        </w:tc>
        <w:tc>
          <w:tcPr>
            <w:tcW w:w="720" w:type="dxa"/>
            <w:vAlign w:val="center"/>
          </w:tcPr>
          <w:p>
            <w:pPr>
              <w:pStyle w:val="177"/>
              <w:adjustRightInd w:val="0"/>
              <w:snapToGrid w:val="0"/>
              <w:spacing w:before="0" w:after="0"/>
              <w:ind w:left="0" w:right="0"/>
              <w:rPr>
                <w:i w:val="0"/>
                <w:iCs/>
                <w:color w:val="auto"/>
                <w:szCs w:val="21"/>
              </w:rPr>
            </w:pPr>
            <w:r>
              <w:rPr>
                <w:i w:val="0"/>
                <w:iCs/>
                <w:color w:val="auto"/>
                <w:szCs w:val="21"/>
              </w:rPr>
              <w:t>1</w:t>
            </w:r>
          </w:p>
        </w:tc>
        <w:tc>
          <w:tcPr>
            <w:tcW w:w="732" w:type="dxa"/>
            <w:vAlign w:val="center"/>
          </w:tcPr>
          <w:p>
            <w:pPr>
              <w:pStyle w:val="177"/>
              <w:adjustRightInd w:val="0"/>
              <w:snapToGrid w:val="0"/>
              <w:spacing w:before="0" w:after="0"/>
              <w:ind w:left="0" w:right="0"/>
              <w:rPr>
                <w:i w:val="0"/>
                <w:iCs/>
                <w:color w:val="auto"/>
                <w:szCs w:val="21"/>
              </w:rPr>
            </w:pPr>
            <w:r>
              <w:rPr>
                <w:i w:val="0"/>
                <w:iCs/>
                <w:color w:val="auto"/>
                <w:szCs w:val="21"/>
              </w:rPr>
              <w:t>1</w:t>
            </w:r>
          </w:p>
        </w:tc>
        <w:tc>
          <w:tcPr>
            <w:tcW w:w="756" w:type="dxa"/>
            <w:vAlign w:val="center"/>
          </w:tcPr>
          <w:p>
            <w:pPr>
              <w:pStyle w:val="177"/>
              <w:adjustRightInd w:val="0"/>
              <w:snapToGrid w:val="0"/>
              <w:spacing w:before="0" w:after="0"/>
              <w:ind w:left="0" w:right="0"/>
              <w:rPr>
                <w:i w:val="0"/>
                <w:iCs/>
                <w:color w:val="auto"/>
                <w:szCs w:val="21"/>
              </w:rPr>
            </w:pPr>
            <w:r>
              <w:rPr>
                <w:i w:val="0"/>
                <w:iCs/>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14" w:type="dxa"/>
            <w:vAlign w:val="center"/>
          </w:tcPr>
          <w:p>
            <w:pPr>
              <w:pStyle w:val="177"/>
              <w:adjustRightInd w:val="0"/>
              <w:snapToGrid w:val="0"/>
              <w:spacing w:before="0" w:after="0"/>
              <w:ind w:left="0" w:right="0"/>
              <w:rPr>
                <w:i w:val="0"/>
                <w:iCs/>
                <w:color w:val="auto"/>
                <w:szCs w:val="21"/>
              </w:rPr>
            </w:pPr>
            <w:r>
              <w:rPr>
                <w:i w:val="0"/>
                <w:iCs/>
                <w:color w:val="auto"/>
                <w:szCs w:val="21"/>
              </w:rPr>
              <w:t>达标情况</w:t>
            </w:r>
          </w:p>
        </w:tc>
        <w:tc>
          <w:tcPr>
            <w:tcW w:w="744" w:type="dxa"/>
            <w:vAlign w:val="center"/>
          </w:tcPr>
          <w:p>
            <w:pPr>
              <w:pStyle w:val="177"/>
              <w:adjustRightInd w:val="0"/>
              <w:snapToGrid w:val="0"/>
              <w:ind w:left="0" w:right="0"/>
              <w:rPr>
                <w:i w:val="0"/>
                <w:iCs/>
                <w:color w:val="auto"/>
                <w:szCs w:val="21"/>
              </w:rPr>
            </w:pPr>
            <w:r>
              <w:rPr>
                <w:i w:val="0"/>
                <w:iCs/>
                <w:color w:val="auto"/>
                <w:szCs w:val="21"/>
              </w:rPr>
              <w:t>达标</w:t>
            </w:r>
          </w:p>
        </w:tc>
        <w:tc>
          <w:tcPr>
            <w:tcW w:w="852" w:type="dxa"/>
            <w:vAlign w:val="center"/>
          </w:tcPr>
          <w:p>
            <w:pPr>
              <w:pStyle w:val="177"/>
              <w:adjustRightInd w:val="0"/>
              <w:snapToGrid w:val="0"/>
              <w:ind w:left="0" w:right="0"/>
              <w:rPr>
                <w:i w:val="0"/>
                <w:iCs/>
                <w:color w:val="auto"/>
                <w:szCs w:val="21"/>
              </w:rPr>
            </w:pPr>
            <w:r>
              <w:rPr>
                <w:i w:val="0"/>
                <w:iCs/>
                <w:color w:val="auto"/>
                <w:szCs w:val="21"/>
              </w:rPr>
              <w:t>达标</w:t>
            </w:r>
          </w:p>
        </w:tc>
        <w:tc>
          <w:tcPr>
            <w:tcW w:w="804" w:type="dxa"/>
            <w:vAlign w:val="center"/>
          </w:tcPr>
          <w:p>
            <w:pPr>
              <w:pStyle w:val="177"/>
              <w:adjustRightInd w:val="0"/>
              <w:snapToGrid w:val="0"/>
              <w:ind w:left="0" w:right="0"/>
              <w:rPr>
                <w:i w:val="0"/>
                <w:iCs/>
                <w:color w:val="auto"/>
                <w:szCs w:val="21"/>
              </w:rPr>
            </w:pPr>
            <w:r>
              <w:rPr>
                <w:i w:val="0"/>
                <w:iCs/>
                <w:color w:val="auto"/>
                <w:szCs w:val="21"/>
              </w:rPr>
              <w:t>达标</w:t>
            </w:r>
          </w:p>
        </w:tc>
        <w:tc>
          <w:tcPr>
            <w:tcW w:w="696" w:type="dxa"/>
            <w:vAlign w:val="center"/>
          </w:tcPr>
          <w:p>
            <w:pPr>
              <w:pStyle w:val="177"/>
              <w:adjustRightInd w:val="0"/>
              <w:snapToGrid w:val="0"/>
              <w:ind w:left="0" w:right="0"/>
              <w:rPr>
                <w:i w:val="0"/>
                <w:iCs/>
                <w:color w:val="auto"/>
                <w:szCs w:val="21"/>
              </w:rPr>
            </w:pPr>
            <w:r>
              <w:rPr>
                <w:i w:val="0"/>
                <w:iCs/>
                <w:color w:val="auto"/>
                <w:szCs w:val="21"/>
              </w:rPr>
              <w:t>达标</w:t>
            </w:r>
          </w:p>
        </w:tc>
        <w:tc>
          <w:tcPr>
            <w:tcW w:w="671" w:type="dxa"/>
            <w:vAlign w:val="center"/>
          </w:tcPr>
          <w:p>
            <w:pPr>
              <w:pStyle w:val="177"/>
              <w:adjustRightInd w:val="0"/>
              <w:snapToGrid w:val="0"/>
              <w:ind w:left="0" w:right="0"/>
              <w:rPr>
                <w:i w:val="0"/>
                <w:iCs/>
                <w:color w:val="auto"/>
                <w:szCs w:val="21"/>
              </w:rPr>
            </w:pPr>
            <w:r>
              <w:rPr>
                <w:i w:val="0"/>
                <w:iCs/>
                <w:color w:val="auto"/>
                <w:szCs w:val="21"/>
              </w:rPr>
              <w:t>达标</w:t>
            </w:r>
          </w:p>
        </w:tc>
        <w:tc>
          <w:tcPr>
            <w:tcW w:w="637" w:type="dxa"/>
            <w:vAlign w:val="center"/>
          </w:tcPr>
          <w:p>
            <w:pPr>
              <w:pStyle w:val="177"/>
              <w:adjustRightInd w:val="0"/>
              <w:snapToGrid w:val="0"/>
              <w:ind w:left="0" w:right="0"/>
              <w:rPr>
                <w:i w:val="0"/>
                <w:iCs/>
                <w:color w:val="auto"/>
                <w:szCs w:val="21"/>
              </w:rPr>
            </w:pPr>
            <w:r>
              <w:rPr>
                <w:i w:val="0"/>
                <w:iCs/>
                <w:color w:val="auto"/>
                <w:szCs w:val="21"/>
              </w:rPr>
              <w:t>达标</w:t>
            </w:r>
          </w:p>
        </w:tc>
        <w:tc>
          <w:tcPr>
            <w:tcW w:w="714" w:type="dxa"/>
            <w:vAlign w:val="center"/>
          </w:tcPr>
          <w:p>
            <w:pPr>
              <w:pStyle w:val="177"/>
              <w:adjustRightInd w:val="0"/>
              <w:snapToGrid w:val="0"/>
              <w:ind w:left="0" w:right="0"/>
              <w:rPr>
                <w:i w:val="0"/>
                <w:iCs/>
                <w:color w:val="auto"/>
                <w:szCs w:val="21"/>
              </w:rPr>
            </w:pPr>
            <w:r>
              <w:rPr>
                <w:i w:val="0"/>
                <w:iCs/>
                <w:color w:val="auto"/>
                <w:szCs w:val="21"/>
              </w:rPr>
              <w:t>达标</w:t>
            </w:r>
          </w:p>
        </w:tc>
        <w:tc>
          <w:tcPr>
            <w:tcW w:w="822" w:type="dxa"/>
            <w:vAlign w:val="center"/>
          </w:tcPr>
          <w:p>
            <w:pPr>
              <w:pStyle w:val="177"/>
              <w:adjustRightInd w:val="0"/>
              <w:snapToGrid w:val="0"/>
              <w:ind w:left="0" w:right="0"/>
              <w:rPr>
                <w:i w:val="0"/>
                <w:iCs/>
                <w:color w:val="auto"/>
                <w:szCs w:val="21"/>
              </w:rPr>
            </w:pPr>
            <w:r>
              <w:rPr>
                <w:i w:val="0"/>
                <w:iCs/>
                <w:color w:val="auto"/>
                <w:szCs w:val="21"/>
              </w:rPr>
              <w:t>达标</w:t>
            </w:r>
          </w:p>
        </w:tc>
        <w:tc>
          <w:tcPr>
            <w:tcW w:w="720" w:type="dxa"/>
            <w:vAlign w:val="center"/>
          </w:tcPr>
          <w:p>
            <w:pPr>
              <w:pStyle w:val="177"/>
              <w:adjustRightInd w:val="0"/>
              <w:snapToGrid w:val="0"/>
              <w:ind w:left="0" w:right="0"/>
              <w:rPr>
                <w:i w:val="0"/>
                <w:iCs/>
                <w:color w:val="auto"/>
                <w:szCs w:val="21"/>
              </w:rPr>
            </w:pPr>
            <w:r>
              <w:rPr>
                <w:i w:val="0"/>
                <w:iCs/>
                <w:color w:val="auto"/>
                <w:szCs w:val="21"/>
              </w:rPr>
              <w:t>达标</w:t>
            </w:r>
          </w:p>
        </w:tc>
        <w:tc>
          <w:tcPr>
            <w:tcW w:w="732" w:type="dxa"/>
            <w:vAlign w:val="center"/>
          </w:tcPr>
          <w:p>
            <w:pPr>
              <w:pStyle w:val="177"/>
              <w:adjustRightInd w:val="0"/>
              <w:snapToGrid w:val="0"/>
              <w:ind w:left="0" w:right="0"/>
              <w:rPr>
                <w:i w:val="0"/>
                <w:iCs/>
                <w:color w:val="auto"/>
                <w:szCs w:val="21"/>
              </w:rPr>
            </w:pPr>
            <w:r>
              <w:rPr>
                <w:i w:val="0"/>
                <w:iCs/>
                <w:color w:val="auto"/>
                <w:szCs w:val="21"/>
              </w:rPr>
              <w:t>达标</w:t>
            </w:r>
          </w:p>
        </w:tc>
        <w:tc>
          <w:tcPr>
            <w:tcW w:w="756" w:type="dxa"/>
            <w:vAlign w:val="center"/>
          </w:tcPr>
          <w:p>
            <w:pPr>
              <w:pStyle w:val="177"/>
              <w:adjustRightInd w:val="0"/>
              <w:snapToGrid w:val="0"/>
              <w:ind w:left="0" w:right="0"/>
              <w:rPr>
                <w:i w:val="0"/>
                <w:iCs/>
                <w:color w:val="auto"/>
                <w:szCs w:val="21"/>
              </w:rPr>
            </w:pPr>
            <w:r>
              <w:rPr>
                <w:i w:val="0"/>
                <w:iCs/>
                <w:color w:val="auto"/>
                <w:szCs w:val="21"/>
              </w:rPr>
              <w:t>达标</w:t>
            </w:r>
          </w:p>
        </w:tc>
      </w:tr>
    </w:tbl>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根据楚雄磐源环境检测有限公司出具的出水水质检测报表，该污水处理工程出水可达到《城镇污水处理厂污染物排放标准》一级A标准限值要求。污水处理工程照片如下：</w:t>
      </w:r>
    </w:p>
    <w:p>
      <w:pPr>
        <w:pStyle w:val="177"/>
        <w:spacing w:before="0" w:after="0"/>
        <w:ind w:left="0" w:right="0"/>
        <w:rPr>
          <w:color w:val="auto"/>
        </w:rPr>
      </w:pPr>
      <w:r>
        <w:rPr>
          <w:color w:val="auto"/>
        </w:rPr>
        <w:drawing>
          <wp:inline distT="0" distB="0" distL="0" distR="0">
            <wp:extent cx="2522220" cy="1797050"/>
            <wp:effectExtent l="0" t="0" r="0" b="0"/>
            <wp:docPr id="11" name="图片 57" descr="IMG_20200824_141432"/>
            <wp:cNvGraphicFramePr/>
            <a:graphic xmlns:a="http://schemas.openxmlformats.org/drawingml/2006/main">
              <a:graphicData uri="http://schemas.openxmlformats.org/drawingml/2006/picture">
                <pic:pic xmlns:pic="http://schemas.openxmlformats.org/drawingml/2006/picture">
                  <pic:nvPicPr>
                    <pic:cNvPr id="11" name="图片 57" descr="IMG_20200824_141432"/>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22220" cy="1797050"/>
                    </a:xfrm>
                    <a:prstGeom prst="rect">
                      <a:avLst/>
                    </a:prstGeom>
                    <a:noFill/>
                    <a:ln>
                      <a:noFill/>
                    </a:ln>
                    <a:effectLst/>
                  </pic:spPr>
                </pic:pic>
              </a:graphicData>
            </a:graphic>
          </wp:inline>
        </w:drawing>
      </w:r>
      <w:r>
        <w:rPr>
          <w:rFonts w:hint="eastAsia"/>
          <w:color w:val="auto"/>
        </w:rPr>
        <w:t xml:space="preserve"> </w:t>
      </w:r>
      <w:r>
        <w:rPr>
          <w:color w:val="auto"/>
        </w:rPr>
        <w:drawing>
          <wp:inline distT="0" distB="0" distL="0" distR="0">
            <wp:extent cx="2522220" cy="1797050"/>
            <wp:effectExtent l="0" t="0" r="0" b="0"/>
            <wp:docPr id="12" name="图片 58" descr="IMG_20200824_141329"/>
            <wp:cNvGraphicFramePr/>
            <a:graphic xmlns:a="http://schemas.openxmlformats.org/drawingml/2006/main">
              <a:graphicData uri="http://schemas.openxmlformats.org/drawingml/2006/picture">
                <pic:pic xmlns:pic="http://schemas.openxmlformats.org/drawingml/2006/picture">
                  <pic:nvPicPr>
                    <pic:cNvPr id="12" name="图片 58" descr="IMG_20200824_141329"/>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22220" cy="1797050"/>
                    </a:xfrm>
                    <a:prstGeom prst="rect">
                      <a:avLst/>
                    </a:prstGeom>
                    <a:noFill/>
                    <a:ln>
                      <a:noFill/>
                    </a:ln>
                    <a:effectLst/>
                  </pic:spPr>
                </pic:pic>
              </a:graphicData>
            </a:graphic>
          </wp:inline>
        </w:drawing>
      </w:r>
    </w:p>
    <w:p>
      <w:pPr>
        <w:ind w:firstLine="482"/>
        <w:jc w:val="center"/>
        <w:rPr>
          <w:color w:val="auto"/>
        </w:rPr>
      </w:pPr>
      <w:r>
        <w:rPr>
          <w:b/>
          <w:bCs/>
          <w:color w:val="auto"/>
        </w:rPr>
        <w:t>青龙河五号桥污水应急处理示范工程</w:t>
      </w:r>
      <w:r>
        <w:rPr>
          <w:rFonts w:hint="eastAsia"/>
          <w:b/>
          <w:bCs/>
          <w:color w:val="auto"/>
        </w:rPr>
        <w:t>照片</w:t>
      </w:r>
    </w:p>
    <w:p>
      <w:pPr>
        <w:ind w:firstLine="482"/>
        <w:rPr>
          <w:b/>
          <w:bCs/>
          <w:color w:val="auto"/>
        </w:rPr>
      </w:pPr>
      <w:r>
        <w:rPr>
          <w:rFonts w:hint="eastAsia"/>
          <w:b/>
          <w:bCs/>
          <w:color w:val="auto"/>
        </w:rPr>
        <w:t>2、</w:t>
      </w:r>
      <w:r>
        <w:rPr>
          <w:b/>
          <w:bCs/>
          <w:color w:val="auto"/>
        </w:rPr>
        <w:t>楚雄市青龙河段技师学院片区污水应急处理示范工程</w:t>
      </w:r>
    </w:p>
    <w:p>
      <w:pPr>
        <w:ind w:left="480" w:leftChars="200" w:firstLine="0" w:firstLineChars="0"/>
        <w:rPr>
          <w:color w:val="auto"/>
        </w:rPr>
      </w:pPr>
      <w:r>
        <w:rPr>
          <w:color w:val="auto"/>
        </w:rPr>
        <w:t>（1）工程概况</w:t>
      </w:r>
    </w:p>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楚雄市青龙河段技师学院片区污水主要来自职教园区技师学院及周边的小区，该片区总人口约3万人，污水未经处理直接排入青龙河，为了降低污水对青龙河水质的污染，楚雄市供排水公司在鹿城镇杨基屯青龙河西侧边建设了楚雄市青龙河段技师学院片区污水应急处理示范工程，该工程处理规模为日处理生活污水1000m</w:t>
      </w:r>
      <w:r>
        <w:rPr>
          <w:rFonts w:ascii="Times New Roman" w:hAnsi="Times New Roman"/>
          <w:color w:val="auto"/>
          <w:sz w:val="24"/>
          <w:szCs w:val="24"/>
          <w:vertAlign w:val="superscript"/>
        </w:rPr>
        <w:t>3</w:t>
      </w:r>
      <w:r>
        <w:rPr>
          <w:rFonts w:ascii="Times New Roman" w:hAnsi="Times New Roman"/>
          <w:color w:val="auto"/>
          <w:sz w:val="24"/>
          <w:szCs w:val="24"/>
        </w:rPr>
        <w:t>，工程主要任务为对楚雄市青龙河段技师学院片区的生活污水进行收集处理，污水经2套500m</w:t>
      </w:r>
      <w:r>
        <w:rPr>
          <w:rFonts w:ascii="Times New Roman" w:hAnsi="Times New Roman"/>
          <w:color w:val="auto"/>
          <w:sz w:val="24"/>
          <w:szCs w:val="24"/>
          <w:vertAlign w:val="superscript"/>
        </w:rPr>
        <w:t>3</w:t>
      </w:r>
      <w:r>
        <w:rPr>
          <w:rFonts w:ascii="Times New Roman" w:hAnsi="Times New Roman"/>
          <w:color w:val="auto"/>
          <w:sz w:val="24"/>
          <w:szCs w:val="24"/>
        </w:rPr>
        <w:t>/d的一体化ZHL智能污水处理系统处理达到《城镇污水处理厂污染物排放标准》一级A标准后排入青龙河。</w:t>
      </w:r>
    </w:p>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（2）污水处理工艺简介</w:t>
      </w:r>
    </w:p>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收集到的污水通过简易格栅处理后进入调节池，在调节池中进行初步水解酸化处理，之后污水通过设备自带的提升泵提升进入一体化ZHL智能污水处理系统进行处理。ZHL智能污水处理系统中配有生化膜过滤系统、微生物菌群处理系统、微孔曝气增氧系统、MBR膜系统、微生物回流系统等处理单元，该系统对进入的污水在降解COD的同时实现脱氮除磷，实现污水达标排放。ZHL智能污水处理系统内部配有全自动膜维护系统，可实现MBR膜自动清洗，保证出水水质稳定达标。</w:t>
      </w:r>
    </w:p>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（3）污水处理站建设运行情况</w:t>
      </w:r>
    </w:p>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污水处理工程已于2019年10月建成并投入运营，目前运行良好。根据2020年7月楚雄磐源环境检测有限公司出具的工程出水水质检测报表，该污水处理工程的出水水质及评价结果见</w:t>
      </w:r>
      <w:r>
        <w:rPr>
          <w:rFonts w:hint="eastAsia" w:ascii="Times New Roman" w:hAnsi="Times New Roman"/>
          <w:color w:val="auto"/>
          <w:sz w:val="24"/>
          <w:szCs w:val="24"/>
          <w:lang w:eastAsia="zh-CN"/>
        </w:rPr>
        <w:t>下表</w:t>
      </w:r>
      <w:r>
        <w:rPr>
          <w:rFonts w:ascii="Times New Roman" w:hAnsi="Times New Roman"/>
          <w:color w:val="auto"/>
          <w:sz w:val="24"/>
          <w:szCs w:val="24"/>
        </w:rPr>
        <w:t>。</w:t>
      </w:r>
    </w:p>
    <w:p>
      <w:pPr>
        <w:numPr>
          <w:ilvl w:val="0"/>
          <w:numId w:val="9"/>
        </w:numPr>
        <w:ind w:left="0" w:leftChars="0" w:firstLine="0" w:firstLineChars="0"/>
        <w:jc w:val="center"/>
        <w:rPr>
          <w:b/>
          <w:bCs/>
          <w:iCs/>
          <w:color w:val="auto"/>
        </w:rPr>
      </w:pPr>
      <w:r>
        <w:rPr>
          <w:b/>
          <w:bCs/>
          <w:color w:val="auto"/>
        </w:rPr>
        <w:t>杨基屯一体化处理</w:t>
      </w:r>
      <w:r>
        <w:rPr>
          <w:b/>
          <w:bCs/>
          <w:color w:val="auto"/>
          <w:kern w:val="0"/>
          <w:lang w:val="zh-CN"/>
        </w:rPr>
        <w:t>出水水质监测结果与评价</w:t>
      </w:r>
      <w:r>
        <w:rPr>
          <w:rFonts w:hint="eastAsia"/>
          <w:b/>
          <w:bCs/>
          <w:color w:val="auto"/>
          <w:kern w:val="0"/>
        </w:rPr>
        <w:t xml:space="preserve"> </w:t>
      </w:r>
      <w:r>
        <w:rPr>
          <w:b/>
          <w:bCs/>
          <w:color w:val="auto"/>
          <w:kern w:val="0"/>
          <w:lang w:val="zh-CN"/>
        </w:rPr>
        <w:t>单位：mg/L</w:t>
      </w:r>
    </w:p>
    <w:tbl>
      <w:tblPr>
        <w:tblStyle w:val="51"/>
        <w:tblW w:w="53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780"/>
        <w:gridCol w:w="1020"/>
        <w:gridCol w:w="766"/>
        <w:gridCol w:w="884"/>
        <w:gridCol w:w="645"/>
        <w:gridCol w:w="705"/>
        <w:gridCol w:w="705"/>
        <w:gridCol w:w="1095"/>
        <w:gridCol w:w="735"/>
        <w:gridCol w:w="70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38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BOD5</w:t>
            </w:r>
          </w:p>
        </w:tc>
        <w:tc>
          <w:tcPr>
            <w:tcW w:w="50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CODCr</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TP</w:t>
            </w:r>
          </w:p>
        </w:tc>
        <w:tc>
          <w:tcPr>
            <w:tcW w:w="3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阴离子表面活性剂</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动植物油</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3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色度（度）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最大值</w:t>
            </w:r>
          </w:p>
        </w:tc>
        <w:tc>
          <w:tcPr>
            <w:tcW w:w="38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0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w:t>
            </w:r>
          </w:p>
        </w:tc>
        <w:tc>
          <w:tcPr>
            <w:tcW w:w="3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0.27</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0.42</w:t>
            </w:r>
          </w:p>
        </w:tc>
        <w:tc>
          <w:tcPr>
            <w:tcW w:w="3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一级A标准限值</w:t>
            </w:r>
          </w:p>
        </w:tc>
        <w:tc>
          <w:tcPr>
            <w:tcW w:w="38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0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3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 w:hRule="atLeast"/>
          <w:jc w:val="center"/>
        </w:trPr>
        <w:tc>
          <w:tcPr>
            <w:tcW w:w="6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c>
          <w:tcPr>
            <w:tcW w:w="38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50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3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3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pStyle w:val="16"/>
        <w:adjustRightInd/>
        <w:spacing w:before="0"/>
        <w:ind w:right="0" w:firstLine="480"/>
        <w:rPr>
          <w:rFonts w:ascii="Times New Roman" w:hAnsi="Times New Roman"/>
          <w:color w:val="auto"/>
          <w:sz w:val="24"/>
          <w:szCs w:val="24"/>
        </w:rPr>
      </w:pPr>
      <w:r>
        <w:rPr>
          <w:rFonts w:ascii="Times New Roman" w:hAnsi="Times New Roman"/>
          <w:color w:val="auto"/>
          <w:sz w:val="24"/>
          <w:szCs w:val="24"/>
        </w:rPr>
        <w:t>根据楚雄磐源环境检测有限公司出具的出水水质检测报表，该污水处理工程出水可达到《城镇污水处理厂污染物排放标准》一级A标准限值要求。污水处理工程照片如下：</w:t>
      </w:r>
    </w:p>
    <w:p>
      <w:pPr>
        <w:ind w:firstLine="0" w:firstLineChars="0"/>
        <w:jc w:val="center"/>
        <w:rPr>
          <w:color w:val="auto"/>
        </w:rPr>
      </w:pPr>
      <w:r>
        <w:rPr>
          <w:color w:val="auto"/>
        </w:rPr>
        <w:drawing>
          <wp:inline distT="0" distB="0" distL="0" distR="0">
            <wp:extent cx="2522220" cy="1797050"/>
            <wp:effectExtent l="0" t="0" r="0" b="0"/>
            <wp:docPr id="13" name="图片 60" descr="IMG_20200824_143515"/>
            <wp:cNvGraphicFramePr/>
            <a:graphic xmlns:a="http://schemas.openxmlformats.org/drawingml/2006/main">
              <a:graphicData uri="http://schemas.openxmlformats.org/drawingml/2006/picture">
                <pic:pic xmlns:pic="http://schemas.openxmlformats.org/drawingml/2006/picture">
                  <pic:nvPicPr>
                    <pic:cNvPr id="13" name="图片 60" descr="IMG_20200824_143515"/>
                    <pic:cNvPicPr>
                      <a:picLocks noChangeArrowheads="1"/>
                    </pic:cNvPicPr>
                  </pic:nvPicPr>
                  <pic:blipFill>
                    <a:blip r:embed="rId42" cstate="print">
                      <a:extLst>
                        <a:ext uri="{28A0092B-C50C-407E-A947-70E740481C1C}">
                          <a14:useLocalDpi xmlns:a14="http://schemas.microsoft.com/office/drawing/2010/main" val="0"/>
                        </a:ext>
                      </a:extLst>
                    </a:blip>
                    <a:srcRect t="22932"/>
                    <a:stretch>
                      <a:fillRect/>
                    </a:stretch>
                  </pic:blipFill>
                  <pic:spPr>
                    <a:xfrm>
                      <a:off x="0" y="0"/>
                      <a:ext cx="2522220" cy="1797050"/>
                    </a:xfrm>
                    <a:prstGeom prst="rect">
                      <a:avLst/>
                    </a:prstGeom>
                    <a:noFill/>
                    <a:ln>
                      <a:noFill/>
                    </a:ln>
                    <a:effectLst/>
                  </pic:spPr>
                </pic:pic>
              </a:graphicData>
            </a:graphic>
          </wp:inline>
        </w:drawing>
      </w:r>
      <w:r>
        <w:rPr>
          <w:rFonts w:hint="eastAsia"/>
          <w:color w:val="auto"/>
        </w:rPr>
        <w:t xml:space="preserve"> </w:t>
      </w:r>
      <w:r>
        <w:rPr>
          <w:color w:val="auto"/>
        </w:rPr>
        <w:drawing>
          <wp:inline distT="0" distB="0" distL="0" distR="0">
            <wp:extent cx="2522220" cy="1797050"/>
            <wp:effectExtent l="0" t="0" r="0" b="0"/>
            <wp:docPr id="14" name="图片 61" descr="IMG_20200824_143656"/>
            <wp:cNvGraphicFramePr/>
            <a:graphic xmlns:a="http://schemas.openxmlformats.org/drawingml/2006/main">
              <a:graphicData uri="http://schemas.openxmlformats.org/drawingml/2006/picture">
                <pic:pic xmlns:pic="http://schemas.openxmlformats.org/drawingml/2006/picture">
                  <pic:nvPicPr>
                    <pic:cNvPr id="14" name="图片 61" descr="IMG_20200824_143656"/>
                    <pic:cNvPicPr>
                      <a:picLocks noChangeArrowheads="1"/>
                    </pic:cNvPicPr>
                  </pic:nvPicPr>
                  <pic:blipFill>
                    <a:blip r:embed="rId43" cstate="print">
                      <a:extLst>
                        <a:ext uri="{28A0092B-C50C-407E-A947-70E740481C1C}">
                          <a14:useLocalDpi xmlns:a14="http://schemas.microsoft.com/office/drawing/2010/main" val="0"/>
                        </a:ext>
                      </a:extLst>
                    </a:blip>
                    <a:srcRect t="23106" b="9903"/>
                    <a:stretch>
                      <a:fillRect/>
                    </a:stretch>
                  </pic:blipFill>
                  <pic:spPr>
                    <a:xfrm>
                      <a:off x="0" y="0"/>
                      <a:ext cx="2522220" cy="1797050"/>
                    </a:xfrm>
                    <a:prstGeom prst="rect">
                      <a:avLst/>
                    </a:prstGeom>
                    <a:noFill/>
                    <a:ln>
                      <a:noFill/>
                    </a:ln>
                    <a:effectLst/>
                  </pic:spPr>
                </pic:pic>
              </a:graphicData>
            </a:graphic>
          </wp:inline>
        </w:drawing>
      </w:r>
    </w:p>
    <w:p>
      <w:pPr>
        <w:pStyle w:val="23"/>
        <w:spacing w:line="360" w:lineRule="auto"/>
        <w:ind w:left="0" w:leftChars="0" w:firstLine="0" w:firstLineChars="0"/>
        <w:jc w:val="center"/>
        <w:rPr>
          <w:b/>
          <w:bCs/>
          <w:color w:val="auto"/>
        </w:rPr>
      </w:pPr>
      <w:r>
        <w:rPr>
          <w:b/>
          <w:bCs/>
          <w:color w:val="auto"/>
        </w:rPr>
        <w:t>楚雄市青龙河段技师学院片区污水应急处理示范工程</w:t>
      </w:r>
    </w:p>
    <w:p>
      <w:pPr>
        <w:pStyle w:val="4"/>
        <w:spacing w:before="15600" w:beforeLines="5000"/>
        <w:rPr>
          <w:color w:val="auto"/>
          <w:kern w:val="21"/>
        </w:rPr>
      </w:pPr>
      <w:bookmarkStart w:id="235" w:name="_Toc30733"/>
      <w:r>
        <w:rPr>
          <w:color w:val="auto"/>
          <w:kern w:val="21"/>
        </w:rPr>
        <w:t>5环境影响预测与评价</w:t>
      </w:r>
      <w:bookmarkEnd w:id="235"/>
    </w:p>
    <w:p>
      <w:pPr>
        <w:pStyle w:val="5"/>
        <w:spacing w:after="0"/>
        <w:rPr>
          <w:color w:val="auto"/>
          <w:kern w:val="21"/>
          <w:sz w:val="28"/>
        </w:rPr>
      </w:pPr>
      <w:bookmarkStart w:id="236" w:name="_Toc28476"/>
      <w:r>
        <w:rPr>
          <w:rFonts w:hint="eastAsia"/>
          <w:color w:val="auto"/>
          <w:kern w:val="21"/>
          <w:sz w:val="28"/>
        </w:rPr>
        <w:t>5.1施工期环境影响回顾分析</w:t>
      </w:r>
      <w:bookmarkEnd w:id="236"/>
    </w:p>
    <w:p>
      <w:pPr>
        <w:keepNext/>
        <w:keepLines/>
        <w:ind w:firstLine="480"/>
        <w:rPr>
          <w:bCs/>
          <w:color w:val="auto"/>
          <w:kern w:val="21"/>
        </w:rPr>
      </w:pPr>
      <w:r>
        <w:rPr>
          <w:rFonts w:hint="eastAsia"/>
          <w:bCs/>
          <w:color w:val="auto"/>
          <w:kern w:val="21"/>
        </w:rPr>
        <w:t>本项目于2020年8月份建成运行，施工期早已结束，施工期主要有施工扬尘、运输扬尘、施工废水、施工噪声、施工固废等污染物，同时对生态环境有一定影响，项目施工期针对相应的环境污染采取了防治措施，项目建成后采取了绿化措施，生态环境得到有效恢复，无施工遗留环境问题。</w:t>
      </w:r>
    </w:p>
    <w:p>
      <w:pPr>
        <w:ind w:firstLine="0" w:firstLineChars="0"/>
        <w:outlineLvl w:val="1"/>
        <w:rPr>
          <w:b/>
          <w:bCs/>
          <w:color w:val="auto"/>
          <w:sz w:val="28"/>
          <w:szCs w:val="28"/>
        </w:rPr>
      </w:pPr>
      <w:bookmarkStart w:id="237" w:name="_Toc24569"/>
      <w:r>
        <w:rPr>
          <w:rFonts w:hint="eastAsia"/>
          <w:b/>
          <w:bCs/>
          <w:color w:val="auto"/>
          <w:sz w:val="28"/>
          <w:szCs w:val="28"/>
        </w:rPr>
        <w:t>5.2运营期环境影响分析</w:t>
      </w:r>
      <w:bookmarkEnd w:id="237"/>
    </w:p>
    <w:p>
      <w:pPr>
        <w:pStyle w:val="6"/>
        <w:spacing w:after="0"/>
        <w:rPr>
          <w:rFonts w:eastAsia="宋体"/>
          <w:color w:val="auto"/>
          <w:kern w:val="21"/>
          <w:sz w:val="24"/>
          <w:szCs w:val="24"/>
        </w:rPr>
      </w:pPr>
      <w:bookmarkStart w:id="238" w:name="_Toc25047"/>
      <w:bookmarkStart w:id="239" w:name="_Toc29742"/>
      <w:r>
        <w:rPr>
          <w:rFonts w:eastAsia="宋体"/>
          <w:color w:val="auto"/>
          <w:kern w:val="21"/>
          <w:sz w:val="24"/>
          <w:szCs w:val="24"/>
        </w:rPr>
        <w:t>5.</w:t>
      </w:r>
      <w:r>
        <w:rPr>
          <w:rFonts w:hint="eastAsia" w:eastAsia="宋体"/>
          <w:color w:val="auto"/>
          <w:kern w:val="21"/>
          <w:sz w:val="24"/>
          <w:szCs w:val="24"/>
        </w:rPr>
        <w:t>2</w:t>
      </w:r>
      <w:r>
        <w:rPr>
          <w:rFonts w:eastAsia="宋体"/>
          <w:color w:val="auto"/>
          <w:kern w:val="21"/>
          <w:sz w:val="24"/>
          <w:szCs w:val="24"/>
        </w:rPr>
        <w:t>.</w:t>
      </w:r>
      <w:r>
        <w:rPr>
          <w:rFonts w:hint="eastAsia" w:eastAsia="宋体"/>
          <w:color w:val="auto"/>
          <w:kern w:val="21"/>
          <w:sz w:val="24"/>
          <w:szCs w:val="24"/>
        </w:rPr>
        <w:t>1</w:t>
      </w:r>
      <w:r>
        <w:rPr>
          <w:rFonts w:eastAsia="宋体"/>
          <w:color w:val="auto"/>
          <w:kern w:val="21"/>
          <w:sz w:val="24"/>
          <w:szCs w:val="24"/>
        </w:rPr>
        <w:t>运营期地表水环境影响评价</w:t>
      </w:r>
      <w:bookmarkEnd w:id="238"/>
      <w:bookmarkEnd w:id="239"/>
    </w:p>
    <w:p>
      <w:pPr>
        <w:pStyle w:val="8"/>
        <w:keepNext w:val="0"/>
        <w:keepLines w:val="0"/>
        <w:tabs>
          <w:tab w:val="left" w:pos="661"/>
        </w:tabs>
        <w:autoSpaceDE w:val="0"/>
        <w:autoSpaceDN w:val="0"/>
        <w:adjustRightInd w:val="0"/>
        <w:snapToGrid w:val="0"/>
        <w:spacing w:before="0" w:after="0" w:line="360" w:lineRule="auto"/>
        <w:ind w:firstLine="0" w:firstLineChars="0"/>
        <w:rPr>
          <w:rFonts w:ascii="Times New Roman" w:hAnsi="Times New Roman" w:eastAsia="宋体"/>
          <w:color w:val="auto"/>
          <w:kern w:val="21"/>
          <w:sz w:val="24"/>
          <w:szCs w:val="36"/>
        </w:rPr>
      </w:pPr>
      <w:r>
        <w:rPr>
          <w:rFonts w:ascii="Times New Roman" w:hAnsi="Times New Roman" w:eastAsia="宋体"/>
          <w:color w:val="auto"/>
          <w:kern w:val="21"/>
          <w:sz w:val="24"/>
          <w:szCs w:val="36"/>
        </w:rPr>
        <w:t>5.</w:t>
      </w:r>
      <w:r>
        <w:rPr>
          <w:rFonts w:hint="eastAsia" w:ascii="Times New Roman" w:hAnsi="Times New Roman" w:eastAsia="宋体"/>
          <w:color w:val="auto"/>
          <w:kern w:val="21"/>
          <w:sz w:val="24"/>
          <w:szCs w:val="36"/>
        </w:rPr>
        <w:t>2</w:t>
      </w:r>
      <w:r>
        <w:rPr>
          <w:rFonts w:ascii="Times New Roman" w:hAnsi="Times New Roman" w:eastAsia="宋体"/>
          <w:color w:val="auto"/>
          <w:kern w:val="21"/>
          <w:sz w:val="24"/>
          <w:szCs w:val="36"/>
        </w:rPr>
        <w:t>.</w:t>
      </w:r>
      <w:r>
        <w:rPr>
          <w:rFonts w:hint="eastAsia" w:ascii="Times New Roman" w:hAnsi="Times New Roman" w:eastAsia="宋体"/>
          <w:color w:val="auto"/>
          <w:kern w:val="21"/>
          <w:sz w:val="24"/>
          <w:szCs w:val="36"/>
        </w:rPr>
        <w:t>1</w:t>
      </w:r>
      <w:r>
        <w:rPr>
          <w:rFonts w:ascii="Times New Roman" w:hAnsi="Times New Roman" w:eastAsia="宋体"/>
          <w:color w:val="auto"/>
          <w:kern w:val="21"/>
          <w:sz w:val="24"/>
          <w:szCs w:val="36"/>
        </w:rPr>
        <w:t>.</w:t>
      </w:r>
      <w:r>
        <w:rPr>
          <w:rFonts w:hint="eastAsia" w:ascii="Times New Roman" w:hAnsi="Times New Roman" w:eastAsia="宋体"/>
          <w:color w:val="auto"/>
          <w:kern w:val="21"/>
          <w:sz w:val="24"/>
          <w:szCs w:val="36"/>
          <w:lang w:val="en-US" w:eastAsia="zh-CN"/>
        </w:rPr>
        <w:t>1</w:t>
      </w:r>
      <w:r>
        <w:rPr>
          <w:rFonts w:ascii="Times New Roman" w:hAnsi="Times New Roman" w:eastAsia="宋体"/>
          <w:color w:val="auto"/>
          <w:kern w:val="21"/>
          <w:sz w:val="24"/>
          <w:szCs w:val="36"/>
        </w:rPr>
        <w:t>污水排放受纳水体及水体功能要求</w:t>
      </w:r>
    </w:p>
    <w:p>
      <w:pPr>
        <w:pStyle w:val="155"/>
        <w:adjustRightInd/>
        <w:ind w:firstLine="480"/>
        <w:rPr>
          <w:color w:val="auto"/>
          <w:kern w:val="21"/>
        </w:rPr>
      </w:pPr>
      <w:r>
        <w:rPr>
          <w:rFonts w:hint="eastAsia"/>
          <w:color w:val="auto"/>
          <w:kern w:val="21"/>
        </w:rPr>
        <w:t>根据《云南省水功能区划（2014）》、《楚雄州水功能区划》（楚政复[2017]15号），本次排污口所在河道划定的一级水功能区为“青龙河楚雄开发利用区”，二级水功能区为“青龙河楚雄景观、工业用水区”，水质现状为劣Ⅴ类，目标水质为 III 类；根据《楚雄市人民政府办公室关于印发楚雄市青龙河水体达标方案的通知》（楚市政办通〔2022〕6号），青龙河入龙川江口断面水质目标为2025年达到GB3838-2002《地表水环境质量标准》IV类标准要求，因此本次环评青龙河参照执行Ⅳ类水质标准，</w:t>
      </w:r>
      <w:r>
        <w:rPr>
          <w:color w:val="auto"/>
          <w:kern w:val="21"/>
        </w:rPr>
        <w:t>因此青龙河参照执行Ⅳ类水质标准</w:t>
      </w:r>
      <w:r>
        <w:rPr>
          <w:rFonts w:hint="eastAsia"/>
          <w:color w:val="auto"/>
          <w:kern w:val="21"/>
        </w:rPr>
        <w:t>。</w:t>
      </w:r>
    </w:p>
    <w:p>
      <w:pPr>
        <w:pStyle w:val="23"/>
        <w:adjustRightInd w:val="0"/>
        <w:snapToGrid w:val="0"/>
        <w:spacing w:after="0" w:line="360" w:lineRule="auto"/>
        <w:ind w:left="0" w:leftChars="0" w:firstLine="480"/>
        <w:rPr>
          <w:color w:val="auto"/>
          <w:kern w:val="21"/>
        </w:rPr>
      </w:pPr>
      <w:r>
        <w:rPr>
          <w:rFonts w:hint="eastAsia"/>
          <w:color w:val="auto"/>
          <w:kern w:val="21"/>
          <w:highlight w:val="none"/>
        </w:rPr>
        <w:t>根据地表水环境现状监测与调查分析，本</w:t>
      </w:r>
      <w:r>
        <w:rPr>
          <w:rFonts w:hint="eastAsia"/>
          <w:color w:val="auto"/>
          <w:kern w:val="21"/>
        </w:rPr>
        <w:t>项目受纳水体青龙河目前水质现状未</w:t>
      </w:r>
      <w:r>
        <w:rPr>
          <w:color w:val="auto"/>
          <w:kern w:val="21"/>
        </w:rPr>
        <w:t>达到了地表水IV类标准</w:t>
      </w:r>
      <w:r>
        <w:rPr>
          <w:rFonts w:hint="eastAsia"/>
          <w:color w:val="auto"/>
          <w:kern w:val="21"/>
        </w:rPr>
        <w:t>，属于环境质量不达标区，因此，本次环境影响预测应考虑区（流）域环境质量改善目标要求情景下的模拟预测。</w:t>
      </w:r>
    </w:p>
    <w:p>
      <w:pPr>
        <w:pStyle w:val="8"/>
        <w:keepNext w:val="0"/>
        <w:keepLines w:val="0"/>
        <w:tabs>
          <w:tab w:val="left" w:pos="661"/>
        </w:tabs>
        <w:autoSpaceDE w:val="0"/>
        <w:autoSpaceDN w:val="0"/>
        <w:adjustRightInd w:val="0"/>
        <w:snapToGrid w:val="0"/>
        <w:spacing w:before="0" w:after="0" w:line="360" w:lineRule="auto"/>
        <w:ind w:firstLine="0" w:firstLineChars="0"/>
        <w:rPr>
          <w:rFonts w:ascii="Times New Roman" w:hAnsi="Times New Roman" w:eastAsia="宋体"/>
          <w:color w:val="auto"/>
          <w:kern w:val="21"/>
          <w:sz w:val="24"/>
          <w:szCs w:val="36"/>
        </w:rPr>
      </w:pPr>
      <w:r>
        <w:rPr>
          <w:rFonts w:ascii="Times New Roman" w:hAnsi="Times New Roman" w:eastAsia="宋体"/>
          <w:color w:val="auto"/>
          <w:kern w:val="21"/>
          <w:sz w:val="24"/>
          <w:szCs w:val="36"/>
        </w:rPr>
        <w:t>5.</w:t>
      </w:r>
      <w:r>
        <w:rPr>
          <w:rFonts w:hint="eastAsia" w:ascii="Times New Roman" w:hAnsi="Times New Roman" w:eastAsia="宋体"/>
          <w:color w:val="auto"/>
          <w:kern w:val="21"/>
          <w:sz w:val="24"/>
          <w:szCs w:val="36"/>
        </w:rPr>
        <w:t>2</w:t>
      </w:r>
      <w:r>
        <w:rPr>
          <w:rFonts w:ascii="Times New Roman" w:hAnsi="Times New Roman" w:eastAsia="宋体"/>
          <w:color w:val="auto"/>
          <w:kern w:val="21"/>
          <w:sz w:val="24"/>
          <w:szCs w:val="36"/>
        </w:rPr>
        <w:t>.</w:t>
      </w:r>
      <w:r>
        <w:rPr>
          <w:rFonts w:hint="eastAsia" w:ascii="Times New Roman" w:hAnsi="Times New Roman" w:eastAsia="宋体"/>
          <w:color w:val="auto"/>
          <w:kern w:val="21"/>
          <w:sz w:val="24"/>
          <w:szCs w:val="36"/>
        </w:rPr>
        <w:t>1</w:t>
      </w:r>
      <w:r>
        <w:rPr>
          <w:rFonts w:ascii="Times New Roman" w:hAnsi="Times New Roman" w:eastAsia="宋体"/>
          <w:color w:val="auto"/>
          <w:kern w:val="21"/>
          <w:sz w:val="24"/>
          <w:szCs w:val="36"/>
        </w:rPr>
        <w:t>.</w:t>
      </w:r>
      <w:r>
        <w:rPr>
          <w:rFonts w:hint="eastAsia" w:ascii="Times New Roman" w:hAnsi="Times New Roman" w:eastAsia="宋体"/>
          <w:color w:val="auto"/>
          <w:kern w:val="21"/>
          <w:sz w:val="24"/>
          <w:szCs w:val="36"/>
          <w:lang w:val="en-US" w:eastAsia="zh-CN"/>
        </w:rPr>
        <w:t>2</w:t>
      </w:r>
      <w:r>
        <w:rPr>
          <w:rFonts w:hint="eastAsia" w:ascii="Times New Roman" w:hAnsi="Times New Roman" w:eastAsia="宋体"/>
          <w:color w:val="auto"/>
          <w:kern w:val="21"/>
          <w:sz w:val="24"/>
          <w:szCs w:val="36"/>
        </w:rPr>
        <w:t>区域水环境质量限期达标方案分析</w:t>
      </w:r>
    </w:p>
    <w:p>
      <w:pPr>
        <w:pStyle w:val="155"/>
        <w:adjustRightInd/>
        <w:ind w:firstLine="480"/>
        <w:rPr>
          <w:rFonts w:hint="eastAsia"/>
          <w:color w:val="auto"/>
          <w:kern w:val="21"/>
        </w:rPr>
      </w:pPr>
      <w:r>
        <w:rPr>
          <w:color w:val="auto"/>
          <w:kern w:val="21"/>
        </w:rPr>
        <w:t>青龙河作为龙川江（楚雄市段）的重要支流之一，青龙河入龙川江口位于西观桥断面上游。根据青龙河保护目标为IV类标准，而现状水质</w:t>
      </w:r>
      <w:r>
        <w:rPr>
          <w:rFonts w:hint="eastAsia"/>
          <w:color w:val="auto"/>
          <w:kern w:val="21"/>
        </w:rPr>
        <w:t>与</w:t>
      </w:r>
      <w:r>
        <w:rPr>
          <w:color w:val="auto"/>
          <w:kern w:val="21"/>
        </w:rPr>
        <w:t>目标差距较大。《中华人民共和国环境保护法》规定，未达到国家环境质量标准的重点区域、流域的有关地方人民政府，应当制定限期达标规划，并采取措施按期达标，为确保青龙河入龙川江口断面达到IV类标准，</w:t>
      </w:r>
      <w:r>
        <w:rPr>
          <w:rFonts w:hint="eastAsia"/>
          <w:color w:val="auto"/>
          <w:kern w:val="21"/>
        </w:rPr>
        <w:t>2021年11月楚雄市人民政府主持编制完成了《楚雄市青龙河入龙川江口断面水体达标方案（2021-2025年）》，2022年楚雄市人民政府下发了《楚雄市人民政府办公室关于印发楚雄市青龙河水体达标方案的通知》（楚市政办通〔2022〕6号），拟实施17项重点工程，包括城镇两污类、工业污染防治类、农村环境综合整治类、水生态保护及修复类、水资源优化调度类、生态环境管理类6类项目，总投资7.11亿元，其中，已有规划项目13项，总投资6.64亿元，占总投资的93.39%，方案新增项目4项，总投资0.47亿元，占总投资的6.61%。以实现2025年青龙河入龙川江口断面水质目标达到GB3838-2002《地表水环境质量标准》IV类标准要求。</w:t>
      </w:r>
    </w:p>
    <w:p>
      <w:pPr>
        <w:pStyle w:val="155"/>
        <w:adjustRightInd/>
        <w:ind w:firstLine="482"/>
        <w:rPr>
          <w:b/>
          <w:bCs/>
          <w:color w:val="auto"/>
          <w:kern w:val="21"/>
        </w:rPr>
      </w:pPr>
      <w:r>
        <w:rPr>
          <w:rFonts w:hint="eastAsia"/>
          <w:b/>
          <w:bCs/>
          <w:color w:val="auto"/>
          <w:kern w:val="21"/>
        </w:rPr>
        <w:t>1、青龙河达标可行性</w:t>
      </w:r>
    </w:p>
    <w:p>
      <w:pPr>
        <w:pStyle w:val="16"/>
        <w:adjustRightInd/>
        <w:spacing w:before="0"/>
        <w:ind w:right="0" w:firstLine="480"/>
        <w:jc w:val="both"/>
        <w:rPr>
          <w:rFonts w:ascii="Times New Roman" w:hAnsi="Times New Roman"/>
          <w:color w:val="auto"/>
          <w:kern w:val="21"/>
          <w:sz w:val="24"/>
          <w:szCs w:val="24"/>
        </w:rPr>
      </w:pPr>
      <w:r>
        <w:rPr>
          <w:rFonts w:ascii="Times New Roman" w:hAnsi="Times New Roman"/>
          <w:color w:val="auto"/>
          <w:kern w:val="21"/>
          <w:sz w:val="24"/>
          <w:szCs w:val="24"/>
        </w:rPr>
        <w:t>通过</w:t>
      </w:r>
      <w:r>
        <w:rPr>
          <w:rFonts w:hint="eastAsia" w:ascii="Times New Roman" w:hAnsi="Times New Roman"/>
          <w:color w:val="auto"/>
          <w:kern w:val="21"/>
          <w:sz w:val="24"/>
          <w:szCs w:val="24"/>
          <w:lang w:eastAsia="zh-CN"/>
        </w:rPr>
        <w:t>《楚雄市青龙河入龙川江口断面水体达标方案（2021-2025年）》</w:t>
      </w:r>
      <w:r>
        <w:rPr>
          <w:rFonts w:ascii="Times New Roman" w:hAnsi="Times New Roman"/>
          <w:color w:val="auto"/>
          <w:kern w:val="21"/>
          <w:sz w:val="24"/>
          <w:szCs w:val="24"/>
        </w:rPr>
        <w:t>预测，2025年</w:t>
      </w:r>
      <w:r>
        <w:rPr>
          <w:rFonts w:hint="eastAsia" w:ascii="Times New Roman" w:hAnsi="Times New Roman"/>
          <w:color w:val="auto"/>
          <w:kern w:val="21"/>
          <w:sz w:val="24"/>
          <w:szCs w:val="24"/>
        </w:rPr>
        <w:t>青龙河</w:t>
      </w:r>
      <w:r>
        <w:rPr>
          <w:rFonts w:ascii="Times New Roman" w:hAnsi="Times New Roman"/>
          <w:color w:val="auto"/>
          <w:kern w:val="21"/>
          <w:sz w:val="24"/>
          <w:szCs w:val="24"/>
        </w:rPr>
        <w:t xml:space="preserve">流域内主要污染物化学需氧量、氨氮、总磷排放量分别为3318.69 </w:t>
      </w:r>
      <w:r>
        <w:rPr>
          <w:rFonts w:hint="eastAsia" w:ascii="Times New Roman" w:hAnsi="Times New Roman"/>
          <w:color w:val="auto"/>
          <w:kern w:val="21"/>
          <w:sz w:val="24"/>
          <w:szCs w:val="24"/>
        </w:rPr>
        <w:t>t/a</w:t>
      </w:r>
      <w:r>
        <w:rPr>
          <w:rFonts w:ascii="Times New Roman" w:hAnsi="Times New Roman"/>
          <w:color w:val="auto"/>
          <w:kern w:val="21"/>
          <w:sz w:val="24"/>
          <w:szCs w:val="24"/>
        </w:rPr>
        <w:t xml:space="preserve">、149.14 </w:t>
      </w:r>
      <w:r>
        <w:rPr>
          <w:rFonts w:hint="eastAsia" w:ascii="Times New Roman" w:hAnsi="Times New Roman"/>
          <w:color w:val="auto"/>
          <w:kern w:val="21"/>
          <w:sz w:val="24"/>
          <w:szCs w:val="24"/>
        </w:rPr>
        <w:t>t/a</w:t>
      </w:r>
      <w:r>
        <w:rPr>
          <w:rFonts w:ascii="Times New Roman" w:hAnsi="Times New Roman"/>
          <w:color w:val="auto"/>
          <w:kern w:val="21"/>
          <w:sz w:val="24"/>
          <w:szCs w:val="24"/>
        </w:rPr>
        <w:t xml:space="preserve">、37.68 </w:t>
      </w:r>
      <w:r>
        <w:rPr>
          <w:rFonts w:hint="eastAsia" w:ascii="Times New Roman" w:hAnsi="Times New Roman"/>
          <w:color w:val="auto"/>
          <w:kern w:val="21"/>
          <w:sz w:val="24"/>
          <w:szCs w:val="24"/>
        </w:rPr>
        <w:t>t/a</w:t>
      </w:r>
      <w:r>
        <w:rPr>
          <w:rFonts w:ascii="Times New Roman" w:hAnsi="Times New Roman"/>
          <w:color w:val="auto"/>
          <w:kern w:val="21"/>
          <w:sz w:val="24"/>
          <w:szCs w:val="24"/>
        </w:rPr>
        <w:t>。</w:t>
      </w:r>
    </w:p>
    <w:p>
      <w:pPr>
        <w:pStyle w:val="16"/>
        <w:adjustRightInd/>
        <w:spacing w:before="0"/>
        <w:ind w:right="0" w:firstLine="480"/>
        <w:jc w:val="both"/>
        <w:rPr>
          <w:rFonts w:ascii="Times New Roman" w:hAnsi="Times New Roman"/>
          <w:color w:val="auto"/>
          <w:kern w:val="21"/>
          <w:sz w:val="24"/>
          <w:szCs w:val="24"/>
        </w:rPr>
      </w:pPr>
      <w:r>
        <w:rPr>
          <w:rFonts w:ascii="Times New Roman" w:hAnsi="Times New Roman"/>
          <w:color w:val="auto"/>
          <w:kern w:val="21"/>
          <w:sz w:val="24"/>
          <w:szCs w:val="24"/>
        </w:rPr>
        <w:t xml:space="preserve">目前，楚雄市污第一污水处理厂、第二污水处理厂、阳光桥污水处理站、职教园区污水处理站等环境基础设施对流域内的污染负荷削减能力已达到化学需氧量1671.72 </w:t>
      </w:r>
      <w:r>
        <w:rPr>
          <w:rFonts w:hint="eastAsia" w:ascii="Times New Roman" w:hAnsi="Times New Roman"/>
          <w:color w:val="auto"/>
          <w:kern w:val="21"/>
          <w:sz w:val="24"/>
          <w:szCs w:val="24"/>
        </w:rPr>
        <w:t>t/a</w:t>
      </w:r>
      <w:r>
        <w:rPr>
          <w:rFonts w:ascii="Times New Roman" w:hAnsi="Times New Roman"/>
          <w:color w:val="auto"/>
          <w:kern w:val="21"/>
          <w:sz w:val="24"/>
          <w:szCs w:val="24"/>
        </w:rPr>
        <w:t xml:space="preserve">、氨氮49.54 </w:t>
      </w:r>
      <w:r>
        <w:rPr>
          <w:rFonts w:hint="eastAsia" w:ascii="Times New Roman" w:hAnsi="Times New Roman"/>
          <w:color w:val="auto"/>
          <w:kern w:val="21"/>
          <w:sz w:val="24"/>
          <w:szCs w:val="24"/>
        </w:rPr>
        <w:t>t/a</w:t>
      </w:r>
      <w:r>
        <w:rPr>
          <w:rFonts w:ascii="Times New Roman" w:hAnsi="Times New Roman"/>
          <w:color w:val="auto"/>
          <w:kern w:val="21"/>
          <w:sz w:val="24"/>
          <w:szCs w:val="24"/>
        </w:rPr>
        <w:t xml:space="preserve">、总磷18.11 </w:t>
      </w:r>
      <w:r>
        <w:rPr>
          <w:rFonts w:hint="eastAsia" w:ascii="Times New Roman" w:hAnsi="Times New Roman"/>
          <w:color w:val="auto"/>
          <w:kern w:val="21"/>
          <w:sz w:val="24"/>
          <w:szCs w:val="24"/>
        </w:rPr>
        <w:t>t/a</w:t>
      </w:r>
      <w:r>
        <w:rPr>
          <w:rFonts w:ascii="Times New Roman" w:hAnsi="Times New Roman"/>
          <w:color w:val="auto"/>
          <w:kern w:val="21"/>
          <w:sz w:val="24"/>
          <w:szCs w:val="24"/>
        </w:rPr>
        <w:t xml:space="preserve">。随着本方案的实施，一系列污染防治项目的建成运行，2025年，流域污染物削减能力将提升到化学需氧量3012.92 </w:t>
      </w:r>
      <w:r>
        <w:rPr>
          <w:rFonts w:hint="eastAsia" w:ascii="Times New Roman" w:hAnsi="Times New Roman"/>
          <w:color w:val="auto"/>
          <w:kern w:val="21"/>
          <w:sz w:val="24"/>
          <w:szCs w:val="24"/>
        </w:rPr>
        <w:t>t/a</w:t>
      </w:r>
      <w:r>
        <w:rPr>
          <w:rFonts w:ascii="Times New Roman" w:hAnsi="Times New Roman"/>
          <w:color w:val="auto"/>
          <w:kern w:val="21"/>
          <w:sz w:val="24"/>
          <w:szCs w:val="24"/>
        </w:rPr>
        <w:t>、氨氮129.31</w:t>
      </w:r>
      <w:r>
        <w:rPr>
          <w:rFonts w:hint="eastAsia" w:ascii="Times New Roman" w:hAnsi="Times New Roman"/>
          <w:color w:val="auto"/>
          <w:kern w:val="21"/>
          <w:sz w:val="24"/>
          <w:szCs w:val="24"/>
        </w:rPr>
        <w:t>t/a</w:t>
      </w:r>
      <w:r>
        <w:rPr>
          <w:rFonts w:ascii="Times New Roman" w:hAnsi="Times New Roman"/>
          <w:color w:val="auto"/>
          <w:kern w:val="21"/>
          <w:sz w:val="24"/>
          <w:szCs w:val="24"/>
        </w:rPr>
        <w:t xml:space="preserve">、总磷33.02 </w:t>
      </w:r>
      <w:r>
        <w:rPr>
          <w:rFonts w:hint="eastAsia" w:ascii="Times New Roman" w:hAnsi="Times New Roman"/>
          <w:color w:val="auto"/>
          <w:kern w:val="21"/>
          <w:sz w:val="24"/>
          <w:szCs w:val="24"/>
        </w:rPr>
        <w:t>t/a</w:t>
      </w:r>
      <w:r>
        <w:rPr>
          <w:rFonts w:ascii="Times New Roman" w:hAnsi="Times New Roman"/>
          <w:color w:val="auto"/>
          <w:kern w:val="21"/>
          <w:sz w:val="24"/>
          <w:szCs w:val="24"/>
        </w:rPr>
        <w:t xml:space="preserve">。2025 年青龙河流域污染负荷总入河量分别为化学需氧量305.77吨、氨氮19.83 </w:t>
      </w:r>
      <w:r>
        <w:rPr>
          <w:rFonts w:hint="eastAsia" w:ascii="Times New Roman" w:hAnsi="Times New Roman"/>
          <w:color w:val="auto"/>
          <w:kern w:val="21"/>
          <w:sz w:val="24"/>
          <w:szCs w:val="24"/>
        </w:rPr>
        <w:t>t/a</w:t>
      </w:r>
      <w:r>
        <w:rPr>
          <w:rFonts w:ascii="Times New Roman" w:hAnsi="Times New Roman"/>
          <w:color w:val="auto"/>
          <w:kern w:val="21"/>
          <w:sz w:val="24"/>
          <w:szCs w:val="24"/>
        </w:rPr>
        <w:t xml:space="preserve">、总磷4.66 </w:t>
      </w:r>
      <w:r>
        <w:rPr>
          <w:rFonts w:hint="eastAsia" w:ascii="Times New Roman" w:hAnsi="Times New Roman"/>
          <w:color w:val="auto"/>
          <w:kern w:val="21"/>
          <w:sz w:val="24"/>
          <w:szCs w:val="24"/>
        </w:rPr>
        <w:t>t/a</w:t>
      </w:r>
      <w:r>
        <w:rPr>
          <w:rFonts w:ascii="Times New Roman" w:hAnsi="Times New Roman"/>
          <w:color w:val="auto"/>
          <w:kern w:val="21"/>
          <w:sz w:val="24"/>
          <w:szCs w:val="24"/>
        </w:rPr>
        <w:t>。</w:t>
      </w:r>
    </w:p>
    <w:p>
      <w:pPr>
        <w:numPr>
          <w:ilvl w:val="0"/>
          <w:numId w:val="11"/>
        </w:numPr>
        <w:tabs>
          <w:tab w:val="left" w:pos="3395"/>
          <w:tab w:val="clear" w:pos="0"/>
        </w:tabs>
        <w:ind w:left="0" w:leftChars="0" w:firstLine="0" w:firstLineChars="0"/>
        <w:jc w:val="center"/>
        <w:rPr>
          <w:b/>
          <w:color w:val="auto"/>
          <w:kern w:val="21"/>
        </w:rPr>
      </w:pPr>
      <w:r>
        <w:rPr>
          <w:b/>
          <w:color w:val="auto"/>
          <w:kern w:val="21"/>
        </w:rPr>
        <w:t>2025年青龙河流域污染削减情况（t</w:t>
      </w:r>
      <w:r>
        <w:rPr>
          <w:rFonts w:hint="eastAsia"/>
          <w:b/>
          <w:color w:val="auto"/>
          <w:kern w:val="21"/>
        </w:rPr>
        <w:t>/a</w:t>
      </w:r>
      <w:r>
        <w:rPr>
          <w:b/>
          <w:color w:val="auto"/>
          <w:kern w:val="21"/>
        </w:rPr>
        <w:t>）</w:t>
      </w:r>
    </w:p>
    <w:tbl>
      <w:tblPr>
        <w:tblStyle w:val="51"/>
        <w:tblW w:w="88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30"/>
        <w:gridCol w:w="2134"/>
        <w:gridCol w:w="936"/>
        <w:gridCol w:w="2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730" w:type="dxa"/>
            <w:vAlign w:val="center"/>
          </w:tcPr>
          <w:p>
            <w:pPr>
              <w:pStyle w:val="197"/>
              <w:ind w:firstLineChars="0"/>
              <w:jc w:val="center"/>
              <w:rPr>
                <w:b/>
                <w:color w:val="auto"/>
                <w:kern w:val="21"/>
                <w:sz w:val="21"/>
                <w:szCs w:val="21"/>
              </w:rPr>
            </w:pPr>
            <w:r>
              <w:rPr>
                <w:b/>
                <w:color w:val="auto"/>
                <w:kern w:val="21"/>
                <w:sz w:val="21"/>
                <w:szCs w:val="21"/>
              </w:rPr>
              <w:t>项目</w:t>
            </w:r>
          </w:p>
        </w:tc>
        <w:tc>
          <w:tcPr>
            <w:tcW w:w="2134" w:type="dxa"/>
            <w:vAlign w:val="center"/>
          </w:tcPr>
          <w:p>
            <w:pPr>
              <w:pStyle w:val="197"/>
              <w:ind w:firstLineChars="0"/>
              <w:jc w:val="center"/>
              <w:rPr>
                <w:b/>
                <w:color w:val="auto"/>
                <w:kern w:val="21"/>
                <w:sz w:val="21"/>
                <w:szCs w:val="21"/>
              </w:rPr>
            </w:pPr>
            <w:r>
              <w:rPr>
                <w:b/>
                <w:color w:val="auto"/>
                <w:kern w:val="21"/>
                <w:sz w:val="21"/>
                <w:szCs w:val="21"/>
              </w:rPr>
              <w:t>COD</w:t>
            </w:r>
          </w:p>
        </w:tc>
        <w:tc>
          <w:tcPr>
            <w:tcW w:w="936" w:type="dxa"/>
            <w:vAlign w:val="center"/>
          </w:tcPr>
          <w:p>
            <w:pPr>
              <w:pStyle w:val="197"/>
              <w:ind w:firstLineChars="0"/>
              <w:jc w:val="center"/>
              <w:rPr>
                <w:b/>
                <w:color w:val="auto"/>
                <w:kern w:val="21"/>
                <w:sz w:val="21"/>
                <w:szCs w:val="21"/>
              </w:rPr>
            </w:pPr>
            <w:r>
              <w:rPr>
                <w:b/>
                <w:color w:val="auto"/>
                <w:kern w:val="21"/>
                <w:sz w:val="21"/>
                <w:szCs w:val="21"/>
              </w:rPr>
              <w:t>NH</w:t>
            </w:r>
            <w:r>
              <w:rPr>
                <w:rFonts w:hint="eastAsia"/>
                <w:b/>
                <w:color w:val="auto"/>
                <w:kern w:val="21"/>
                <w:sz w:val="21"/>
                <w:szCs w:val="21"/>
                <w:vertAlign w:val="subscript"/>
              </w:rPr>
              <w:t>3</w:t>
            </w:r>
            <w:r>
              <w:rPr>
                <w:b/>
                <w:color w:val="auto"/>
                <w:kern w:val="21"/>
                <w:sz w:val="21"/>
                <w:szCs w:val="21"/>
              </w:rPr>
              <w:t>-N</w:t>
            </w:r>
          </w:p>
        </w:tc>
        <w:tc>
          <w:tcPr>
            <w:tcW w:w="2057" w:type="dxa"/>
            <w:vAlign w:val="center"/>
          </w:tcPr>
          <w:p>
            <w:pPr>
              <w:pStyle w:val="197"/>
              <w:ind w:firstLineChars="0"/>
              <w:jc w:val="center"/>
              <w:rPr>
                <w:b/>
                <w:color w:val="auto"/>
                <w:kern w:val="21"/>
                <w:sz w:val="21"/>
                <w:szCs w:val="21"/>
              </w:rPr>
            </w:pPr>
            <w:r>
              <w:rPr>
                <w:b/>
                <w:color w:val="auto"/>
                <w:kern w:val="21"/>
                <w:sz w:val="21"/>
                <w:szCs w:val="21"/>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730" w:type="dxa"/>
            <w:vAlign w:val="center"/>
          </w:tcPr>
          <w:p>
            <w:pPr>
              <w:pStyle w:val="197"/>
              <w:ind w:firstLineChars="0"/>
              <w:jc w:val="center"/>
              <w:rPr>
                <w:color w:val="auto"/>
                <w:kern w:val="21"/>
                <w:sz w:val="21"/>
                <w:szCs w:val="21"/>
              </w:rPr>
            </w:pPr>
            <w:r>
              <w:rPr>
                <w:color w:val="auto"/>
                <w:kern w:val="21"/>
                <w:sz w:val="21"/>
                <w:szCs w:val="21"/>
              </w:rPr>
              <w:t>2025年污染物排放量</w:t>
            </w:r>
          </w:p>
        </w:tc>
        <w:tc>
          <w:tcPr>
            <w:tcW w:w="2134" w:type="dxa"/>
            <w:vAlign w:val="center"/>
          </w:tcPr>
          <w:p>
            <w:pPr>
              <w:pStyle w:val="197"/>
              <w:ind w:firstLineChars="0"/>
              <w:jc w:val="center"/>
              <w:rPr>
                <w:color w:val="auto"/>
                <w:kern w:val="21"/>
                <w:sz w:val="21"/>
                <w:szCs w:val="21"/>
              </w:rPr>
            </w:pPr>
            <w:r>
              <w:rPr>
                <w:color w:val="auto"/>
                <w:kern w:val="21"/>
                <w:sz w:val="21"/>
                <w:szCs w:val="21"/>
              </w:rPr>
              <w:t>3318.69</w:t>
            </w:r>
          </w:p>
        </w:tc>
        <w:tc>
          <w:tcPr>
            <w:tcW w:w="936" w:type="dxa"/>
            <w:vAlign w:val="center"/>
          </w:tcPr>
          <w:p>
            <w:pPr>
              <w:pStyle w:val="197"/>
              <w:ind w:firstLineChars="0"/>
              <w:jc w:val="center"/>
              <w:rPr>
                <w:color w:val="auto"/>
                <w:kern w:val="21"/>
                <w:sz w:val="21"/>
                <w:szCs w:val="21"/>
              </w:rPr>
            </w:pPr>
            <w:r>
              <w:rPr>
                <w:color w:val="auto"/>
                <w:kern w:val="21"/>
                <w:sz w:val="21"/>
                <w:szCs w:val="21"/>
              </w:rPr>
              <w:t>149.14</w:t>
            </w:r>
          </w:p>
        </w:tc>
        <w:tc>
          <w:tcPr>
            <w:tcW w:w="2057" w:type="dxa"/>
            <w:vAlign w:val="center"/>
          </w:tcPr>
          <w:p>
            <w:pPr>
              <w:pStyle w:val="197"/>
              <w:ind w:firstLineChars="0"/>
              <w:jc w:val="center"/>
              <w:rPr>
                <w:color w:val="auto"/>
                <w:kern w:val="21"/>
                <w:sz w:val="21"/>
                <w:szCs w:val="21"/>
              </w:rPr>
            </w:pPr>
            <w:r>
              <w:rPr>
                <w:color w:val="auto"/>
                <w:kern w:val="21"/>
                <w:sz w:val="21"/>
                <w:szCs w:val="21"/>
              </w:rPr>
              <w:t>37.68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jc w:val="center"/>
        </w:trPr>
        <w:tc>
          <w:tcPr>
            <w:tcW w:w="3730" w:type="dxa"/>
            <w:vAlign w:val="center"/>
          </w:tcPr>
          <w:p>
            <w:pPr>
              <w:pStyle w:val="197"/>
              <w:ind w:firstLineChars="0"/>
              <w:jc w:val="center"/>
              <w:rPr>
                <w:color w:val="auto"/>
                <w:kern w:val="21"/>
                <w:sz w:val="21"/>
                <w:szCs w:val="21"/>
              </w:rPr>
            </w:pPr>
            <w:r>
              <w:rPr>
                <w:color w:val="auto"/>
                <w:kern w:val="21"/>
                <w:sz w:val="21"/>
                <w:szCs w:val="21"/>
              </w:rPr>
              <w:t>现状污染物削减能力</w:t>
            </w:r>
          </w:p>
        </w:tc>
        <w:tc>
          <w:tcPr>
            <w:tcW w:w="2134" w:type="dxa"/>
            <w:vAlign w:val="center"/>
          </w:tcPr>
          <w:p>
            <w:pPr>
              <w:pStyle w:val="197"/>
              <w:ind w:firstLineChars="0"/>
              <w:jc w:val="center"/>
              <w:rPr>
                <w:color w:val="auto"/>
                <w:kern w:val="21"/>
                <w:sz w:val="21"/>
                <w:szCs w:val="21"/>
              </w:rPr>
            </w:pPr>
            <w:r>
              <w:rPr>
                <w:color w:val="auto"/>
                <w:kern w:val="21"/>
                <w:sz w:val="21"/>
                <w:szCs w:val="21"/>
              </w:rPr>
              <w:t>1671.72</w:t>
            </w:r>
          </w:p>
        </w:tc>
        <w:tc>
          <w:tcPr>
            <w:tcW w:w="936" w:type="dxa"/>
            <w:vAlign w:val="center"/>
          </w:tcPr>
          <w:p>
            <w:pPr>
              <w:pStyle w:val="197"/>
              <w:ind w:firstLineChars="0"/>
              <w:jc w:val="center"/>
              <w:rPr>
                <w:color w:val="auto"/>
                <w:kern w:val="21"/>
                <w:sz w:val="21"/>
                <w:szCs w:val="21"/>
              </w:rPr>
            </w:pPr>
            <w:r>
              <w:rPr>
                <w:color w:val="auto"/>
                <w:kern w:val="21"/>
                <w:sz w:val="21"/>
                <w:szCs w:val="21"/>
              </w:rPr>
              <w:t>49.54</w:t>
            </w:r>
          </w:p>
        </w:tc>
        <w:tc>
          <w:tcPr>
            <w:tcW w:w="2057" w:type="dxa"/>
            <w:vAlign w:val="center"/>
          </w:tcPr>
          <w:p>
            <w:pPr>
              <w:pStyle w:val="197"/>
              <w:ind w:firstLineChars="0"/>
              <w:jc w:val="center"/>
              <w:rPr>
                <w:color w:val="auto"/>
                <w:kern w:val="21"/>
                <w:sz w:val="21"/>
                <w:szCs w:val="21"/>
              </w:rPr>
            </w:pPr>
            <w:r>
              <w:rPr>
                <w:color w:val="auto"/>
                <w:kern w:val="21"/>
                <w:sz w:val="21"/>
                <w:szCs w:val="21"/>
              </w:rPr>
              <w:t>18.11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730" w:type="dxa"/>
            <w:vAlign w:val="center"/>
          </w:tcPr>
          <w:p>
            <w:pPr>
              <w:pStyle w:val="197"/>
              <w:ind w:firstLineChars="0"/>
              <w:jc w:val="center"/>
              <w:rPr>
                <w:color w:val="auto"/>
                <w:kern w:val="21"/>
                <w:sz w:val="21"/>
                <w:szCs w:val="21"/>
              </w:rPr>
            </w:pPr>
            <w:r>
              <w:rPr>
                <w:color w:val="auto"/>
                <w:kern w:val="21"/>
                <w:sz w:val="21"/>
                <w:szCs w:val="21"/>
              </w:rPr>
              <w:t>方案新增污染物削减能力</w:t>
            </w:r>
          </w:p>
        </w:tc>
        <w:tc>
          <w:tcPr>
            <w:tcW w:w="2134" w:type="dxa"/>
            <w:vAlign w:val="center"/>
          </w:tcPr>
          <w:p>
            <w:pPr>
              <w:pStyle w:val="197"/>
              <w:ind w:firstLineChars="0"/>
              <w:jc w:val="center"/>
              <w:rPr>
                <w:color w:val="auto"/>
                <w:kern w:val="21"/>
                <w:sz w:val="21"/>
                <w:szCs w:val="21"/>
              </w:rPr>
            </w:pPr>
            <w:r>
              <w:rPr>
                <w:color w:val="auto"/>
                <w:kern w:val="21"/>
                <w:sz w:val="21"/>
                <w:szCs w:val="21"/>
              </w:rPr>
              <w:t>1341.20</w:t>
            </w:r>
          </w:p>
        </w:tc>
        <w:tc>
          <w:tcPr>
            <w:tcW w:w="936" w:type="dxa"/>
            <w:vAlign w:val="center"/>
          </w:tcPr>
          <w:p>
            <w:pPr>
              <w:pStyle w:val="197"/>
              <w:ind w:firstLineChars="0"/>
              <w:jc w:val="center"/>
              <w:rPr>
                <w:color w:val="auto"/>
                <w:kern w:val="21"/>
                <w:sz w:val="21"/>
                <w:szCs w:val="21"/>
              </w:rPr>
            </w:pPr>
            <w:r>
              <w:rPr>
                <w:color w:val="auto"/>
                <w:kern w:val="21"/>
                <w:sz w:val="21"/>
                <w:szCs w:val="21"/>
              </w:rPr>
              <w:t>79.77</w:t>
            </w:r>
          </w:p>
        </w:tc>
        <w:tc>
          <w:tcPr>
            <w:tcW w:w="2057" w:type="dxa"/>
            <w:vAlign w:val="center"/>
          </w:tcPr>
          <w:p>
            <w:pPr>
              <w:pStyle w:val="197"/>
              <w:ind w:firstLineChars="0"/>
              <w:jc w:val="center"/>
              <w:rPr>
                <w:color w:val="auto"/>
                <w:kern w:val="21"/>
                <w:sz w:val="21"/>
                <w:szCs w:val="21"/>
              </w:rPr>
            </w:pPr>
            <w:r>
              <w:rPr>
                <w:color w:val="auto"/>
                <w:kern w:val="21"/>
                <w:sz w:val="21"/>
                <w:szCs w:val="21"/>
              </w:rPr>
              <w:t>14.91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730" w:type="dxa"/>
            <w:vAlign w:val="center"/>
          </w:tcPr>
          <w:p>
            <w:pPr>
              <w:pStyle w:val="197"/>
              <w:ind w:firstLineChars="0"/>
              <w:jc w:val="center"/>
              <w:rPr>
                <w:color w:val="auto"/>
                <w:kern w:val="21"/>
                <w:sz w:val="21"/>
                <w:szCs w:val="21"/>
              </w:rPr>
            </w:pPr>
            <w:r>
              <w:rPr>
                <w:color w:val="auto"/>
                <w:kern w:val="21"/>
                <w:sz w:val="21"/>
                <w:szCs w:val="21"/>
              </w:rPr>
              <w:t>2025年总削减能力</w:t>
            </w:r>
          </w:p>
        </w:tc>
        <w:tc>
          <w:tcPr>
            <w:tcW w:w="2134" w:type="dxa"/>
            <w:vAlign w:val="center"/>
          </w:tcPr>
          <w:p>
            <w:pPr>
              <w:pStyle w:val="197"/>
              <w:ind w:firstLineChars="0"/>
              <w:jc w:val="center"/>
              <w:rPr>
                <w:color w:val="auto"/>
                <w:kern w:val="21"/>
                <w:sz w:val="21"/>
                <w:szCs w:val="21"/>
              </w:rPr>
            </w:pPr>
            <w:r>
              <w:rPr>
                <w:color w:val="auto"/>
                <w:kern w:val="21"/>
                <w:sz w:val="21"/>
                <w:szCs w:val="21"/>
              </w:rPr>
              <w:t>3012.92</w:t>
            </w:r>
          </w:p>
        </w:tc>
        <w:tc>
          <w:tcPr>
            <w:tcW w:w="936" w:type="dxa"/>
            <w:vAlign w:val="center"/>
          </w:tcPr>
          <w:p>
            <w:pPr>
              <w:pStyle w:val="197"/>
              <w:ind w:firstLineChars="0"/>
              <w:jc w:val="center"/>
              <w:rPr>
                <w:color w:val="auto"/>
                <w:kern w:val="21"/>
                <w:sz w:val="21"/>
                <w:szCs w:val="21"/>
              </w:rPr>
            </w:pPr>
            <w:r>
              <w:rPr>
                <w:color w:val="auto"/>
                <w:kern w:val="21"/>
                <w:sz w:val="21"/>
                <w:szCs w:val="21"/>
              </w:rPr>
              <w:t>129.31</w:t>
            </w:r>
          </w:p>
        </w:tc>
        <w:tc>
          <w:tcPr>
            <w:tcW w:w="2057" w:type="dxa"/>
            <w:vAlign w:val="center"/>
          </w:tcPr>
          <w:p>
            <w:pPr>
              <w:pStyle w:val="197"/>
              <w:ind w:firstLineChars="0"/>
              <w:jc w:val="center"/>
              <w:rPr>
                <w:color w:val="auto"/>
                <w:kern w:val="21"/>
                <w:sz w:val="21"/>
                <w:szCs w:val="21"/>
              </w:rPr>
            </w:pPr>
            <w:r>
              <w:rPr>
                <w:color w:val="auto"/>
                <w:kern w:val="21"/>
                <w:sz w:val="21"/>
                <w:szCs w:val="21"/>
              </w:rPr>
              <w:t>33.02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730" w:type="dxa"/>
            <w:vAlign w:val="center"/>
          </w:tcPr>
          <w:p>
            <w:pPr>
              <w:pStyle w:val="197"/>
              <w:ind w:firstLineChars="0"/>
              <w:jc w:val="center"/>
              <w:rPr>
                <w:color w:val="auto"/>
                <w:kern w:val="21"/>
                <w:sz w:val="21"/>
                <w:szCs w:val="21"/>
              </w:rPr>
            </w:pPr>
            <w:r>
              <w:rPr>
                <w:color w:val="auto"/>
                <w:kern w:val="21"/>
                <w:sz w:val="21"/>
                <w:szCs w:val="21"/>
              </w:rPr>
              <w:t>2025年排放量</w:t>
            </w:r>
          </w:p>
        </w:tc>
        <w:tc>
          <w:tcPr>
            <w:tcW w:w="2134" w:type="dxa"/>
            <w:vAlign w:val="center"/>
          </w:tcPr>
          <w:p>
            <w:pPr>
              <w:pStyle w:val="197"/>
              <w:ind w:firstLineChars="0"/>
              <w:jc w:val="center"/>
              <w:rPr>
                <w:color w:val="auto"/>
                <w:kern w:val="21"/>
                <w:sz w:val="21"/>
                <w:szCs w:val="21"/>
              </w:rPr>
            </w:pPr>
            <w:r>
              <w:rPr>
                <w:color w:val="auto"/>
                <w:kern w:val="21"/>
                <w:sz w:val="21"/>
                <w:szCs w:val="21"/>
              </w:rPr>
              <w:t>305.77</w:t>
            </w:r>
          </w:p>
        </w:tc>
        <w:tc>
          <w:tcPr>
            <w:tcW w:w="936" w:type="dxa"/>
            <w:vAlign w:val="center"/>
          </w:tcPr>
          <w:p>
            <w:pPr>
              <w:pStyle w:val="197"/>
              <w:ind w:firstLineChars="0"/>
              <w:jc w:val="center"/>
              <w:rPr>
                <w:color w:val="auto"/>
                <w:kern w:val="21"/>
                <w:sz w:val="21"/>
                <w:szCs w:val="21"/>
              </w:rPr>
            </w:pPr>
            <w:r>
              <w:rPr>
                <w:color w:val="auto"/>
                <w:kern w:val="21"/>
                <w:sz w:val="21"/>
                <w:szCs w:val="21"/>
              </w:rPr>
              <w:t>19.83</w:t>
            </w:r>
          </w:p>
        </w:tc>
        <w:tc>
          <w:tcPr>
            <w:tcW w:w="2057" w:type="dxa"/>
            <w:vAlign w:val="center"/>
          </w:tcPr>
          <w:p>
            <w:pPr>
              <w:pStyle w:val="197"/>
              <w:ind w:firstLineChars="0"/>
              <w:jc w:val="center"/>
              <w:rPr>
                <w:color w:val="auto"/>
                <w:kern w:val="21"/>
                <w:sz w:val="21"/>
                <w:szCs w:val="21"/>
              </w:rPr>
            </w:pPr>
            <w:r>
              <w:rPr>
                <w:color w:val="auto"/>
                <w:kern w:val="21"/>
                <w:sz w:val="21"/>
                <w:szCs w:val="21"/>
              </w:rPr>
              <w:t>4.66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730" w:type="dxa"/>
            <w:vAlign w:val="center"/>
          </w:tcPr>
          <w:p>
            <w:pPr>
              <w:pStyle w:val="197"/>
              <w:ind w:firstLineChars="0"/>
              <w:jc w:val="center"/>
              <w:rPr>
                <w:color w:val="auto"/>
                <w:kern w:val="21"/>
                <w:sz w:val="21"/>
                <w:szCs w:val="21"/>
              </w:rPr>
            </w:pPr>
            <w:r>
              <w:rPr>
                <w:color w:val="auto"/>
                <w:kern w:val="21"/>
                <w:sz w:val="21"/>
                <w:szCs w:val="21"/>
              </w:rPr>
              <w:t>允许排放量（90%保障率）</w:t>
            </w:r>
          </w:p>
        </w:tc>
        <w:tc>
          <w:tcPr>
            <w:tcW w:w="2134" w:type="dxa"/>
            <w:vAlign w:val="center"/>
          </w:tcPr>
          <w:p>
            <w:pPr>
              <w:pStyle w:val="197"/>
              <w:ind w:firstLineChars="0"/>
              <w:jc w:val="center"/>
              <w:rPr>
                <w:color w:val="auto"/>
                <w:kern w:val="21"/>
                <w:sz w:val="21"/>
                <w:szCs w:val="21"/>
              </w:rPr>
            </w:pPr>
            <w:r>
              <w:rPr>
                <w:color w:val="auto"/>
                <w:kern w:val="21"/>
                <w:sz w:val="21"/>
                <w:szCs w:val="21"/>
              </w:rPr>
              <w:t>342.88</w:t>
            </w:r>
          </w:p>
        </w:tc>
        <w:tc>
          <w:tcPr>
            <w:tcW w:w="936" w:type="dxa"/>
            <w:vAlign w:val="center"/>
          </w:tcPr>
          <w:p>
            <w:pPr>
              <w:pStyle w:val="197"/>
              <w:ind w:firstLineChars="0"/>
              <w:jc w:val="center"/>
              <w:rPr>
                <w:color w:val="auto"/>
                <w:kern w:val="21"/>
                <w:sz w:val="21"/>
                <w:szCs w:val="21"/>
              </w:rPr>
            </w:pPr>
            <w:r>
              <w:rPr>
                <w:color w:val="auto"/>
                <w:kern w:val="21"/>
                <w:sz w:val="21"/>
                <w:szCs w:val="21"/>
              </w:rPr>
              <w:t>20.11</w:t>
            </w:r>
          </w:p>
        </w:tc>
        <w:tc>
          <w:tcPr>
            <w:tcW w:w="2057" w:type="dxa"/>
            <w:vAlign w:val="center"/>
          </w:tcPr>
          <w:p>
            <w:pPr>
              <w:pStyle w:val="197"/>
              <w:ind w:firstLineChars="0"/>
              <w:jc w:val="center"/>
              <w:rPr>
                <w:color w:val="auto"/>
                <w:kern w:val="21"/>
                <w:sz w:val="21"/>
                <w:szCs w:val="21"/>
              </w:rPr>
            </w:pPr>
            <w:r>
              <w:rPr>
                <w:color w:val="auto"/>
                <w:kern w:val="21"/>
                <w:sz w:val="21"/>
                <w:szCs w:val="21"/>
              </w:rPr>
              <w:t>5.49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jc w:val="center"/>
        </w:trPr>
        <w:tc>
          <w:tcPr>
            <w:tcW w:w="3730" w:type="dxa"/>
            <w:vAlign w:val="center"/>
          </w:tcPr>
          <w:p>
            <w:pPr>
              <w:pStyle w:val="197"/>
              <w:ind w:firstLineChars="0"/>
              <w:jc w:val="center"/>
              <w:rPr>
                <w:color w:val="auto"/>
                <w:kern w:val="21"/>
                <w:sz w:val="21"/>
                <w:szCs w:val="21"/>
              </w:rPr>
            </w:pPr>
            <w:r>
              <w:rPr>
                <w:color w:val="auto"/>
                <w:kern w:val="21"/>
                <w:sz w:val="21"/>
                <w:szCs w:val="21"/>
              </w:rPr>
              <w:t>允许排放量（75%保障率）</w:t>
            </w:r>
          </w:p>
        </w:tc>
        <w:tc>
          <w:tcPr>
            <w:tcW w:w="2134" w:type="dxa"/>
            <w:vAlign w:val="center"/>
          </w:tcPr>
          <w:p>
            <w:pPr>
              <w:pStyle w:val="197"/>
              <w:ind w:firstLineChars="0"/>
              <w:jc w:val="center"/>
              <w:rPr>
                <w:color w:val="auto"/>
                <w:kern w:val="21"/>
                <w:sz w:val="21"/>
                <w:szCs w:val="21"/>
              </w:rPr>
            </w:pPr>
            <w:r>
              <w:rPr>
                <w:color w:val="auto"/>
                <w:kern w:val="21"/>
                <w:sz w:val="21"/>
                <w:szCs w:val="21"/>
              </w:rPr>
              <w:t>476.32</w:t>
            </w:r>
          </w:p>
        </w:tc>
        <w:tc>
          <w:tcPr>
            <w:tcW w:w="936" w:type="dxa"/>
            <w:vAlign w:val="center"/>
          </w:tcPr>
          <w:p>
            <w:pPr>
              <w:pStyle w:val="197"/>
              <w:ind w:firstLineChars="0"/>
              <w:jc w:val="center"/>
              <w:rPr>
                <w:color w:val="auto"/>
                <w:kern w:val="21"/>
                <w:sz w:val="21"/>
                <w:szCs w:val="21"/>
              </w:rPr>
            </w:pPr>
            <w:r>
              <w:rPr>
                <w:color w:val="auto"/>
                <w:kern w:val="21"/>
                <w:sz w:val="21"/>
                <w:szCs w:val="21"/>
              </w:rPr>
              <w:t>49.14</w:t>
            </w:r>
          </w:p>
        </w:tc>
        <w:tc>
          <w:tcPr>
            <w:tcW w:w="2057" w:type="dxa"/>
            <w:vAlign w:val="center"/>
          </w:tcPr>
          <w:p>
            <w:pPr>
              <w:pStyle w:val="197"/>
              <w:ind w:firstLineChars="0"/>
              <w:jc w:val="center"/>
              <w:rPr>
                <w:color w:val="auto"/>
                <w:kern w:val="21"/>
                <w:sz w:val="21"/>
                <w:szCs w:val="21"/>
              </w:rPr>
            </w:pPr>
            <w:r>
              <w:rPr>
                <w:color w:val="auto"/>
                <w:kern w:val="21"/>
                <w:sz w:val="21"/>
                <w:szCs w:val="21"/>
              </w:rPr>
              <w:t>7.28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jc w:val="center"/>
        </w:trPr>
        <w:tc>
          <w:tcPr>
            <w:tcW w:w="3730" w:type="dxa"/>
            <w:vAlign w:val="center"/>
          </w:tcPr>
          <w:p>
            <w:pPr>
              <w:pStyle w:val="197"/>
              <w:ind w:firstLineChars="0"/>
              <w:jc w:val="center"/>
              <w:rPr>
                <w:color w:val="auto"/>
                <w:kern w:val="21"/>
                <w:sz w:val="21"/>
                <w:szCs w:val="21"/>
              </w:rPr>
            </w:pPr>
            <w:r>
              <w:rPr>
                <w:color w:val="auto"/>
                <w:kern w:val="21"/>
                <w:sz w:val="21"/>
                <w:szCs w:val="21"/>
              </w:rPr>
              <w:t>是否达标(90%保障率）</w:t>
            </w:r>
          </w:p>
        </w:tc>
        <w:tc>
          <w:tcPr>
            <w:tcW w:w="2134" w:type="dxa"/>
            <w:vAlign w:val="center"/>
          </w:tcPr>
          <w:p>
            <w:pPr>
              <w:pStyle w:val="197"/>
              <w:ind w:firstLineChars="0"/>
              <w:jc w:val="center"/>
              <w:rPr>
                <w:color w:val="auto"/>
                <w:kern w:val="21"/>
                <w:sz w:val="21"/>
                <w:szCs w:val="21"/>
              </w:rPr>
            </w:pPr>
            <w:r>
              <w:rPr>
                <w:color w:val="auto"/>
                <w:kern w:val="21"/>
                <w:sz w:val="21"/>
                <w:szCs w:val="21"/>
              </w:rPr>
              <w:t>是</w:t>
            </w:r>
          </w:p>
        </w:tc>
        <w:tc>
          <w:tcPr>
            <w:tcW w:w="936" w:type="dxa"/>
            <w:vAlign w:val="center"/>
          </w:tcPr>
          <w:p>
            <w:pPr>
              <w:pStyle w:val="197"/>
              <w:ind w:firstLineChars="0"/>
              <w:jc w:val="center"/>
              <w:rPr>
                <w:color w:val="auto"/>
                <w:kern w:val="21"/>
                <w:sz w:val="21"/>
                <w:szCs w:val="21"/>
              </w:rPr>
            </w:pPr>
            <w:r>
              <w:rPr>
                <w:color w:val="auto"/>
                <w:kern w:val="21"/>
                <w:sz w:val="21"/>
                <w:szCs w:val="21"/>
              </w:rPr>
              <w:t>是</w:t>
            </w:r>
          </w:p>
        </w:tc>
        <w:tc>
          <w:tcPr>
            <w:tcW w:w="2057" w:type="dxa"/>
            <w:vAlign w:val="center"/>
          </w:tcPr>
          <w:p>
            <w:pPr>
              <w:pStyle w:val="197"/>
              <w:ind w:firstLineChars="0"/>
              <w:jc w:val="center"/>
              <w:rPr>
                <w:color w:val="auto"/>
                <w:kern w:val="21"/>
                <w:sz w:val="21"/>
                <w:szCs w:val="21"/>
              </w:rPr>
            </w:pPr>
            <w:r>
              <w:rPr>
                <w:color w:val="auto"/>
                <w:kern w:val="21"/>
                <w:sz w:val="21"/>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jc w:val="center"/>
        </w:trPr>
        <w:tc>
          <w:tcPr>
            <w:tcW w:w="3730" w:type="dxa"/>
            <w:vAlign w:val="center"/>
          </w:tcPr>
          <w:p>
            <w:pPr>
              <w:pStyle w:val="197"/>
              <w:ind w:firstLineChars="0"/>
              <w:jc w:val="center"/>
              <w:rPr>
                <w:color w:val="auto"/>
                <w:kern w:val="21"/>
                <w:sz w:val="21"/>
                <w:szCs w:val="21"/>
              </w:rPr>
            </w:pPr>
            <w:r>
              <w:rPr>
                <w:color w:val="auto"/>
                <w:kern w:val="21"/>
                <w:sz w:val="21"/>
                <w:szCs w:val="21"/>
              </w:rPr>
              <w:t>是否达标(75%保障率）</w:t>
            </w:r>
          </w:p>
        </w:tc>
        <w:tc>
          <w:tcPr>
            <w:tcW w:w="2134" w:type="dxa"/>
            <w:vAlign w:val="center"/>
          </w:tcPr>
          <w:p>
            <w:pPr>
              <w:pStyle w:val="197"/>
              <w:ind w:firstLineChars="0"/>
              <w:jc w:val="center"/>
              <w:rPr>
                <w:color w:val="auto"/>
                <w:kern w:val="21"/>
                <w:sz w:val="21"/>
                <w:szCs w:val="21"/>
              </w:rPr>
            </w:pPr>
            <w:r>
              <w:rPr>
                <w:color w:val="auto"/>
                <w:kern w:val="21"/>
                <w:sz w:val="21"/>
                <w:szCs w:val="21"/>
              </w:rPr>
              <w:t>是</w:t>
            </w:r>
          </w:p>
        </w:tc>
        <w:tc>
          <w:tcPr>
            <w:tcW w:w="936" w:type="dxa"/>
            <w:vAlign w:val="center"/>
          </w:tcPr>
          <w:p>
            <w:pPr>
              <w:pStyle w:val="197"/>
              <w:ind w:firstLineChars="0"/>
              <w:jc w:val="center"/>
              <w:rPr>
                <w:color w:val="auto"/>
                <w:kern w:val="21"/>
                <w:sz w:val="21"/>
                <w:szCs w:val="21"/>
              </w:rPr>
            </w:pPr>
            <w:r>
              <w:rPr>
                <w:color w:val="auto"/>
                <w:kern w:val="21"/>
                <w:sz w:val="21"/>
                <w:szCs w:val="21"/>
              </w:rPr>
              <w:t>是</w:t>
            </w:r>
          </w:p>
        </w:tc>
        <w:tc>
          <w:tcPr>
            <w:tcW w:w="2057" w:type="dxa"/>
            <w:vAlign w:val="center"/>
          </w:tcPr>
          <w:p>
            <w:pPr>
              <w:pStyle w:val="197"/>
              <w:ind w:firstLineChars="0"/>
              <w:jc w:val="center"/>
              <w:rPr>
                <w:color w:val="auto"/>
                <w:kern w:val="21"/>
                <w:sz w:val="21"/>
                <w:szCs w:val="21"/>
              </w:rPr>
            </w:pPr>
            <w:r>
              <w:rPr>
                <w:color w:val="auto"/>
                <w:kern w:val="21"/>
                <w:sz w:val="21"/>
                <w:szCs w:val="21"/>
              </w:rPr>
              <w:t>是</w:t>
            </w:r>
          </w:p>
        </w:tc>
      </w:tr>
    </w:tbl>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b/>
          <w:bCs/>
          <w:color w:val="auto"/>
          <w:kern w:val="21"/>
          <w:sz w:val="21"/>
          <w:szCs w:val="21"/>
        </w:rPr>
      </w:pPr>
      <w:r>
        <w:rPr>
          <w:b/>
          <w:bCs/>
          <w:color w:val="auto"/>
          <w:kern w:val="21"/>
          <w:sz w:val="21"/>
          <w:szCs w:val="21"/>
        </w:rPr>
        <w:t>注：现状削减能力计算中仅包含第一、第二污水处理厂处理流域内部分。</w:t>
      </w:r>
    </w:p>
    <w:p>
      <w:pPr>
        <w:pStyle w:val="23"/>
        <w:spacing w:after="0" w:line="360" w:lineRule="auto"/>
        <w:ind w:left="0" w:leftChars="0" w:firstLine="480"/>
        <w:rPr>
          <w:color w:val="auto"/>
          <w:kern w:val="21"/>
        </w:rPr>
      </w:pPr>
      <w:r>
        <w:rPr>
          <w:color w:val="auto"/>
          <w:kern w:val="21"/>
        </w:rPr>
        <w:t>从青龙河流域污染负荷总入河（库）量和对应水体水环境容量对比可知，到2025年，在基础污染设施运转正常、管理到位的前提下，青龙河流域污染物将得到有效的削减，三个指标入河污染负荷量均小于环</w:t>
      </w:r>
      <w:r>
        <w:rPr>
          <w:rFonts w:hint="eastAsia"/>
          <w:color w:val="auto"/>
          <w:kern w:val="21"/>
        </w:rPr>
        <w:t>境容量，可以达标。</w:t>
      </w:r>
    </w:p>
    <w:p>
      <w:pPr>
        <w:pStyle w:val="23"/>
        <w:spacing w:after="0" w:line="360" w:lineRule="auto"/>
        <w:ind w:left="0" w:leftChars="0" w:firstLine="482"/>
        <w:rPr>
          <w:b/>
          <w:bCs/>
          <w:color w:val="auto"/>
          <w:kern w:val="21"/>
        </w:rPr>
      </w:pPr>
      <w:r>
        <w:rPr>
          <w:rFonts w:hint="eastAsia"/>
          <w:b/>
          <w:bCs/>
          <w:color w:val="auto"/>
          <w:kern w:val="21"/>
        </w:rPr>
        <w:t>2、本项目实施与</w:t>
      </w:r>
      <w:r>
        <w:rPr>
          <w:rFonts w:hint="eastAsia"/>
          <w:b/>
          <w:bCs/>
          <w:color w:val="auto"/>
          <w:kern w:val="21"/>
          <w:lang w:eastAsia="zh-CN"/>
        </w:rPr>
        <w:t>《楚雄市青龙河入龙川江口断面水体达标方案（2021-2025年）》</w:t>
      </w:r>
      <w:r>
        <w:rPr>
          <w:rFonts w:hint="eastAsia"/>
          <w:b/>
          <w:bCs/>
          <w:color w:val="auto"/>
          <w:kern w:val="21"/>
        </w:rPr>
        <w:t>要求符合性</w:t>
      </w:r>
    </w:p>
    <w:p>
      <w:pPr>
        <w:pStyle w:val="23"/>
        <w:spacing w:after="0" w:line="360" w:lineRule="auto"/>
        <w:ind w:left="0" w:leftChars="0" w:firstLine="480"/>
        <w:rPr>
          <w:color w:val="auto"/>
          <w:kern w:val="21"/>
        </w:rPr>
      </w:pPr>
      <w:r>
        <w:rPr>
          <w:rFonts w:hint="eastAsia"/>
          <w:color w:val="auto"/>
          <w:kern w:val="21"/>
        </w:rPr>
        <w:t>（1）方案对本项目要求</w:t>
      </w:r>
    </w:p>
    <w:p>
      <w:pPr>
        <w:pStyle w:val="23"/>
        <w:spacing w:after="0" w:line="360" w:lineRule="auto"/>
        <w:ind w:left="0" w:leftChars="0" w:firstLine="480"/>
        <w:rPr>
          <w:color w:val="auto"/>
          <w:kern w:val="21"/>
          <w:highlight w:val="yellow"/>
        </w:rPr>
      </w:pPr>
      <w:r>
        <w:rPr>
          <w:color w:val="auto"/>
          <w:kern w:val="21"/>
        </w:rPr>
        <w:t>水资源短缺与水环境保护矛盾日趋加剧。青龙河流域属水资源紧缺地区，水资源供需矛盾日益突出，对青龙河水质稳定达标造成一定压力。合理调控管理水资源，保障水资源供给和水质稳定达标，压力大，任务艰巨。青龙河生态流量不能满足的情况下，富民工业园区污水处理厂尾水排放浓度应控制在化学需氧量不高于30mg/L、氨氮不高于2.2 mg/L、总磷不高于0.3 mg/L，其他污染物排放浓度达到《城镇污水处理厂排放标准》（GB18918-2002）一级A标准，主要污染物化学需氧量、氨氮、总磷排放总量分别不高于240.9</w:t>
      </w:r>
      <w:r>
        <w:rPr>
          <w:rFonts w:hint="eastAsia"/>
          <w:color w:val="auto"/>
          <w:kern w:val="21"/>
        </w:rPr>
        <w:t>t/a</w:t>
      </w:r>
      <w:r>
        <w:rPr>
          <w:color w:val="auto"/>
          <w:kern w:val="21"/>
        </w:rPr>
        <w:t>、17.7</w:t>
      </w:r>
      <w:r>
        <w:rPr>
          <w:rFonts w:hint="eastAsia"/>
          <w:color w:val="auto"/>
          <w:kern w:val="21"/>
        </w:rPr>
        <w:t>t/a</w:t>
      </w:r>
      <w:r>
        <w:rPr>
          <w:color w:val="auto"/>
          <w:kern w:val="21"/>
        </w:rPr>
        <w:t>、2.4</w:t>
      </w:r>
      <w:r>
        <w:rPr>
          <w:rFonts w:hint="eastAsia"/>
          <w:color w:val="auto"/>
          <w:kern w:val="21"/>
        </w:rPr>
        <w:t>t/a</w:t>
      </w:r>
      <w:r>
        <w:rPr>
          <w:color w:val="auto"/>
          <w:kern w:val="21"/>
        </w:rPr>
        <w:t>。</w:t>
      </w:r>
      <w:r>
        <w:rPr>
          <w:color w:val="auto"/>
          <w:kern w:val="21"/>
          <w:highlight w:val="none"/>
        </w:rPr>
        <w:t>同时，富民工业园区污水处理厂应加强对特征性污染物的控制，确保达标排放。</w:t>
      </w:r>
    </w:p>
    <w:p>
      <w:pPr>
        <w:pStyle w:val="23"/>
        <w:spacing w:after="0" w:line="360" w:lineRule="auto"/>
        <w:ind w:left="0" w:leftChars="0" w:firstLine="480"/>
        <w:rPr>
          <w:color w:val="auto"/>
          <w:kern w:val="21"/>
        </w:rPr>
      </w:pPr>
      <w:r>
        <w:rPr>
          <w:rFonts w:hint="eastAsia"/>
          <w:color w:val="auto"/>
          <w:kern w:val="21"/>
        </w:rPr>
        <w:t>（2）本项目与</w:t>
      </w:r>
      <w:r>
        <w:rPr>
          <w:rFonts w:hint="eastAsia"/>
          <w:color w:val="auto"/>
          <w:kern w:val="21"/>
          <w:lang w:eastAsia="zh-CN"/>
        </w:rPr>
        <w:t>《楚雄市青龙河入龙川江口断面水体达标方案（2021-2025年）》</w:t>
      </w:r>
      <w:r>
        <w:rPr>
          <w:rFonts w:hint="eastAsia"/>
          <w:color w:val="auto"/>
          <w:kern w:val="21"/>
        </w:rPr>
        <w:t>要求符合性分析</w:t>
      </w:r>
    </w:p>
    <w:p>
      <w:pPr>
        <w:pStyle w:val="23"/>
        <w:spacing w:after="0" w:line="360" w:lineRule="auto"/>
        <w:ind w:left="0" w:leftChars="0" w:firstLine="480"/>
        <w:rPr>
          <w:color w:val="auto"/>
          <w:kern w:val="21"/>
        </w:rPr>
      </w:pPr>
      <w:r>
        <w:rPr>
          <w:rFonts w:hint="eastAsia"/>
          <w:color w:val="auto"/>
          <w:kern w:val="21"/>
        </w:rPr>
        <w:fldChar w:fldCharType="begin"/>
      </w:r>
      <w:r>
        <w:rPr>
          <w:rFonts w:hint="eastAsia"/>
          <w:color w:val="auto"/>
          <w:kern w:val="21"/>
        </w:rPr>
        <w:instrText xml:space="preserve"> = 1 \* GB3 \* MERGEFORMAT </w:instrText>
      </w:r>
      <w:r>
        <w:rPr>
          <w:rFonts w:hint="eastAsia"/>
          <w:color w:val="auto"/>
          <w:kern w:val="21"/>
        </w:rPr>
        <w:fldChar w:fldCharType="separate"/>
      </w:r>
      <w:r>
        <w:rPr>
          <w:rFonts w:hint="eastAsia"/>
          <w:color w:val="auto"/>
        </w:rPr>
        <w:t>①</w:t>
      </w:r>
      <w:r>
        <w:rPr>
          <w:rFonts w:hint="eastAsia"/>
          <w:color w:val="auto"/>
          <w:kern w:val="21"/>
        </w:rPr>
        <w:fldChar w:fldCharType="end"/>
      </w:r>
      <w:r>
        <w:rPr>
          <w:rFonts w:hint="eastAsia"/>
          <w:color w:val="auto"/>
          <w:kern w:val="21"/>
          <w:lang w:eastAsia="zh-CN"/>
        </w:rPr>
        <w:t>《楚雄市青龙河入龙川江口断面水体达标方案（2021-2025年）》</w:t>
      </w:r>
      <w:r>
        <w:rPr>
          <w:rFonts w:hint="eastAsia"/>
          <w:color w:val="auto"/>
          <w:kern w:val="21"/>
        </w:rPr>
        <w:t>拟实施17项重点工程，包括城镇两污类、工业污染防治类、农村环境综合整治类、水生态保护及修复类、水资源优化调度类、生态环境管理类6类项目，已有规划项目13项，本项目也属于其中之一。</w:t>
      </w:r>
    </w:p>
    <w:p>
      <w:pPr>
        <w:pStyle w:val="23"/>
        <w:spacing w:after="0" w:line="360" w:lineRule="auto"/>
        <w:ind w:left="0" w:leftChars="0" w:firstLine="480"/>
        <w:rPr>
          <w:color w:val="auto"/>
          <w:kern w:val="21"/>
        </w:rPr>
      </w:pPr>
      <w:r>
        <w:rPr>
          <w:color w:val="auto"/>
          <w:kern w:val="21"/>
        </w:rPr>
        <w:fldChar w:fldCharType="begin"/>
      </w:r>
      <w:r>
        <w:rPr>
          <w:color w:val="auto"/>
          <w:kern w:val="21"/>
        </w:rPr>
        <w:instrText xml:space="preserve"> = 2 \* GB3 \* MERGEFORMAT </w:instrText>
      </w:r>
      <w:r>
        <w:rPr>
          <w:color w:val="auto"/>
          <w:kern w:val="21"/>
        </w:rPr>
        <w:fldChar w:fldCharType="separate"/>
      </w:r>
      <w:r>
        <w:rPr>
          <w:rFonts w:hint="eastAsia"/>
          <w:color w:val="auto"/>
        </w:rPr>
        <w:t>②</w:t>
      </w:r>
      <w:r>
        <w:rPr>
          <w:color w:val="auto"/>
          <w:kern w:val="21"/>
        </w:rPr>
        <w:fldChar w:fldCharType="end"/>
      </w:r>
      <w:r>
        <w:rPr>
          <w:rFonts w:hint="eastAsia"/>
          <w:color w:val="auto"/>
          <w:kern w:val="21"/>
          <w:lang w:bidi="ar"/>
        </w:rPr>
        <w:t>根据《排污许可证申请与核发技术规范 水处理</w:t>
      </w:r>
      <w:r>
        <w:rPr>
          <w:rFonts w:hint="eastAsia"/>
          <w:color w:val="auto"/>
          <w:kern w:val="21"/>
          <w:lang w:eastAsia="zh-CN" w:bidi="ar"/>
        </w:rPr>
        <w:t>（试行）</w:t>
      </w:r>
      <w:r>
        <w:rPr>
          <w:rFonts w:hint="eastAsia"/>
          <w:color w:val="auto"/>
          <w:kern w:val="21"/>
          <w:lang w:bidi="ar"/>
        </w:rPr>
        <w:t>》（HJ</w:t>
      </w:r>
      <w:r>
        <w:rPr>
          <w:rFonts w:hint="eastAsia"/>
          <w:color w:val="auto"/>
          <w:kern w:val="21"/>
          <w:lang w:val="en-US" w:eastAsia="zh-CN" w:bidi="ar"/>
        </w:rPr>
        <w:t>978</w:t>
      </w:r>
      <w:r>
        <w:rPr>
          <w:rFonts w:hint="eastAsia"/>
          <w:color w:val="auto"/>
          <w:kern w:val="21"/>
          <w:lang w:bidi="ar"/>
        </w:rPr>
        <w:t>—20</w:t>
      </w:r>
      <w:r>
        <w:rPr>
          <w:rFonts w:hint="eastAsia"/>
          <w:color w:val="auto"/>
          <w:kern w:val="21"/>
          <w:lang w:val="en-US" w:eastAsia="zh-CN" w:bidi="ar"/>
        </w:rPr>
        <w:t>18</w:t>
      </w:r>
      <w:r>
        <w:rPr>
          <w:rFonts w:hint="eastAsia"/>
          <w:color w:val="auto"/>
          <w:kern w:val="21"/>
          <w:lang w:bidi="ar"/>
        </w:rPr>
        <w:t>）</w:t>
      </w:r>
      <w:r>
        <w:rPr>
          <w:rFonts w:hint="eastAsia"/>
          <w:color w:val="auto"/>
          <w:kern w:val="21"/>
          <w:lang w:eastAsia="zh-CN" w:bidi="ar"/>
        </w:rPr>
        <w:t>中“表</w:t>
      </w:r>
      <w:r>
        <w:rPr>
          <w:rFonts w:hint="eastAsia"/>
          <w:color w:val="auto"/>
          <w:kern w:val="21"/>
          <w:lang w:val="en-US" w:eastAsia="zh-CN" w:bidi="ar"/>
        </w:rPr>
        <w:t>4 污水处理可行技术参照表</w:t>
      </w:r>
      <w:r>
        <w:rPr>
          <w:rFonts w:hint="eastAsia"/>
          <w:color w:val="auto"/>
          <w:kern w:val="21"/>
          <w:lang w:eastAsia="zh-CN" w:bidi="ar"/>
        </w:rPr>
        <w:t>”</w:t>
      </w:r>
      <w:r>
        <w:rPr>
          <w:rFonts w:hint="eastAsia"/>
          <w:color w:val="auto"/>
          <w:kern w:val="21"/>
          <w:lang w:bidi="ar"/>
        </w:rPr>
        <w:t>，本项目预处理有粗细格栅、调节</w:t>
      </w:r>
      <w:r>
        <w:rPr>
          <w:rFonts w:hint="eastAsia"/>
          <w:color w:val="auto"/>
          <w:kern w:val="21"/>
          <w:lang w:eastAsia="zh-CN" w:bidi="ar"/>
        </w:rPr>
        <w:t>、</w:t>
      </w:r>
      <w:r>
        <w:rPr>
          <w:rFonts w:hint="eastAsia"/>
          <w:color w:val="auto"/>
          <w:kern w:val="21"/>
          <w:lang w:bidi="ar"/>
        </w:rPr>
        <w:t>混凝沉淀</w:t>
      </w:r>
      <w:r>
        <w:rPr>
          <w:rFonts w:hint="eastAsia"/>
          <w:color w:val="auto"/>
          <w:kern w:val="21"/>
          <w:lang w:eastAsia="zh-CN" w:bidi="ar"/>
        </w:rPr>
        <w:t>、水解酸化</w:t>
      </w:r>
      <w:r>
        <w:rPr>
          <w:rFonts w:hint="eastAsia"/>
          <w:color w:val="auto"/>
          <w:kern w:val="21"/>
          <w:lang w:bidi="ar"/>
        </w:rPr>
        <w:t>属于</w:t>
      </w:r>
      <w:r>
        <w:rPr>
          <w:rFonts w:hint="eastAsia"/>
          <w:color w:val="auto"/>
          <w:kern w:val="21"/>
          <w:lang w:eastAsia="zh-CN" w:bidi="ar"/>
        </w:rPr>
        <w:t>可行技术</w:t>
      </w:r>
      <w:r>
        <w:rPr>
          <w:rFonts w:hint="eastAsia"/>
          <w:color w:val="auto"/>
          <w:kern w:val="21"/>
          <w:lang w:bidi="ar"/>
        </w:rPr>
        <w:t>，生化处理采用厌氧缺氧好氧（A</w:t>
      </w:r>
      <w:r>
        <w:rPr>
          <w:rFonts w:hint="eastAsia"/>
          <w:color w:val="auto"/>
          <w:kern w:val="21"/>
          <w:vertAlign w:val="superscript"/>
          <w:lang w:bidi="ar"/>
        </w:rPr>
        <w:t>2</w:t>
      </w:r>
      <w:r>
        <w:rPr>
          <w:rFonts w:hint="eastAsia"/>
          <w:color w:val="auto"/>
          <w:kern w:val="21"/>
          <w:lang w:bidi="ar"/>
        </w:rPr>
        <w:t>/O）</w:t>
      </w:r>
      <w:r>
        <w:rPr>
          <w:rFonts w:hint="eastAsia"/>
          <w:color w:val="auto"/>
          <w:kern w:val="21"/>
          <w:lang w:eastAsia="zh-CN" w:bidi="ar"/>
        </w:rPr>
        <w:t>、</w:t>
      </w:r>
      <w:r>
        <w:rPr>
          <w:rFonts w:hint="eastAsia"/>
          <w:color w:val="auto"/>
          <w:kern w:val="21"/>
          <w:lang w:bidi="ar"/>
        </w:rPr>
        <w:t>MBR</w:t>
      </w:r>
      <w:r>
        <w:rPr>
          <w:rFonts w:hint="eastAsia"/>
          <w:color w:val="auto"/>
          <w:kern w:val="21"/>
          <w:lang w:eastAsia="zh-CN" w:bidi="ar"/>
        </w:rPr>
        <w:t>膜生物反应器</w:t>
      </w:r>
      <w:r>
        <w:rPr>
          <w:rFonts w:hint="eastAsia"/>
          <w:color w:val="auto"/>
          <w:kern w:val="21"/>
          <w:lang w:bidi="ar"/>
        </w:rPr>
        <w:t>属于</w:t>
      </w:r>
      <w:r>
        <w:rPr>
          <w:rFonts w:hint="eastAsia"/>
          <w:color w:val="auto"/>
          <w:kern w:val="21"/>
          <w:lang w:eastAsia="zh-CN" w:bidi="ar"/>
        </w:rPr>
        <w:t>可行技术。</w:t>
      </w:r>
      <w:r>
        <w:rPr>
          <w:rFonts w:hint="eastAsia"/>
          <w:color w:val="auto"/>
          <w:kern w:val="21"/>
          <w:lang w:bidi="ar"/>
        </w:rPr>
        <w:t>因此，本项目</w:t>
      </w:r>
      <w:r>
        <w:rPr>
          <w:rFonts w:hint="eastAsia"/>
          <w:color w:val="auto"/>
          <w:kern w:val="21"/>
          <w:lang w:eastAsia="zh-CN" w:bidi="ar"/>
        </w:rPr>
        <w:t>“</w:t>
      </w:r>
      <w:r>
        <w:rPr>
          <w:rFonts w:hint="eastAsia"/>
          <w:color w:val="auto"/>
          <w:kern w:val="21"/>
          <w:lang w:bidi="ar"/>
        </w:rPr>
        <w:t>A</w:t>
      </w:r>
      <w:r>
        <w:rPr>
          <w:rFonts w:hint="eastAsia"/>
          <w:color w:val="auto"/>
          <w:kern w:val="21"/>
          <w:vertAlign w:val="superscript"/>
          <w:lang w:bidi="ar"/>
        </w:rPr>
        <w:t>2</w:t>
      </w:r>
      <w:r>
        <w:rPr>
          <w:rFonts w:hint="eastAsia"/>
          <w:color w:val="auto"/>
          <w:kern w:val="21"/>
          <w:lang w:bidi="ar"/>
        </w:rPr>
        <w:t>/O</w:t>
      </w:r>
      <w:r>
        <w:rPr>
          <w:color w:val="auto"/>
          <w:kern w:val="21"/>
          <w:lang w:bidi="ar"/>
        </w:rPr>
        <w:t>+MBR</w:t>
      </w:r>
      <w:r>
        <w:rPr>
          <w:rFonts w:hint="eastAsia"/>
          <w:color w:val="auto"/>
          <w:kern w:val="21"/>
          <w:lang w:eastAsia="zh-CN" w:bidi="ar"/>
        </w:rPr>
        <w:t>”</w:t>
      </w:r>
      <w:r>
        <w:rPr>
          <w:rFonts w:hint="eastAsia"/>
          <w:color w:val="auto"/>
          <w:kern w:val="21"/>
          <w:lang w:bidi="ar"/>
        </w:rPr>
        <w:t>处理工艺符合</w:t>
      </w:r>
      <w:r>
        <w:rPr>
          <w:rFonts w:hint="eastAsia"/>
          <w:color w:val="auto"/>
          <w:kern w:val="21"/>
          <w:lang w:eastAsia="zh-CN" w:bidi="ar"/>
        </w:rPr>
        <w:t>排污许可证推荐的可行技术</w:t>
      </w:r>
      <w:r>
        <w:rPr>
          <w:rFonts w:hint="eastAsia"/>
          <w:color w:val="auto"/>
          <w:kern w:val="21"/>
          <w:lang w:bidi="ar"/>
        </w:rPr>
        <w:t>。</w:t>
      </w:r>
    </w:p>
    <w:p>
      <w:pPr>
        <w:pStyle w:val="23"/>
        <w:spacing w:after="0" w:line="360" w:lineRule="auto"/>
        <w:ind w:left="0" w:leftChars="0" w:firstLine="480"/>
        <w:rPr>
          <w:rFonts w:hint="eastAsia"/>
          <w:color w:val="auto"/>
          <w:kern w:val="21"/>
          <w:lang w:bidi="ar"/>
        </w:rPr>
      </w:pPr>
      <w:r>
        <w:rPr>
          <w:color w:val="auto"/>
          <w:kern w:val="21"/>
        </w:rPr>
        <w:fldChar w:fldCharType="begin"/>
      </w:r>
      <w:r>
        <w:rPr>
          <w:color w:val="auto"/>
          <w:kern w:val="21"/>
        </w:rPr>
        <w:instrText xml:space="preserve"> = 3 \* GB3 \* MERGEFORMAT </w:instrText>
      </w:r>
      <w:r>
        <w:rPr>
          <w:color w:val="auto"/>
          <w:kern w:val="21"/>
        </w:rPr>
        <w:fldChar w:fldCharType="separate"/>
      </w:r>
      <w:r>
        <w:rPr>
          <w:rFonts w:hint="eastAsia"/>
          <w:color w:val="auto"/>
        </w:rPr>
        <w:t>③</w:t>
      </w:r>
      <w:r>
        <w:rPr>
          <w:color w:val="auto"/>
          <w:kern w:val="21"/>
        </w:rPr>
        <w:fldChar w:fldCharType="end"/>
      </w:r>
      <w:r>
        <w:rPr>
          <w:rFonts w:hint="eastAsia"/>
          <w:color w:val="auto"/>
          <w:kern w:val="21"/>
        </w:rPr>
        <w:t>根据</w:t>
      </w:r>
      <w:r>
        <w:rPr>
          <w:rFonts w:hint="eastAsia"/>
          <w:color w:val="auto"/>
          <w:kern w:val="21"/>
          <w:lang w:eastAsia="zh-CN"/>
        </w:rPr>
        <w:t>《楚雄市青龙河入龙川江口断面水体达标方案（2021-2025年）》及本环评提出的</w:t>
      </w:r>
      <w:r>
        <w:rPr>
          <w:rFonts w:hint="eastAsia"/>
          <w:color w:val="auto"/>
          <w:kern w:val="21"/>
        </w:rPr>
        <w:t>要求，</w:t>
      </w:r>
      <w:r>
        <w:rPr>
          <w:color w:val="auto"/>
          <w:kern w:val="21"/>
        </w:rPr>
        <w:t>富民工业园区污水处理厂尾水排放浓度应控制在化学需氧量不高于</w:t>
      </w:r>
      <w:r>
        <w:rPr>
          <w:rFonts w:hint="eastAsia"/>
          <w:color w:val="auto"/>
          <w:kern w:val="21"/>
          <w:lang w:val="en-US" w:eastAsia="zh-CN"/>
        </w:rPr>
        <w:t>19.68</w:t>
      </w:r>
      <w:r>
        <w:rPr>
          <w:color w:val="auto"/>
          <w:kern w:val="21"/>
        </w:rPr>
        <w:t>mg/L、氨氮不高于</w:t>
      </w:r>
      <w:r>
        <w:rPr>
          <w:rFonts w:hint="eastAsia"/>
          <w:color w:val="auto"/>
          <w:kern w:val="21"/>
          <w:lang w:val="en-US" w:eastAsia="zh-CN"/>
        </w:rPr>
        <w:t>2.07</w:t>
      </w:r>
      <w:r>
        <w:rPr>
          <w:color w:val="auto"/>
          <w:kern w:val="21"/>
        </w:rPr>
        <w:t>mg/L、总磷不高于0.3 mg/L</w:t>
      </w:r>
      <w:r>
        <w:rPr>
          <w:rFonts w:hint="eastAsia"/>
          <w:color w:val="auto"/>
          <w:kern w:val="21"/>
          <w:lang w:bidi="ar"/>
        </w:rPr>
        <w:t>。</w:t>
      </w:r>
    </w:p>
    <w:p>
      <w:pPr>
        <w:pStyle w:val="8"/>
        <w:spacing w:before="0" w:after="0" w:line="377"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1</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4</w:t>
      </w:r>
      <w:r>
        <w:rPr>
          <w:rFonts w:ascii="Times New Roman" w:hAnsi="Times New Roman" w:eastAsia="宋体"/>
          <w:color w:val="auto"/>
          <w:kern w:val="21"/>
          <w:sz w:val="24"/>
          <w:szCs w:val="24"/>
        </w:rPr>
        <w:t>地表水</w:t>
      </w:r>
      <w:r>
        <w:rPr>
          <w:rFonts w:hint="eastAsia" w:ascii="Times New Roman" w:hAnsi="Times New Roman" w:eastAsia="宋体"/>
          <w:color w:val="auto"/>
          <w:kern w:val="21"/>
          <w:sz w:val="24"/>
          <w:szCs w:val="24"/>
          <w:lang w:eastAsia="zh-CN"/>
        </w:rPr>
        <w:t>环境</w:t>
      </w:r>
      <w:r>
        <w:rPr>
          <w:rFonts w:ascii="Times New Roman" w:hAnsi="Times New Roman" w:eastAsia="宋体"/>
          <w:color w:val="auto"/>
          <w:kern w:val="21"/>
          <w:sz w:val="24"/>
          <w:szCs w:val="24"/>
        </w:rPr>
        <w:t>影响预测</w:t>
      </w:r>
    </w:p>
    <w:p>
      <w:pPr>
        <w:pStyle w:val="16"/>
        <w:adjustRightInd/>
        <w:spacing w:before="0"/>
        <w:ind w:right="0" w:firstLine="482"/>
        <w:jc w:val="both"/>
        <w:rPr>
          <w:rFonts w:ascii="Times New Roman" w:hAnsi="Times New Roman"/>
          <w:b/>
          <w:bCs/>
          <w:color w:val="auto"/>
          <w:kern w:val="21"/>
          <w:sz w:val="24"/>
          <w:szCs w:val="24"/>
        </w:rPr>
      </w:pPr>
      <w:r>
        <w:rPr>
          <w:rFonts w:hint="eastAsia" w:ascii="Times New Roman" w:hAnsi="Times New Roman"/>
          <w:b/>
          <w:bCs/>
          <w:color w:val="auto"/>
          <w:kern w:val="21"/>
          <w:sz w:val="24"/>
          <w:szCs w:val="24"/>
        </w:rPr>
        <w:t>1</w:t>
      </w:r>
      <w:r>
        <w:rPr>
          <w:rFonts w:ascii="Times New Roman" w:hAnsi="Times New Roman"/>
          <w:b/>
          <w:bCs/>
          <w:color w:val="auto"/>
          <w:kern w:val="21"/>
          <w:sz w:val="24"/>
          <w:szCs w:val="24"/>
        </w:rPr>
        <w:t>、预测因子</w:t>
      </w:r>
    </w:p>
    <w:p>
      <w:pPr>
        <w:pStyle w:val="16"/>
        <w:adjustRightInd/>
        <w:spacing w:before="0"/>
        <w:ind w:right="0" w:firstLine="480"/>
        <w:jc w:val="both"/>
        <w:rPr>
          <w:rFonts w:ascii="Times New Roman" w:hAnsi="Times New Roman"/>
          <w:color w:val="auto"/>
          <w:kern w:val="21"/>
          <w:sz w:val="24"/>
          <w:szCs w:val="24"/>
        </w:rPr>
      </w:pPr>
      <w:r>
        <w:rPr>
          <w:rFonts w:ascii="Times New Roman" w:hAnsi="Times New Roman"/>
          <w:color w:val="auto"/>
          <w:kern w:val="21"/>
          <w:sz w:val="24"/>
          <w:szCs w:val="24"/>
        </w:rPr>
        <w:t>COD</w:t>
      </w:r>
      <w:r>
        <w:rPr>
          <w:rFonts w:ascii="Times New Roman" w:hAnsi="Times New Roman"/>
          <w:color w:val="auto"/>
          <w:kern w:val="21"/>
          <w:sz w:val="24"/>
          <w:szCs w:val="24"/>
          <w:vertAlign w:val="subscript"/>
        </w:rPr>
        <w:t>Cr</w:t>
      </w:r>
      <w:r>
        <w:rPr>
          <w:rFonts w:ascii="Times New Roman" w:hAnsi="Times New Roman"/>
          <w:color w:val="auto"/>
          <w:kern w:val="21"/>
          <w:sz w:val="24"/>
          <w:szCs w:val="24"/>
        </w:rPr>
        <w:t>、氨氮、总磷</w:t>
      </w:r>
      <w:r>
        <w:rPr>
          <w:rFonts w:hint="eastAsia" w:ascii="Times New Roman" w:hAnsi="Times New Roman"/>
          <w:color w:val="auto"/>
          <w:kern w:val="21"/>
          <w:sz w:val="24"/>
          <w:szCs w:val="24"/>
        </w:rPr>
        <w:t>、</w:t>
      </w:r>
      <w:r>
        <w:rPr>
          <w:rFonts w:hint="eastAsia" w:ascii="Times New Roman" w:hAnsi="Times New Roman"/>
          <w:color w:val="auto"/>
          <w:kern w:val="21"/>
          <w:sz w:val="24"/>
          <w:szCs w:val="24"/>
          <w:lang w:eastAsia="zh-CN"/>
        </w:rPr>
        <w:t>总氮、</w:t>
      </w:r>
      <w:r>
        <w:rPr>
          <w:rFonts w:hint="eastAsia" w:ascii="Times New Roman" w:hAnsi="Times New Roman"/>
          <w:color w:val="auto"/>
          <w:kern w:val="21"/>
          <w:sz w:val="24"/>
          <w:szCs w:val="24"/>
        </w:rPr>
        <w:t>氟化物</w:t>
      </w:r>
      <w:r>
        <w:rPr>
          <w:rFonts w:ascii="Times New Roman" w:hAnsi="Times New Roman"/>
          <w:color w:val="auto"/>
          <w:kern w:val="21"/>
          <w:sz w:val="24"/>
          <w:szCs w:val="24"/>
        </w:rPr>
        <w:t>。</w:t>
      </w:r>
    </w:p>
    <w:p>
      <w:pPr>
        <w:pStyle w:val="16"/>
        <w:adjustRightInd/>
        <w:spacing w:before="0"/>
        <w:ind w:right="0" w:firstLine="482"/>
        <w:jc w:val="both"/>
        <w:rPr>
          <w:rFonts w:ascii="Times New Roman" w:hAnsi="Times New Roman"/>
          <w:b/>
          <w:bCs/>
          <w:color w:val="auto"/>
          <w:kern w:val="21"/>
          <w:sz w:val="24"/>
          <w:szCs w:val="24"/>
        </w:rPr>
      </w:pPr>
      <w:r>
        <w:rPr>
          <w:rFonts w:hint="eastAsia" w:ascii="Times New Roman" w:hAnsi="Times New Roman"/>
          <w:b/>
          <w:bCs/>
          <w:color w:val="auto"/>
          <w:kern w:val="21"/>
          <w:sz w:val="24"/>
          <w:szCs w:val="24"/>
        </w:rPr>
        <w:t>2</w:t>
      </w:r>
      <w:r>
        <w:rPr>
          <w:rFonts w:ascii="Times New Roman" w:hAnsi="Times New Roman"/>
          <w:b/>
          <w:bCs/>
          <w:color w:val="auto"/>
          <w:kern w:val="21"/>
          <w:sz w:val="24"/>
          <w:szCs w:val="24"/>
        </w:rPr>
        <w:t>、混合过程段</w:t>
      </w:r>
    </w:p>
    <w:p>
      <w:pPr>
        <w:pStyle w:val="16"/>
        <w:adjustRightInd/>
        <w:spacing w:before="0"/>
        <w:ind w:right="0" w:firstLine="480"/>
        <w:jc w:val="both"/>
        <w:rPr>
          <w:rFonts w:ascii="Times New Roman" w:hAnsi="Times New Roman"/>
          <w:color w:val="auto"/>
          <w:kern w:val="21"/>
          <w:sz w:val="24"/>
          <w:szCs w:val="24"/>
        </w:rPr>
      </w:pPr>
      <w:r>
        <w:rPr>
          <w:rFonts w:ascii="Times New Roman" w:hAnsi="Times New Roman"/>
          <w:color w:val="auto"/>
          <w:kern w:val="21"/>
          <w:sz w:val="24"/>
          <w:szCs w:val="24"/>
        </w:rPr>
        <w:t>采用导则推荐的完全混合段长度计算公式：</w:t>
      </w:r>
    </w:p>
    <w:p>
      <w:pPr>
        <w:pStyle w:val="16"/>
        <w:adjustRightInd/>
        <w:spacing w:before="0"/>
        <w:ind w:left="960" w:leftChars="400" w:right="0" w:firstLine="0" w:firstLineChars="0"/>
        <w:jc w:val="both"/>
        <w:rPr>
          <w:rFonts w:ascii="Times New Roman" w:hAnsi="Times New Roman"/>
          <w:color w:val="auto"/>
          <w:kern w:val="21"/>
        </w:rPr>
      </w:pPr>
      <w:r>
        <w:rPr>
          <w:rFonts w:ascii="Times New Roman" w:hAnsi="Times New Roman"/>
          <w:color w:val="auto"/>
          <w:kern w:val="21"/>
        </w:rPr>
        <w:drawing>
          <wp:inline distT="0" distB="0" distL="0" distR="0">
            <wp:extent cx="3625850" cy="50419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625850" cy="504190"/>
                    </a:xfrm>
                    <a:prstGeom prst="rect">
                      <a:avLst/>
                    </a:prstGeom>
                    <a:noFill/>
                    <a:ln>
                      <a:noFill/>
                    </a:ln>
                  </pic:spPr>
                </pic:pic>
              </a:graphicData>
            </a:graphic>
          </wp:inline>
        </w:drawing>
      </w:r>
    </w:p>
    <w:p>
      <w:pPr>
        <w:pStyle w:val="16"/>
        <w:adjustRightInd/>
        <w:spacing w:before="0"/>
        <w:ind w:left="960" w:leftChars="400" w:right="0" w:firstLine="0" w:firstLineChars="0"/>
        <w:jc w:val="both"/>
        <w:rPr>
          <w:rFonts w:ascii="Times New Roman" w:hAnsi="Times New Roman"/>
          <w:color w:val="auto"/>
          <w:kern w:val="21"/>
          <w:sz w:val="24"/>
          <w:szCs w:val="24"/>
        </w:rPr>
      </w:pPr>
      <w:r>
        <w:rPr>
          <w:rFonts w:ascii="Times New Roman" w:hAnsi="Times New Roman"/>
          <w:color w:val="auto"/>
          <w:kern w:val="21"/>
          <w:sz w:val="24"/>
          <w:szCs w:val="24"/>
        </w:rPr>
        <w:t>式中：L--混合过程段长度，m</w:t>
      </w:r>
      <w:r>
        <w:rPr>
          <w:rFonts w:hint="eastAsia" w:ascii="Times New Roman" w:hAnsi="Times New Roman"/>
          <w:color w:val="auto"/>
          <w:kern w:val="21"/>
          <w:sz w:val="24"/>
          <w:szCs w:val="24"/>
        </w:rPr>
        <w:t>；</w:t>
      </w:r>
    </w:p>
    <w:p>
      <w:pPr>
        <w:pStyle w:val="16"/>
        <w:adjustRightInd/>
        <w:spacing w:before="0"/>
        <w:ind w:left="960" w:leftChars="400" w:right="0" w:firstLine="0" w:firstLineChars="0"/>
        <w:jc w:val="both"/>
        <w:rPr>
          <w:rFonts w:ascii="Times New Roman" w:hAnsi="Times New Roman"/>
          <w:color w:val="auto"/>
          <w:kern w:val="21"/>
          <w:sz w:val="24"/>
          <w:szCs w:val="24"/>
        </w:rPr>
      </w:pPr>
      <w:r>
        <w:rPr>
          <w:rFonts w:ascii="Times New Roman" w:hAnsi="Times New Roman"/>
          <w:color w:val="auto"/>
          <w:kern w:val="21"/>
          <w:sz w:val="24"/>
          <w:szCs w:val="24"/>
        </w:rPr>
        <w:t>B--河流宽度</w:t>
      </w:r>
      <w:r>
        <w:rPr>
          <w:rFonts w:hint="eastAsia" w:ascii="Times New Roman" w:hAnsi="Times New Roman"/>
          <w:color w:val="auto"/>
          <w:kern w:val="21"/>
          <w:sz w:val="24"/>
          <w:szCs w:val="24"/>
        </w:rPr>
        <w:t>，12.98m</w:t>
      </w:r>
      <w:r>
        <w:rPr>
          <w:rFonts w:ascii="Times New Roman" w:hAnsi="Times New Roman"/>
          <w:color w:val="auto"/>
          <w:kern w:val="21"/>
          <w:sz w:val="24"/>
          <w:szCs w:val="24"/>
        </w:rPr>
        <w:t>；</w:t>
      </w:r>
    </w:p>
    <w:p>
      <w:pPr>
        <w:pStyle w:val="16"/>
        <w:adjustRightInd/>
        <w:spacing w:before="0"/>
        <w:ind w:left="960" w:leftChars="400" w:right="0" w:firstLine="0" w:firstLineChars="0"/>
        <w:jc w:val="both"/>
        <w:rPr>
          <w:rFonts w:ascii="Times New Roman" w:hAnsi="Times New Roman"/>
          <w:color w:val="auto"/>
          <w:kern w:val="21"/>
          <w:sz w:val="24"/>
          <w:szCs w:val="24"/>
        </w:rPr>
      </w:pPr>
      <w:r>
        <w:rPr>
          <w:rFonts w:ascii="Times New Roman" w:hAnsi="Times New Roman"/>
          <w:color w:val="auto"/>
          <w:kern w:val="21"/>
          <w:sz w:val="24"/>
          <w:szCs w:val="24"/>
        </w:rPr>
        <w:t>a--排放口到岸边的距离，0m；</w:t>
      </w:r>
    </w:p>
    <w:p>
      <w:pPr>
        <w:pStyle w:val="16"/>
        <w:adjustRightInd/>
        <w:spacing w:before="0"/>
        <w:ind w:left="960" w:leftChars="400" w:right="0" w:firstLine="0" w:firstLineChars="0"/>
        <w:jc w:val="both"/>
        <w:rPr>
          <w:rFonts w:ascii="Times New Roman" w:hAnsi="Times New Roman"/>
          <w:color w:val="auto"/>
          <w:kern w:val="21"/>
          <w:sz w:val="24"/>
          <w:szCs w:val="24"/>
        </w:rPr>
      </w:pPr>
      <w:r>
        <w:rPr>
          <w:rFonts w:ascii="Times New Roman" w:hAnsi="Times New Roman"/>
          <w:color w:val="auto"/>
          <w:kern w:val="21"/>
          <w:sz w:val="24"/>
          <w:szCs w:val="24"/>
        </w:rPr>
        <w:t>U--河流断面平均流速；</w:t>
      </w:r>
    </w:p>
    <w:p>
      <w:pPr>
        <w:pStyle w:val="16"/>
        <w:adjustRightInd/>
        <w:spacing w:before="0"/>
        <w:ind w:right="0" w:firstLine="960" w:firstLineChars="400"/>
        <w:jc w:val="both"/>
        <w:rPr>
          <w:rFonts w:ascii="Times New Roman" w:hAnsi="Times New Roman"/>
          <w:color w:val="auto"/>
          <w:kern w:val="21"/>
          <w:sz w:val="24"/>
          <w:szCs w:val="24"/>
        </w:rPr>
      </w:pPr>
      <w:r>
        <w:rPr>
          <w:rFonts w:ascii="Times New Roman" w:hAnsi="Times New Roman"/>
          <w:color w:val="auto"/>
          <w:kern w:val="21"/>
          <w:sz w:val="24"/>
          <w:szCs w:val="24"/>
        </w:rPr>
        <w:t>E</w:t>
      </w:r>
      <w:r>
        <w:rPr>
          <w:rFonts w:ascii="Times New Roman" w:hAnsi="Times New Roman"/>
          <w:color w:val="auto"/>
          <w:kern w:val="21"/>
          <w:sz w:val="24"/>
          <w:szCs w:val="24"/>
          <w:vertAlign w:val="subscript"/>
        </w:rPr>
        <w:t>y</w:t>
      </w:r>
      <w:r>
        <w:rPr>
          <w:rFonts w:ascii="Times New Roman" w:hAnsi="Times New Roman"/>
          <w:color w:val="auto"/>
          <w:kern w:val="21"/>
          <w:sz w:val="24"/>
          <w:szCs w:val="24"/>
        </w:rPr>
        <w:t>--污染物横向扩散参数，m</w:t>
      </w:r>
      <w:r>
        <w:rPr>
          <w:rFonts w:ascii="Times New Roman" w:hAnsi="Times New Roman"/>
          <w:color w:val="auto"/>
          <w:kern w:val="21"/>
          <w:sz w:val="24"/>
          <w:szCs w:val="24"/>
          <w:vertAlign w:val="superscript"/>
        </w:rPr>
        <w:t>2</w:t>
      </w:r>
      <w:r>
        <w:rPr>
          <w:rFonts w:ascii="Times New Roman" w:hAnsi="Times New Roman"/>
          <w:color w:val="auto"/>
          <w:kern w:val="21"/>
          <w:sz w:val="24"/>
          <w:szCs w:val="24"/>
        </w:rPr>
        <w:t>/s</w:t>
      </w:r>
      <w:r>
        <w:rPr>
          <w:rFonts w:hint="eastAsia" w:ascii="Times New Roman" w:hAnsi="Times New Roman"/>
          <w:color w:val="auto"/>
          <w:kern w:val="21"/>
          <w:sz w:val="24"/>
          <w:szCs w:val="24"/>
          <w:lang w:eastAsia="zh-CN"/>
        </w:rPr>
        <w:t>，</w:t>
      </w:r>
      <w:r>
        <w:rPr>
          <w:rFonts w:hint="eastAsia" w:ascii="Times New Roman" w:hAnsi="Times New Roman"/>
          <w:color w:val="auto"/>
          <w:kern w:val="21"/>
          <w:sz w:val="24"/>
          <w:szCs w:val="24"/>
        </w:rPr>
        <w:t>B/H</w:t>
      </w:r>
      <w:r>
        <w:rPr>
          <w:rFonts w:ascii="Times New Roman" w:hAnsi="Times New Roman"/>
          <w:color w:val="auto"/>
          <w:kern w:val="21"/>
          <w:sz w:val="24"/>
          <w:szCs w:val="24"/>
        </w:rPr>
        <w:t>≤</w:t>
      </w:r>
      <w:r>
        <w:rPr>
          <w:rFonts w:hint="eastAsia" w:ascii="Times New Roman" w:hAnsi="Times New Roman"/>
          <w:color w:val="auto"/>
          <w:kern w:val="21"/>
          <w:sz w:val="24"/>
          <w:szCs w:val="24"/>
        </w:rPr>
        <w:t>100</w:t>
      </w:r>
      <w:r>
        <w:rPr>
          <w:rFonts w:hint="eastAsia" w:ascii="Times New Roman" w:hAnsi="Times New Roman"/>
          <w:color w:val="auto"/>
          <w:kern w:val="21"/>
          <w:sz w:val="24"/>
          <w:szCs w:val="24"/>
          <w:lang w:eastAsia="zh-CN"/>
        </w:rPr>
        <w:t>时，</w:t>
      </w:r>
      <w:r>
        <w:rPr>
          <w:rFonts w:ascii="Times New Roman" w:hAnsi="Times New Roman"/>
          <w:color w:val="auto"/>
          <w:kern w:val="21"/>
          <w:sz w:val="24"/>
          <w:szCs w:val="24"/>
        </w:rPr>
        <w:t>E</w:t>
      </w:r>
      <w:r>
        <w:rPr>
          <w:rFonts w:ascii="Times New Roman" w:hAnsi="Times New Roman"/>
          <w:color w:val="auto"/>
          <w:kern w:val="21"/>
          <w:sz w:val="24"/>
          <w:szCs w:val="24"/>
          <w:vertAlign w:val="subscript"/>
        </w:rPr>
        <w:t>y</w:t>
      </w:r>
      <w:r>
        <w:rPr>
          <w:rFonts w:ascii="Times New Roman" w:hAnsi="Times New Roman"/>
          <w:color w:val="auto"/>
          <w:kern w:val="21"/>
          <w:sz w:val="24"/>
          <w:szCs w:val="24"/>
        </w:rPr>
        <w:t>=</w:t>
      </w:r>
      <w:r>
        <w:rPr>
          <w:rFonts w:hint="eastAsia" w:ascii="Times New Roman" w:hAnsi="Times New Roman"/>
          <w:color w:val="auto"/>
          <w:kern w:val="21"/>
          <w:sz w:val="24"/>
          <w:szCs w:val="24"/>
        </w:rPr>
        <w:t>（0.058H+0.0065B）</w:t>
      </w:r>
      <m:oMath>
        <m:rad>
          <m:radPr>
            <m:degHide m:val="1"/>
            <m:ctrlPr>
              <w:rPr>
                <w:rFonts w:hint="default" w:ascii="Cambria Math" w:hAnsi="Cambria Math"/>
                <w:i/>
                <w:color w:val="auto"/>
                <w:kern w:val="21"/>
                <w:sz w:val="24"/>
                <w:szCs w:val="24"/>
              </w:rPr>
            </m:ctrlPr>
          </m:radPr>
          <m:deg>
            <m:ctrlPr>
              <w:rPr>
                <w:rFonts w:hint="default" w:ascii="Cambria Math" w:hAnsi="Cambria Math"/>
                <w:i/>
                <w:color w:val="auto"/>
                <w:kern w:val="21"/>
                <w:sz w:val="24"/>
                <w:szCs w:val="24"/>
              </w:rPr>
            </m:ctrlPr>
          </m:deg>
          <m:e>
            <m:r>
              <m:rPr/>
              <w:rPr>
                <w:rFonts w:hint="default" w:ascii="Cambria Math" w:hAnsi="Cambria Math"/>
                <w:color w:val="auto"/>
                <w:kern w:val="21"/>
                <w:sz w:val="24"/>
                <w:szCs w:val="24"/>
              </w:rPr>
              <m:t>gH</m:t>
            </m:r>
            <m:r>
              <m:rPr/>
              <w:rPr>
                <w:rFonts w:hint="default" w:ascii="Cambria Math" w:hAnsi="Cambria Math"/>
                <w:color w:val="auto"/>
                <w:kern w:val="21"/>
                <w:sz w:val="24"/>
                <w:szCs w:val="24"/>
                <w:lang w:val="en-US" w:eastAsia="zh-CN"/>
              </w:rPr>
              <m:t>I</m:t>
            </m:r>
            <m:ctrlPr>
              <w:rPr>
                <w:rFonts w:hint="default" w:ascii="Cambria Math" w:hAnsi="Cambria Math"/>
                <w:i/>
                <w:color w:val="auto"/>
                <w:kern w:val="21"/>
                <w:sz w:val="24"/>
                <w:szCs w:val="24"/>
              </w:rPr>
            </m:ctrlPr>
          </m:e>
        </m:rad>
      </m:oMath>
      <w:r>
        <w:rPr>
          <w:rFonts w:ascii="Times New Roman" w:hAnsi="Times New Roman"/>
          <w:color w:val="auto"/>
          <w:kern w:val="21"/>
          <w:sz w:val="24"/>
          <w:szCs w:val="24"/>
        </w:rPr>
        <w:t>。</w:t>
      </w:r>
    </w:p>
    <w:p>
      <w:pPr>
        <w:pStyle w:val="16"/>
        <w:adjustRightInd/>
        <w:spacing w:before="0"/>
        <w:ind w:right="0" w:firstLine="960" w:firstLineChars="400"/>
        <w:jc w:val="both"/>
        <w:rPr>
          <w:rFonts w:ascii="Times New Roman" w:hAnsi="Times New Roman"/>
          <w:color w:val="auto"/>
          <w:kern w:val="21"/>
          <w:sz w:val="24"/>
          <w:szCs w:val="24"/>
        </w:rPr>
      </w:pPr>
      <w:r>
        <w:rPr>
          <w:rFonts w:hint="eastAsia" w:ascii="Times New Roman" w:hAnsi="Times New Roman"/>
          <w:color w:val="auto"/>
          <w:kern w:val="21"/>
          <w:sz w:val="24"/>
          <w:szCs w:val="24"/>
          <w:lang w:val="en-US" w:eastAsia="zh-CN"/>
        </w:rPr>
        <w:t>I</w:t>
      </w:r>
      <w:r>
        <w:rPr>
          <w:rFonts w:ascii="Times New Roman" w:hAnsi="Times New Roman"/>
          <w:color w:val="auto"/>
          <w:kern w:val="21"/>
          <w:sz w:val="24"/>
          <w:szCs w:val="24"/>
        </w:rPr>
        <w:t>--</w:t>
      </w:r>
      <w:r>
        <w:rPr>
          <w:rFonts w:hint="eastAsia" w:ascii="Times New Roman" w:hAnsi="Times New Roman"/>
          <w:color w:val="auto"/>
          <w:kern w:val="21"/>
          <w:sz w:val="24"/>
          <w:szCs w:val="24"/>
          <w:lang w:eastAsia="zh-CN"/>
        </w:rPr>
        <w:t>河流水力坡度，青龙河为</w:t>
      </w:r>
      <w:r>
        <w:rPr>
          <w:rFonts w:hint="eastAsia" w:ascii="Times New Roman" w:hAnsi="Times New Roman"/>
          <w:color w:val="auto"/>
          <w:kern w:val="21"/>
          <w:sz w:val="24"/>
          <w:szCs w:val="24"/>
          <w:lang w:val="en-US" w:eastAsia="zh-CN"/>
        </w:rPr>
        <w:t>0.077%，龙川江为0.051%。</w:t>
      </w:r>
    </w:p>
    <w:p>
      <w:pPr>
        <w:pStyle w:val="16"/>
        <w:adjustRightInd/>
        <w:spacing w:before="0"/>
        <w:ind w:right="0" w:firstLine="480"/>
        <w:jc w:val="both"/>
        <w:rPr>
          <w:rFonts w:hint="eastAsia" w:ascii="Times New Roman" w:hAnsi="Times New Roman"/>
          <w:color w:val="auto"/>
          <w:kern w:val="21"/>
          <w:sz w:val="24"/>
          <w:szCs w:val="24"/>
        </w:rPr>
      </w:pPr>
      <w:r>
        <w:rPr>
          <w:rFonts w:hint="eastAsia" w:ascii="Times New Roman" w:hAnsi="Times New Roman"/>
          <w:color w:val="auto"/>
          <w:kern w:val="21"/>
          <w:sz w:val="24"/>
          <w:szCs w:val="24"/>
        </w:rPr>
        <w:t>根据建设单位提供的水文资料，本次预测采用的参数见表5-</w:t>
      </w:r>
      <w:r>
        <w:rPr>
          <w:rFonts w:hint="eastAsia" w:ascii="Times New Roman" w:hAnsi="Times New Roman"/>
          <w:color w:val="auto"/>
          <w:kern w:val="21"/>
          <w:sz w:val="24"/>
          <w:szCs w:val="24"/>
          <w:lang w:val="en-US" w:eastAsia="zh-CN"/>
        </w:rPr>
        <w:t>2</w:t>
      </w:r>
      <w:r>
        <w:rPr>
          <w:rFonts w:hint="eastAsia" w:ascii="Times New Roman" w:hAnsi="Times New Roman"/>
          <w:color w:val="auto"/>
          <w:kern w:val="21"/>
          <w:sz w:val="24"/>
          <w:szCs w:val="24"/>
        </w:rPr>
        <w:t>。</w:t>
      </w:r>
    </w:p>
    <w:p>
      <w:pPr>
        <w:rPr>
          <w:rFonts w:hint="eastAsia" w:ascii="Times New Roman" w:hAnsi="Times New Roman"/>
          <w:color w:val="auto"/>
          <w:kern w:val="21"/>
          <w:sz w:val="24"/>
          <w:szCs w:val="24"/>
        </w:rPr>
      </w:pPr>
    </w:p>
    <w:p>
      <w:pPr>
        <w:pStyle w:val="2"/>
        <w:rPr>
          <w:color w:val="auto"/>
        </w:rPr>
      </w:pPr>
    </w:p>
    <w:p>
      <w:pPr>
        <w:numPr>
          <w:ilvl w:val="0"/>
          <w:numId w:val="11"/>
        </w:numPr>
        <w:tabs>
          <w:tab w:val="left" w:pos="3395"/>
          <w:tab w:val="clear" w:pos="0"/>
        </w:tabs>
        <w:ind w:left="0" w:leftChars="0" w:firstLine="0" w:firstLineChars="0"/>
        <w:jc w:val="center"/>
        <w:rPr>
          <w:rFonts w:ascii="Times New Roman" w:hAnsi="Times New Roman"/>
          <w:b/>
          <w:bCs/>
          <w:color w:val="auto"/>
          <w:kern w:val="21"/>
          <w:sz w:val="24"/>
          <w:szCs w:val="24"/>
        </w:rPr>
      </w:pPr>
      <w:r>
        <w:rPr>
          <w:rFonts w:ascii="Times New Roman" w:hAnsi="Times New Roman"/>
          <w:b/>
          <w:bCs/>
          <w:color w:val="auto"/>
          <w:kern w:val="21"/>
          <w:sz w:val="24"/>
          <w:szCs w:val="24"/>
        </w:rPr>
        <w:t>项目预测参数表</w:t>
      </w:r>
    </w:p>
    <w:tbl>
      <w:tblPr>
        <w:tblStyle w:val="51"/>
        <w:tblW w:w="10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941"/>
        <w:gridCol w:w="941"/>
        <w:gridCol w:w="1309"/>
        <w:gridCol w:w="878"/>
        <w:gridCol w:w="1272"/>
        <w:gridCol w:w="1437"/>
        <w:gridCol w:w="1440"/>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968"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河流名称</w:t>
            </w:r>
          </w:p>
        </w:tc>
        <w:tc>
          <w:tcPr>
            <w:tcW w:w="941"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预测时段</w:t>
            </w:r>
          </w:p>
        </w:tc>
        <w:tc>
          <w:tcPr>
            <w:tcW w:w="94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水面宽度B（m）</w:t>
            </w:r>
          </w:p>
        </w:tc>
        <w:tc>
          <w:tcPr>
            <w:tcW w:w="1309"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排放口到岸边的距离a（m）</w:t>
            </w:r>
          </w:p>
        </w:tc>
        <w:tc>
          <w:tcPr>
            <w:tcW w:w="878"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eastAsia="zh-CN"/>
              </w:rPr>
              <w:t>平均水深</w:t>
            </w:r>
            <w:r>
              <w:rPr>
                <w:rFonts w:hint="eastAsia" w:ascii="Times New Roman" w:hAnsi="Times New Roman"/>
                <w:color w:val="auto"/>
                <w:kern w:val="21"/>
                <w:sz w:val="21"/>
                <w:szCs w:val="21"/>
                <w:lang w:val="en-US" w:eastAsia="zh-CN"/>
              </w:rPr>
              <w:t>H（m）</w:t>
            </w:r>
          </w:p>
        </w:tc>
        <w:tc>
          <w:tcPr>
            <w:tcW w:w="1272"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河流断面平均流速U（m/s）</w:t>
            </w:r>
          </w:p>
        </w:tc>
        <w:tc>
          <w:tcPr>
            <w:tcW w:w="1437"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污染物横向扩散参数E</w:t>
            </w:r>
            <w:r>
              <w:rPr>
                <w:rFonts w:ascii="Times New Roman" w:hAnsi="Times New Roman"/>
                <w:color w:val="auto"/>
                <w:kern w:val="21"/>
                <w:sz w:val="21"/>
                <w:szCs w:val="21"/>
                <w:vertAlign w:val="subscript"/>
              </w:rPr>
              <w:t>y</w:t>
            </w:r>
            <w:r>
              <w:rPr>
                <w:rFonts w:ascii="Times New Roman" w:hAnsi="Times New Roman"/>
                <w:color w:val="auto"/>
                <w:kern w:val="21"/>
                <w:sz w:val="21"/>
                <w:szCs w:val="21"/>
              </w:rPr>
              <w:t>（m</w:t>
            </w:r>
            <w:r>
              <w:rPr>
                <w:rFonts w:ascii="Times New Roman" w:hAnsi="Times New Roman"/>
                <w:color w:val="auto"/>
                <w:kern w:val="21"/>
                <w:sz w:val="21"/>
                <w:szCs w:val="21"/>
                <w:vertAlign w:val="superscript"/>
              </w:rPr>
              <w:t>2</w:t>
            </w:r>
            <w:r>
              <w:rPr>
                <w:rFonts w:ascii="Times New Roman" w:hAnsi="Times New Roman"/>
                <w:color w:val="auto"/>
                <w:kern w:val="21"/>
                <w:sz w:val="21"/>
                <w:szCs w:val="21"/>
              </w:rPr>
              <w:t>/s）</w:t>
            </w:r>
          </w:p>
        </w:tc>
        <w:tc>
          <w:tcPr>
            <w:tcW w:w="1440"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完全混合段长度L（m）</w:t>
            </w:r>
          </w:p>
        </w:tc>
        <w:tc>
          <w:tcPr>
            <w:tcW w:w="946"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流量（m</w:t>
            </w:r>
            <w:r>
              <w:rPr>
                <w:rFonts w:ascii="Times New Roman" w:hAnsi="Times New Roman"/>
                <w:color w:val="auto"/>
                <w:kern w:val="21"/>
                <w:sz w:val="21"/>
                <w:szCs w:val="21"/>
                <w:vertAlign w:val="superscript"/>
              </w:rPr>
              <w:t>3</w:t>
            </w:r>
            <w:r>
              <w:rPr>
                <w:rFonts w:ascii="Times New Roman" w:hAnsi="Times New Roman"/>
                <w:color w:val="auto"/>
                <w:kern w:val="21"/>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青龙河</w:t>
            </w:r>
          </w:p>
        </w:tc>
        <w:tc>
          <w:tcPr>
            <w:tcW w:w="941"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枯水期</w:t>
            </w:r>
          </w:p>
        </w:tc>
        <w:tc>
          <w:tcPr>
            <w:tcW w:w="94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12.98</w:t>
            </w:r>
          </w:p>
        </w:tc>
        <w:tc>
          <w:tcPr>
            <w:tcW w:w="1309"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0</w:t>
            </w:r>
          </w:p>
        </w:tc>
        <w:tc>
          <w:tcPr>
            <w:tcW w:w="878"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0.7</w:t>
            </w:r>
          </w:p>
        </w:tc>
        <w:tc>
          <w:tcPr>
            <w:tcW w:w="1272"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0.024</w:t>
            </w:r>
          </w:p>
        </w:tc>
        <w:tc>
          <w:tcPr>
            <w:tcW w:w="1437"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0.0</w:t>
            </w:r>
            <w:r>
              <w:rPr>
                <w:rFonts w:hint="eastAsia" w:ascii="Times New Roman" w:hAnsi="Times New Roman"/>
                <w:color w:val="auto"/>
                <w:kern w:val="21"/>
                <w:sz w:val="21"/>
                <w:szCs w:val="21"/>
                <w:lang w:val="en-US" w:eastAsia="zh-CN"/>
              </w:rPr>
              <w:t>0</w:t>
            </w:r>
            <w:r>
              <w:rPr>
                <w:rFonts w:hint="eastAsia" w:ascii="Times New Roman" w:hAnsi="Times New Roman"/>
                <w:color w:val="auto"/>
                <w:kern w:val="21"/>
                <w:sz w:val="21"/>
                <w:szCs w:val="21"/>
              </w:rPr>
              <w:t>9083</w:t>
            </w:r>
          </w:p>
        </w:tc>
        <w:tc>
          <w:tcPr>
            <w:tcW w:w="1440"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196.79</w:t>
            </w:r>
          </w:p>
        </w:tc>
        <w:tc>
          <w:tcPr>
            <w:tcW w:w="946"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41"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丰水期</w:t>
            </w:r>
          </w:p>
        </w:tc>
        <w:tc>
          <w:tcPr>
            <w:tcW w:w="94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12.98</w:t>
            </w:r>
          </w:p>
        </w:tc>
        <w:tc>
          <w:tcPr>
            <w:tcW w:w="1309"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0</w:t>
            </w:r>
          </w:p>
        </w:tc>
        <w:tc>
          <w:tcPr>
            <w:tcW w:w="878"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1.2</w:t>
            </w:r>
          </w:p>
        </w:tc>
        <w:tc>
          <w:tcPr>
            <w:tcW w:w="1272"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0.054</w:t>
            </w:r>
          </w:p>
        </w:tc>
        <w:tc>
          <w:tcPr>
            <w:tcW w:w="1437"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0.014652</w:t>
            </w:r>
          </w:p>
        </w:tc>
        <w:tc>
          <w:tcPr>
            <w:tcW w:w="1440"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274.12</w:t>
            </w:r>
          </w:p>
        </w:tc>
        <w:tc>
          <w:tcPr>
            <w:tcW w:w="946"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vMerge w:val="restart"/>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龙川江</w:t>
            </w:r>
          </w:p>
        </w:tc>
        <w:tc>
          <w:tcPr>
            <w:tcW w:w="941" w:type="dxa"/>
            <w:vAlign w:val="center"/>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SA"/>
              </w:rPr>
            </w:pPr>
            <w:r>
              <w:rPr>
                <w:rFonts w:hint="eastAsia" w:ascii="Times New Roman" w:hAnsi="Times New Roman"/>
                <w:color w:val="auto"/>
                <w:kern w:val="21"/>
                <w:sz w:val="21"/>
                <w:szCs w:val="21"/>
                <w:lang w:eastAsia="zh-CN"/>
              </w:rPr>
              <w:t>枯水期</w:t>
            </w:r>
          </w:p>
        </w:tc>
        <w:tc>
          <w:tcPr>
            <w:tcW w:w="941"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50</w:t>
            </w:r>
          </w:p>
        </w:tc>
        <w:tc>
          <w:tcPr>
            <w:tcW w:w="1309"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w:t>
            </w:r>
          </w:p>
        </w:tc>
        <w:tc>
          <w:tcPr>
            <w:tcW w:w="878"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1.4</w:t>
            </w:r>
          </w:p>
        </w:tc>
        <w:tc>
          <w:tcPr>
            <w:tcW w:w="1272"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0.018</w:t>
            </w:r>
          </w:p>
        </w:tc>
        <w:tc>
          <w:tcPr>
            <w:tcW w:w="1437"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0.052537</w:t>
            </w:r>
          </w:p>
        </w:tc>
        <w:tc>
          <w:tcPr>
            <w:tcW w:w="1440"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571.49</w:t>
            </w:r>
          </w:p>
        </w:tc>
        <w:tc>
          <w:tcPr>
            <w:tcW w:w="946"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vMerge w:val="continue"/>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p>
        </w:tc>
        <w:tc>
          <w:tcPr>
            <w:tcW w:w="941" w:type="dxa"/>
            <w:vAlign w:val="center"/>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SA"/>
              </w:rPr>
            </w:pPr>
            <w:r>
              <w:rPr>
                <w:rFonts w:hint="eastAsia" w:ascii="Times New Roman" w:hAnsi="Times New Roman"/>
                <w:color w:val="auto"/>
                <w:kern w:val="21"/>
                <w:sz w:val="21"/>
                <w:szCs w:val="21"/>
                <w:lang w:eastAsia="zh-CN"/>
              </w:rPr>
              <w:t>丰水期</w:t>
            </w:r>
          </w:p>
        </w:tc>
        <w:tc>
          <w:tcPr>
            <w:tcW w:w="941"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50</w:t>
            </w:r>
          </w:p>
        </w:tc>
        <w:tc>
          <w:tcPr>
            <w:tcW w:w="1309"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0</w:t>
            </w:r>
          </w:p>
        </w:tc>
        <w:tc>
          <w:tcPr>
            <w:tcW w:w="878"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2.6</w:t>
            </w:r>
          </w:p>
        </w:tc>
        <w:tc>
          <w:tcPr>
            <w:tcW w:w="1272"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0.036</w:t>
            </w:r>
          </w:p>
        </w:tc>
        <w:tc>
          <w:tcPr>
            <w:tcW w:w="1437"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0.066320</w:t>
            </w:r>
          </w:p>
        </w:tc>
        <w:tc>
          <w:tcPr>
            <w:tcW w:w="1440"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739.76</w:t>
            </w:r>
          </w:p>
        </w:tc>
        <w:tc>
          <w:tcPr>
            <w:tcW w:w="946"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4.72</w:t>
            </w:r>
          </w:p>
        </w:tc>
      </w:tr>
    </w:tbl>
    <w:p>
      <w:pPr>
        <w:pStyle w:val="16"/>
        <w:adjustRightInd/>
        <w:spacing w:before="0"/>
        <w:ind w:left="480" w:leftChars="200" w:right="0" w:firstLine="0" w:firstLineChars="0"/>
        <w:jc w:val="both"/>
        <w:rPr>
          <w:rFonts w:ascii="Times New Roman" w:hAnsi="Times New Roman"/>
          <w:b/>
          <w:bCs/>
          <w:color w:val="auto"/>
          <w:kern w:val="21"/>
          <w:sz w:val="24"/>
          <w:szCs w:val="24"/>
        </w:rPr>
      </w:pPr>
      <w:r>
        <w:rPr>
          <w:rFonts w:hint="eastAsia" w:ascii="Times New Roman" w:hAnsi="Times New Roman"/>
          <w:b/>
          <w:bCs/>
          <w:color w:val="auto"/>
          <w:kern w:val="21"/>
          <w:sz w:val="24"/>
          <w:szCs w:val="24"/>
        </w:rPr>
        <w:t>3</w:t>
      </w:r>
      <w:r>
        <w:rPr>
          <w:rFonts w:ascii="Times New Roman" w:hAnsi="Times New Roman"/>
          <w:b/>
          <w:bCs/>
          <w:color w:val="auto"/>
          <w:kern w:val="21"/>
          <w:sz w:val="24"/>
          <w:szCs w:val="24"/>
        </w:rPr>
        <w:t>、预测模式及参数选择</w:t>
      </w:r>
    </w:p>
    <w:p>
      <w:pPr>
        <w:widowControl/>
        <w:ind w:firstLine="480"/>
        <w:jc w:val="left"/>
        <w:rPr>
          <w:color w:val="auto"/>
          <w:kern w:val="21"/>
        </w:rPr>
      </w:pPr>
      <w:r>
        <w:rPr>
          <w:rFonts w:hint="eastAsia"/>
          <w:color w:val="auto"/>
          <w:kern w:val="21"/>
        </w:rPr>
        <w:t>本项目预测河段宽深比＜20，不满足HJ2.3-2018中7.7.2a中视为矩形河流的条件；本项目预测断面河流比较顺直，</w:t>
      </w:r>
      <w:r>
        <w:rPr>
          <w:color w:val="auto"/>
          <w:kern w:val="21"/>
          <w:lang w:bidi="ar"/>
        </w:rPr>
        <w:t>弯曲系数</w:t>
      </w:r>
      <w:r>
        <w:rPr>
          <w:rFonts w:hint="eastAsia"/>
          <w:color w:val="auto"/>
          <w:kern w:val="21"/>
          <w:lang w:bidi="ar"/>
        </w:rPr>
        <w:t>比</w:t>
      </w:r>
      <w:r>
        <w:rPr>
          <w:color w:val="auto"/>
          <w:kern w:val="21"/>
          <w:lang w:bidi="ar"/>
        </w:rPr>
        <w:t>&lt;1.3，可视为平直河段。</w:t>
      </w:r>
      <w:r>
        <w:rPr>
          <w:rFonts w:hint="eastAsia"/>
          <w:color w:val="auto"/>
          <w:kern w:val="21"/>
          <w:lang w:bidi="ar"/>
        </w:rPr>
        <w:t>本项目污染源排放特性为：连续、稳定排放，因此根据导则表4，模型时间分类，属于稳态。因此，</w:t>
      </w:r>
      <w:r>
        <w:rPr>
          <w:color w:val="auto"/>
          <w:kern w:val="21"/>
          <w:lang w:bidi="ar"/>
        </w:rPr>
        <w:t>本次评价河流数学模型在完全混合浓度采用零维模型，完全混合后至评价范围止点采用纵向一维模型。</w:t>
      </w:r>
    </w:p>
    <w:p>
      <w:pPr>
        <w:pStyle w:val="16"/>
        <w:adjustRightInd/>
        <w:spacing w:before="0"/>
        <w:ind w:right="0" w:firstLine="480"/>
        <w:jc w:val="both"/>
        <w:rPr>
          <w:rFonts w:ascii="Times New Roman" w:hAnsi="Times New Roman"/>
          <w:color w:val="auto"/>
          <w:kern w:val="21"/>
          <w:sz w:val="24"/>
          <w:szCs w:val="24"/>
        </w:rPr>
      </w:pPr>
      <w:r>
        <w:rPr>
          <w:rFonts w:hint="eastAsia" w:ascii="Times New Roman" w:hAnsi="Times New Roman"/>
          <w:color w:val="auto"/>
          <w:kern w:val="21"/>
          <w:sz w:val="24"/>
          <w:szCs w:val="24"/>
        </w:rPr>
        <w:t>（1）</w:t>
      </w:r>
      <w:r>
        <w:rPr>
          <w:rFonts w:ascii="Times New Roman" w:hAnsi="Times New Roman"/>
          <w:color w:val="auto"/>
          <w:kern w:val="21"/>
          <w:sz w:val="24"/>
          <w:szCs w:val="24"/>
        </w:rPr>
        <w:t>完全混合模式</w:t>
      </w:r>
    </w:p>
    <w:p>
      <w:pPr>
        <w:pStyle w:val="16"/>
        <w:adjustRightInd/>
        <w:spacing w:before="0"/>
        <w:ind w:right="0" w:firstLine="1960" w:firstLineChars="700"/>
        <w:jc w:val="both"/>
        <w:rPr>
          <w:rFonts w:ascii="Times New Roman" w:hAnsi="Times New Roman"/>
          <w:color w:val="auto"/>
          <w:kern w:val="21"/>
          <w:szCs w:val="28"/>
        </w:rPr>
      </w:pPr>
      <w:r>
        <w:rPr>
          <w:rFonts w:ascii="Times New Roman" w:hAnsi="Times New Roman"/>
          <w:color w:val="auto"/>
          <w:kern w:val="21"/>
          <w:szCs w:val="28"/>
        </w:rPr>
        <w:t>C=（C</w:t>
      </w:r>
      <w:r>
        <w:rPr>
          <w:rFonts w:ascii="Times New Roman" w:hAnsi="Times New Roman"/>
          <w:color w:val="auto"/>
          <w:kern w:val="21"/>
          <w:szCs w:val="28"/>
          <w:vertAlign w:val="subscript"/>
        </w:rPr>
        <w:t>p</w:t>
      </w:r>
      <w:r>
        <w:rPr>
          <w:rFonts w:ascii="Times New Roman" w:hAnsi="Times New Roman"/>
          <w:color w:val="auto"/>
          <w:kern w:val="21"/>
          <w:szCs w:val="28"/>
        </w:rPr>
        <w:t>Q</w:t>
      </w:r>
      <w:r>
        <w:rPr>
          <w:rFonts w:ascii="Times New Roman" w:hAnsi="Times New Roman"/>
          <w:color w:val="auto"/>
          <w:kern w:val="21"/>
          <w:szCs w:val="28"/>
          <w:vertAlign w:val="subscript"/>
        </w:rPr>
        <w:t>p</w:t>
      </w:r>
      <w:r>
        <w:rPr>
          <w:rFonts w:ascii="Times New Roman" w:hAnsi="Times New Roman"/>
          <w:color w:val="auto"/>
          <w:kern w:val="21"/>
          <w:szCs w:val="28"/>
        </w:rPr>
        <w:t>+C</w:t>
      </w:r>
      <w:r>
        <w:rPr>
          <w:rFonts w:ascii="Times New Roman" w:hAnsi="Times New Roman"/>
          <w:color w:val="auto"/>
          <w:kern w:val="21"/>
          <w:szCs w:val="28"/>
          <w:vertAlign w:val="subscript"/>
        </w:rPr>
        <w:t>h</w:t>
      </w:r>
      <w:r>
        <w:rPr>
          <w:rFonts w:ascii="Times New Roman" w:hAnsi="Times New Roman"/>
          <w:color w:val="auto"/>
          <w:kern w:val="21"/>
          <w:szCs w:val="28"/>
        </w:rPr>
        <w:t>Q</w:t>
      </w:r>
      <w:r>
        <w:rPr>
          <w:rFonts w:ascii="Times New Roman" w:hAnsi="Times New Roman"/>
          <w:color w:val="auto"/>
          <w:kern w:val="21"/>
          <w:szCs w:val="28"/>
          <w:vertAlign w:val="subscript"/>
        </w:rPr>
        <w:t>h</w:t>
      </w:r>
      <w:r>
        <w:rPr>
          <w:rFonts w:ascii="Times New Roman" w:hAnsi="Times New Roman"/>
          <w:color w:val="auto"/>
          <w:kern w:val="21"/>
          <w:szCs w:val="28"/>
        </w:rPr>
        <w:t>）/（Q</w:t>
      </w:r>
      <w:r>
        <w:rPr>
          <w:rFonts w:ascii="Times New Roman" w:hAnsi="Times New Roman"/>
          <w:color w:val="auto"/>
          <w:kern w:val="21"/>
          <w:szCs w:val="28"/>
          <w:vertAlign w:val="subscript"/>
        </w:rPr>
        <w:t>p</w:t>
      </w:r>
      <w:r>
        <w:rPr>
          <w:rFonts w:ascii="Times New Roman" w:hAnsi="Times New Roman"/>
          <w:color w:val="auto"/>
          <w:kern w:val="21"/>
          <w:szCs w:val="28"/>
        </w:rPr>
        <w:t>+Q</w:t>
      </w:r>
      <w:r>
        <w:rPr>
          <w:rFonts w:ascii="Times New Roman" w:hAnsi="Times New Roman"/>
          <w:color w:val="auto"/>
          <w:kern w:val="21"/>
          <w:szCs w:val="28"/>
          <w:vertAlign w:val="subscript"/>
        </w:rPr>
        <w:t>h</w:t>
      </w:r>
      <w:r>
        <w:rPr>
          <w:rFonts w:ascii="Times New Roman" w:hAnsi="Times New Roman"/>
          <w:color w:val="auto"/>
          <w:kern w:val="21"/>
          <w:szCs w:val="28"/>
        </w:rPr>
        <w:t>）</w:t>
      </w:r>
    </w:p>
    <w:p>
      <w:pPr>
        <w:pStyle w:val="16"/>
        <w:adjustRightInd/>
        <w:spacing w:before="0"/>
        <w:ind w:left="960" w:leftChars="400" w:right="0" w:firstLine="0" w:firstLineChars="0"/>
        <w:jc w:val="both"/>
        <w:rPr>
          <w:rFonts w:ascii="Times New Roman" w:hAnsi="Times New Roman"/>
          <w:color w:val="auto"/>
          <w:kern w:val="21"/>
          <w:sz w:val="24"/>
          <w:szCs w:val="24"/>
        </w:rPr>
      </w:pPr>
      <w:r>
        <w:rPr>
          <w:rFonts w:ascii="Times New Roman" w:hAnsi="Times New Roman"/>
          <w:color w:val="auto"/>
          <w:kern w:val="21"/>
          <w:sz w:val="24"/>
          <w:szCs w:val="24"/>
        </w:rPr>
        <w:t>式中：C---混合后污染物浓度，mg/L</w:t>
      </w:r>
      <w:r>
        <w:rPr>
          <w:rFonts w:hint="eastAsia" w:ascii="Times New Roman" w:hAnsi="Times New Roman"/>
          <w:color w:val="auto"/>
          <w:kern w:val="21"/>
          <w:sz w:val="24"/>
          <w:szCs w:val="24"/>
        </w:rPr>
        <w:t>；</w:t>
      </w:r>
    </w:p>
    <w:p>
      <w:pPr>
        <w:pStyle w:val="16"/>
        <w:adjustRightInd/>
        <w:spacing w:before="0"/>
        <w:ind w:left="960" w:leftChars="400" w:right="0" w:firstLine="720" w:firstLineChars="300"/>
        <w:jc w:val="both"/>
        <w:rPr>
          <w:rFonts w:ascii="Times New Roman" w:hAnsi="Times New Roman"/>
          <w:color w:val="auto"/>
          <w:kern w:val="21"/>
          <w:sz w:val="24"/>
          <w:szCs w:val="24"/>
        </w:rPr>
      </w:pPr>
      <w:r>
        <w:rPr>
          <w:rFonts w:ascii="Times New Roman" w:hAnsi="Times New Roman"/>
          <w:color w:val="auto"/>
          <w:kern w:val="21"/>
          <w:sz w:val="24"/>
          <w:szCs w:val="24"/>
        </w:rPr>
        <w:t>C</w:t>
      </w:r>
      <w:r>
        <w:rPr>
          <w:rFonts w:ascii="Times New Roman" w:hAnsi="Times New Roman"/>
          <w:color w:val="auto"/>
          <w:kern w:val="21"/>
          <w:sz w:val="24"/>
          <w:szCs w:val="24"/>
          <w:vertAlign w:val="subscript"/>
        </w:rPr>
        <w:t>p</w:t>
      </w:r>
      <w:r>
        <w:rPr>
          <w:rFonts w:ascii="Times New Roman" w:hAnsi="Times New Roman"/>
          <w:color w:val="auto"/>
          <w:kern w:val="21"/>
          <w:sz w:val="24"/>
          <w:szCs w:val="24"/>
        </w:rPr>
        <w:t>---排放废水中的污染物浓度，mg/L</w:t>
      </w:r>
      <w:r>
        <w:rPr>
          <w:rFonts w:hint="eastAsia" w:ascii="Times New Roman" w:hAnsi="Times New Roman"/>
          <w:color w:val="auto"/>
          <w:kern w:val="21"/>
          <w:sz w:val="24"/>
          <w:szCs w:val="24"/>
        </w:rPr>
        <w:t>；</w:t>
      </w:r>
    </w:p>
    <w:p>
      <w:pPr>
        <w:pStyle w:val="16"/>
        <w:adjustRightInd/>
        <w:spacing w:before="0"/>
        <w:ind w:left="960" w:leftChars="400" w:right="0" w:firstLine="720" w:firstLineChars="300"/>
        <w:jc w:val="both"/>
        <w:rPr>
          <w:rFonts w:ascii="Times New Roman" w:hAnsi="Times New Roman"/>
          <w:color w:val="auto"/>
          <w:kern w:val="21"/>
          <w:sz w:val="24"/>
          <w:szCs w:val="24"/>
        </w:rPr>
      </w:pPr>
      <w:r>
        <w:rPr>
          <w:rFonts w:ascii="Times New Roman" w:hAnsi="Times New Roman"/>
          <w:color w:val="auto"/>
          <w:kern w:val="21"/>
          <w:sz w:val="24"/>
          <w:szCs w:val="24"/>
        </w:rPr>
        <w:t>Q</w:t>
      </w:r>
      <w:r>
        <w:rPr>
          <w:rFonts w:ascii="Times New Roman" w:hAnsi="Times New Roman"/>
          <w:color w:val="auto"/>
          <w:kern w:val="21"/>
          <w:sz w:val="24"/>
          <w:szCs w:val="24"/>
          <w:vertAlign w:val="subscript"/>
        </w:rPr>
        <w:t>p</w:t>
      </w:r>
      <w:r>
        <w:rPr>
          <w:rFonts w:ascii="Times New Roman" w:hAnsi="Times New Roman"/>
          <w:color w:val="auto"/>
          <w:kern w:val="21"/>
          <w:sz w:val="24"/>
          <w:szCs w:val="24"/>
        </w:rPr>
        <w:t>---废水排放量，m</w:t>
      </w:r>
      <w:r>
        <w:rPr>
          <w:rFonts w:ascii="Times New Roman" w:hAnsi="Times New Roman"/>
          <w:color w:val="auto"/>
          <w:kern w:val="21"/>
          <w:sz w:val="24"/>
          <w:szCs w:val="24"/>
          <w:vertAlign w:val="superscript"/>
        </w:rPr>
        <w:t>3</w:t>
      </w:r>
      <w:r>
        <w:rPr>
          <w:rFonts w:ascii="Times New Roman" w:hAnsi="Times New Roman"/>
          <w:color w:val="auto"/>
          <w:kern w:val="21"/>
          <w:sz w:val="24"/>
          <w:szCs w:val="24"/>
        </w:rPr>
        <w:t>/s</w:t>
      </w:r>
      <w:r>
        <w:rPr>
          <w:rFonts w:hint="eastAsia" w:ascii="Times New Roman" w:hAnsi="Times New Roman"/>
          <w:color w:val="auto"/>
          <w:kern w:val="21"/>
          <w:sz w:val="24"/>
          <w:szCs w:val="24"/>
        </w:rPr>
        <w:t>；</w:t>
      </w:r>
    </w:p>
    <w:p>
      <w:pPr>
        <w:pStyle w:val="16"/>
        <w:adjustRightInd/>
        <w:spacing w:before="0"/>
        <w:ind w:right="0" w:firstLine="1680" w:firstLineChars="700"/>
        <w:jc w:val="both"/>
        <w:rPr>
          <w:rFonts w:ascii="Times New Roman" w:hAnsi="Times New Roman"/>
          <w:color w:val="auto"/>
          <w:kern w:val="21"/>
          <w:sz w:val="24"/>
          <w:szCs w:val="24"/>
        </w:rPr>
      </w:pPr>
      <w:r>
        <w:rPr>
          <w:rFonts w:ascii="Times New Roman" w:hAnsi="Times New Roman"/>
          <w:color w:val="auto"/>
          <w:kern w:val="21"/>
          <w:sz w:val="24"/>
          <w:szCs w:val="24"/>
        </w:rPr>
        <w:t>C</w:t>
      </w:r>
      <w:r>
        <w:rPr>
          <w:rFonts w:ascii="Times New Roman" w:hAnsi="Times New Roman"/>
          <w:color w:val="auto"/>
          <w:kern w:val="21"/>
          <w:sz w:val="24"/>
          <w:szCs w:val="24"/>
          <w:vertAlign w:val="subscript"/>
        </w:rPr>
        <w:t>h</w:t>
      </w:r>
      <w:r>
        <w:rPr>
          <w:rFonts w:ascii="Times New Roman" w:hAnsi="Times New Roman"/>
          <w:color w:val="auto"/>
          <w:kern w:val="21"/>
          <w:sz w:val="24"/>
          <w:szCs w:val="24"/>
        </w:rPr>
        <w:t>---河流上游污染物浓度，mg/L</w:t>
      </w:r>
      <w:r>
        <w:rPr>
          <w:rFonts w:hint="eastAsia" w:ascii="Times New Roman" w:hAnsi="Times New Roman"/>
          <w:color w:val="auto"/>
          <w:kern w:val="21"/>
          <w:sz w:val="24"/>
          <w:szCs w:val="24"/>
        </w:rPr>
        <w:t>；</w:t>
      </w:r>
    </w:p>
    <w:p>
      <w:pPr>
        <w:pStyle w:val="16"/>
        <w:adjustRightInd/>
        <w:spacing w:before="0"/>
        <w:ind w:left="960" w:leftChars="400" w:right="0" w:firstLine="720" w:firstLineChars="300"/>
        <w:jc w:val="both"/>
        <w:rPr>
          <w:rFonts w:ascii="Times New Roman" w:hAnsi="Times New Roman"/>
          <w:color w:val="auto"/>
          <w:kern w:val="21"/>
          <w:sz w:val="24"/>
          <w:szCs w:val="24"/>
        </w:rPr>
      </w:pPr>
      <w:r>
        <w:rPr>
          <w:rFonts w:ascii="Times New Roman" w:hAnsi="Times New Roman"/>
          <w:color w:val="auto"/>
          <w:kern w:val="21"/>
          <w:sz w:val="24"/>
          <w:szCs w:val="24"/>
        </w:rPr>
        <w:t>Q</w:t>
      </w:r>
      <w:r>
        <w:rPr>
          <w:rFonts w:ascii="Times New Roman" w:hAnsi="Times New Roman"/>
          <w:color w:val="auto"/>
          <w:kern w:val="21"/>
          <w:sz w:val="24"/>
          <w:szCs w:val="24"/>
          <w:vertAlign w:val="subscript"/>
        </w:rPr>
        <w:t>h</w:t>
      </w:r>
      <w:r>
        <w:rPr>
          <w:rFonts w:ascii="Times New Roman" w:hAnsi="Times New Roman"/>
          <w:color w:val="auto"/>
          <w:kern w:val="21"/>
          <w:sz w:val="24"/>
          <w:szCs w:val="24"/>
        </w:rPr>
        <w:t>---河流流量，m</w:t>
      </w:r>
      <w:r>
        <w:rPr>
          <w:rFonts w:ascii="Times New Roman" w:hAnsi="Times New Roman"/>
          <w:color w:val="auto"/>
          <w:kern w:val="21"/>
          <w:sz w:val="24"/>
          <w:szCs w:val="24"/>
          <w:vertAlign w:val="superscript"/>
        </w:rPr>
        <w:t>3</w:t>
      </w:r>
      <w:r>
        <w:rPr>
          <w:rFonts w:ascii="Times New Roman" w:hAnsi="Times New Roman"/>
          <w:color w:val="auto"/>
          <w:kern w:val="21"/>
          <w:sz w:val="24"/>
          <w:szCs w:val="24"/>
        </w:rPr>
        <w:t>/s。</w:t>
      </w:r>
    </w:p>
    <w:p>
      <w:pPr>
        <w:pStyle w:val="16"/>
        <w:adjustRightInd/>
        <w:spacing w:before="0"/>
        <w:ind w:right="0" w:firstLine="480"/>
        <w:jc w:val="both"/>
        <w:rPr>
          <w:rFonts w:ascii="Times New Roman" w:hAnsi="Times New Roman"/>
          <w:color w:val="auto"/>
          <w:kern w:val="21"/>
          <w:sz w:val="24"/>
          <w:szCs w:val="24"/>
        </w:rPr>
      </w:pPr>
      <w:r>
        <w:rPr>
          <w:rFonts w:hint="eastAsia" w:ascii="Times New Roman" w:hAnsi="Times New Roman"/>
          <w:color w:val="auto"/>
          <w:kern w:val="21"/>
          <w:sz w:val="24"/>
          <w:szCs w:val="24"/>
        </w:rPr>
        <w:t>（2）</w:t>
      </w:r>
      <w:r>
        <w:rPr>
          <w:rFonts w:ascii="Times New Roman" w:hAnsi="Times New Roman"/>
          <w:color w:val="auto"/>
          <w:kern w:val="21"/>
          <w:sz w:val="24"/>
          <w:szCs w:val="24"/>
        </w:rPr>
        <w:t>河流纵向一维模型方程的简化、分类判别条件（即：O</w:t>
      </w:r>
      <w:r>
        <w:rPr>
          <w:rFonts w:hint="eastAsia" w:ascii="Times New Roman" w:hAnsi="Times New Roman"/>
          <w:color w:val="auto"/>
          <w:kern w:val="21"/>
          <w:sz w:val="24"/>
          <w:szCs w:val="24"/>
          <w:vertAlign w:val="superscript"/>
        </w:rPr>
        <w:t>，</w:t>
      </w:r>
      <w:r>
        <w:rPr>
          <w:rFonts w:ascii="Times New Roman" w:hAnsi="Times New Roman"/>
          <w:color w:val="auto"/>
          <w:kern w:val="21"/>
          <w:sz w:val="24"/>
          <w:szCs w:val="24"/>
        </w:rPr>
        <w:t>Connor数和贝克来数Pe的临界值），选择相应的解析公式。</w:t>
      </w:r>
    </w:p>
    <w:p>
      <w:pPr>
        <w:pStyle w:val="16"/>
        <w:adjustRightInd/>
        <w:spacing w:before="0"/>
        <w:ind w:left="960" w:leftChars="400" w:right="0" w:firstLine="2800" w:firstLineChars="1000"/>
        <w:jc w:val="both"/>
        <w:rPr>
          <w:rFonts w:ascii="Times New Roman" w:hAnsi="Times New Roman"/>
          <w:color w:val="auto"/>
          <w:kern w:val="21"/>
        </w:rPr>
      </w:pPr>
      <w:r>
        <w:rPr>
          <w:rFonts w:ascii="Times New Roman" w:hAnsi="Times New Roman"/>
          <w:color w:val="auto"/>
          <w:kern w:val="21"/>
        </w:rPr>
        <w:t>α=kE</w:t>
      </w:r>
      <w:r>
        <w:rPr>
          <w:rFonts w:ascii="Times New Roman" w:hAnsi="Times New Roman"/>
          <w:color w:val="auto"/>
          <w:kern w:val="21"/>
          <w:vertAlign w:val="subscript"/>
        </w:rPr>
        <w:t>x</w:t>
      </w:r>
      <w:r>
        <w:rPr>
          <w:rFonts w:ascii="Times New Roman" w:hAnsi="Times New Roman"/>
          <w:color w:val="auto"/>
          <w:kern w:val="21"/>
        </w:rPr>
        <w:t>/u</w:t>
      </w:r>
      <w:r>
        <w:rPr>
          <w:rFonts w:ascii="Times New Roman" w:hAnsi="Times New Roman"/>
          <w:color w:val="auto"/>
          <w:kern w:val="21"/>
          <w:sz w:val="24"/>
          <w:szCs w:val="24"/>
          <w:vertAlign w:val="superscript"/>
        </w:rPr>
        <w:t>2</w:t>
      </w:r>
    </w:p>
    <w:p>
      <w:pPr>
        <w:pStyle w:val="16"/>
        <w:adjustRightInd/>
        <w:spacing w:before="0"/>
        <w:ind w:left="960" w:leftChars="400" w:right="0" w:firstLine="2800" w:firstLineChars="1000"/>
        <w:jc w:val="both"/>
        <w:rPr>
          <w:rFonts w:ascii="Times New Roman" w:hAnsi="Times New Roman"/>
          <w:color w:val="auto"/>
          <w:kern w:val="21"/>
        </w:rPr>
      </w:pPr>
      <w:r>
        <w:rPr>
          <w:rFonts w:ascii="Times New Roman" w:hAnsi="Times New Roman"/>
          <w:color w:val="auto"/>
          <w:kern w:val="21"/>
        </w:rPr>
        <w:t>P</w:t>
      </w:r>
      <w:r>
        <w:rPr>
          <w:rFonts w:ascii="Times New Roman" w:hAnsi="Times New Roman"/>
          <w:color w:val="auto"/>
          <w:kern w:val="21"/>
          <w:vertAlign w:val="subscript"/>
        </w:rPr>
        <w:t>e</w:t>
      </w:r>
      <w:r>
        <w:rPr>
          <w:rFonts w:ascii="Times New Roman" w:hAnsi="Times New Roman"/>
          <w:color w:val="auto"/>
          <w:kern w:val="21"/>
        </w:rPr>
        <w:t>=uB/E</w:t>
      </w:r>
      <w:r>
        <w:rPr>
          <w:rFonts w:ascii="Times New Roman" w:hAnsi="Times New Roman"/>
          <w:color w:val="auto"/>
          <w:kern w:val="21"/>
          <w:vertAlign w:val="subscript"/>
        </w:rPr>
        <w:t>x</w:t>
      </w:r>
    </w:p>
    <w:p>
      <w:pPr>
        <w:pStyle w:val="16"/>
        <w:adjustRightInd/>
        <w:spacing w:before="0"/>
        <w:ind w:right="0" w:firstLine="0" w:firstLineChars="0"/>
        <w:jc w:val="both"/>
        <w:rPr>
          <w:rFonts w:ascii="Times New Roman" w:hAnsi="Times New Roman"/>
          <w:color w:val="auto"/>
          <w:kern w:val="21"/>
          <w:sz w:val="24"/>
          <w:szCs w:val="24"/>
        </w:rPr>
      </w:pPr>
      <w:r>
        <w:rPr>
          <w:rFonts w:ascii="Times New Roman" w:hAnsi="Times New Roman"/>
          <w:color w:val="auto"/>
          <w:kern w:val="21"/>
          <w:sz w:val="24"/>
          <w:szCs w:val="24"/>
        </w:rPr>
        <w:t>式中：α---O</w:t>
      </w:r>
      <w:r>
        <w:rPr>
          <w:rFonts w:hint="eastAsia" w:ascii="Times New Roman" w:hAnsi="Times New Roman"/>
          <w:color w:val="auto"/>
          <w:kern w:val="21"/>
          <w:sz w:val="24"/>
          <w:szCs w:val="24"/>
          <w:vertAlign w:val="superscript"/>
        </w:rPr>
        <w:t>，</w:t>
      </w:r>
      <w:r>
        <w:rPr>
          <w:rFonts w:ascii="Times New Roman" w:hAnsi="Times New Roman"/>
          <w:color w:val="auto"/>
          <w:kern w:val="21"/>
          <w:sz w:val="24"/>
          <w:szCs w:val="24"/>
        </w:rPr>
        <w:t>Connor数，量纲为1，表征物质离散降解通量与移流通量的比值；</w:t>
      </w:r>
    </w:p>
    <w:p>
      <w:pPr>
        <w:pStyle w:val="16"/>
        <w:adjustRightInd/>
        <w:spacing w:before="0"/>
        <w:ind w:right="0" w:firstLine="720" w:firstLineChars="300"/>
        <w:jc w:val="both"/>
        <w:rPr>
          <w:rFonts w:ascii="Times New Roman" w:hAnsi="Times New Roman"/>
          <w:color w:val="auto"/>
          <w:kern w:val="21"/>
          <w:sz w:val="24"/>
          <w:szCs w:val="24"/>
        </w:rPr>
      </w:pPr>
      <w:r>
        <w:rPr>
          <w:rFonts w:ascii="Times New Roman" w:hAnsi="Times New Roman"/>
          <w:color w:val="auto"/>
          <w:kern w:val="21"/>
          <w:sz w:val="24"/>
          <w:szCs w:val="24"/>
        </w:rPr>
        <w:t>k---污染物综合衰减系数，s</w:t>
      </w:r>
      <w:r>
        <w:rPr>
          <w:rFonts w:ascii="Times New Roman" w:hAnsi="Times New Roman"/>
          <w:color w:val="auto"/>
          <w:kern w:val="21"/>
          <w:sz w:val="24"/>
          <w:szCs w:val="24"/>
          <w:vertAlign w:val="superscript"/>
        </w:rPr>
        <w:t>-</w:t>
      </w:r>
      <w:r>
        <w:rPr>
          <w:rFonts w:ascii="Times New Roman" w:hAnsi="Times New Roman"/>
          <w:color w:val="auto"/>
          <w:kern w:val="21"/>
          <w:sz w:val="24"/>
          <w:szCs w:val="24"/>
        </w:rPr>
        <w:t>1</w:t>
      </w:r>
      <w:r>
        <w:rPr>
          <w:rFonts w:hint="eastAsia" w:ascii="Times New Roman" w:hAnsi="Times New Roman"/>
          <w:color w:val="auto"/>
          <w:kern w:val="21"/>
          <w:sz w:val="24"/>
          <w:szCs w:val="24"/>
        </w:rPr>
        <w:t>；</w:t>
      </w:r>
    </w:p>
    <w:p>
      <w:pPr>
        <w:pStyle w:val="16"/>
        <w:adjustRightInd/>
        <w:spacing w:before="0"/>
        <w:ind w:right="0"/>
        <w:jc w:val="both"/>
        <w:rPr>
          <w:rFonts w:ascii="Times New Roman" w:hAnsi="Times New Roman"/>
          <w:color w:val="auto"/>
          <w:kern w:val="21"/>
          <w:sz w:val="24"/>
          <w:szCs w:val="24"/>
        </w:rPr>
      </w:pPr>
      <w:r>
        <w:rPr>
          <w:rFonts w:ascii="Times New Roman" w:hAnsi="Times New Roman"/>
          <w:color w:val="auto"/>
          <w:kern w:val="21"/>
        </w:rPr>
        <w:t>Pe</w:t>
      </w:r>
      <w:r>
        <w:rPr>
          <w:rFonts w:ascii="Times New Roman" w:hAnsi="Times New Roman"/>
          <w:color w:val="auto"/>
          <w:kern w:val="21"/>
          <w:sz w:val="24"/>
          <w:szCs w:val="24"/>
        </w:rPr>
        <w:t>---贝克来数，量纲为1，表征物质移流通量与离散通量的比值；</w:t>
      </w:r>
    </w:p>
    <w:p>
      <w:pPr>
        <w:pStyle w:val="16"/>
        <w:adjustRightInd/>
        <w:spacing w:before="0"/>
        <w:ind w:right="0" w:firstLine="480"/>
        <w:jc w:val="both"/>
        <w:rPr>
          <w:rFonts w:ascii="Times New Roman" w:hAnsi="Times New Roman"/>
          <w:color w:val="auto"/>
          <w:kern w:val="21"/>
          <w:sz w:val="24"/>
          <w:szCs w:val="24"/>
        </w:rPr>
      </w:pPr>
      <w:r>
        <w:rPr>
          <w:rFonts w:ascii="Times New Roman" w:hAnsi="Times New Roman"/>
          <w:color w:val="auto"/>
          <w:kern w:val="21"/>
          <w:sz w:val="24"/>
          <w:szCs w:val="24"/>
        </w:rPr>
        <w:t>E</w:t>
      </w:r>
      <w:r>
        <w:rPr>
          <w:rFonts w:ascii="Times New Roman" w:hAnsi="Times New Roman"/>
          <w:color w:val="auto"/>
          <w:kern w:val="21"/>
          <w:sz w:val="24"/>
          <w:szCs w:val="24"/>
          <w:vertAlign w:val="subscript"/>
        </w:rPr>
        <w:t>x</w:t>
      </w:r>
      <w:r>
        <w:rPr>
          <w:rFonts w:ascii="Times New Roman" w:hAnsi="Times New Roman"/>
          <w:color w:val="auto"/>
          <w:kern w:val="21"/>
          <w:sz w:val="24"/>
          <w:szCs w:val="24"/>
        </w:rPr>
        <w:t>--污染物纵向扩散参数，m</w:t>
      </w:r>
      <w:r>
        <w:rPr>
          <w:rFonts w:ascii="Times New Roman" w:hAnsi="Times New Roman"/>
          <w:color w:val="auto"/>
          <w:kern w:val="21"/>
          <w:sz w:val="24"/>
          <w:szCs w:val="24"/>
          <w:vertAlign w:val="superscript"/>
        </w:rPr>
        <w:t>2</w:t>
      </w:r>
      <w:r>
        <w:rPr>
          <w:rFonts w:ascii="Times New Roman" w:hAnsi="Times New Roman"/>
          <w:color w:val="auto"/>
          <w:kern w:val="21"/>
          <w:sz w:val="24"/>
          <w:szCs w:val="24"/>
        </w:rPr>
        <w:t>/s，</w:t>
      </w:r>
      <w:r>
        <w:rPr>
          <w:rFonts w:hint="eastAsia" w:ascii="Times New Roman" w:hAnsi="Times New Roman"/>
          <w:color w:val="auto"/>
          <w:kern w:val="21"/>
          <w:sz w:val="24"/>
          <w:szCs w:val="24"/>
        </w:rPr>
        <w:t>本项目预测地表水体为河流，</w:t>
      </w:r>
      <w:r>
        <w:rPr>
          <w:rFonts w:ascii="Times New Roman" w:hAnsi="Times New Roman"/>
          <w:color w:val="auto"/>
          <w:kern w:val="21"/>
          <w:sz w:val="24"/>
          <w:szCs w:val="24"/>
        </w:rPr>
        <w:t>采用</w:t>
      </w:r>
      <w:r>
        <w:rPr>
          <w:rFonts w:hint="eastAsia" w:ascii="Times New Roman" w:hAnsi="Times New Roman"/>
          <w:color w:val="auto"/>
          <w:kern w:val="21"/>
          <w:sz w:val="24"/>
          <w:szCs w:val="24"/>
        </w:rPr>
        <w:t>爱尔德</w:t>
      </w:r>
      <w:r>
        <w:rPr>
          <w:rFonts w:ascii="Times New Roman" w:hAnsi="Times New Roman"/>
          <w:color w:val="auto"/>
          <w:kern w:val="21"/>
          <w:sz w:val="24"/>
          <w:szCs w:val="24"/>
        </w:rPr>
        <w:t>公式：E</w:t>
      </w:r>
      <w:r>
        <w:rPr>
          <w:rFonts w:ascii="Times New Roman" w:hAnsi="Times New Roman"/>
          <w:color w:val="auto"/>
          <w:kern w:val="21"/>
          <w:sz w:val="24"/>
          <w:szCs w:val="24"/>
          <w:vertAlign w:val="subscript"/>
        </w:rPr>
        <w:t>x</w:t>
      </w:r>
      <w:r>
        <w:rPr>
          <w:rFonts w:ascii="Times New Roman" w:hAnsi="Times New Roman"/>
          <w:color w:val="auto"/>
          <w:kern w:val="21"/>
          <w:sz w:val="24"/>
          <w:szCs w:val="24"/>
        </w:rPr>
        <w:t>=</w:t>
      </w:r>
      <w:r>
        <w:rPr>
          <w:rFonts w:ascii="Times New Roman" w:hAnsi="Times New Roman"/>
          <w:color w:val="auto"/>
          <w:sz w:val="24"/>
          <w:szCs w:val="28"/>
        </w:rPr>
        <w:t>5.93H</w:t>
      </w:r>
      <m:oMath>
        <m:rad>
          <m:radPr>
            <m:degHide m:val="1"/>
            <m:ctrlPr>
              <w:rPr>
                <w:rFonts w:hint="default" w:ascii="Cambria Math" w:hAnsi="Cambria Math"/>
                <w:i/>
                <w:color w:val="auto"/>
                <w:kern w:val="21"/>
                <w:sz w:val="24"/>
                <w:szCs w:val="24"/>
              </w:rPr>
            </m:ctrlPr>
          </m:radPr>
          <m:deg>
            <m:ctrlPr>
              <w:rPr>
                <w:rFonts w:hint="default" w:ascii="Cambria Math" w:hAnsi="Cambria Math"/>
                <w:i/>
                <w:color w:val="auto"/>
                <w:kern w:val="21"/>
                <w:sz w:val="24"/>
                <w:szCs w:val="24"/>
              </w:rPr>
            </m:ctrlPr>
          </m:deg>
          <m:e>
            <m:r>
              <m:rPr/>
              <w:rPr>
                <w:rFonts w:hint="default" w:ascii="Cambria Math" w:hAnsi="Cambria Math"/>
                <w:color w:val="auto"/>
                <w:kern w:val="21"/>
                <w:sz w:val="24"/>
                <w:szCs w:val="24"/>
              </w:rPr>
              <m:t>gH</m:t>
            </m:r>
            <m:r>
              <m:rPr/>
              <w:rPr>
                <w:rFonts w:hint="default" w:ascii="Cambria Math" w:hAnsi="Cambria Math"/>
                <w:color w:val="auto"/>
                <w:kern w:val="21"/>
                <w:sz w:val="24"/>
                <w:szCs w:val="24"/>
                <w:lang w:val="en-US" w:eastAsia="zh-CN"/>
              </w:rPr>
              <m:t>I</m:t>
            </m:r>
            <m:ctrlPr>
              <w:rPr>
                <w:rFonts w:hint="default" w:ascii="Cambria Math" w:hAnsi="Cambria Math"/>
                <w:i/>
                <w:color w:val="auto"/>
                <w:kern w:val="21"/>
                <w:sz w:val="24"/>
                <w:szCs w:val="24"/>
              </w:rPr>
            </m:ctrlPr>
          </m:e>
        </m:rad>
      </m:oMath>
      <w:r>
        <w:rPr>
          <w:rFonts w:ascii="Times New Roman" w:hAnsi="Times New Roman"/>
          <w:color w:val="auto"/>
          <w:kern w:val="21"/>
          <w:sz w:val="24"/>
          <w:szCs w:val="24"/>
        </w:rPr>
        <w:t>。</w:t>
      </w:r>
    </w:p>
    <w:p>
      <w:pPr>
        <w:pStyle w:val="16"/>
        <w:adjustRightInd/>
        <w:spacing w:before="0"/>
        <w:ind w:right="0" w:firstLine="480"/>
        <w:jc w:val="both"/>
        <w:rPr>
          <w:rFonts w:ascii="Times New Roman" w:hAnsi="Times New Roman"/>
          <w:color w:val="auto"/>
          <w:kern w:val="21"/>
          <w:sz w:val="24"/>
          <w:szCs w:val="24"/>
        </w:rPr>
      </w:pPr>
      <w:r>
        <w:rPr>
          <w:rFonts w:ascii="Times New Roman" w:hAnsi="Times New Roman"/>
          <w:color w:val="auto"/>
          <w:kern w:val="21"/>
          <w:sz w:val="24"/>
          <w:szCs w:val="24"/>
        </w:rPr>
        <w:t>经计算，本次评价采用的α值和Pe值见表5-</w:t>
      </w:r>
      <w:r>
        <w:rPr>
          <w:rFonts w:hint="eastAsia" w:ascii="Times New Roman" w:hAnsi="Times New Roman"/>
          <w:color w:val="auto"/>
          <w:kern w:val="21"/>
          <w:sz w:val="24"/>
          <w:szCs w:val="24"/>
          <w:lang w:val="en-US" w:eastAsia="zh-CN"/>
        </w:rPr>
        <w:t>3</w:t>
      </w:r>
      <w:r>
        <w:rPr>
          <w:rFonts w:ascii="Times New Roman" w:hAnsi="Times New Roman"/>
          <w:color w:val="auto"/>
          <w:kern w:val="21"/>
          <w:sz w:val="24"/>
          <w:szCs w:val="24"/>
        </w:rPr>
        <w:t>。</w:t>
      </w:r>
    </w:p>
    <w:p>
      <w:pPr>
        <w:numPr>
          <w:ilvl w:val="0"/>
          <w:numId w:val="11"/>
        </w:numPr>
        <w:tabs>
          <w:tab w:val="left" w:pos="3395"/>
          <w:tab w:val="clear" w:pos="0"/>
        </w:tabs>
        <w:ind w:left="0" w:leftChars="0" w:firstLine="0" w:firstLineChars="0"/>
        <w:jc w:val="center"/>
        <w:rPr>
          <w:rFonts w:ascii="Times New Roman" w:hAnsi="Times New Roman"/>
          <w:b/>
          <w:bCs/>
          <w:color w:val="auto"/>
          <w:kern w:val="21"/>
          <w:sz w:val="24"/>
          <w:szCs w:val="24"/>
        </w:rPr>
      </w:pPr>
      <w:r>
        <w:rPr>
          <w:rFonts w:ascii="Times New Roman" w:hAnsi="Times New Roman"/>
          <w:b/>
          <w:bCs/>
          <w:color w:val="auto"/>
          <w:kern w:val="21"/>
          <w:sz w:val="24"/>
          <w:szCs w:val="24"/>
        </w:rPr>
        <w:t>项目α参数和Pe参数及计算结果表</w:t>
      </w:r>
    </w:p>
    <w:tbl>
      <w:tblPr>
        <w:tblStyle w:val="51"/>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981"/>
        <w:gridCol w:w="981"/>
        <w:gridCol w:w="1440"/>
        <w:gridCol w:w="836"/>
        <w:gridCol w:w="928"/>
        <w:gridCol w:w="1145"/>
        <w:gridCol w:w="1009"/>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河流</w:t>
            </w:r>
          </w:p>
        </w:tc>
        <w:tc>
          <w:tcPr>
            <w:tcW w:w="981"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预测时段</w:t>
            </w: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污染物</w:t>
            </w:r>
          </w:p>
        </w:tc>
        <w:tc>
          <w:tcPr>
            <w:tcW w:w="1440"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污染物综合衰减系数k（</w:t>
            </w:r>
            <w:r>
              <w:rPr>
                <w:rFonts w:hint="eastAsia" w:ascii="Times New Roman" w:hAnsi="Times New Roman"/>
                <w:color w:val="auto"/>
                <w:kern w:val="21"/>
                <w:sz w:val="21"/>
                <w:szCs w:val="21"/>
                <w:lang w:val="en-US" w:eastAsia="zh-CN"/>
              </w:rPr>
              <w:t>s</w:t>
            </w:r>
            <w:r>
              <w:rPr>
                <w:rFonts w:ascii="Times New Roman" w:hAnsi="Times New Roman"/>
                <w:color w:val="auto"/>
                <w:kern w:val="21"/>
                <w:sz w:val="21"/>
                <w:szCs w:val="21"/>
                <w:vertAlign w:val="superscript"/>
              </w:rPr>
              <w:t>-1</w:t>
            </w:r>
            <w:r>
              <w:rPr>
                <w:rFonts w:ascii="Times New Roman" w:hAnsi="Times New Roman"/>
                <w:color w:val="auto"/>
                <w:kern w:val="21"/>
                <w:sz w:val="21"/>
                <w:szCs w:val="21"/>
              </w:rPr>
              <w:t>）</w:t>
            </w:r>
          </w:p>
        </w:tc>
        <w:tc>
          <w:tcPr>
            <w:tcW w:w="836"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河流流速</w:t>
            </w:r>
          </w:p>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U（m/s）</w:t>
            </w:r>
          </w:p>
        </w:tc>
        <w:tc>
          <w:tcPr>
            <w:tcW w:w="928"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水面宽度</w:t>
            </w:r>
          </w:p>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B（m）</w:t>
            </w:r>
          </w:p>
        </w:tc>
        <w:tc>
          <w:tcPr>
            <w:tcW w:w="1145"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污染物纵向扩散参数Ex（m</w:t>
            </w:r>
            <w:r>
              <w:rPr>
                <w:rFonts w:ascii="Times New Roman" w:hAnsi="Times New Roman"/>
                <w:color w:val="auto"/>
                <w:kern w:val="21"/>
                <w:sz w:val="21"/>
                <w:szCs w:val="21"/>
                <w:vertAlign w:val="superscript"/>
              </w:rPr>
              <w:t>2</w:t>
            </w:r>
            <w:r>
              <w:rPr>
                <w:rFonts w:ascii="Times New Roman" w:hAnsi="Times New Roman"/>
                <w:color w:val="auto"/>
                <w:kern w:val="21"/>
                <w:sz w:val="21"/>
                <w:szCs w:val="21"/>
              </w:rPr>
              <w:t>/s）</w:t>
            </w:r>
          </w:p>
        </w:tc>
        <w:tc>
          <w:tcPr>
            <w:tcW w:w="1009"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α值</w:t>
            </w:r>
          </w:p>
        </w:tc>
        <w:tc>
          <w:tcPr>
            <w:tcW w:w="882"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Pe值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青龙河</w:t>
            </w:r>
          </w:p>
        </w:tc>
        <w:tc>
          <w:tcPr>
            <w:tcW w:w="981" w:type="dxa"/>
            <w:vMerge w:val="restart"/>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枯水期</w:t>
            </w: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COD</w:t>
            </w:r>
          </w:p>
        </w:tc>
        <w:tc>
          <w:tcPr>
            <w:tcW w:w="1440"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174</w:t>
            </w:r>
          </w:p>
        </w:tc>
        <w:tc>
          <w:tcPr>
            <w:tcW w:w="836"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0.024</w:t>
            </w:r>
          </w:p>
        </w:tc>
        <w:tc>
          <w:tcPr>
            <w:tcW w:w="928"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12.98</w:t>
            </w:r>
          </w:p>
        </w:tc>
        <w:tc>
          <w:tcPr>
            <w:tcW w:w="1145"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0.3017 </w:t>
            </w: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0.00218 </w:t>
            </w:r>
          </w:p>
        </w:tc>
        <w:tc>
          <w:tcPr>
            <w:tcW w:w="882" w:type="dxa"/>
            <w:vMerge w:val="restart"/>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1.033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氨氮</w:t>
            </w:r>
          </w:p>
        </w:tc>
        <w:tc>
          <w:tcPr>
            <w:tcW w:w="1440"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116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0.00170 </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总磷</w:t>
            </w:r>
          </w:p>
        </w:tc>
        <w:tc>
          <w:tcPr>
            <w:tcW w:w="1440"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rPr>
            </w:pPr>
            <w:r>
              <w:rPr>
                <w:rFonts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036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0.00122 </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总氮</w:t>
            </w:r>
          </w:p>
        </w:tc>
        <w:tc>
          <w:tcPr>
            <w:tcW w:w="1440"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val="en-US" w:eastAsia="zh-CN"/>
              </w:rPr>
            </w:pPr>
            <w:r>
              <w:rPr>
                <w:rFonts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036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default" w:ascii="Times New Roman" w:hAnsi="Times New Roman"/>
                <w:color w:val="auto"/>
                <w:kern w:val="21"/>
                <w:sz w:val="21"/>
                <w:szCs w:val="21"/>
                <w:lang w:val="en-US" w:eastAsia="zh-CN"/>
              </w:rPr>
            </w:pPr>
            <w:r>
              <w:rPr>
                <w:rFonts w:hint="default" w:ascii="Times New Roman" w:hAnsi="Times New Roman"/>
                <w:color w:val="auto"/>
                <w:kern w:val="21"/>
                <w:sz w:val="21"/>
                <w:szCs w:val="21"/>
                <w:lang w:val="en-US" w:eastAsia="zh-CN"/>
              </w:rPr>
              <w:t>0.00122</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氟化物</w:t>
            </w:r>
          </w:p>
        </w:tc>
        <w:tc>
          <w:tcPr>
            <w:tcW w:w="1440"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val="en-US" w:eastAsia="zh-CN"/>
              </w:rPr>
              <w:t>0</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eastAsia" w:ascii="Times New Roman" w:hAnsi="Times New Roman"/>
                <w:color w:val="auto"/>
                <w:kern w:val="21"/>
                <w:sz w:val="21"/>
                <w:szCs w:val="21"/>
                <w:lang w:val="en-US" w:eastAsia="zh-CN"/>
              </w:rPr>
              <w:t>0</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restart"/>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丰水期</w:t>
            </w: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COD</w:t>
            </w:r>
          </w:p>
        </w:tc>
        <w:tc>
          <w:tcPr>
            <w:tcW w:w="1440" w:type="dxa"/>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174</w:t>
            </w:r>
          </w:p>
        </w:tc>
        <w:tc>
          <w:tcPr>
            <w:tcW w:w="836"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0.054</w:t>
            </w:r>
          </w:p>
        </w:tc>
        <w:tc>
          <w:tcPr>
            <w:tcW w:w="928"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12.98</w:t>
            </w:r>
          </w:p>
        </w:tc>
        <w:tc>
          <w:tcPr>
            <w:tcW w:w="1145"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0.6772 </w:t>
            </w: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0.00097 </w:t>
            </w:r>
          </w:p>
        </w:tc>
        <w:tc>
          <w:tcPr>
            <w:tcW w:w="882" w:type="dxa"/>
            <w:vMerge w:val="restart"/>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1.035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氨氮</w:t>
            </w:r>
          </w:p>
        </w:tc>
        <w:tc>
          <w:tcPr>
            <w:tcW w:w="1440" w:type="dxa"/>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116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0.00075 </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总磷</w:t>
            </w:r>
          </w:p>
        </w:tc>
        <w:tc>
          <w:tcPr>
            <w:tcW w:w="1440" w:type="dxa"/>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036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0.00054 </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SA"/>
              </w:rPr>
            </w:pPr>
            <w:r>
              <w:rPr>
                <w:rFonts w:hint="eastAsia" w:ascii="Times New Roman" w:hAnsi="Times New Roman"/>
                <w:color w:val="auto"/>
                <w:kern w:val="21"/>
                <w:sz w:val="21"/>
                <w:szCs w:val="21"/>
                <w:lang w:eastAsia="zh-CN"/>
              </w:rPr>
              <w:t>总氮</w:t>
            </w:r>
          </w:p>
        </w:tc>
        <w:tc>
          <w:tcPr>
            <w:tcW w:w="1440" w:type="dxa"/>
            <w:vAlign w:val="center"/>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SA"/>
              </w:rPr>
            </w:pPr>
            <w:r>
              <w:rPr>
                <w:rFonts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036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default" w:ascii="Times New Roman" w:hAnsi="Times New Roman"/>
                <w:color w:val="auto"/>
                <w:kern w:val="21"/>
                <w:sz w:val="21"/>
                <w:szCs w:val="21"/>
                <w:lang w:val="en-US" w:eastAsia="zh-CN"/>
              </w:rPr>
            </w:pPr>
            <w:r>
              <w:rPr>
                <w:rFonts w:hint="default" w:ascii="Times New Roman" w:hAnsi="Times New Roman"/>
                <w:color w:val="auto"/>
                <w:kern w:val="21"/>
                <w:sz w:val="21"/>
                <w:szCs w:val="21"/>
                <w:lang w:val="en-US" w:eastAsia="zh-CN"/>
              </w:rPr>
              <w:t xml:space="preserve">0.00054 </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氟化物</w:t>
            </w:r>
          </w:p>
        </w:tc>
        <w:tc>
          <w:tcPr>
            <w:tcW w:w="1440"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val="en-US" w:eastAsia="zh-CN"/>
              </w:rPr>
            </w:pPr>
            <w:r>
              <w:rPr>
                <w:rFonts w:hint="eastAsia" w:ascii="Times New Roman" w:hAnsi="Times New Roman"/>
                <w:color w:val="auto"/>
                <w:kern w:val="21"/>
                <w:sz w:val="21"/>
                <w:szCs w:val="21"/>
                <w:lang w:val="en-US" w:eastAsia="zh-CN"/>
              </w:rPr>
              <w:t>0</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restart"/>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龙川江</w:t>
            </w:r>
          </w:p>
        </w:tc>
        <w:tc>
          <w:tcPr>
            <w:tcW w:w="981" w:type="dxa"/>
            <w:vMerge w:val="restart"/>
            <w:vAlign w:val="center"/>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SA"/>
              </w:rPr>
            </w:pPr>
            <w:r>
              <w:rPr>
                <w:rFonts w:hint="eastAsia" w:ascii="Times New Roman" w:hAnsi="Times New Roman"/>
                <w:color w:val="auto"/>
                <w:kern w:val="21"/>
                <w:sz w:val="21"/>
                <w:szCs w:val="21"/>
                <w:lang w:eastAsia="zh-CN"/>
              </w:rPr>
              <w:t>枯水期</w:t>
            </w:r>
          </w:p>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COD</w:t>
            </w:r>
          </w:p>
        </w:tc>
        <w:tc>
          <w:tcPr>
            <w:tcW w:w="1440" w:type="dxa"/>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174</w:t>
            </w:r>
          </w:p>
        </w:tc>
        <w:tc>
          <w:tcPr>
            <w:tcW w:w="836"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0.018</w:t>
            </w:r>
          </w:p>
        </w:tc>
        <w:tc>
          <w:tcPr>
            <w:tcW w:w="928"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50</w:t>
            </w:r>
          </w:p>
        </w:tc>
        <w:tc>
          <w:tcPr>
            <w:tcW w:w="1145"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0.6945 </w:t>
            </w: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0.00894 </w:t>
            </w:r>
          </w:p>
        </w:tc>
        <w:tc>
          <w:tcPr>
            <w:tcW w:w="882" w:type="dxa"/>
            <w:vMerge w:val="restart"/>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1.296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氨氮</w:t>
            </w:r>
          </w:p>
        </w:tc>
        <w:tc>
          <w:tcPr>
            <w:tcW w:w="1440" w:type="dxa"/>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116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0.00694 </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总磷</w:t>
            </w:r>
          </w:p>
        </w:tc>
        <w:tc>
          <w:tcPr>
            <w:tcW w:w="1440" w:type="dxa"/>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rPr>
            </w:pPr>
            <w:r>
              <w:rPr>
                <w:rFonts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036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0.00497 </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总氮</w:t>
            </w:r>
          </w:p>
        </w:tc>
        <w:tc>
          <w:tcPr>
            <w:tcW w:w="1440" w:type="dxa"/>
            <w:vAlign w:val="center"/>
          </w:tcPr>
          <w:p>
            <w:pPr>
              <w:pStyle w:val="16"/>
              <w:adjustRightInd/>
              <w:spacing w:before="0" w:line="240" w:lineRule="auto"/>
              <w:ind w:right="0" w:firstLine="0" w:firstLineChars="0"/>
              <w:jc w:val="center"/>
              <w:rPr>
                <w:rFonts w:hint="default" w:ascii="Times New Roman" w:hAnsi="Times New Roman"/>
                <w:color w:val="auto"/>
                <w:kern w:val="21"/>
                <w:sz w:val="21"/>
                <w:szCs w:val="21"/>
                <w:lang w:val="en-US" w:eastAsia="zh-CN"/>
              </w:rPr>
            </w:pPr>
            <w:r>
              <w:rPr>
                <w:rFonts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036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default" w:ascii="Times New Roman" w:hAnsi="Times New Roman"/>
                <w:color w:val="auto"/>
                <w:kern w:val="21"/>
                <w:sz w:val="21"/>
                <w:szCs w:val="21"/>
                <w:lang w:val="en-US" w:eastAsia="zh-CN"/>
              </w:rPr>
            </w:pPr>
            <w:r>
              <w:rPr>
                <w:rFonts w:hint="default" w:ascii="Times New Roman" w:hAnsi="Times New Roman"/>
                <w:color w:val="auto"/>
                <w:kern w:val="21"/>
                <w:sz w:val="21"/>
                <w:szCs w:val="21"/>
                <w:lang w:val="en-US" w:eastAsia="zh-CN"/>
              </w:rPr>
              <w:t>0.00497</w:t>
            </w:r>
          </w:p>
        </w:tc>
        <w:tc>
          <w:tcPr>
            <w:tcW w:w="882" w:type="dxa"/>
            <w:vMerge w:val="continue"/>
            <w:vAlign w:val="center"/>
          </w:tcPr>
          <w:p>
            <w:pPr>
              <w:pStyle w:val="16"/>
              <w:adjustRightInd/>
              <w:spacing w:before="0" w:line="240" w:lineRule="auto"/>
              <w:ind w:right="0" w:firstLine="0" w:firstLineChars="0"/>
              <w:jc w:val="center"/>
              <w:rPr>
                <w:rFonts w:hint="default" w:ascii="Times New Roman" w:hAnsi="Times New Roman"/>
                <w:color w:val="auto"/>
                <w:kern w:val="2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c>
          <w:tcPr>
            <w:tcW w:w="981"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eastAsia" w:ascii="Times New Roman" w:hAnsi="Times New Roman"/>
                <w:color w:val="auto"/>
                <w:kern w:val="21"/>
                <w:sz w:val="21"/>
                <w:szCs w:val="21"/>
              </w:rPr>
              <w:t>氟化物</w:t>
            </w:r>
          </w:p>
        </w:tc>
        <w:tc>
          <w:tcPr>
            <w:tcW w:w="1440"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val="en-US" w:eastAsia="zh-CN"/>
              </w:rPr>
              <w:t>0</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eastAsia" w:ascii="Times New Roman" w:hAnsi="Times New Roman"/>
                <w:color w:val="auto"/>
                <w:kern w:val="21"/>
                <w:sz w:val="21"/>
                <w:szCs w:val="21"/>
                <w:lang w:val="en-US" w:eastAsia="zh-CN"/>
              </w:rPr>
              <w:t>0</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rPr>
            </w:pPr>
          </w:p>
        </w:tc>
        <w:tc>
          <w:tcPr>
            <w:tcW w:w="981" w:type="dxa"/>
            <w:vMerge w:val="restart"/>
            <w:vAlign w:val="center"/>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SA"/>
              </w:rPr>
            </w:pPr>
            <w:r>
              <w:rPr>
                <w:rFonts w:hint="eastAsia" w:ascii="Times New Roman" w:hAnsi="Times New Roman"/>
                <w:color w:val="auto"/>
                <w:kern w:val="21"/>
                <w:sz w:val="21"/>
                <w:szCs w:val="21"/>
                <w:lang w:eastAsia="zh-CN"/>
              </w:rPr>
              <w:t>丰水期</w:t>
            </w:r>
          </w:p>
        </w:tc>
        <w:tc>
          <w:tcPr>
            <w:tcW w:w="981" w:type="dxa"/>
            <w:vAlign w:val="center"/>
          </w:tcPr>
          <w:p>
            <w:pPr>
              <w:pStyle w:val="16"/>
              <w:adjustRightInd/>
              <w:spacing w:before="0" w:line="240" w:lineRule="auto"/>
              <w:ind w:right="0" w:rightChars="0" w:firstLine="0" w:firstLineChars="0"/>
              <w:jc w:val="center"/>
              <w:rPr>
                <w:rFonts w:hint="eastAsia" w:ascii="Times New Roman" w:hAnsi="Times New Roman"/>
                <w:color w:val="auto"/>
                <w:kern w:val="21"/>
                <w:sz w:val="21"/>
                <w:szCs w:val="21"/>
              </w:rPr>
            </w:pPr>
            <w:r>
              <w:rPr>
                <w:rFonts w:ascii="Times New Roman" w:hAnsi="Times New Roman"/>
                <w:color w:val="auto"/>
                <w:kern w:val="21"/>
                <w:sz w:val="21"/>
                <w:szCs w:val="21"/>
              </w:rPr>
              <w:t>COD</w:t>
            </w:r>
          </w:p>
        </w:tc>
        <w:tc>
          <w:tcPr>
            <w:tcW w:w="1440" w:type="dxa"/>
            <w:vAlign w:val="center"/>
          </w:tcPr>
          <w:p>
            <w:pPr>
              <w:pStyle w:val="16"/>
              <w:adjustRightInd/>
              <w:spacing w:before="0" w:line="240" w:lineRule="auto"/>
              <w:ind w:right="0" w:rightChars="0" w:firstLine="0" w:firstLineChars="0"/>
              <w:jc w:val="center"/>
              <w:rPr>
                <w:rFonts w:hint="eastAsia" w:ascii="Times New Roman" w:hAnsi="Times New Roman"/>
                <w:color w:val="auto"/>
                <w:kern w:val="21"/>
                <w:sz w:val="21"/>
                <w:szCs w:val="21"/>
              </w:rPr>
            </w:pPr>
            <w:r>
              <w:rPr>
                <w:rFonts w:hint="eastAsia"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174</w:t>
            </w:r>
          </w:p>
        </w:tc>
        <w:tc>
          <w:tcPr>
            <w:tcW w:w="836"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0.036</w:t>
            </w:r>
          </w:p>
        </w:tc>
        <w:tc>
          <w:tcPr>
            <w:tcW w:w="928"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50</w:t>
            </w:r>
          </w:p>
        </w:tc>
        <w:tc>
          <w:tcPr>
            <w:tcW w:w="1145"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1.7576 </w:t>
            </w: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0.00566 </w:t>
            </w:r>
          </w:p>
        </w:tc>
        <w:tc>
          <w:tcPr>
            <w:tcW w:w="882" w:type="dxa"/>
            <w:vMerge w:val="restart"/>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eastAsia" w:ascii="Times New Roman" w:hAnsi="Times New Roman"/>
                <w:color w:val="auto"/>
                <w:kern w:val="21"/>
                <w:sz w:val="21"/>
                <w:szCs w:val="21"/>
                <w:lang w:val="en-US" w:eastAsia="zh-CN"/>
              </w:rPr>
              <w:t xml:space="preserve">1.024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rightChars="0" w:firstLine="0" w:firstLineChars="0"/>
              <w:jc w:val="center"/>
              <w:rPr>
                <w:rFonts w:hint="eastAsia" w:ascii="Times New Roman" w:hAnsi="Times New Roman"/>
                <w:color w:val="auto"/>
                <w:kern w:val="21"/>
                <w:sz w:val="21"/>
                <w:szCs w:val="21"/>
              </w:rPr>
            </w:pPr>
            <w:r>
              <w:rPr>
                <w:rFonts w:ascii="Times New Roman" w:hAnsi="Times New Roman"/>
                <w:color w:val="auto"/>
                <w:kern w:val="21"/>
                <w:sz w:val="21"/>
                <w:szCs w:val="21"/>
              </w:rPr>
              <w:t>氨氮</w:t>
            </w:r>
          </w:p>
        </w:tc>
        <w:tc>
          <w:tcPr>
            <w:tcW w:w="1440" w:type="dxa"/>
            <w:vAlign w:val="center"/>
          </w:tcPr>
          <w:p>
            <w:pPr>
              <w:pStyle w:val="16"/>
              <w:adjustRightInd/>
              <w:spacing w:before="0" w:line="240" w:lineRule="auto"/>
              <w:ind w:right="0" w:rightChars="0" w:firstLine="0" w:firstLineChars="0"/>
              <w:jc w:val="center"/>
              <w:rPr>
                <w:rFonts w:hint="eastAsia" w:ascii="Times New Roman" w:hAnsi="Times New Roman"/>
                <w:color w:val="auto"/>
                <w:kern w:val="21"/>
                <w:sz w:val="21"/>
                <w:szCs w:val="21"/>
              </w:rPr>
            </w:pPr>
            <w:r>
              <w:rPr>
                <w:rFonts w:hint="eastAsia"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116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0.00439 </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rPr>
            </w:pPr>
          </w:p>
        </w:tc>
        <w:tc>
          <w:tcPr>
            <w:tcW w:w="981" w:type="dxa"/>
            <w:vAlign w:val="center"/>
          </w:tcPr>
          <w:p>
            <w:pPr>
              <w:pStyle w:val="16"/>
              <w:adjustRightInd/>
              <w:spacing w:before="0" w:line="240" w:lineRule="auto"/>
              <w:ind w:right="0" w:rightChars="0" w:firstLine="0" w:firstLineChars="0"/>
              <w:jc w:val="center"/>
              <w:rPr>
                <w:rFonts w:hint="eastAsia" w:ascii="Times New Roman" w:hAnsi="Times New Roman"/>
                <w:color w:val="auto"/>
                <w:kern w:val="21"/>
                <w:sz w:val="21"/>
                <w:szCs w:val="21"/>
              </w:rPr>
            </w:pPr>
            <w:r>
              <w:rPr>
                <w:rFonts w:ascii="Times New Roman" w:hAnsi="Times New Roman"/>
                <w:color w:val="auto"/>
                <w:kern w:val="21"/>
                <w:sz w:val="21"/>
                <w:szCs w:val="21"/>
              </w:rPr>
              <w:t>总磷</w:t>
            </w:r>
          </w:p>
        </w:tc>
        <w:tc>
          <w:tcPr>
            <w:tcW w:w="1440" w:type="dxa"/>
            <w:vAlign w:val="center"/>
          </w:tcPr>
          <w:p>
            <w:pPr>
              <w:pStyle w:val="16"/>
              <w:adjustRightInd/>
              <w:spacing w:before="0" w:line="240" w:lineRule="auto"/>
              <w:ind w:right="0" w:rightChars="0" w:firstLine="0" w:firstLineChars="0"/>
              <w:jc w:val="center"/>
              <w:rPr>
                <w:rFonts w:hint="eastAsia" w:ascii="Times New Roman" w:hAnsi="Times New Roman"/>
                <w:color w:val="auto"/>
                <w:kern w:val="21"/>
                <w:sz w:val="21"/>
                <w:szCs w:val="21"/>
              </w:rPr>
            </w:pPr>
            <w:r>
              <w:rPr>
                <w:rFonts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036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default" w:ascii="Times New Roman" w:hAnsi="Times New Roman"/>
                <w:color w:val="auto"/>
                <w:kern w:val="21"/>
                <w:sz w:val="21"/>
                <w:szCs w:val="21"/>
                <w:lang w:val="en-US" w:eastAsia="zh-CN"/>
              </w:rPr>
              <w:t xml:space="preserve">0.00315 </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rightChars="0" w:firstLine="0" w:firstLineChars="0"/>
              <w:jc w:val="center"/>
              <w:rPr>
                <w:rFonts w:hint="eastAsia" w:ascii="Times New Roman" w:hAnsi="Times New Roman"/>
                <w:color w:val="auto"/>
                <w:kern w:val="21"/>
                <w:sz w:val="21"/>
                <w:szCs w:val="21"/>
              </w:rPr>
            </w:pPr>
          </w:p>
        </w:tc>
        <w:tc>
          <w:tcPr>
            <w:tcW w:w="981" w:type="dxa"/>
            <w:vAlign w:val="center"/>
          </w:tcPr>
          <w:p>
            <w:pPr>
              <w:pStyle w:val="16"/>
              <w:adjustRightInd/>
              <w:spacing w:before="0" w:line="240" w:lineRule="auto"/>
              <w:ind w:right="0" w:rightChars="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eastAsia="zh-CN"/>
              </w:rPr>
              <w:t>总氮</w:t>
            </w:r>
          </w:p>
        </w:tc>
        <w:tc>
          <w:tcPr>
            <w:tcW w:w="1440" w:type="dxa"/>
            <w:vAlign w:val="center"/>
          </w:tcPr>
          <w:p>
            <w:pPr>
              <w:pStyle w:val="16"/>
              <w:adjustRightInd/>
              <w:spacing w:before="0" w:line="240" w:lineRule="auto"/>
              <w:ind w:right="0" w:rightChars="0" w:firstLine="0" w:firstLineChars="0"/>
              <w:jc w:val="center"/>
              <w:rPr>
                <w:rFonts w:hint="eastAsia" w:ascii="Times New Roman" w:hAnsi="Times New Roman" w:eastAsia="宋体"/>
                <w:color w:val="auto"/>
                <w:kern w:val="21"/>
                <w:sz w:val="21"/>
                <w:szCs w:val="21"/>
                <w:lang w:val="en-US" w:eastAsia="zh-CN"/>
              </w:rPr>
            </w:pPr>
            <w:r>
              <w:rPr>
                <w:rFonts w:ascii="Times New Roman" w:hAnsi="Times New Roman"/>
                <w:color w:val="auto"/>
                <w:kern w:val="21"/>
                <w:sz w:val="21"/>
                <w:szCs w:val="21"/>
              </w:rPr>
              <w:t>0.00000</w:t>
            </w:r>
            <w:r>
              <w:rPr>
                <w:rFonts w:hint="eastAsia" w:ascii="Times New Roman" w:hAnsi="Times New Roman"/>
                <w:color w:val="auto"/>
                <w:kern w:val="21"/>
                <w:sz w:val="21"/>
                <w:szCs w:val="21"/>
                <w:lang w:val="en-US" w:eastAsia="zh-CN"/>
              </w:rPr>
              <w:t>036</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default" w:ascii="Times New Roman" w:hAnsi="Times New Roman"/>
                <w:color w:val="auto"/>
                <w:kern w:val="21"/>
                <w:sz w:val="21"/>
                <w:szCs w:val="21"/>
                <w:lang w:val="en-US" w:eastAsia="zh-CN"/>
              </w:rPr>
            </w:pPr>
            <w:r>
              <w:rPr>
                <w:rFonts w:hint="default" w:ascii="Times New Roman" w:hAnsi="Times New Roman"/>
                <w:color w:val="auto"/>
                <w:kern w:val="21"/>
                <w:sz w:val="21"/>
                <w:szCs w:val="21"/>
                <w:lang w:val="en-US" w:eastAsia="zh-CN"/>
              </w:rPr>
              <w:t>0.00315</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81" w:type="dxa"/>
            <w:vMerge w:val="continue"/>
            <w:vAlign w:val="center"/>
          </w:tcPr>
          <w:p>
            <w:pPr>
              <w:pStyle w:val="16"/>
              <w:adjustRightInd/>
              <w:spacing w:before="0" w:line="240" w:lineRule="auto"/>
              <w:ind w:right="0" w:rightChars="0" w:firstLine="0" w:firstLineChars="0"/>
              <w:jc w:val="center"/>
              <w:rPr>
                <w:rFonts w:hint="eastAsia" w:ascii="Times New Roman" w:hAnsi="Times New Roman"/>
                <w:color w:val="auto"/>
                <w:kern w:val="21"/>
                <w:sz w:val="21"/>
                <w:szCs w:val="21"/>
              </w:rPr>
            </w:pPr>
          </w:p>
        </w:tc>
        <w:tc>
          <w:tcPr>
            <w:tcW w:w="981" w:type="dxa"/>
            <w:vAlign w:val="center"/>
          </w:tcPr>
          <w:p>
            <w:pPr>
              <w:pStyle w:val="16"/>
              <w:adjustRightInd/>
              <w:spacing w:before="0" w:line="240" w:lineRule="auto"/>
              <w:ind w:right="0" w:rightChars="0" w:firstLine="0" w:firstLineChars="0"/>
              <w:jc w:val="center"/>
              <w:rPr>
                <w:rFonts w:hint="eastAsia" w:ascii="Times New Roman" w:hAnsi="Times New Roman"/>
                <w:color w:val="auto"/>
                <w:kern w:val="21"/>
                <w:sz w:val="21"/>
                <w:szCs w:val="21"/>
              </w:rPr>
            </w:pPr>
            <w:r>
              <w:rPr>
                <w:rFonts w:hint="eastAsia" w:ascii="Times New Roman" w:hAnsi="Times New Roman"/>
                <w:color w:val="auto"/>
                <w:kern w:val="21"/>
                <w:sz w:val="21"/>
                <w:szCs w:val="21"/>
              </w:rPr>
              <w:t>氟化物</w:t>
            </w:r>
          </w:p>
        </w:tc>
        <w:tc>
          <w:tcPr>
            <w:tcW w:w="1440" w:type="dxa"/>
            <w:vAlign w:val="center"/>
          </w:tcPr>
          <w:p>
            <w:pPr>
              <w:pStyle w:val="16"/>
              <w:adjustRightInd/>
              <w:spacing w:before="0" w:line="240" w:lineRule="auto"/>
              <w:ind w:right="0" w:rightChars="0" w:firstLine="0" w:firstLineChars="0"/>
              <w:jc w:val="center"/>
              <w:rPr>
                <w:rFonts w:hint="eastAsia" w:ascii="Times New Roman" w:hAnsi="Times New Roman" w:eastAsia="宋体"/>
                <w:color w:val="auto"/>
                <w:kern w:val="21"/>
                <w:sz w:val="21"/>
                <w:szCs w:val="21"/>
                <w:lang w:eastAsia="zh-CN"/>
              </w:rPr>
            </w:pPr>
            <w:r>
              <w:rPr>
                <w:rFonts w:hint="eastAsia" w:ascii="Times New Roman" w:hAnsi="Times New Roman"/>
                <w:color w:val="auto"/>
                <w:kern w:val="21"/>
                <w:sz w:val="21"/>
                <w:szCs w:val="21"/>
                <w:lang w:val="en-US" w:eastAsia="zh-CN"/>
              </w:rPr>
              <w:t>0</w:t>
            </w:r>
          </w:p>
        </w:tc>
        <w:tc>
          <w:tcPr>
            <w:tcW w:w="836"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928"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145" w:type="dxa"/>
            <w:vMerge w:val="continue"/>
            <w:vAlign w:val="center"/>
          </w:tcPr>
          <w:p>
            <w:pPr>
              <w:pStyle w:val="16"/>
              <w:adjustRightInd/>
              <w:spacing w:before="0" w:line="240" w:lineRule="auto"/>
              <w:ind w:right="0" w:firstLine="0" w:firstLineChars="0"/>
              <w:jc w:val="center"/>
              <w:rPr>
                <w:rFonts w:ascii="Times New Roman" w:hAnsi="Times New Roman"/>
                <w:color w:val="auto"/>
                <w:kern w:val="21"/>
                <w:sz w:val="21"/>
                <w:szCs w:val="21"/>
              </w:rPr>
            </w:pPr>
          </w:p>
        </w:tc>
        <w:tc>
          <w:tcPr>
            <w:tcW w:w="1009" w:type="dxa"/>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r>
              <w:rPr>
                <w:rFonts w:hint="eastAsia" w:ascii="Times New Roman" w:hAnsi="Times New Roman"/>
                <w:color w:val="auto"/>
                <w:kern w:val="21"/>
                <w:sz w:val="21"/>
                <w:szCs w:val="21"/>
                <w:lang w:val="en-US" w:eastAsia="zh-CN"/>
              </w:rPr>
              <w:t>0</w:t>
            </w:r>
          </w:p>
        </w:tc>
        <w:tc>
          <w:tcPr>
            <w:tcW w:w="882" w:type="dxa"/>
            <w:vMerge w:val="continue"/>
            <w:vAlign w:val="center"/>
          </w:tcPr>
          <w:p>
            <w:pPr>
              <w:pStyle w:val="16"/>
              <w:adjustRightInd/>
              <w:spacing w:before="0" w:line="240" w:lineRule="auto"/>
              <w:ind w:right="0" w:firstLine="0" w:firstLineChars="0"/>
              <w:jc w:val="center"/>
              <w:rPr>
                <w:rFonts w:hint="eastAsia" w:ascii="Times New Roman" w:hAnsi="Times New Roman"/>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4" w:type="dxa"/>
            <w:gridSpan w:val="9"/>
            <w:vAlign w:val="center"/>
          </w:tcPr>
          <w:p>
            <w:pPr>
              <w:pStyle w:val="16"/>
              <w:adjustRightInd/>
              <w:spacing w:before="0" w:line="240" w:lineRule="auto"/>
              <w:ind w:right="0" w:firstLine="0" w:firstLineChars="0"/>
              <w:jc w:val="both"/>
              <w:rPr>
                <w:rFonts w:hint="default" w:ascii="Times New Roman" w:hAnsi="Times New Roman"/>
                <w:color w:val="auto"/>
                <w:kern w:val="21"/>
                <w:sz w:val="21"/>
                <w:szCs w:val="21"/>
                <w:lang w:val="en-US"/>
              </w:rPr>
            </w:pPr>
            <w:r>
              <w:rPr>
                <w:rFonts w:hint="eastAsia" w:ascii="Times New Roman" w:hAnsi="Times New Roman"/>
                <w:color w:val="auto"/>
                <w:kern w:val="21"/>
                <w:sz w:val="21"/>
                <w:szCs w:val="21"/>
              </w:rPr>
              <w:t>COD、氨氮衰减系数</w:t>
            </w:r>
            <w:r>
              <w:rPr>
                <w:rFonts w:hint="eastAsia" w:ascii="Times New Roman" w:hAnsi="Times New Roman"/>
                <w:color w:val="auto"/>
                <w:kern w:val="21"/>
                <w:sz w:val="21"/>
                <w:szCs w:val="21"/>
                <w:lang w:eastAsia="zh-CN"/>
              </w:rPr>
              <w:t>来源于《</w:t>
            </w:r>
            <w:bookmarkStart w:id="240" w:name="_Toc473015216"/>
            <w:bookmarkStart w:id="241" w:name="_Toc470855645"/>
            <w:bookmarkStart w:id="242" w:name="_Toc470853040"/>
            <w:r>
              <w:rPr>
                <w:rFonts w:hint="eastAsia" w:ascii="Times New Roman" w:hAnsi="Times New Roman"/>
                <w:color w:val="auto"/>
                <w:kern w:val="21"/>
                <w:sz w:val="21"/>
                <w:szCs w:val="21"/>
                <w:lang w:eastAsia="zh-CN"/>
              </w:rPr>
              <w:t>楚雄州水功能区纳污能力核定和</w:t>
            </w:r>
            <w:bookmarkEnd w:id="240"/>
            <w:bookmarkEnd w:id="241"/>
            <w:bookmarkEnd w:id="242"/>
            <w:bookmarkStart w:id="243" w:name="_Toc470853041"/>
            <w:bookmarkStart w:id="244" w:name="_Toc470855646"/>
            <w:bookmarkStart w:id="245" w:name="_Toc473015217"/>
            <w:r>
              <w:rPr>
                <w:rFonts w:hint="eastAsia" w:ascii="Times New Roman" w:hAnsi="Times New Roman"/>
                <w:color w:val="auto"/>
                <w:kern w:val="21"/>
                <w:sz w:val="21"/>
                <w:szCs w:val="21"/>
                <w:lang w:eastAsia="zh-CN"/>
              </w:rPr>
              <w:t>分阶段限制排污总量控制方案</w:t>
            </w:r>
            <w:bookmarkEnd w:id="243"/>
            <w:bookmarkEnd w:id="244"/>
            <w:bookmarkEnd w:id="245"/>
            <w:r>
              <w:rPr>
                <w:rFonts w:hint="eastAsia" w:ascii="Times New Roman" w:hAnsi="Times New Roman"/>
                <w:color w:val="auto"/>
                <w:kern w:val="21"/>
                <w:sz w:val="21"/>
                <w:szCs w:val="21"/>
                <w:lang w:eastAsia="zh-CN"/>
              </w:rPr>
              <w:t>》：河流水功能区化学需氧量（COD）k值为0.1～0.35 1/d，本项目取</w:t>
            </w:r>
            <w:r>
              <w:rPr>
                <w:rFonts w:hint="eastAsia" w:ascii="Times New Roman" w:hAnsi="Times New Roman"/>
                <w:color w:val="auto"/>
                <w:kern w:val="21"/>
                <w:sz w:val="21"/>
                <w:szCs w:val="21"/>
                <w:lang w:val="en-US" w:eastAsia="zh-CN"/>
              </w:rPr>
              <w:t>0.15</w:t>
            </w:r>
            <w:r>
              <w:rPr>
                <w:rFonts w:hint="eastAsia" w:ascii="Times New Roman" w:hAnsi="Times New Roman"/>
                <w:color w:val="auto"/>
                <w:kern w:val="21"/>
                <w:sz w:val="21"/>
                <w:szCs w:val="21"/>
                <w:lang w:eastAsia="zh-CN"/>
              </w:rPr>
              <w:t>d</w:t>
            </w:r>
            <w:r>
              <w:rPr>
                <w:rFonts w:hint="eastAsia" w:ascii="Times New Roman" w:hAnsi="Times New Roman"/>
                <w:color w:val="auto"/>
                <w:kern w:val="21"/>
                <w:sz w:val="21"/>
                <w:szCs w:val="21"/>
                <w:vertAlign w:val="superscript"/>
                <w:lang w:eastAsia="zh-CN"/>
              </w:rPr>
              <w:t>-1</w:t>
            </w:r>
            <w:r>
              <w:rPr>
                <w:rFonts w:hint="eastAsia" w:ascii="Times New Roman" w:hAnsi="Times New Roman"/>
                <w:color w:val="auto"/>
                <w:kern w:val="21"/>
                <w:sz w:val="21"/>
                <w:szCs w:val="21"/>
                <w:vertAlign w:val="baseline"/>
                <w:lang w:eastAsia="zh-CN"/>
              </w:rPr>
              <w:t>；</w:t>
            </w:r>
            <w:r>
              <w:rPr>
                <w:rFonts w:hint="eastAsia" w:ascii="Times New Roman" w:hAnsi="Times New Roman"/>
                <w:color w:val="auto"/>
                <w:kern w:val="21"/>
                <w:sz w:val="21"/>
                <w:szCs w:val="21"/>
                <w:lang w:eastAsia="zh-CN"/>
              </w:rPr>
              <w:t>氨氮K值为0.05～0.3d</w:t>
            </w:r>
            <w:r>
              <w:rPr>
                <w:rFonts w:hint="eastAsia" w:ascii="Times New Roman" w:hAnsi="Times New Roman"/>
                <w:color w:val="auto"/>
                <w:kern w:val="21"/>
                <w:sz w:val="21"/>
                <w:szCs w:val="21"/>
                <w:vertAlign w:val="superscript"/>
                <w:lang w:eastAsia="zh-CN"/>
              </w:rPr>
              <w:t>-1</w:t>
            </w:r>
            <w:r>
              <w:rPr>
                <w:rFonts w:hint="eastAsia" w:ascii="Times New Roman" w:hAnsi="Times New Roman"/>
                <w:color w:val="auto"/>
                <w:kern w:val="21"/>
                <w:sz w:val="21"/>
                <w:szCs w:val="21"/>
                <w:lang w:eastAsia="zh-CN"/>
              </w:rPr>
              <w:t>，本项目取</w:t>
            </w:r>
            <w:r>
              <w:rPr>
                <w:rFonts w:hint="eastAsia" w:ascii="Times New Roman" w:hAnsi="Times New Roman"/>
                <w:color w:val="auto"/>
                <w:kern w:val="21"/>
                <w:sz w:val="21"/>
                <w:szCs w:val="21"/>
                <w:lang w:val="en-US" w:eastAsia="zh-CN"/>
              </w:rPr>
              <w:t>0.1</w:t>
            </w:r>
            <w:r>
              <w:rPr>
                <w:rFonts w:hint="eastAsia" w:ascii="Times New Roman" w:hAnsi="Times New Roman"/>
                <w:color w:val="auto"/>
                <w:kern w:val="21"/>
                <w:sz w:val="21"/>
                <w:szCs w:val="21"/>
                <w:lang w:eastAsia="zh-CN"/>
              </w:rPr>
              <w:t>d</w:t>
            </w:r>
            <w:r>
              <w:rPr>
                <w:rFonts w:hint="eastAsia" w:ascii="Times New Roman" w:hAnsi="Times New Roman"/>
                <w:color w:val="auto"/>
                <w:kern w:val="21"/>
                <w:sz w:val="21"/>
                <w:szCs w:val="21"/>
                <w:vertAlign w:val="superscript"/>
                <w:lang w:eastAsia="zh-CN"/>
              </w:rPr>
              <w:t>-1</w:t>
            </w:r>
            <w:r>
              <w:rPr>
                <w:rFonts w:hint="eastAsia" w:ascii="Times New Roman" w:hAnsi="Times New Roman"/>
                <w:color w:val="auto"/>
                <w:kern w:val="21"/>
                <w:sz w:val="21"/>
                <w:szCs w:val="21"/>
                <w:vertAlign w:val="baseline"/>
                <w:lang w:eastAsia="zh-CN"/>
              </w:rPr>
              <w:t>；总磷、总氮衰减系数来源于《浅析水域纳污能力计算在工程中的运用》中取值</w:t>
            </w:r>
            <w:r>
              <w:rPr>
                <w:rFonts w:hint="eastAsia" w:ascii="Times New Roman" w:hAnsi="Times New Roman"/>
                <w:color w:val="auto"/>
                <w:kern w:val="21"/>
                <w:sz w:val="21"/>
                <w:szCs w:val="21"/>
                <w:vertAlign w:val="baseline"/>
                <w:lang w:val="en-US" w:eastAsia="zh-CN"/>
              </w:rPr>
              <w:t>0.031</w:t>
            </w:r>
            <w:r>
              <w:rPr>
                <w:rFonts w:hint="eastAsia" w:ascii="Times New Roman" w:hAnsi="Times New Roman"/>
                <w:color w:val="auto"/>
                <w:kern w:val="21"/>
                <w:sz w:val="21"/>
                <w:szCs w:val="21"/>
                <w:lang w:eastAsia="zh-CN"/>
              </w:rPr>
              <w:t>d</w:t>
            </w:r>
            <w:r>
              <w:rPr>
                <w:rFonts w:hint="eastAsia" w:ascii="Times New Roman" w:hAnsi="Times New Roman"/>
                <w:color w:val="auto"/>
                <w:kern w:val="21"/>
                <w:sz w:val="21"/>
                <w:szCs w:val="21"/>
                <w:vertAlign w:val="superscript"/>
                <w:lang w:eastAsia="zh-CN"/>
              </w:rPr>
              <w:t>-1</w:t>
            </w:r>
            <w:r>
              <w:rPr>
                <w:rFonts w:hint="eastAsia" w:ascii="Times New Roman" w:hAnsi="Times New Roman"/>
                <w:color w:val="auto"/>
                <w:kern w:val="21"/>
                <w:sz w:val="21"/>
                <w:szCs w:val="21"/>
                <w:lang w:eastAsia="zh-CN"/>
              </w:rPr>
              <w:t>；氟化物基本不会衰减，衰减系数取</w:t>
            </w:r>
            <w:r>
              <w:rPr>
                <w:rFonts w:hint="eastAsia" w:ascii="Times New Roman" w:hAnsi="Times New Roman"/>
                <w:color w:val="auto"/>
                <w:kern w:val="21"/>
                <w:sz w:val="21"/>
                <w:szCs w:val="21"/>
                <w:lang w:val="en-US" w:eastAsia="zh-CN"/>
              </w:rPr>
              <w:t>0。</w:t>
            </w:r>
          </w:p>
        </w:tc>
      </w:tr>
    </w:tbl>
    <w:p>
      <w:pPr>
        <w:pStyle w:val="16"/>
        <w:adjustRightInd/>
        <w:spacing w:before="0"/>
        <w:ind w:right="0" w:firstLine="480"/>
        <w:jc w:val="both"/>
        <w:rPr>
          <w:rFonts w:ascii="Times New Roman" w:hAnsi="Times New Roman"/>
          <w:color w:val="auto"/>
          <w:kern w:val="21"/>
          <w:sz w:val="24"/>
          <w:szCs w:val="24"/>
        </w:rPr>
      </w:pPr>
      <w:r>
        <w:rPr>
          <w:rFonts w:ascii="Times New Roman" w:hAnsi="Times New Roman"/>
          <w:color w:val="auto"/>
          <w:kern w:val="21"/>
          <w:sz w:val="24"/>
          <w:szCs w:val="24"/>
        </w:rPr>
        <w:t>根据计算结果，α值≤0.027、Pe值</w:t>
      </w:r>
      <w:r>
        <w:rPr>
          <w:rFonts w:hint="eastAsia" w:ascii="Times New Roman" w:hAnsi="Times New Roman"/>
          <w:color w:val="auto"/>
          <w:kern w:val="21"/>
          <w:sz w:val="24"/>
          <w:szCs w:val="24"/>
          <w:lang w:val="en-US" w:eastAsia="zh-CN"/>
        </w:rPr>
        <w:t>&gt;</w:t>
      </w:r>
      <w:r>
        <w:rPr>
          <w:rFonts w:ascii="Times New Roman" w:hAnsi="Times New Roman"/>
          <w:color w:val="auto"/>
          <w:kern w:val="21"/>
          <w:sz w:val="24"/>
          <w:szCs w:val="24"/>
        </w:rPr>
        <w:t>1，根据地表水导则附录E3.2-1，本次地表水预测适用</w:t>
      </w:r>
      <w:r>
        <w:rPr>
          <w:rFonts w:hint="eastAsia" w:ascii="Times New Roman" w:hAnsi="Times New Roman"/>
          <w:color w:val="auto"/>
          <w:kern w:val="21"/>
          <w:sz w:val="24"/>
          <w:szCs w:val="24"/>
        </w:rPr>
        <w:t>对流降解模型</w:t>
      </w:r>
      <w:r>
        <w:rPr>
          <w:rFonts w:ascii="Times New Roman" w:hAnsi="Times New Roman"/>
          <w:color w:val="auto"/>
          <w:kern w:val="21"/>
          <w:sz w:val="24"/>
          <w:szCs w:val="24"/>
        </w:rPr>
        <w:t>。</w:t>
      </w:r>
    </w:p>
    <w:p>
      <w:pPr>
        <w:ind w:firstLine="0" w:firstLineChars="0"/>
        <w:jc w:val="center"/>
        <w:rPr>
          <w:color w:val="auto"/>
        </w:rPr>
      </w:pPr>
      <w:r>
        <w:rPr>
          <w:color w:val="auto"/>
        </w:rPr>
        <w:drawing>
          <wp:inline distT="0" distB="0" distL="114300" distR="114300">
            <wp:extent cx="2140585" cy="539750"/>
            <wp:effectExtent l="0" t="0" r="12065" b="1270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45"/>
                    <a:stretch>
                      <a:fillRect/>
                    </a:stretch>
                  </pic:blipFill>
                  <pic:spPr>
                    <a:xfrm>
                      <a:off x="0" y="0"/>
                      <a:ext cx="2140585" cy="539750"/>
                    </a:xfrm>
                    <a:prstGeom prst="rect">
                      <a:avLst/>
                    </a:prstGeom>
                    <a:noFill/>
                    <a:ln>
                      <a:noFill/>
                    </a:ln>
                  </pic:spPr>
                </pic:pic>
              </a:graphicData>
            </a:graphic>
          </wp:inline>
        </w:drawing>
      </w:r>
    </w:p>
    <w:p>
      <w:pPr>
        <w:pStyle w:val="16"/>
        <w:adjustRightInd/>
        <w:spacing w:before="0"/>
        <w:ind w:right="0" w:firstLine="480"/>
        <w:jc w:val="both"/>
        <w:rPr>
          <w:rFonts w:ascii="Times New Roman" w:hAnsi="Times New Roman"/>
          <w:color w:val="auto"/>
          <w:kern w:val="21"/>
          <w:sz w:val="24"/>
          <w:szCs w:val="24"/>
        </w:rPr>
      </w:pPr>
      <w:r>
        <w:rPr>
          <w:rFonts w:ascii="Times New Roman" w:hAnsi="Times New Roman"/>
          <w:color w:val="auto"/>
          <w:kern w:val="21"/>
          <w:sz w:val="24"/>
          <w:szCs w:val="24"/>
        </w:rPr>
        <w:t>式中：C</w:t>
      </w:r>
      <w:r>
        <w:rPr>
          <w:rFonts w:ascii="Times New Roman" w:hAnsi="Times New Roman"/>
          <w:color w:val="auto"/>
          <w:kern w:val="21"/>
          <w:sz w:val="24"/>
          <w:szCs w:val="24"/>
          <w:vertAlign w:val="subscript"/>
        </w:rPr>
        <w:t>O</w:t>
      </w:r>
      <w:r>
        <w:rPr>
          <w:rFonts w:ascii="Times New Roman" w:hAnsi="Times New Roman"/>
          <w:color w:val="auto"/>
          <w:kern w:val="21"/>
          <w:sz w:val="24"/>
          <w:szCs w:val="24"/>
        </w:rPr>
        <w:t>--初始断面污染物浓度，mg/L</w:t>
      </w:r>
      <w:r>
        <w:rPr>
          <w:rFonts w:hint="eastAsia" w:ascii="Times New Roman" w:hAnsi="Times New Roman"/>
          <w:color w:val="auto"/>
          <w:kern w:val="21"/>
          <w:sz w:val="24"/>
          <w:szCs w:val="24"/>
        </w:rPr>
        <w:t>；</w:t>
      </w:r>
    </w:p>
    <w:p>
      <w:pPr>
        <w:pStyle w:val="16"/>
        <w:numPr>
          <w:ilvl w:val="0"/>
          <w:numId w:val="12"/>
        </w:numPr>
        <w:adjustRightInd/>
        <w:spacing w:before="0"/>
        <w:ind w:right="0" w:firstLine="1200" w:firstLineChars="500"/>
        <w:rPr>
          <w:rFonts w:ascii="Times New Roman" w:hAnsi="Times New Roman"/>
          <w:color w:val="auto"/>
          <w:kern w:val="21"/>
          <w:sz w:val="24"/>
          <w:szCs w:val="24"/>
        </w:rPr>
      </w:pPr>
      <w:r>
        <w:rPr>
          <w:rFonts w:ascii="Times New Roman" w:hAnsi="Times New Roman"/>
          <w:color w:val="auto"/>
          <w:kern w:val="21"/>
          <w:sz w:val="24"/>
          <w:szCs w:val="24"/>
        </w:rPr>
        <w:t>--距离</w:t>
      </w:r>
      <w:r>
        <w:rPr>
          <w:rFonts w:ascii="Times New Roman" w:hAnsi="Times New Roman"/>
          <w:b/>
          <w:bCs/>
          <w:i/>
          <w:iCs/>
          <w:color w:val="auto"/>
          <w:kern w:val="0"/>
          <w:sz w:val="24"/>
          <w:szCs w:val="24"/>
          <w:lang w:bidi="ar"/>
        </w:rPr>
        <w:t>x</w:t>
      </w:r>
      <w:r>
        <w:rPr>
          <w:rFonts w:ascii="Times New Roman" w:hAnsi="Times New Roman"/>
          <w:color w:val="auto"/>
          <w:kern w:val="21"/>
          <w:sz w:val="24"/>
          <w:szCs w:val="24"/>
        </w:rPr>
        <w:t>处污染物的浓度，mg/L</w:t>
      </w:r>
      <w:r>
        <w:rPr>
          <w:rFonts w:hint="eastAsia" w:ascii="Times New Roman" w:hAnsi="Times New Roman"/>
          <w:color w:val="auto"/>
          <w:kern w:val="21"/>
          <w:sz w:val="24"/>
          <w:szCs w:val="24"/>
        </w:rPr>
        <w:t>；</w:t>
      </w:r>
    </w:p>
    <w:p>
      <w:pPr>
        <w:pStyle w:val="16"/>
        <w:adjustRightInd/>
        <w:spacing w:before="0"/>
        <w:ind w:right="0" w:firstLine="1205" w:firstLineChars="500"/>
        <w:rPr>
          <w:rFonts w:ascii="Times New Roman" w:hAnsi="Times New Roman"/>
          <w:color w:val="auto"/>
          <w:kern w:val="21"/>
          <w:sz w:val="24"/>
          <w:szCs w:val="24"/>
        </w:rPr>
      </w:pPr>
      <w:r>
        <w:rPr>
          <w:rFonts w:ascii="Times New Roman" w:hAnsi="Times New Roman"/>
          <w:b/>
          <w:bCs/>
          <w:i/>
          <w:iCs/>
          <w:color w:val="auto"/>
          <w:kern w:val="0"/>
          <w:sz w:val="24"/>
          <w:szCs w:val="24"/>
          <w:lang w:bidi="ar"/>
        </w:rPr>
        <w:t>x</w:t>
      </w:r>
      <w:r>
        <w:rPr>
          <w:rFonts w:ascii="Times New Roman" w:hAnsi="Times New Roman"/>
          <w:color w:val="auto"/>
          <w:kern w:val="21"/>
          <w:sz w:val="24"/>
          <w:szCs w:val="24"/>
        </w:rPr>
        <w:t>--河流沿程坐标，m；</w:t>
      </w:r>
      <w:r>
        <w:rPr>
          <w:rFonts w:ascii="Times New Roman" w:hAnsi="Times New Roman"/>
          <w:b/>
          <w:bCs/>
          <w:i/>
          <w:iCs/>
          <w:color w:val="auto"/>
          <w:kern w:val="0"/>
          <w:sz w:val="24"/>
          <w:szCs w:val="24"/>
          <w:lang w:bidi="ar"/>
        </w:rPr>
        <w:t>x</w:t>
      </w:r>
      <w:r>
        <w:rPr>
          <w:rFonts w:ascii="Times New Roman" w:hAnsi="Times New Roman"/>
          <w:color w:val="auto"/>
          <w:kern w:val="21"/>
          <w:sz w:val="24"/>
          <w:szCs w:val="24"/>
        </w:rPr>
        <w:t>-=0 指排放口处，</w:t>
      </w:r>
      <w:r>
        <w:rPr>
          <w:rFonts w:ascii="Times New Roman" w:hAnsi="Times New Roman"/>
          <w:b/>
          <w:bCs/>
          <w:i/>
          <w:iCs/>
          <w:color w:val="auto"/>
          <w:kern w:val="0"/>
          <w:sz w:val="24"/>
          <w:szCs w:val="24"/>
          <w:lang w:bidi="ar"/>
        </w:rPr>
        <w:t>x</w:t>
      </w:r>
      <w:r>
        <w:rPr>
          <w:rFonts w:ascii="Times New Roman" w:hAnsi="Times New Roman"/>
          <w:color w:val="auto"/>
          <w:kern w:val="21"/>
          <w:sz w:val="24"/>
          <w:szCs w:val="24"/>
        </w:rPr>
        <w:t>＞0</w:t>
      </w:r>
      <w:r>
        <w:rPr>
          <w:rFonts w:hint="eastAsia" w:ascii="Times New Roman" w:hAnsi="Times New Roman"/>
          <w:color w:val="auto"/>
          <w:kern w:val="21"/>
          <w:sz w:val="24"/>
          <w:szCs w:val="24"/>
        </w:rPr>
        <w:t xml:space="preserve"> </w:t>
      </w:r>
      <w:r>
        <w:rPr>
          <w:rFonts w:ascii="Times New Roman" w:hAnsi="Times New Roman"/>
          <w:color w:val="auto"/>
          <w:kern w:val="21"/>
          <w:sz w:val="24"/>
          <w:szCs w:val="24"/>
        </w:rPr>
        <w:t>指排放口下游段，</w:t>
      </w:r>
      <w:r>
        <w:rPr>
          <w:rFonts w:ascii="Times New Roman" w:hAnsi="Times New Roman"/>
          <w:b/>
          <w:bCs/>
          <w:i/>
          <w:iCs/>
          <w:color w:val="auto"/>
          <w:kern w:val="0"/>
          <w:sz w:val="24"/>
          <w:szCs w:val="24"/>
          <w:lang w:bidi="ar"/>
        </w:rPr>
        <w:t>x</w:t>
      </w:r>
      <w:r>
        <w:rPr>
          <w:rFonts w:ascii="Times New Roman" w:hAnsi="Times New Roman"/>
          <w:color w:val="auto"/>
          <w:kern w:val="21"/>
          <w:sz w:val="24"/>
          <w:szCs w:val="24"/>
        </w:rPr>
        <w:t>＜0</w:t>
      </w:r>
      <w:r>
        <w:rPr>
          <w:rFonts w:hint="eastAsia" w:ascii="Times New Roman" w:hAnsi="Times New Roman"/>
          <w:color w:val="auto"/>
          <w:kern w:val="21"/>
          <w:sz w:val="24"/>
          <w:szCs w:val="24"/>
        </w:rPr>
        <w:t xml:space="preserve"> </w:t>
      </w:r>
      <w:r>
        <w:rPr>
          <w:rFonts w:ascii="Times New Roman" w:hAnsi="Times New Roman"/>
          <w:color w:val="auto"/>
          <w:kern w:val="21"/>
          <w:sz w:val="24"/>
          <w:szCs w:val="24"/>
        </w:rPr>
        <w:t>指排放口上游段。</w:t>
      </w:r>
    </w:p>
    <w:p>
      <w:pPr>
        <w:pStyle w:val="16"/>
        <w:adjustRightInd/>
        <w:spacing w:before="0"/>
        <w:ind w:left="960" w:leftChars="400" w:right="0" w:firstLine="240" w:firstLineChars="100"/>
        <w:jc w:val="both"/>
        <w:rPr>
          <w:rFonts w:ascii="Times New Roman" w:hAnsi="Times New Roman"/>
          <w:color w:val="auto"/>
          <w:kern w:val="21"/>
          <w:sz w:val="24"/>
          <w:szCs w:val="24"/>
        </w:rPr>
      </w:pPr>
      <w:r>
        <w:rPr>
          <w:rFonts w:hint="eastAsia" w:ascii="Times New Roman" w:hAnsi="Times New Roman"/>
          <w:color w:val="auto"/>
          <w:kern w:val="21"/>
          <w:sz w:val="24"/>
          <w:szCs w:val="24"/>
          <w:lang w:val="en-US" w:eastAsia="zh-CN"/>
        </w:rPr>
        <w:t>u</w:t>
      </w:r>
      <w:r>
        <w:rPr>
          <w:rFonts w:ascii="Times New Roman" w:hAnsi="Times New Roman"/>
          <w:color w:val="auto"/>
          <w:kern w:val="21"/>
          <w:sz w:val="24"/>
          <w:szCs w:val="24"/>
        </w:rPr>
        <w:t>--河流断面平均流速，m/s；</w:t>
      </w:r>
    </w:p>
    <w:p>
      <w:pPr>
        <w:pStyle w:val="16"/>
        <w:adjustRightInd/>
        <w:spacing w:before="0"/>
        <w:ind w:right="0" w:firstLine="1200" w:firstLineChars="500"/>
        <w:jc w:val="both"/>
        <w:rPr>
          <w:rFonts w:ascii="Times New Roman" w:hAnsi="Times New Roman"/>
          <w:color w:val="auto"/>
          <w:kern w:val="21"/>
          <w:sz w:val="24"/>
          <w:szCs w:val="24"/>
        </w:rPr>
      </w:pPr>
      <w:r>
        <w:rPr>
          <w:rFonts w:ascii="Times New Roman" w:hAnsi="Times New Roman"/>
          <w:color w:val="auto"/>
          <w:kern w:val="21"/>
          <w:sz w:val="24"/>
          <w:szCs w:val="24"/>
        </w:rPr>
        <w:t>k---污染物综合衰减系数，s</w:t>
      </w:r>
      <w:r>
        <w:rPr>
          <w:rFonts w:ascii="Times New Roman" w:hAnsi="Times New Roman"/>
          <w:color w:val="auto"/>
          <w:kern w:val="21"/>
          <w:sz w:val="24"/>
          <w:szCs w:val="24"/>
          <w:vertAlign w:val="superscript"/>
        </w:rPr>
        <w:t>-1</w:t>
      </w:r>
      <w:r>
        <w:rPr>
          <w:rFonts w:ascii="Times New Roman" w:hAnsi="Times New Roman"/>
          <w:color w:val="auto"/>
          <w:kern w:val="21"/>
          <w:sz w:val="24"/>
          <w:szCs w:val="24"/>
        </w:rPr>
        <w:t>。</w:t>
      </w:r>
    </w:p>
    <w:p>
      <w:pPr>
        <w:pStyle w:val="16"/>
        <w:adjustRightInd/>
        <w:spacing w:before="0"/>
        <w:ind w:right="0" w:firstLine="482"/>
        <w:jc w:val="both"/>
        <w:rPr>
          <w:rFonts w:ascii="Times New Roman" w:hAnsi="Times New Roman"/>
          <w:b/>
          <w:bCs/>
          <w:color w:val="auto"/>
          <w:kern w:val="21"/>
          <w:sz w:val="24"/>
          <w:szCs w:val="24"/>
          <w:vertAlign w:val="subscript"/>
          <w:lang w:bidi="ar"/>
        </w:rPr>
      </w:pPr>
      <w:r>
        <w:rPr>
          <w:rFonts w:hint="eastAsia" w:ascii="Times New Roman" w:hAnsi="Times New Roman"/>
          <w:b/>
          <w:bCs/>
          <w:color w:val="auto"/>
          <w:kern w:val="21"/>
          <w:sz w:val="24"/>
          <w:szCs w:val="24"/>
          <w:lang w:bidi="ar"/>
        </w:rPr>
        <w:t>4</w:t>
      </w:r>
      <w:r>
        <w:rPr>
          <w:rFonts w:ascii="Times New Roman" w:hAnsi="Times New Roman"/>
          <w:b/>
          <w:bCs/>
          <w:color w:val="auto"/>
          <w:kern w:val="21"/>
          <w:sz w:val="24"/>
          <w:szCs w:val="24"/>
          <w:lang w:bidi="ar"/>
        </w:rPr>
        <w:t xml:space="preserve">、河流初始本底值浓度 </w:t>
      </w:r>
    </w:p>
    <w:p>
      <w:pPr>
        <w:pStyle w:val="16"/>
        <w:adjustRightInd/>
        <w:spacing w:before="0"/>
        <w:ind w:right="0" w:firstLine="480"/>
        <w:jc w:val="both"/>
        <w:rPr>
          <w:rFonts w:ascii="Times New Roman" w:hAnsi="Times New Roman"/>
          <w:b/>
          <w:bCs/>
          <w:color w:val="auto"/>
          <w:kern w:val="21"/>
          <w:sz w:val="24"/>
          <w:szCs w:val="24"/>
          <w:lang w:bidi="ar"/>
        </w:rPr>
      </w:pPr>
      <w:r>
        <w:rPr>
          <w:rFonts w:ascii="Times New Roman" w:hAnsi="Times New Roman"/>
          <w:color w:val="auto"/>
          <w:kern w:val="21"/>
          <w:sz w:val="24"/>
          <w:szCs w:val="24"/>
          <w:lang w:bidi="ar"/>
        </w:rPr>
        <w:t>根据地表水导则要求，本次环境影响预测是在实施区域达标</w:t>
      </w:r>
      <w:r>
        <w:rPr>
          <w:rFonts w:hint="eastAsia" w:ascii="Times New Roman" w:hAnsi="Times New Roman"/>
          <w:color w:val="auto"/>
          <w:kern w:val="21"/>
          <w:sz w:val="24"/>
          <w:szCs w:val="24"/>
          <w:lang w:eastAsia="zh-CN" w:bidi="ar"/>
        </w:rPr>
        <w:t>《楚雄市青龙河入龙川江口断面水体达标方案（2021-2025年）》</w:t>
      </w:r>
      <w:r>
        <w:rPr>
          <w:rFonts w:ascii="Times New Roman" w:hAnsi="Times New Roman"/>
          <w:color w:val="auto"/>
          <w:kern w:val="21"/>
          <w:sz w:val="24"/>
          <w:szCs w:val="24"/>
          <w:lang w:bidi="ar"/>
        </w:rPr>
        <w:t>后，青龙河环境质量得以改善，实现达到地表水</w:t>
      </w:r>
      <w:r>
        <w:rPr>
          <w:rFonts w:ascii="Times New Roman" w:hAnsi="Times New Roman"/>
          <w:color w:val="auto"/>
          <w:kern w:val="21"/>
          <w:sz w:val="24"/>
          <w:szCs w:val="24"/>
          <w:lang w:bidi="ar"/>
        </w:rPr>
        <w:fldChar w:fldCharType="begin"/>
      </w:r>
      <w:r>
        <w:rPr>
          <w:rFonts w:ascii="Times New Roman" w:hAnsi="Times New Roman"/>
          <w:color w:val="auto"/>
          <w:kern w:val="21"/>
          <w:sz w:val="24"/>
          <w:szCs w:val="24"/>
          <w:lang w:bidi="ar"/>
        </w:rPr>
        <w:instrText xml:space="preserve"> = 4 \* ROMAN \* MERGEFORMAT </w:instrText>
      </w:r>
      <w:r>
        <w:rPr>
          <w:rFonts w:ascii="Times New Roman" w:hAnsi="Times New Roman"/>
          <w:color w:val="auto"/>
          <w:kern w:val="21"/>
          <w:sz w:val="24"/>
          <w:szCs w:val="24"/>
          <w:lang w:bidi="ar"/>
        </w:rPr>
        <w:fldChar w:fldCharType="separate"/>
      </w:r>
      <w:r>
        <w:rPr>
          <w:rFonts w:ascii="Times New Roman" w:hAnsi="Times New Roman"/>
          <w:color w:val="auto"/>
          <w:sz w:val="24"/>
          <w:szCs w:val="24"/>
        </w:rPr>
        <w:t>IV</w:t>
      </w:r>
      <w:r>
        <w:rPr>
          <w:rFonts w:ascii="Times New Roman" w:hAnsi="Times New Roman"/>
          <w:color w:val="auto"/>
          <w:kern w:val="21"/>
          <w:sz w:val="24"/>
          <w:szCs w:val="24"/>
          <w:lang w:bidi="ar"/>
        </w:rPr>
        <w:fldChar w:fldCharType="end"/>
      </w:r>
      <w:r>
        <w:rPr>
          <w:rFonts w:ascii="Times New Roman" w:hAnsi="Times New Roman"/>
          <w:color w:val="auto"/>
          <w:kern w:val="21"/>
          <w:sz w:val="24"/>
          <w:szCs w:val="24"/>
          <w:lang w:bidi="ar"/>
        </w:rPr>
        <w:t>类水质目标的情景下进行模拟预测，因此，以地表水</w:t>
      </w:r>
      <w:r>
        <w:rPr>
          <w:rFonts w:ascii="Times New Roman" w:hAnsi="Times New Roman"/>
          <w:color w:val="auto"/>
          <w:kern w:val="21"/>
          <w:sz w:val="24"/>
          <w:szCs w:val="24"/>
          <w:lang w:bidi="ar"/>
        </w:rPr>
        <w:fldChar w:fldCharType="begin"/>
      </w:r>
      <w:r>
        <w:rPr>
          <w:rFonts w:ascii="Times New Roman" w:hAnsi="Times New Roman"/>
          <w:color w:val="auto"/>
          <w:kern w:val="21"/>
          <w:sz w:val="24"/>
          <w:szCs w:val="24"/>
          <w:lang w:bidi="ar"/>
        </w:rPr>
        <w:instrText xml:space="preserve"> = 4 \* ROMAN \* MERGEFORMAT </w:instrText>
      </w:r>
      <w:r>
        <w:rPr>
          <w:rFonts w:ascii="Times New Roman" w:hAnsi="Times New Roman"/>
          <w:color w:val="auto"/>
          <w:kern w:val="21"/>
          <w:sz w:val="24"/>
          <w:szCs w:val="24"/>
          <w:lang w:bidi="ar"/>
        </w:rPr>
        <w:fldChar w:fldCharType="separate"/>
      </w:r>
      <w:r>
        <w:rPr>
          <w:rFonts w:ascii="Times New Roman" w:hAnsi="Times New Roman"/>
          <w:color w:val="auto"/>
          <w:sz w:val="24"/>
          <w:szCs w:val="24"/>
        </w:rPr>
        <w:t>IV</w:t>
      </w:r>
      <w:r>
        <w:rPr>
          <w:rFonts w:ascii="Times New Roman" w:hAnsi="Times New Roman"/>
          <w:color w:val="auto"/>
          <w:kern w:val="21"/>
          <w:sz w:val="24"/>
          <w:szCs w:val="24"/>
          <w:lang w:bidi="ar"/>
        </w:rPr>
        <w:fldChar w:fldCharType="end"/>
      </w:r>
      <w:r>
        <w:rPr>
          <w:rFonts w:ascii="Times New Roman" w:hAnsi="Times New Roman"/>
          <w:color w:val="auto"/>
          <w:kern w:val="21"/>
          <w:sz w:val="24"/>
          <w:szCs w:val="24"/>
          <w:lang w:bidi="ar"/>
        </w:rPr>
        <w:t>类水环境质量浓度作为预测背景值，青龙河</w:t>
      </w:r>
      <w:r>
        <w:rPr>
          <w:rFonts w:hint="eastAsia" w:ascii="Times New Roman" w:hAnsi="Times New Roman"/>
          <w:color w:val="auto"/>
          <w:kern w:val="21"/>
          <w:sz w:val="24"/>
          <w:szCs w:val="24"/>
          <w:lang w:eastAsia="zh-CN" w:bidi="ar"/>
        </w:rPr>
        <w:t>氨氮、总磷、</w:t>
      </w:r>
      <w:r>
        <w:rPr>
          <w:rFonts w:ascii="Times New Roman" w:hAnsi="Times New Roman"/>
          <w:color w:val="auto"/>
          <w:kern w:val="21"/>
          <w:sz w:val="24"/>
          <w:szCs w:val="24"/>
          <w:lang w:bidi="ar"/>
        </w:rPr>
        <w:t>氟化物因子达标，采用实测</w:t>
      </w:r>
      <w:r>
        <w:rPr>
          <w:rFonts w:hint="eastAsia" w:ascii="Times New Roman" w:hAnsi="Times New Roman"/>
          <w:color w:val="auto"/>
          <w:kern w:val="21"/>
          <w:sz w:val="24"/>
          <w:szCs w:val="24"/>
          <w:lang w:eastAsia="zh-CN" w:bidi="ar"/>
        </w:rPr>
        <w:t>最大</w:t>
      </w:r>
      <w:r>
        <w:rPr>
          <w:rFonts w:ascii="Times New Roman" w:hAnsi="Times New Roman"/>
          <w:color w:val="auto"/>
          <w:kern w:val="21"/>
          <w:sz w:val="24"/>
          <w:szCs w:val="24"/>
          <w:lang w:bidi="ar"/>
        </w:rPr>
        <w:t>值作为背景值</w:t>
      </w:r>
      <w:r>
        <w:rPr>
          <w:rFonts w:hint="eastAsia" w:ascii="Times New Roman" w:hAnsi="Times New Roman"/>
          <w:color w:val="auto"/>
          <w:kern w:val="21"/>
          <w:sz w:val="24"/>
          <w:szCs w:val="24"/>
          <w:lang w:eastAsia="zh-CN" w:bidi="ar"/>
        </w:rPr>
        <w:t>；龙川江现状达到地表水</w:t>
      </w:r>
      <w:r>
        <w:rPr>
          <w:rFonts w:ascii="Times New Roman" w:hAnsi="Times New Roman"/>
          <w:color w:val="auto"/>
          <w:kern w:val="21"/>
          <w:sz w:val="24"/>
          <w:szCs w:val="24"/>
          <w:lang w:bidi="ar"/>
        </w:rPr>
        <w:fldChar w:fldCharType="begin"/>
      </w:r>
      <w:r>
        <w:rPr>
          <w:rFonts w:ascii="Times New Roman" w:hAnsi="Times New Roman"/>
          <w:color w:val="auto"/>
          <w:kern w:val="21"/>
          <w:sz w:val="24"/>
          <w:szCs w:val="24"/>
          <w:lang w:bidi="ar"/>
        </w:rPr>
        <w:instrText xml:space="preserve"> = 4 \* ROMAN \* MERGEFORMAT </w:instrText>
      </w:r>
      <w:r>
        <w:rPr>
          <w:rFonts w:ascii="Times New Roman" w:hAnsi="Times New Roman"/>
          <w:color w:val="auto"/>
          <w:kern w:val="21"/>
          <w:sz w:val="24"/>
          <w:szCs w:val="24"/>
          <w:lang w:bidi="ar"/>
        </w:rPr>
        <w:fldChar w:fldCharType="separate"/>
      </w:r>
      <w:r>
        <w:rPr>
          <w:rFonts w:ascii="Times New Roman" w:hAnsi="Times New Roman"/>
          <w:color w:val="auto"/>
          <w:sz w:val="24"/>
          <w:szCs w:val="24"/>
        </w:rPr>
        <w:t>IV</w:t>
      </w:r>
      <w:r>
        <w:rPr>
          <w:rFonts w:ascii="Times New Roman" w:hAnsi="Times New Roman"/>
          <w:color w:val="auto"/>
          <w:kern w:val="21"/>
          <w:sz w:val="24"/>
          <w:szCs w:val="24"/>
          <w:lang w:bidi="ar"/>
        </w:rPr>
        <w:fldChar w:fldCharType="end"/>
      </w:r>
      <w:r>
        <w:rPr>
          <w:rFonts w:ascii="Times New Roman" w:hAnsi="Times New Roman"/>
          <w:color w:val="auto"/>
          <w:kern w:val="21"/>
          <w:sz w:val="24"/>
          <w:szCs w:val="24"/>
          <w:lang w:bidi="ar"/>
        </w:rPr>
        <w:t>类水质</w:t>
      </w:r>
      <w:r>
        <w:rPr>
          <w:rFonts w:hint="eastAsia" w:ascii="Times New Roman" w:hAnsi="Times New Roman"/>
          <w:color w:val="auto"/>
          <w:kern w:val="21"/>
          <w:sz w:val="24"/>
          <w:szCs w:val="24"/>
          <w:lang w:eastAsia="zh-CN" w:bidi="ar"/>
        </w:rPr>
        <w:t>标准，采用实测最大值作为背景值，</w:t>
      </w:r>
      <w:r>
        <w:rPr>
          <w:rFonts w:ascii="Times New Roman" w:hAnsi="Times New Roman"/>
          <w:color w:val="auto"/>
          <w:kern w:val="21"/>
          <w:sz w:val="24"/>
          <w:szCs w:val="24"/>
          <w:lang w:bidi="ar"/>
        </w:rPr>
        <w:t>见</w:t>
      </w:r>
      <w:r>
        <w:rPr>
          <w:rFonts w:hint="eastAsia" w:ascii="Times New Roman" w:hAnsi="Times New Roman"/>
          <w:color w:val="auto"/>
          <w:kern w:val="21"/>
          <w:sz w:val="24"/>
          <w:szCs w:val="24"/>
          <w:lang w:eastAsia="zh-CN" w:bidi="ar"/>
        </w:rPr>
        <w:t>下表</w:t>
      </w:r>
      <w:r>
        <w:rPr>
          <w:rFonts w:ascii="Times New Roman" w:hAnsi="Times New Roman"/>
          <w:color w:val="auto"/>
          <w:kern w:val="21"/>
          <w:sz w:val="24"/>
          <w:szCs w:val="24"/>
          <w:lang w:bidi="ar"/>
        </w:rPr>
        <w:t>。</w:t>
      </w:r>
    </w:p>
    <w:p>
      <w:pPr>
        <w:numPr>
          <w:ilvl w:val="0"/>
          <w:numId w:val="11"/>
        </w:numPr>
        <w:tabs>
          <w:tab w:val="left" w:pos="3395"/>
          <w:tab w:val="clear" w:pos="0"/>
        </w:tabs>
        <w:ind w:left="0" w:leftChars="0" w:firstLine="0" w:firstLineChars="0"/>
        <w:jc w:val="center"/>
        <w:rPr>
          <w:rFonts w:ascii="Times New Roman" w:hAnsi="Times New Roman"/>
          <w:b/>
          <w:bCs/>
          <w:color w:val="auto"/>
          <w:kern w:val="21"/>
          <w:sz w:val="24"/>
          <w:szCs w:val="24"/>
          <w:lang w:bidi="ar"/>
        </w:rPr>
      </w:pPr>
      <w:r>
        <w:rPr>
          <w:rFonts w:ascii="Times New Roman" w:hAnsi="Times New Roman"/>
          <w:b/>
          <w:bCs/>
          <w:color w:val="auto"/>
          <w:kern w:val="21"/>
          <w:sz w:val="24"/>
          <w:szCs w:val="24"/>
          <w:lang w:bidi="ar"/>
        </w:rPr>
        <w:t>青龙河</w:t>
      </w:r>
      <w:r>
        <w:rPr>
          <w:rFonts w:hint="eastAsia" w:ascii="Times New Roman" w:hAnsi="Times New Roman"/>
          <w:b/>
          <w:bCs/>
          <w:color w:val="auto"/>
          <w:kern w:val="21"/>
          <w:sz w:val="24"/>
          <w:szCs w:val="24"/>
          <w:lang w:eastAsia="zh-CN" w:bidi="ar"/>
        </w:rPr>
        <w:t>、龙川江</w:t>
      </w:r>
      <w:r>
        <w:rPr>
          <w:rFonts w:ascii="Times New Roman" w:hAnsi="Times New Roman"/>
          <w:b/>
          <w:bCs/>
          <w:color w:val="auto"/>
          <w:kern w:val="21"/>
          <w:sz w:val="24"/>
          <w:szCs w:val="24"/>
          <w:lang w:bidi="ar"/>
        </w:rPr>
        <w:t>预测背景值</w:t>
      </w:r>
      <w:r>
        <w:rPr>
          <w:rFonts w:ascii="Times New Roman" w:hAnsi="Times New Roman"/>
          <w:b/>
          <w:bCs/>
          <w:color w:val="auto"/>
          <w:sz w:val="24"/>
          <w:szCs w:val="24"/>
        </w:rPr>
        <w:t xml:space="preserve"> 单位：mg/L</w:t>
      </w:r>
    </w:p>
    <w:tbl>
      <w:tblPr>
        <w:tblStyle w:val="51"/>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1648"/>
        <w:gridCol w:w="1178"/>
        <w:gridCol w:w="1077"/>
        <w:gridCol w:w="886"/>
        <w:gridCol w:w="892"/>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河流</w:t>
            </w:r>
          </w:p>
        </w:tc>
        <w:tc>
          <w:tcPr>
            <w:tcW w:w="1648" w:type="dxa"/>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bidi="ar"/>
              </w:rPr>
            </w:pPr>
            <w:r>
              <w:rPr>
                <w:rFonts w:hint="eastAsia" w:ascii="Times New Roman" w:hAnsi="Times New Roman"/>
                <w:color w:val="auto"/>
                <w:kern w:val="21"/>
                <w:sz w:val="21"/>
                <w:szCs w:val="21"/>
                <w:lang w:eastAsia="zh-CN" w:bidi="ar"/>
              </w:rPr>
              <w:t>预测时段</w:t>
            </w:r>
          </w:p>
        </w:tc>
        <w:tc>
          <w:tcPr>
            <w:tcW w:w="1178" w:type="dxa"/>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COD</w:t>
            </w:r>
            <w:r>
              <w:rPr>
                <w:rFonts w:ascii="Times New Roman" w:hAnsi="Times New Roman"/>
                <w:b/>
                <w:bCs/>
                <w:color w:val="auto"/>
                <w:kern w:val="21"/>
                <w:sz w:val="24"/>
                <w:szCs w:val="24"/>
                <w:vertAlign w:val="subscript"/>
                <w:lang w:bidi="ar"/>
              </w:rPr>
              <w:t>Cr</w:t>
            </w:r>
          </w:p>
        </w:tc>
        <w:tc>
          <w:tcPr>
            <w:tcW w:w="1077" w:type="dxa"/>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氨氮</w:t>
            </w:r>
          </w:p>
        </w:tc>
        <w:tc>
          <w:tcPr>
            <w:tcW w:w="886" w:type="dxa"/>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总磷</w:t>
            </w:r>
          </w:p>
        </w:tc>
        <w:tc>
          <w:tcPr>
            <w:tcW w:w="892" w:type="dxa"/>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bidi="ar"/>
              </w:rPr>
            </w:pPr>
            <w:r>
              <w:rPr>
                <w:rFonts w:hint="eastAsia" w:ascii="Times New Roman" w:hAnsi="Times New Roman"/>
                <w:color w:val="auto"/>
                <w:kern w:val="21"/>
                <w:sz w:val="21"/>
                <w:szCs w:val="21"/>
                <w:lang w:eastAsia="zh-CN" w:bidi="ar"/>
              </w:rPr>
              <w:t>总氮</w:t>
            </w:r>
          </w:p>
        </w:tc>
        <w:tc>
          <w:tcPr>
            <w:tcW w:w="1257" w:type="dxa"/>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hint="eastAsia" w:ascii="Times New Roman" w:hAnsi="Times New Roman"/>
                <w:color w:val="auto"/>
                <w:kern w:val="21"/>
                <w:sz w:val="21"/>
                <w:szCs w:val="21"/>
                <w:lang w:bidi="ar"/>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 w:hRule="atLeast"/>
          <w:jc w:val="center"/>
        </w:trPr>
        <w:tc>
          <w:tcPr>
            <w:tcW w:w="1602" w:type="dxa"/>
            <w:vMerge w:val="restart"/>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青龙河</w:t>
            </w:r>
          </w:p>
        </w:tc>
        <w:tc>
          <w:tcPr>
            <w:tcW w:w="1648" w:type="dxa"/>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bidi="ar"/>
              </w:rPr>
            </w:pPr>
            <w:r>
              <w:rPr>
                <w:rFonts w:hint="eastAsia" w:ascii="Times New Roman" w:hAnsi="Times New Roman"/>
                <w:color w:val="auto"/>
                <w:kern w:val="21"/>
                <w:sz w:val="21"/>
                <w:szCs w:val="21"/>
                <w:lang w:eastAsia="zh-CN" w:bidi="ar"/>
              </w:rPr>
              <w:t>枯水期</w:t>
            </w:r>
          </w:p>
        </w:tc>
        <w:tc>
          <w:tcPr>
            <w:tcW w:w="1178" w:type="dxa"/>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hint="eastAsia" w:ascii="Times New Roman" w:hAnsi="Times New Roman"/>
                <w:color w:val="auto"/>
                <w:kern w:val="21"/>
                <w:sz w:val="21"/>
                <w:szCs w:val="21"/>
                <w:lang w:bidi="ar"/>
              </w:rPr>
              <w:t>30</w:t>
            </w:r>
          </w:p>
        </w:tc>
        <w:tc>
          <w:tcPr>
            <w:tcW w:w="1077"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0.579</w:t>
            </w:r>
          </w:p>
        </w:tc>
        <w:tc>
          <w:tcPr>
            <w:tcW w:w="886"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0.11</w:t>
            </w:r>
          </w:p>
        </w:tc>
        <w:tc>
          <w:tcPr>
            <w:tcW w:w="892"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3.98</w:t>
            </w:r>
          </w:p>
        </w:tc>
        <w:tc>
          <w:tcPr>
            <w:tcW w:w="1257" w:type="dxa"/>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hint="eastAsia" w:ascii="Times New Roman" w:hAnsi="Times New Roman"/>
                <w:color w:val="auto"/>
                <w:kern w:val="21"/>
                <w:sz w:val="21"/>
                <w:szCs w:val="21"/>
                <w:lang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02" w:type="dxa"/>
            <w:vMerge w:val="continue"/>
          </w:tcPr>
          <w:p>
            <w:pPr>
              <w:pStyle w:val="16"/>
              <w:adjustRightInd/>
              <w:spacing w:before="0" w:line="240" w:lineRule="auto"/>
              <w:ind w:right="0" w:firstLine="0" w:firstLineChars="0"/>
              <w:jc w:val="center"/>
              <w:rPr>
                <w:rFonts w:ascii="Times New Roman" w:hAnsi="Times New Roman"/>
                <w:color w:val="auto"/>
                <w:kern w:val="21"/>
                <w:sz w:val="21"/>
                <w:szCs w:val="21"/>
                <w:lang w:bidi="ar"/>
              </w:rPr>
            </w:pPr>
          </w:p>
        </w:tc>
        <w:tc>
          <w:tcPr>
            <w:tcW w:w="1648" w:type="dxa"/>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bidi="ar"/>
              </w:rPr>
            </w:pPr>
            <w:r>
              <w:rPr>
                <w:rFonts w:hint="eastAsia" w:ascii="Times New Roman" w:hAnsi="Times New Roman"/>
                <w:color w:val="auto"/>
                <w:kern w:val="21"/>
                <w:sz w:val="21"/>
                <w:szCs w:val="21"/>
                <w:lang w:eastAsia="zh-CN" w:bidi="ar"/>
              </w:rPr>
              <w:t>丰水期</w:t>
            </w:r>
          </w:p>
        </w:tc>
        <w:tc>
          <w:tcPr>
            <w:tcW w:w="1178" w:type="dxa"/>
            <w:vAlign w:val="top"/>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ascii="Times New Roman" w:hAnsi="Times New Roman"/>
                <w:color w:val="auto"/>
                <w:kern w:val="21"/>
                <w:sz w:val="21"/>
                <w:szCs w:val="21"/>
                <w:lang w:bidi="ar"/>
              </w:rPr>
              <w:t>30</w:t>
            </w:r>
          </w:p>
        </w:tc>
        <w:tc>
          <w:tcPr>
            <w:tcW w:w="1077" w:type="dxa"/>
            <w:vAlign w:val="top"/>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ascii="Times New Roman" w:hAnsi="Times New Roman"/>
                <w:color w:val="auto"/>
                <w:kern w:val="21"/>
                <w:sz w:val="21"/>
                <w:szCs w:val="21"/>
                <w:lang w:val="en-US" w:eastAsia="zh-CN" w:bidi="ar"/>
              </w:rPr>
              <w:t>0.579</w:t>
            </w:r>
          </w:p>
        </w:tc>
        <w:tc>
          <w:tcPr>
            <w:tcW w:w="886" w:type="dxa"/>
            <w:vAlign w:val="top"/>
          </w:tcPr>
          <w:p>
            <w:pPr>
              <w:pStyle w:val="16"/>
              <w:adjustRightInd/>
              <w:spacing w:before="0" w:line="240" w:lineRule="auto"/>
              <w:ind w:right="0" w:rightChars="0"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ascii="Times New Roman" w:hAnsi="Times New Roman"/>
                <w:color w:val="auto"/>
                <w:kern w:val="21"/>
                <w:sz w:val="21"/>
                <w:szCs w:val="21"/>
                <w:lang w:bidi="ar"/>
              </w:rPr>
              <w:t>0.</w:t>
            </w:r>
            <w:r>
              <w:rPr>
                <w:rFonts w:hint="eastAsia" w:ascii="Times New Roman" w:hAnsi="Times New Roman"/>
                <w:color w:val="auto"/>
                <w:kern w:val="21"/>
                <w:sz w:val="21"/>
                <w:szCs w:val="21"/>
                <w:lang w:val="en-US" w:eastAsia="zh-CN" w:bidi="ar"/>
              </w:rPr>
              <w:t>11</w:t>
            </w:r>
          </w:p>
        </w:tc>
        <w:tc>
          <w:tcPr>
            <w:tcW w:w="892" w:type="dxa"/>
            <w:vAlign w:val="top"/>
          </w:tcPr>
          <w:p>
            <w:pPr>
              <w:pStyle w:val="16"/>
              <w:adjustRightInd/>
              <w:spacing w:before="0" w:line="240" w:lineRule="auto"/>
              <w:ind w:right="0" w:rightChars="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3.98</w:t>
            </w:r>
          </w:p>
        </w:tc>
        <w:tc>
          <w:tcPr>
            <w:tcW w:w="1257" w:type="dxa"/>
            <w:vAlign w:val="top"/>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ascii="Times New Roman" w:hAnsi="Times New Roman"/>
                <w:color w:val="auto"/>
                <w:kern w:val="21"/>
                <w:sz w:val="21"/>
                <w:szCs w:val="21"/>
                <w:lang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02" w:type="dxa"/>
            <w:vMerge w:val="restart"/>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bidi="ar"/>
              </w:rPr>
            </w:pPr>
            <w:r>
              <w:rPr>
                <w:rFonts w:hint="eastAsia" w:ascii="Times New Roman" w:hAnsi="Times New Roman"/>
                <w:color w:val="auto"/>
                <w:kern w:val="21"/>
                <w:sz w:val="21"/>
                <w:szCs w:val="21"/>
                <w:lang w:eastAsia="zh-CN" w:bidi="ar"/>
              </w:rPr>
              <w:t>龙川江</w:t>
            </w:r>
          </w:p>
        </w:tc>
        <w:tc>
          <w:tcPr>
            <w:tcW w:w="1648" w:type="dxa"/>
            <w:vAlign w:val="top"/>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ascii="Times New Roman" w:hAnsi="Times New Roman"/>
                <w:color w:val="auto"/>
                <w:kern w:val="21"/>
                <w:sz w:val="21"/>
                <w:szCs w:val="21"/>
                <w:lang w:eastAsia="zh-CN" w:bidi="ar"/>
              </w:rPr>
              <w:t>枯水期</w:t>
            </w:r>
          </w:p>
        </w:tc>
        <w:tc>
          <w:tcPr>
            <w:tcW w:w="1178"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20</w:t>
            </w:r>
          </w:p>
        </w:tc>
        <w:tc>
          <w:tcPr>
            <w:tcW w:w="1077"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0.27</w:t>
            </w:r>
          </w:p>
        </w:tc>
        <w:tc>
          <w:tcPr>
            <w:tcW w:w="886"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0.08</w:t>
            </w:r>
          </w:p>
        </w:tc>
        <w:tc>
          <w:tcPr>
            <w:tcW w:w="892" w:type="dxa"/>
          </w:tcPr>
          <w:p>
            <w:pPr>
              <w:pStyle w:val="16"/>
              <w:adjustRightInd/>
              <w:spacing w:before="0" w:line="240" w:lineRule="auto"/>
              <w:ind w:right="0" w:firstLine="0" w:firstLineChars="0"/>
              <w:jc w:val="center"/>
              <w:rPr>
                <w:rFonts w:hint="default" w:ascii="Times New Roman" w:hAnsi="Times New Roman"/>
                <w:color w:val="auto"/>
                <w:kern w:val="21"/>
                <w:sz w:val="21"/>
                <w:szCs w:val="21"/>
                <w:lang w:val="en-US" w:eastAsia="zh-CN" w:bidi="ar"/>
              </w:rPr>
            </w:pPr>
            <w:r>
              <w:rPr>
                <w:rFonts w:hint="eastAsia" w:ascii="Times New Roman" w:hAnsi="Times New Roman"/>
                <w:color w:val="auto"/>
                <w:kern w:val="21"/>
                <w:sz w:val="21"/>
                <w:szCs w:val="21"/>
                <w:lang w:val="en-US" w:eastAsia="zh-CN" w:bidi="ar"/>
              </w:rPr>
              <w:t>6.86</w:t>
            </w:r>
          </w:p>
        </w:tc>
        <w:tc>
          <w:tcPr>
            <w:tcW w:w="1257"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02" w:type="dxa"/>
            <w:vMerge w:val="continue"/>
          </w:tcPr>
          <w:p>
            <w:pPr>
              <w:pStyle w:val="16"/>
              <w:adjustRightInd/>
              <w:spacing w:before="0" w:line="240" w:lineRule="auto"/>
              <w:ind w:right="0" w:firstLine="0" w:firstLineChars="0"/>
              <w:jc w:val="center"/>
              <w:rPr>
                <w:rFonts w:ascii="Times New Roman" w:hAnsi="Times New Roman"/>
                <w:color w:val="auto"/>
                <w:kern w:val="21"/>
                <w:sz w:val="21"/>
                <w:szCs w:val="21"/>
                <w:lang w:bidi="ar"/>
              </w:rPr>
            </w:pPr>
          </w:p>
        </w:tc>
        <w:tc>
          <w:tcPr>
            <w:tcW w:w="1648" w:type="dxa"/>
            <w:vAlign w:val="top"/>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ascii="Times New Roman" w:hAnsi="Times New Roman"/>
                <w:color w:val="auto"/>
                <w:kern w:val="21"/>
                <w:sz w:val="21"/>
                <w:szCs w:val="21"/>
                <w:lang w:eastAsia="zh-CN" w:bidi="ar"/>
              </w:rPr>
              <w:t>丰水期</w:t>
            </w:r>
          </w:p>
        </w:tc>
        <w:tc>
          <w:tcPr>
            <w:tcW w:w="1178"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14</w:t>
            </w:r>
          </w:p>
        </w:tc>
        <w:tc>
          <w:tcPr>
            <w:tcW w:w="1077"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0.06</w:t>
            </w:r>
          </w:p>
        </w:tc>
        <w:tc>
          <w:tcPr>
            <w:tcW w:w="886"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0.101</w:t>
            </w:r>
          </w:p>
        </w:tc>
        <w:tc>
          <w:tcPr>
            <w:tcW w:w="892" w:type="dxa"/>
          </w:tcPr>
          <w:p>
            <w:pPr>
              <w:pStyle w:val="16"/>
              <w:adjustRightInd/>
              <w:spacing w:before="0" w:line="240" w:lineRule="auto"/>
              <w:ind w:right="0" w:firstLine="0" w:firstLineChars="0"/>
              <w:jc w:val="center"/>
              <w:rPr>
                <w:rFonts w:hint="default" w:ascii="Times New Roman" w:hAnsi="Times New Roman"/>
                <w:color w:val="auto"/>
                <w:kern w:val="21"/>
                <w:sz w:val="21"/>
                <w:szCs w:val="21"/>
                <w:lang w:val="en-US" w:eastAsia="zh-CN" w:bidi="ar"/>
              </w:rPr>
            </w:pPr>
            <w:r>
              <w:rPr>
                <w:rFonts w:hint="eastAsia" w:ascii="Times New Roman" w:hAnsi="Times New Roman"/>
                <w:color w:val="auto"/>
                <w:kern w:val="21"/>
                <w:sz w:val="21"/>
                <w:szCs w:val="21"/>
                <w:lang w:val="en-US" w:eastAsia="zh-CN" w:bidi="ar"/>
              </w:rPr>
              <w:t>4.83</w:t>
            </w:r>
          </w:p>
        </w:tc>
        <w:tc>
          <w:tcPr>
            <w:tcW w:w="1257" w:type="dxa"/>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0.23</w:t>
            </w:r>
          </w:p>
        </w:tc>
      </w:tr>
    </w:tbl>
    <w:p>
      <w:pPr>
        <w:widowControl/>
        <w:ind w:firstLine="482"/>
        <w:jc w:val="left"/>
        <w:rPr>
          <w:b/>
          <w:bCs/>
          <w:color w:val="auto"/>
          <w:kern w:val="21"/>
        </w:rPr>
      </w:pPr>
      <w:r>
        <w:rPr>
          <w:rFonts w:hint="eastAsia"/>
          <w:b/>
          <w:bCs/>
          <w:color w:val="auto"/>
          <w:kern w:val="21"/>
          <w:lang w:bidi="ar"/>
        </w:rPr>
        <w:t>5</w:t>
      </w:r>
      <w:r>
        <w:rPr>
          <w:b/>
          <w:bCs/>
          <w:color w:val="auto"/>
          <w:kern w:val="21"/>
          <w:lang w:bidi="ar"/>
        </w:rPr>
        <w:t>、废水排放特性</w:t>
      </w:r>
    </w:p>
    <w:p>
      <w:pPr>
        <w:widowControl/>
        <w:ind w:firstLine="480"/>
        <w:jc w:val="left"/>
        <w:rPr>
          <w:color w:val="auto"/>
          <w:kern w:val="21"/>
        </w:rPr>
      </w:pPr>
      <w:r>
        <w:rPr>
          <w:color w:val="auto"/>
          <w:kern w:val="21"/>
          <w:lang w:bidi="ar"/>
        </w:rPr>
        <w:t>本次评价预测在正常排水和非正常排水状况下，</w:t>
      </w:r>
      <w:r>
        <w:rPr>
          <w:rFonts w:hint="eastAsia"/>
          <w:color w:val="auto"/>
          <w:kern w:val="21"/>
          <w:lang w:eastAsia="zh-CN" w:bidi="ar"/>
        </w:rPr>
        <w:t>枯水期、丰水期</w:t>
      </w:r>
      <w:r>
        <w:rPr>
          <w:color w:val="auto"/>
          <w:kern w:val="21"/>
          <w:lang w:bidi="ar"/>
        </w:rPr>
        <w:t>项目外排废水</w:t>
      </w:r>
      <w:r>
        <w:rPr>
          <w:rFonts w:hint="eastAsia"/>
          <w:color w:val="auto"/>
          <w:kern w:val="21"/>
          <w:lang w:eastAsia="zh-CN" w:bidi="ar"/>
        </w:rPr>
        <w:t>分别</w:t>
      </w:r>
      <w:r>
        <w:rPr>
          <w:color w:val="auto"/>
          <w:kern w:val="21"/>
          <w:lang w:bidi="ar"/>
        </w:rPr>
        <w:t>对青龙河</w:t>
      </w:r>
      <w:r>
        <w:rPr>
          <w:rFonts w:hint="eastAsia"/>
          <w:color w:val="auto"/>
          <w:kern w:val="21"/>
          <w:lang w:eastAsia="zh-CN" w:bidi="ar"/>
        </w:rPr>
        <w:t>和龙川江</w:t>
      </w:r>
      <w:r>
        <w:rPr>
          <w:color w:val="auto"/>
          <w:kern w:val="21"/>
          <w:lang w:bidi="ar"/>
        </w:rPr>
        <w:t>的影响。项目外排废水情况见</w:t>
      </w:r>
      <w:r>
        <w:rPr>
          <w:rFonts w:hint="eastAsia"/>
          <w:color w:val="auto"/>
          <w:kern w:val="21"/>
          <w:lang w:eastAsia="zh-CN" w:bidi="ar"/>
        </w:rPr>
        <w:t>下表</w:t>
      </w:r>
      <w:r>
        <w:rPr>
          <w:color w:val="auto"/>
          <w:kern w:val="21"/>
          <w:lang w:bidi="ar"/>
        </w:rPr>
        <w:t>。</w:t>
      </w:r>
    </w:p>
    <w:p>
      <w:pPr>
        <w:numPr>
          <w:ilvl w:val="0"/>
          <w:numId w:val="11"/>
        </w:numPr>
        <w:tabs>
          <w:tab w:val="left" w:pos="3395"/>
          <w:tab w:val="clear" w:pos="0"/>
        </w:tabs>
        <w:ind w:left="0" w:leftChars="0" w:firstLine="0" w:firstLineChars="0"/>
        <w:jc w:val="center"/>
        <w:rPr>
          <w:rFonts w:ascii="Times New Roman" w:hAnsi="Times New Roman"/>
          <w:b/>
          <w:bCs/>
          <w:color w:val="auto"/>
          <w:kern w:val="21"/>
          <w:sz w:val="24"/>
          <w:szCs w:val="24"/>
          <w:lang w:bidi="ar"/>
        </w:rPr>
      </w:pPr>
      <w:r>
        <w:rPr>
          <w:rFonts w:ascii="Times New Roman" w:hAnsi="Times New Roman"/>
          <w:b/>
          <w:bCs/>
          <w:color w:val="auto"/>
          <w:kern w:val="21"/>
          <w:sz w:val="24"/>
          <w:szCs w:val="24"/>
          <w:lang w:bidi="ar"/>
        </w:rPr>
        <w:t>项目废水排放情况</w:t>
      </w:r>
      <w:r>
        <w:rPr>
          <w:rFonts w:hint="eastAsia" w:ascii="Times New Roman" w:hAnsi="Times New Roman"/>
          <w:b/>
          <w:bCs/>
          <w:color w:val="auto"/>
          <w:kern w:val="21"/>
          <w:sz w:val="24"/>
          <w:szCs w:val="24"/>
          <w:lang w:bidi="ar"/>
        </w:rPr>
        <w:t xml:space="preserve">  单位：</w:t>
      </w:r>
      <w:r>
        <w:rPr>
          <w:rFonts w:ascii="Times New Roman" w:hAnsi="Times New Roman"/>
          <w:b/>
          <w:bCs/>
          <w:color w:val="auto"/>
          <w:kern w:val="21"/>
          <w:sz w:val="21"/>
          <w:szCs w:val="21"/>
        </w:rPr>
        <w:t>mg/L</w:t>
      </w:r>
    </w:p>
    <w:tbl>
      <w:tblPr>
        <w:tblStyle w:val="51"/>
        <w:tblW w:w="8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593"/>
        <w:gridCol w:w="1220"/>
        <w:gridCol w:w="992"/>
        <w:gridCol w:w="1062"/>
        <w:gridCol w:w="865"/>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4" w:type="dxa"/>
            <w:gridSpan w:val="7"/>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一、项目废水正常排放水质浓度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污染物</w:t>
            </w:r>
          </w:p>
        </w:tc>
        <w:tc>
          <w:tcPr>
            <w:tcW w:w="1593"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流量（m</w:t>
            </w:r>
            <w:r>
              <w:rPr>
                <w:rFonts w:ascii="Times New Roman" w:hAnsi="Times New Roman"/>
                <w:color w:val="auto"/>
                <w:kern w:val="21"/>
                <w:sz w:val="21"/>
                <w:szCs w:val="21"/>
                <w:vertAlign w:val="superscript"/>
                <w:lang w:bidi="ar"/>
              </w:rPr>
              <w:t>3</w:t>
            </w:r>
            <w:r>
              <w:rPr>
                <w:rFonts w:ascii="Times New Roman" w:hAnsi="Times New Roman"/>
                <w:color w:val="auto"/>
                <w:kern w:val="21"/>
                <w:sz w:val="21"/>
                <w:szCs w:val="21"/>
                <w:lang w:bidi="ar"/>
              </w:rPr>
              <w:t>/s）</w:t>
            </w:r>
          </w:p>
        </w:tc>
        <w:tc>
          <w:tcPr>
            <w:tcW w:w="1220"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COD</w:t>
            </w:r>
          </w:p>
        </w:tc>
        <w:tc>
          <w:tcPr>
            <w:tcW w:w="992"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氨氮</w:t>
            </w:r>
          </w:p>
        </w:tc>
        <w:tc>
          <w:tcPr>
            <w:tcW w:w="1062"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总磷</w:t>
            </w:r>
          </w:p>
        </w:tc>
        <w:tc>
          <w:tcPr>
            <w:tcW w:w="865" w:type="dxa"/>
            <w:vAlign w:val="center"/>
          </w:tcPr>
          <w:p>
            <w:pPr>
              <w:pStyle w:val="16"/>
              <w:adjustRightInd/>
              <w:spacing w:before="0" w:line="240" w:lineRule="auto"/>
              <w:ind w:right="0" w:firstLine="0" w:firstLineChars="0"/>
              <w:jc w:val="center"/>
              <w:rPr>
                <w:rFonts w:hint="eastAsia" w:ascii="Times New Roman" w:hAnsi="Times New Roman" w:eastAsia="宋体"/>
                <w:color w:val="auto"/>
                <w:kern w:val="21"/>
                <w:sz w:val="21"/>
                <w:szCs w:val="21"/>
                <w:lang w:eastAsia="zh-CN" w:bidi="ar"/>
              </w:rPr>
            </w:pPr>
            <w:r>
              <w:rPr>
                <w:rFonts w:hint="eastAsia" w:ascii="Times New Roman" w:hAnsi="Times New Roman"/>
                <w:color w:val="auto"/>
                <w:kern w:val="21"/>
                <w:sz w:val="21"/>
                <w:szCs w:val="21"/>
                <w:lang w:eastAsia="zh-CN" w:bidi="ar"/>
              </w:rPr>
              <w:t>总氮</w:t>
            </w:r>
          </w:p>
        </w:tc>
        <w:tc>
          <w:tcPr>
            <w:tcW w:w="1123"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highlight w:val="none"/>
                <w:lang w:bidi="ar"/>
              </w:rPr>
            </w:pPr>
            <w:r>
              <w:rPr>
                <w:rFonts w:hint="eastAsia" w:ascii="Times New Roman" w:hAnsi="Times New Roman"/>
                <w:color w:val="auto"/>
                <w:kern w:val="21"/>
                <w:sz w:val="21"/>
                <w:szCs w:val="21"/>
                <w:highlight w:val="none"/>
                <w:lang w:bidi="ar"/>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项目总排口</w:t>
            </w:r>
          </w:p>
        </w:tc>
        <w:tc>
          <w:tcPr>
            <w:tcW w:w="1593"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0.0555</w:t>
            </w:r>
          </w:p>
        </w:tc>
        <w:tc>
          <w:tcPr>
            <w:tcW w:w="1220"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19.68</w:t>
            </w:r>
          </w:p>
        </w:tc>
        <w:tc>
          <w:tcPr>
            <w:tcW w:w="992"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2.07</w:t>
            </w:r>
          </w:p>
        </w:tc>
        <w:tc>
          <w:tcPr>
            <w:tcW w:w="1062"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0.</w:t>
            </w:r>
            <w:r>
              <w:rPr>
                <w:rFonts w:hint="eastAsia" w:ascii="Times New Roman" w:hAnsi="Times New Roman"/>
                <w:color w:val="auto"/>
                <w:kern w:val="21"/>
                <w:sz w:val="21"/>
                <w:szCs w:val="21"/>
                <w:lang w:bidi="ar"/>
              </w:rPr>
              <w:t>3</w:t>
            </w:r>
          </w:p>
        </w:tc>
        <w:tc>
          <w:tcPr>
            <w:tcW w:w="865"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lang w:val="en-US" w:eastAsia="zh-CN" w:bidi="ar"/>
              </w:rPr>
            </w:pPr>
            <w:r>
              <w:rPr>
                <w:rFonts w:hint="eastAsia" w:ascii="Times New Roman" w:hAnsi="Times New Roman"/>
                <w:color w:val="auto"/>
                <w:kern w:val="21"/>
                <w:sz w:val="21"/>
                <w:szCs w:val="21"/>
                <w:lang w:val="en-US" w:eastAsia="zh-CN" w:bidi="ar"/>
              </w:rPr>
              <w:t>15</w:t>
            </w:r>
          </w:p>
        </w:tc>
        <w:tc>
          <w:tcPr>
            <w:tcW w:w="1123" w:type="dxa"/>
            <w:vAlign w:val="center"/>
          </w:tcPr>
          <w:p>
            <w:pPr>
              <w:pStyle w:val="16"/>
              <w:adjustRightInd/>
              <w:spacing w:before="0" w:line="240" w:lineRule="auto"/>
              <w:ind w:right="0" w:firstLine="0" w:firstLineChars="0"/>
              <w:jc w:val="center"/>
              <w:rPr>
                <w:rFonts w:hint="default" w:ascii="Times New Roman" w:hAnsi="Times New Roman" w:eastAsia="宋体"/>
                <w:color w:val="auto"/>
                <w:kern w:val="21"/>
                <w:sz w:val="21"/>
                <w:szCs w:val="21"/>
                <w:highlight w:val="none"/>
                <w:lang w:val="en-US" w:eastAsia="zh-CN" w:bidi="ar"/>
              </w:rPr>
            </w:pPr>
            <w:r>
              <w:rPr>
                <w:rFonts w:hint="eastAsia" w:ascii="Times New Roman" w:hAnsi="Times New Roman"/>
                <w:color w:val="auto"/>
                <w:kern w:val="21"/>
                <w:sz w:val="21"/>
                <w:szCs w:val="21"/>
                <w:highlight w:val="none"/>
                <w:lang w:val="en-US" w:eastAsia="zh-CN" w:bidi="ar"/>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4" w:type="dxa"/>
            <w:gridSpan w:val="7"/>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二、项目废水非正常排放水质浓度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污染物</w:t>
            </w:r>
          </w:p>
        </w:tc>
        <w:tc>
          <w:tcPr>
            <w:tcW w:w="1593"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流量（m</w:t>
            </w:r>
            <w:r>
              <w:rPr>
                <w:rFonts w:ascii="Times New Roman" w:hAnsi="Times New Roman"/>
                <w:color w:val="auto"/>
                <w:kern w:val="21"/>
                <w:sz w:val="21"/>
                <w:szCs w:val="21"/>
                <w:vertAlign w:val="superscript"/>
                <w:lang w:bidi="ar"/>
              </w:rPr>
              <w:t>3</w:t>
            </w:r>
            <w:r>
              <w:rPr>
                <w:rFonts w:ascii="Times New Roman" w:hAnsi="Times New Roman"/>
                <w:color w:val="auto"/>
                <w:kern w:val="21"/>
                <w:sz w:val="21"/>
                <w:szCs w:val="21"/>
                <w:lang w:bidi="ar"/>
              </w:rPr>
              <w:t>/s）</w:t>
            </w:r>
          </w:p>
        </w:tc>
        <w:tc>
          <w:tcPr>
            <w:tcW w:w="1220"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COD</w:t>
            </w:r>
          </w:p>
        </w:tc>
        <w:tc>
          <w:tcPr>
            <w:tcW w:w="992"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氨氮</w:t>
            </w:r>
          </w:p>
        </w:tc>
        <w:tc>
          <w:tcPr>
            <w:tcW w:w="1062"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总磷</w:t>
            </w:r>
          </w:p>
        </w:tc>
        <w:tc>
          <w:tcPr>
            <w:tcW w:w="865" w:type="dxa"/>
            <w:vAlign w:val="center"/>
          </w:tcPr>
          <w:p>
            <w:pPr>
              <w:pStyle w:val="16"/>
              <w:adjustRightInd/>
              <w:spacing w:before="0" w:line="240" w:lineRule="auto"/>
              <w:ind w:right="0" w:rightChars="0" w:firstLine="0" w:firstLineChars="0"/>
              <w:jc w:val="center"/>
              <w:rPr>
                <w:rFonts w:hint="eastAsia" w:ascii="Times New Roman" w:hAnsi="Times New Roman" w:eastAsia="宋体" w:cs="Times New Roman"/>
                <w:color w:val="auto"/>
                <w:kern w:val="21"/>
                <w:sz w:val="21"/>
                <w:szCs w:val="21"/>
                <w:lang w:val="en-US" w:eastAsia="zh-CN" w:bidi="ar"/>
              </w:rPr>
            </w:pPr>
            <w:r>
              <w:rPr>
                <w:rFonts w:hint="eastAsia" w:ascii="Times New Roman" w:hAnsi="Times New Roman"/>
                <w:color w:val="auto"/>
                <w:kern w:val="21"/>
                <w:sz w:val="21"/>
                <w:szCs w:val="21"/>
                <w:lang w:eastAsia="zh-CN" w:bidi="ar"/>
              </w:rPr>
              <w:t>总氮</w:t>
            </w:r>
          </w:p>
        </w:tc>
        <w:tc>
          <w:tcPr>
            <w:tcW w:w="1123"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highlight w:val="none"/>
                <w:lang w:bidi="ar"/>
              </w:rPr>
            </w:pPr>
            <w:r>
              <w:rPr>
                <w:rFonts w:hint="eastAsia" w:ascii="Times New Roman" w:hAnsi="Times New Roman"/>
                <w:color w:val="auto"/>
                <w:kern w:val="21"/>
                <w:sz w:val="21"/>
                <w:szCs w:val="21"/>
                <w:highlight w:val="none"/>
                <w:lang w:bidi="ar"/>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项目总排口</w:t>
            </w:r>
          </w:p>
        </w:tc>
        <w:tc>
          <w:tcPr>
            <w:tcW w:w="1593" w:type="dxa"/>
            <w:vAlign w:val="center"/>
          </w:tcPr>
          <w:p>
            <w:pPr>
              <w:pStyle w:val="16"/>
              <w:adjustRightInd/>
              <w:spacing w:before="0" w:line="240" w:lineRule="auto"/>
              <w:ind w:right="0" w:firstLine="0" w:firstLineChars="0"/>
              <w:jc w:val="center"/>
              <w:rPr>
                <w:rFonts w:ascii="Times New Roman" w:hAnsi="Times New Roman"/>
                <w:color w:val="auto"/>
                <w:kern w:val="21"/>
                <w:sz w:val="21"/>
                <w:szCs w:val="21"/>
                <w:lang w:bidi="ar"/>
              </w:rPr>
            </w:pPr>
            <w:r>
              <w:rPr>
                <w:rFonts w:ascii="Times New Roman" w:hAnsi="Times New Roman"/>
                <w:color w:val="auto"/>
                <w:kern w:val="21"/>
                <w:sz w:val="21"/>
                <w:szCs w:val="21"/>
                <w:lang w:bidi="ar"/>
              </w:rPr>
              <w:t>0.0579</w:t>
            </w:r>
          </w:p>
        </w:tc>
        <w:tc>
          <w:tcPr>
            <w:tcW w:w="1220" w:type="dxa"/>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lang w:bidi="ar"/>
              </w:rPr>
            </w:pPr>
            <w:r>
              <w:rPr>
                <w:rFonts w:hint="eastAsia" w:ascii="Times New Roman" w:hAnsi="Times New Roman"/>
                <w:color w:val="auto"/>
                <w:kern w:val="21"/>
                <w:sz w:val="21"/>
                <w:szCs w:val="21"/>
                <w:lang w:val="en-US" w:eastAsia="zh-CN" w:bidi="ar"/>
              </w:rPr>
              <w:t>400.61</w:t>
            </w:r>
          </w:p>
        </w:tc>
        <w:tc>
          <w:tcPr>
            <w:tcW w:w="992" w:type="dxa"/>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lang w:bidi="ar"/>
              </w:rPr>
            </w:pPr>
            <w:r>
              <w:rPr>
                <w:rFonts w:hint="eastAsia" w:ascii="Times New Roman" w:hAnsi="Times New Roman"/>
                <w:color w:val="auto"/>
                <w:kern w:val="21"/>
                <w:sz w:val="21"/>
                <w:szCs w:val="21"/>
                <w:lang w:val="en-US" w:eastAsia="zh-CN" w:bidi="ar"/>
              </w:rPr>
              <w:t>40.74</w:t>
            </w:r>
          </w:p>
        </w:tc>
        <w:tc>
          <w:tcPr>
            <w:tcW w:w="1062" w:type="dxa"/>
            <w:vAlign w:val="center"/>
          </w:tcPr>
          <w:p>
            <w:pPr>
              <w:pStyle w:val="16"/>
              <w:adjustRightInd/>
              <w:spacing w:before="0" w:line="240" w:lineRule="auto"/>
              <w:ind w:right="0" w:rightChars="0" w:firstLine="0" w:firstLineChars="0"/>
              <w:jc w:val="center"/>
              <w:rPr>
                <w:rFonts w:ascii="Times New Roman" w:hAnsi="Times New Roman"/>
                <w:color w:val="auto"/>
                <w:kern w:val="21"/>
                <w:sz w:val="21"/>
                <w:szCs w:val="21"/>
                <w:lang w:bidi="ar"/>
              </w:rPr>
            </w:pPr>
            <w:r>
              <w:rPr>
                <w:rFonts w:hint="eastAsia" w:ascii="Times New Roman" w:hAnsi="Times New Roman"/>
                <w:color w:val="auto"/>
                <w:kern w:val="21"/>
                <w:sz w:val="21"/>
                <w:szCs w:val="21"/>
                <w:lang w:val="en-US" w:eastAsia="zh-CN" w:bidi="ar"/>
              </w:rPr>
              <w:t>6.30</w:t>
            </w:r>
          </w:p>
        </w:tc>
        <w:tc>
          <w:tcPr>
            <w:tcW w:w="865" w:type="dxa"/>
            <w:vAlign w:val="center"/>
          </w:tcPr>
          <w:p>
            <w:pPr>
              <w:pStyle w:val="16"/>
              <w:adjustRightInd/>
              <w:spacing w:before="0" w:line="240" w:lineRule="auto"/>
              <w:ind w:right="0" w:rightChars="0" w:firstLine="0" w:firstLineChars="0"/>
              <w:jc w:val="center"/>
              <w:rPr>
                <w:rFonts w:hint="default" w:ascii="Times New Roman" w:hAnsi="Times New Roman" w:eastAsia="宋体" w:cs="Times New Roman"/>
                <w:color w:val="auto"/>
                <w:kern w:val="21"/>
                <w:sz w:val="21"/>
                <w:szCs w:val="21"/>
                <w:lang w:val="en-US" w:eastAsia="zh-CN" w:bidi="ar"/>
              </w:rPr>
            </w:pPr>
            <w:r>
              <w:rPr>
                <w:rFonts w:hint="eastAsia" w:ascii="Times New Roman" w:hAnsi="Times New Roman"/>
                <w:color w:val="auto"/>
                <w:kern w:val="21"/>
                <w:sz w:val="21"/>
                <w:szCs w:val="21"/>
                <w:lang w:val="en-US" w:eastAsia="zh-CN" w:bidi="ar"/>
              </w:rPr>
              <w:t>61.48</w:t>
            </w:r>
          </w:p>
        </w:tc>
        <w:tc>
          <w:tcPr>
            <w:tcW w:w="1123" w:type="dxa"/>
            <w:vAlign w:val="center"/>
          </w:tcPr>
          <w:p>
            <w:pPr>
              <w:pStyle w:val="16"/>
              <w:adjustRightInd/>
              <w:spacing w:before="0" w:line="240" w:lineRule="auto"/>
              <w:ind w:right="0" w:firstLine="0" w:firstLineChars="0"/>
              <w:jc w:val="center"/>
              <w:rPr>
                <w:rFonts w:hint="default" w:ascii="Times New Roman" w:hAnsi="Times New Roman"/>
                <w:color w:val="auto"/>
                <w:kern w:val="21"/>
                <w:sz w:val="21"/>
                <w:szCs w:val="21"/>
                <w:highlight w:val="none"/>
                <w:lang w:val="en-US" w:bidi="ar"/>
              </w:rPr>
            </w:pPr>
            <w:r>
              <w:rPr>
                <w:rFonts w:hint="eastAsia" w:ascii="Times New Roman" w:hAnsi="Times New Roman"/>
                <w:color w:val="auto"/>
                <w:kern w:val="21"/>
                <w:sz w:val="21"/>
                <w:szCs w:val="21"/>
                <w:highlight w:val="none"/>
                <w:lang w:val="en-US" w:eastAsia="zh-CN" w:bidi="ar"/>
              </w:rPr>
              <w:t>16.35</w:t>
            </w:r>
          </w:p>
        </w:tc>
      </w:tr>
    </w:tbl>
    <w:p>
      <w:pPr>
        <w:ind w:firstLine="480"/>
        <w:rPr>
          <w:rFonts w:hint="default" w:ascii="Times New Roman" w:hAnsi="Times New Roman" w:cs="Times New Roman"/>
          <w:color w:val="auto"/>
        </w:rPr>
      </w:pPr>
      <w:r>
        <w:rPr>
          <w:rFonts w:hint="default" w:ascii="Times New Roman" w:hAnsi="Times New Roman" w:cs="Times New Roman"/>
          <w:color w:val="auto"/>
        </w:rPr>
        <w:t>楚雄市第一污水处理厂排放流量为5万m³/d，折合流量0.579m³/s，COD浓度为15mg/L，氨氮浓度为0.5mg/L，总磷浓度为0.5 mg/L；</w:t>
      </w:r>
    </w:p>
    <w:p>
      <w:pPr>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楚雄市第二污水处理厂正常排放工况下，废水排放量为10万m³/d，折合流量1.158m³/s，COD浓度为22mg/L，氨氮浓度为0.61mg/L，总磷浓度为0.5 mg/L</w:t>
      </w:r>
      <w:r>
        <w:rPr>
          <w:rFonts w:hint="eastAsia" w:ascii="Times New Roman" w:hAnsi="Times New Roman" w:cs="Times New Roman"/>
          <w:color w:val="auto"/>
          <w:lang w:eastAsia="zh-CN"/>
        </w:rPr>
        <w:t>。</w:t>
      </w:r>
    </w:p>
    <w:p>
      <w:pPr>
        <w:pStyle w:val="16"/>
        <w:adjustRightInd/>
        <w:spacing w:before="0"/>
        <w:ind w:right="0" w:firstLine="482"/>
        <w:jc w:val="both"/>
        <w:rPr>
          <w:rFonts w:ascii="Times New Roman" w:hAnsi="Times New Roman"/>
          <w:b/>
          <w:bCs/>
          <w:color w:val="auto"/>
          <w:kern w:val="21"/>
          <w:sz w:val="24"/>
          <w:szCs w:val="24"/>
          <w:lang w:bidi="ar"/>
        </w:rPr>
      </w:pPr>
      <w:r>
        <w:rPr>
          <w:rFonts w:hint="eastAsia" w:ascii="Times New Roman" w:hAnsi="Times New Roman"/>
          <w:b/>
          <w:bCs/>
          <w:color w:val="auto"/>
          <w:kern w:val="21"/>
          <w:sz w:val="24"/>
          <w:szCs w:val="24"/>
          <w:lang w:bidi="ar"/>
        </w:rPr>
        <w:t>6、预测结果及评价</w:t>
      </w:r>
    </w:p>
    <w:p>
      <w:pPr>
        <w:ind w:firstLine="484"/>
        <w:jc w:val="left"/>
        <w:rPr>
          <w:color w:val="auto"/>
          <w:spacing w:val="-1"/>
        </w:rPr>
      </w:pPr>
      <w:r>
        <w:rPr>
          <w:color w:val="auto"/>
          <w:spacing w:val="1"/>
        </w:rPr>
        <w:t>本次环评以最不利条件，预测项目废水按照最大排放限值进入青龙河</w:t>
      </w:r>
      <w:r>
        <w:rPr>
          <w:rFonts w:hint="eastAsia"/>
          <w:color w:val="auto"/>
          <w:spacing w:val="1"/>
          <w:lang w:eastAsia="zh-CN"/>
        </w:rPr>
        <w:t>、龙川江</w:t>
      </w:r>
      <w:r>
        <w:rPr>
          <w:color w:val="auto"/>
          <w:spacing w:val="1"/>
        </w:rPr>
        <w:t>后</w:t>
      </w:r>
      <w:r>
        <w:rPr>
          <w:rFonts w:hint="eastAsia"/>
          <w:color w:val="auto"/>
          <w:spacing w:val="1"/>
          <w:lang w:eastAsia="zh-CN"/>
        </w:rPr>
        <w:t>对</w:t>
      </w:r>
      <w:r>
        <w:rPr>
          <w:color w:val="auto"/>
          <w:spacing w:val="-1"/>
        </w:rPr>
        <w:t>水质浓度影响，预测见表5-</w:t>
      </w:r>
      <w:r>
        <w:rPr>
          <w:rFonts w:hint="eastAsia"/>
          <w:color w:val="auto"/>
          <w:spacing w:val="-1"/>
          <w:lang w:val="en-US" w:eastAsia="zh-CN"/>
        </w:rPr>
        <w:t>6</w:t>
      </w:r>
      <w:r>
        <w:rPr>
          <w:rFonts w:hint="eastAsia"/>
          <w:color w:val="auto"/>
          <w:spacing w:val="-1"/>
          <w:lang w:eastAsia="zh-CN"/>
        </w:rPr>
        <w:t>、</w:t>
      </w:r>
      <w:r>
        <w:rPr>
          <w:color w:val="auto"/>
          <w:spacing w:val="-1"/>
        </w:rPr>
        <w:t>表5-7。</w:t>
      </w:r>
    </w:p>
    <w:p>
      <w:pPr>
        <w:autoSpaceDE w:val="0"/>
        <w:autoSpaceDN w:val="0"/>
        <w:ind w:firstLine="560" w:firstLineChars="0"/>
        <w:jc w:val="center"/>
        <w:rPr>
          <w:b/>
          <w:bCs/>
          <w:color w:val="auto"/>
          <w:kern w:val="21"/>
        </w:rPr>
        <w:sectPr>
          <w:headerReference r:id="rId15" w:type="default"/>
          <w:footerReference r:id="rId16" w:type="default"/>
          <w:pgSz w:w="11850" w:h="16783"/>
          <w:pgMar w:top="1418" w:right="1134" w:bottom="1134" w:left="1418" w:header="851" w:footer="992" w:gutter="0"/>
          <w:cols w:space="720" w:num="1"/>
          <w:docGrid w:type="lines" w:linePitch="312" w:charSpace="0"/>
        </w:sectPr>
      </w:pPr>
    </w:p>
    <w:p>
      <w:pPr>
        <w:numPr>
          <w:ilvl w:val="0"/>
          <w:numId w:val="11"/>
        </w:numPr>
        <w:tabs>
          <w:tab w:val="left" w:pos="3395"/>
          <w:tab w:val="clear" w:pos="0"/>
        </w:tabs>
        <w:ind w:left="0" w:leftChars="0" w:firstLine="0" w:firstLineChars="0"/>
        <w:jc w:val="center"/>
        <w:rPr>
          <w:b/>
          <w:bCs/>
          <w:color w:val="auto"/>
          <w:kern w:val="21"/>
        </w:rPr>
      </w:pPr>
      <w:r>
        <w:rPr>
          <w:rFonts w:hint="eastAsia"/>
          <w:b/>
          <w:bCs/>
          <w:color w:val="auto"/>
          <w:kern w:val="21"/>
          <w:lang w:eastAsia="zh-CN"/>
        </w:rPr>
        <w:t>枯水期</w:t>
      </w:r>
      <w:r>
        <w:rPr>
          <w:b/>
          <w:bCs/>
          <w:color w:val="auto"/>
          <w:kern w:val="21"/>
        </w:rPr>
        <w:t>项目排放的尾水对青龙河</w:t>
      </w:r>
      <w:r>
        <w:rPr>
          <w:rFonts w:hint="eastAsia"/>
          <w:b/>
          <w:bCs/>
          <w:color w:val="auto"/>
          <w:kern w:val="21"/>
          <w:lang w:eastAsia="zh-CN"/>
        </w:rPr>
        <w:t>、龙川江</w:t>
      </w:r>
      <w:r>
        <w:rPr>
          <w:b/>
          <w:bCs/>
          <w:color w:val="auto"/>
          <w:kern w:val="21"/>
        </w:rPr>
        <w:t>水质的影响预测结果表</w:t>
      </w:r>
    </w:p>
    <w:tbl>
      <w:tblPr>
        <w:tblStyle w:val="51"/>
        <w:tblW w:w="12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4"/>
        <w:gridCol w:w="1087"/>
        <w:gridCol w:w="809"/>
        <w:gridCol w:w="848"/>
        <w:gridCol w:w="773"/>
        <w:gridCol w:w="877"/>
        <w:gridCol w:w="785"/>
        <w:gridCol w:w="888"/>
        <w:gridCol w:w="808"/>
        <w:gridCol w:w="865"/>
        <w:gridCol w:w="958"/>
        <w:gridCol w:w="992"/>
        <w:gridCol w:w="2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河段</w:t>
            </w:r>
          </w:p>
        </w:tc>
        <w:tc>
          <w:tcPr>
            <w:tcW w:w="1087"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计算点离排放口流线距离X(m)</w:t>
            </w:r>
          </w:p>
        </w:tc>
        <w:tc>
          <w:tcPr>
            <w:tcW w:w="1657"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COD预测浓度</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mg/L）</w:t>
            </w:r>
          </w:p>
        </w:tc>
        <w:tc>
          <w:tcPr>
            <w:tcW w:w="1650"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氨氮预测浓度</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mg/L）</w:t>
            </w:r>
          </w:p>
        </w:tc>
        <w:tc>
          <w:tcPr>
            <w:tcW w:w="1673"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总磷预测浓度</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mg/L）</w:t>
            </w:r>
          </w:p>
        </w:tc>
        <w:tc>
          <w:tcPr>
            <w:tcW w:w="1673"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eastAsia="zh-CN"/>
              </w:rPr>
            </w:pPr>
            <w:r>
              <w:rPr>
                <w:rFonts w:hint="eastAsia" w:cs="Times New Roman"/>
                <w:i w:val="0"/>
                <w:iCs w:val="0"/>
                <w:color w:val="auto"/>
                <w:sz w:val="21"/>
                <w:szCs w:val="21"/>
                <w:u w:val="none"/>
                <w:lang w:eastAsia="zh-CN"/>
              </w:rPr>
              <w:t>总氮</w:t>
            </w:r>
            <w:r>
              <w:rPr>
                <w:rFonts w:hint="default" w:ascii="Times New Roman" w:hAnsi="Times New Roman" w:eastAsia="宋体" w:cs="Times New Roman"/>
                <w:i w:val="0"/>
                <w:iCs w:val="0"/>
                <w:color w:val="auto"/>
                <w:kern w:val="0"/>
                <w:sz w:val="21"/>
                <w:szCs w:val="21"/>
                <w:u w:val="none"/>
                <w:lang w:val="en-US" w:eastAsia="zh-CN" w:bidi="ar"/>
              </w:rPr>
              <w:t>预测浓度</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mg/L）</w:t>
            </w:r>
          </w:p>
        </w:tc>
        <w:tc>
          <w:tcPr>
            <w:tcW w:w="1950"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氟化物</w:t>
            </w:r>
            <w:r>
              <w:rPr>
                <w:rFonts w:hint="default" w:ascii="Times New Roman" w:hAnsi="Times New Roman" w:eastAsia="宋体" w:cs="Times New Roman"/>
                <w:i w:val="0"/>
                <w:iCs w:val="0"/>
                <w:color w:val="auto"/>
                <w:kern w:val="0"/>
                <w:sz w:val="21"/>
                <w:szCs w:val="21"/>
                <w:u w:val="none"/>
                <w:lang w:val="en-US" w:eastAsia="zh-CN" w:bidi="ar"/>
              </w:rPr>
              <w:t>预测浓度</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mg/L）</w:t>
            </w:r>
          </w:p>
        </w:tc>
        <w:tc>
          <w:tcPr>
            <w:tcW w:w="2648"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正常排放</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非正常排放</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正常排放</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非正常排放</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正常排放</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非正常排放</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正常排放</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非正常排放</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正常排放</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非正常排放</w:t>
            </w:r>
          </w:p>
        </w:tc>
        <w:tc>
          <w:tcPr>
            <w:tcW w:w="2648"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青龙河</w:t>
            </w: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197</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24.46</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107.22</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1.38</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9.67</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0.21</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1.55</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9.89</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34.83</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1.36</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8.89</w:t>
            </w:r>
          </w:p>
        </w:tc>
        <w:tc>
          <w:tcPr>
            <w:tcW w:w="26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完全混合段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23.93</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104.89</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1.36</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9.54</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0.21</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1.54</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9.85</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34.67</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1.36</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8.89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23.08</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101.17</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1.33</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9.31</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0.21</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1.52</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9.77</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34.41</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1.36</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8.89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22.26</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97.57</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1.29</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9.09</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0.21</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1.50</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9.70</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34.15</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1.36</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8.89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21.47</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94.11</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1.26</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8.87</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0.20</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1.48</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9.63</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33.90</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1.36</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8.89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20.71</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90.76</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1.23</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8.66</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0.20</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1.47</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9.56</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33.65</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1.36</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8.89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19.97</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87.53</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1.20</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8.45</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0.20</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1.45</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9.49</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33.40</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1.36</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8.89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3420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19.38</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84.92</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1.18</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8.28</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0.20</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1.43</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9.43</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33.19</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1.36</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8.89</w:t>
            </w:r>
          </w:p>
        </w:tc>
        <w:tc>
          <w:tcPr>
            <w:tcW w:w="26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青龙河入龙川江汇前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龙川江</w:t>
            </w: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27.04</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36.86</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0.52</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1.75</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0.11</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0.32</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7.58</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14.19</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青龙河汇入龙川江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572</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27.04</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36.86</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0.52</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1.75</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0.11</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0.32</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7.58</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14.19</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完全混合段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25.95</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35.37</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0.51</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1.70</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0.10</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0.32</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7.51</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14.07</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24.73</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33.70</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0.49</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1.65</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0.10</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0.31</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7.44</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13.93</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楚雄市第一污水处理厂排口汇入前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22.26</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28.51</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0.49</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0.20</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0.36</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7.44</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13.93</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楚雄市第一污水处理厂排口汇入后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22.26</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28.51</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0.49</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0.20</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0.36</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7.36</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13.79</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20.36</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27.35</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0.46</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0.19</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0.36</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7.22</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13.52</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18.49</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24.84</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0.44</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0.18</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0.35</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7.08</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13.25</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16.79</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22.56</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0.41</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0.17</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0.34</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6.94</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12.99</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15.24</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20.48</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0.38</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1.07</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0.16</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0.32</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6.80</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12.74</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14.39</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19.33</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0.36</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1.03</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0.15</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0.32</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6.72</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12.58</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楚雄市第二污水处理厂汇入前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16.95</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20.28</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0.44</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0.88</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0.27</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0.38</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6.72</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12.58</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楚雄市第二污水处理厂汇入后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16.95</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20.28</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0.44</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0.88</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0.27</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0.38</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6.66</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12.48</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15.65</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18.70</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0.42</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0.83</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0.26</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0.37</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6.53</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12.24</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14.21</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17.00</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0.39</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0.78</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0.25</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0.36</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6.40</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12.00</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9100</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14.07</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16.84</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0.39</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0.78</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0.25</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0.36</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6.39</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11.97</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0.70</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2.79</w:t>
            </w:r>
          </w:p>
        </w:tc>
        <w:tc>
          <w:tcPr>
            <w:tcW w:w="26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西观桥国控断面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2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最小安全余量</w:t>
            </w:r>
          </w:p>
        </w:tc>
        <w:tc>
          <w:tcPr>
            <w:tcW w:w="8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9.8%</w:t>
            </w:r>
          </w:p>
        </w:tc>
        <w:tc>
          <w:tcPr>
            <w:tcW w:w="8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77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8%</w:t>
            </w:r>
          </w:p>
        </w:tc>
        <w:tc>
          <w:tcPr>
            <w:tcW w:w="87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7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10%</w:t>
            </w:r>
          </w:p>
        </w:tc>
        <w:tc>
          <w:tcPr>
            <w:tcW w:w="8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w:t>
            </w:r>
          </w:p>
        </w:tc>
        <w:tc>
          <w:tcPr>
            <w:tcW w:w="80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6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9.33%</w:t>
            </w:r>
          </w:p>
        </w:tc>
        <w:tc>
          <w:tcPr>
            <w:tcW w:w="99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w:t>
            </w:r>
          </w:p>
        </w:tc>
        <w:tc>
          <w:tcPr>
            <w:tcW w:w="264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pPr>
        <w:numPr>
          <w:ilvl w:val="0"/>
          <w:numId w:val="11"/>
        </w:numPr>
        <w:tabs>
          <w:tab w:val="left" w:pos="3395"/>
          <w:tab w:val="clear" w:pos="0"/>
        </w:tabs>
        <w:ind w:left="0" w:leftChars="0" w:firstLine="0" w:firstLineChars="0"/>
        <w:jc w:val="center"/>
        <w:rPr>
          <w:b/>
          <w:bCs/>
          <w:color w:val="auto"/>
          <w:kern w:val="21"/>
        </w:rPr>
      </w:pPr>
      <w:r>
        <w:rPr>
          <w:rFonts w:hint="eastAsia"/>
          <w:b/>
          <w:bCs/>
          <w:color w:val="auto"/>
          <w:kern w:val="21"/>
          <w:lang w:eastAsia="zh-CN"/>
        </w:rPr>
        <w:t>丰水期</w:t>
      </w:r>
      <w:r>
        <w:rPr>
          <w:b/>
          <w:bCs/>
          <w:color w:val="auto"/>
          <w:kern w:val="21"/>
        </w:rPr>
        <w:t>项目排放的尾水对青龙河</w:t>
      </w:r>
      <w:r>
        <w:rPr>
          <w:rFonts w:hint="eastAsia"/>
          <w:b/>
          <w:bCs/>
          <w:color w:val="auto"/>
          <w:kern w:val="21"/>
          <w:lang w:eastAsia="zh-CN"/>
        </w:rPr>
        <w:t>、龙川江</w:t>
      </w:r>
      <w:r>
        <w:rPr>
          <w:b/>
          <w:bCs/>
          <w:color w:val="auto"/>
          <w:kern w:val="21"/>
        </w:rPr>
        <w:t>水质的影响预测结果表</w:t>
      </w:r>
    </w:p>
    <w:tbl>
      <w:tblPr>
        <w:tblStyle w:val="51"/>
        <w:tblW w:w="12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24"/>
        <w:gridCol w:w="1078"/>
        <w:gridCol w:w="815"/>
        <w:gridCol w:w="853"/>
        <w:gridCol w:w="779"/>
        <w:gridCol w:w="862"/>
        <w:gridCol w:w="788"/>
        <w:gridCol w:w="900"/>
        <w:gridCol w:w="787"/>
        <w:gridCol w:w="872"/>
        <w:gridCol w:w="966"/>
        <w:gridCol w:w="1003"/>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河段</w:t>
            </w:r>
          </w:p>
        </w:tc>
        <w:tc>
          <w:tcPr>
            <w:tcW w:w="1078"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计算点离排放口流线距离X(m)</w:t>
            </w:r>
          </w:p>
        </w:tc>
        <w:tc>
          <w:tcPr>
            <w:tcW w:w="1668"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COD预测浓度</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mg/L）</w:t>
            </w:r>
          </w:p>
        </w:tc>
        <w:tc>
          <w:tcPr>
            <w:tcW w:w="1641"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氨氮预测浓度</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mg/L）</w:t>
            </w:r>
          </w:p>
        </w:tc>
        <w:tc>
          <w:tcPr>
            <w:tcW w:w="1688"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总磷预测浓度</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eastAsia="zh-CN"/>
              </w:rPr>
              <w:t>总氮</w:t>
            </w:r>
            <w:r>
              <w:rPr>
                <w:rFonts w:hint="default" w:ascii="Times New Roman" w:hAnsi="Times New Roman" w:eastAsia="宋体" w:cs="Times New Roman"/>
                <w:i w:val="0"/>
                <w:iCs w:val="0"/>
                <w:color w:val="auto"/>
                <w:kern w:val="0"/>
                <w:sz w:val="21"/>
                <w:szCs w:val="21"/>
                <w:u w:val="none"/>
                <w:lang w:val="en-US" w:eastAsia="zh-CN" w:bidi="ar"/>
              </w:rPr>
              <w:t>预测浓度</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mg/L）</w:t>
            </w:r>
          </w:p>
        </w:tc>
        <w:tc>
          <w:tcPr>
            <w:tcW w:w="1969"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氟化物</w:t>
            </w:r>
            <w:r>
              <w:rPr>
                <w:rFonts w:hint="default" w:ascii="Times New Roman" w:hAnsi="Times New Roman" w:eastAsia="宋体" w:cs="Times New Roman"/>
                <w:i w:val="0"/>
                <w:iCs w:val="0"/>
                <w:color w:val="auto"/>
                <w:kern w:val="0"/>
                <w:sz w:val="21"/>
                <w:szCs w:val="21"/>
                <w:u w:val="none"/>
                <w:lang w:val="en-US" w:eastAsia="zh-CN" w:bidi="ar"/>
              </w:rPr>
              <w:t>预测浓度</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mg/L）</w:t>
            </w:r>
          </w:p>
        </w:tc>
        <w:tc>
          <w:tcPr>
            <w:tcW w:w="2635"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正常排放</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非正常排放</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正常排放</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非正常排放</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正常排放</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非正常排放</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正常排放</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非正常排放</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正常排放</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非正常排放</w:t>
            </w:r>
          </w:p>
        </w:tc>
        <w:tc>
          <w:tcPr>
            <w:tcW w:w="2635"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青龙河</w:t>
            </w: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8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27.60 </w:t>
            </w:r>
          </w:p>
        </w:tc>
        <w:tc>
          <w:tcPr>
            <w:tcW w:w="85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116.20 </w:t>
            </w:r>
          </w:p>
        </w:tc>
        <w:tc>
          <w:tcPr>
            <w:tcW w:w="779"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0.93 </w:t>
            </w:r>
          </w:p>
        </w:tc>
        <w:tc>
          <w:tcPr>
            <w:tcW w:w="86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9.92 </w:t>
            </w:r>
          </w:p>
        </w:tc>
        <w:tc>
          <w:tcPr>
            <w:tcW w:w="78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0.15 </w:t>
            </w:r>
          </w:p>
        </w:tc>
        <w:tc>
          <w:tcPr>
            <w:tcW w:w="90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1.55 </w:t>
            </w:r>
          </w:p>
        </w:tc>
        <w:tc>
          <w:tcPr>
            <w:tcW w:w="787"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6.54 </w:t>
            </w:r>
          </w:p>
        </w:tc>
        <w:tc>
          <w:tcPr>
            <w:tcW w:w="87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kern w:val="2"/>
                <w:sz w:val="21"/>
                <w:szCs w:val="21"/>
                <w:u w:val="none"/>
                <w:lang w:val="en-US" w:eastAsia="zh-CN" w:bidi="ar-SA"/>
              </w:rPr>
              <w:t xml:space="preserve">17.35 </w:t>
            </w:r>
          </w:p>
        </w:tc>
        <w:tc>
          <w:tcPr>
            <w:tcW w:w="966"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0.73 </w:t>
            </w:r>
          </w:p>
        </w:tc>
        <w:tc>
          <w:tcPr>
            <w:tcW w:w="100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3.99 </w:t>
            </w:r>
          </w:p>
        </w:tc>
        <w:tc>
          <w:tcPr>
            <w:tcW w:w="2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完全混合段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8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27.40 </w:t>
            </w:r>
          </w:p>
        </w:tc>
        <w:tc>
          <w:tcPr>
            <w:tcW w:w="85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115.36 </w:t>
            </w:r>
          </w:p>
        </w:tc>
        <w:tc>
          <w:tcPr>
            <w:tcW w:w="779"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0.92 </w:t>
            </w:r>
          </w:p>
        </w:tc>
        <w:tc>
          <w:tcPr>
            <w:tcW w:w="86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9.87 </w:t>
            </w:r>
          </w:p>
        </w:tc>
        <w:tc>
          <w:tcPr>
            <w:tcW w:w="78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0.15 </w:t>
            </w:r>
          </w:p>
        </w:tc>
        <w:tc>
          <w:tcPr>
            <w:tcW w:w="90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1.55 </w:t>
            </w:r>
          </w:p>
        </w:tc>
        <w:tc>
          <w:tcPr>
            <w:tcW w:w="787"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6.53 </w:t>
            </w:r>
          </w:p>
        </w:tc>
        <w:tc>
          <w:tcPr>
            <w:tcW w:w="87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kern w:val="2"/>
                <w:sz w:val="21"/>
                <w:szCs w:val="21"/>
                <w:u w:val="none"/>
                <w:lang w:val="en-US" w:eastAsia="zh-CN" w:bidi="ar-SA"/>
              </w:rPr>
              <w:t xml:space="preserve">17.33 </w:t>
            </w:r>
          </w:p>
        </w:tc>
        <w:tc>
          <w:tcPr>
            <w:tcW w:w="966"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0.73 </w:t>
            </w:r>
          </w:p>
        </w:tc>
        <w:tc>
          <w:tcPr>
            <w:tcW w:w="100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3.99 </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8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26.96 </w:t>
            </w:r>
          </w:p>
        </w:tc>
        <w:tc>
          <w:tcPr>
            <w:tcW w:w="85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113.52 </w:t>
            </w:r>
          </w:p>
        </w:tc>
        <w:tc>
          <w:tcPr>
            <w:tcW w:w="779"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0.91 </w:t>
            </w:r>
          </w:p>
        </w:tc>
        <w:tc>
          <w:tcPr>
            <w:tcW w:w="86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9.77 </w:t>
            </w:r>
          </w:p>
        </w:tc>
        <w:tc>
          <w:tcPr>
            <w:tcW w:w="78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0.15 </w:t>
            </w:r>
          </w:p>
        </w:tc>
        <w:tc>
          <w:tcPr>
            <w:tcW w:w="90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1.54 </w:t>
            </w:r>
          </w:p>
        </w:tc>
        <w:tc>
          <w:tcPr>
            <w:tcW w:w="787"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6.51 </w:t>
            </w:r>
          </w:p>
        </w:tc>
        <w:tc>
          <w:tcPr>
            <w:tcW w:w="87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kern w:val="2"/>
                <w:sz w:val="21"/>
                <w:szCs w:val="21"/>
                <w:u w:val="none"/>
                <w:lang w:val="en-US" w:eastAsia="zh-CN" w:bidi="ar-SA"/>
              </w:rPr>
              <w:t xml:space="preserve">17.27 </w:t>
            </w:r>
          </w:p>
        </w:tc>
        <w:tc>
          <w:tcPr>
            <w:tcW w:w="966"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0.73 </w:t>
            </w:r>
          </w:p>
        </w:tc>
        <w:tc>
          <w:tcPr>
            <w:tcW w:w="100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3.99 </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8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26.53 </w:t>
            </w:r>
          </w:p>
        </w:tc>
        <w:tc>
          <w:tcPr>
            <w:tcW w:w="85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111.71 </w:t>
            </w:r>
          </w:p>
        </w:tc>
        <w:tc>
          <w:tcPr>
            <w:tcW w:w="779"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0.90 </w:t>
            </w:r>
          </w:p>
        </w:tc>
        <w:tc>
          <w:tcPr>
            <w:tcW w:w="86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9.66 </w:t>
            </w:r>
          </w:p>
        </w:tc>
        <w:tc>
          <w:tcPr>
            <w:tcW w:w="78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0.15 </w:t>
            </w:r>
          </w:p>
        </w:tc>
        <w:tc>
          <w:tcPr>
            <w:tcW w:w="90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1.54 </w:t>
            </w:r>
          </w:p>
        </w:tc>
        <w:tc>
          <w:tcPr>
            <w:tcW w:w="787"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6.49 </w:t>
            </w:r>
          </w:p>
        </w:tc>
        <w:tc>
          <w:tcPr>
            <w:tcW w:w="87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kern w:val="2"/>
                <w:sz w:val="21"/>
                <w:szCs w:val="21"/>
                <w:u w:val="none"/>
                <w:lang w:val="en-US" w:eastAsia="zh-CN" w:bidi="ar-SA"/>
              </w:rPr>
              <w:t xml:space="preserve">17.21 </w:t>
            </w:r>
          </w:p>
        </w:tc>
        <w:tc>
          <w:tcPr>
            <w:tcW w:w="966"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0.73 </w:t>
            </w:r>
          </w:p>
        </w:tc>
        <w:tc>
          <w:tcPr>
            <w:tcW w:w="100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3.99 </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8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26.11 </w:t>
            </w:r>
          </w:p>
        </w:tc>
        <w:tc>
          <w:tcPr>
            <w:tcW w:w="85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109.93 </w:t>
            </w:r>
          </w:p>
        </w:tc>
        <w:tc>
          <w:tcPr>
            <w:tcW w:w="779"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0.89 </w:t>
            </w:r>
          </w:p>
        </w:tc>
        <w:tc>
          <w:tcPr>
            <w:tcW w:w="86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9.56 </w:t>
            </w:r>
          </w:p>
        </w:tc>
        <w:tc>
          <w:tcPr>
            <w:tcW w:w="78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0.15 </w:t>
            </w:r>
          </w:p>
        </w:tc>
        <w:tc>
          <w:tcPr>
            <w:tcW w:w="90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1.53 </w:t>
            </w:r>
          </w:p>
        </w:tc>
        <w:tc>
          <w:tcPr>
            <w:tcW w:w="787"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6.47 </w:t>
            </w:r>
          </w:p>
        </w:tc>
        <w:tc>
          <w:tcPr>
            <w:tcW w:w="87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kern w:val="2"/>
                <w:sz w:val="21"/>
                <w:szCs w:val="21"/>
                <w:u w:val="none"/>
                <w:lang w:val="en-US" w:eastAsia="zh-CN" w:bidi="ar-SA"/>
              </w:rPr>
              <w:t xml:space="preserve">17.16 </w:t>
            </w:r>
          </w:p>
        </w:tc>
        <w:tc>
          <w:tcPr>
            <w:tcW w:w="966"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0.73 </w:t>
            </w:r>
          </w:p>
        </w:tc>
        <w:tc>
          <w:tcPr>
            <w:tcW w:w="100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3.99 </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8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25.69 </w:t>
            </w:r>
          </w:p>
        </w:tc>
        <w:tc>
          <w:tcPr>
            <w:tcW w:w="85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108.18 </w:t>
            </w:r>
          </w:p>
        </w:tc>
        <w:tc>
          <w:tcPr>
            <w:tcW w:w="779"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0.88 </w:t>
            </w:r>
          </w:p>
        </w:tc>
        <w:tc>
          <w:tcPr>
            <w:tcW w:w="86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9.46 </w:t>
            </w:r>
          </w:p>
        </w:tc>
        <w:tc>
          <w:tcPr>
            <w:tcW w:w="78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0.15 </w:t>
            </w:r>
          </w:p>
        </w:tc>
        <w:tc>
          <w:tcPr>
            <w:tcW w:w="90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1.53 </w:t>
            </w:r>
          </w:p>
        </w:tc>
        <w:tc>
          <w:tcPr>
            <w:tcW w:w="787"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6.45 </w:t>
            </w:r>
          </w:p>
        </w:tc>
        <w:tc>
          <w:tcPr>
            <w:tcW w:w="87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kern w:val="2"/>
                <w:sz w:val="21"/>
                <w:szCs w:val="21"/>
                <w:u w:val="none"/>
                <w:lang w:val="en-US" w:eastAsia="zh-CN" w:bidi="ar-SA"/>
              </w:rPr>
              <w:t xml:space="preserve">17.10 </w:t>
            </w:r>
          </w:p>
        </w:tc>
        <w:tc>
          <w:tcPr>
            <w:tcW w:w="966"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0.73 </w:t>
            </w:r>
          </w:p>
        </w:tc>
        <w:tc>
          <w:tcPr>
            <w:tcW w:w="100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3.99 </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8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25.28 </w:t>
            </w:r>
          </w:p>
        </w:tc>
        <w:tc>
          <w:tcPr>
            <w:tcW w:w="85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106.45 </w:t>
            </w:r>
          </w:p>
        </w:tc>
        <w:tc>
          <w:tcPr>
            <w:tcW w:w="779"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0.87 </w:t>
            </w:r>
          </w:p>
        </w:tc>
        <w:tc>
          <w:tcPr>
            <w:tcW w:w="86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9.36 </w:t>
            </w:r>
          </w:p>
        </w:tc>
        <w:tc>
          <w:tcPr>
            <w:tcW w:w="78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0.15 </w:t>
            </w:r>
          </w:p>
        </w:tc>
        <w:tc>
          <w:tcPr>
            <w:tcW w:w="90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1.52 </w:t>
            </w:r>
          </w:p>
        </w:tc>
        <w:tc>
          <w:tcPr>
            <w:tcW w:w="787"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6.43 </w:t>
            </w:r>
          </w:p>
        </w:tc>
        <w:tc>
          <w:tcPr>
            <w:tcW w:w="87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kern w:val="2"/>
                <w:sz w:val="21"/>
                <w:szCs w:val="21"/>
                <w:u w:val="none"/>
                <w:lang w:val="en-US" w:eastAsia="zh-CN" w:bidi="ar-SA"/>
              </w:rPr>
              <w:t xml:space="preserve">17.04 </w:t>
            </w:r>
          </w:p>
        </w:tc>
        <w:tc>
          <w:tcPr>
            <w:tcW w:w="966"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0.73 </w:t>
            </w:r>
          </w:p>
        </w:tc>
        <w:tc>
          <w:tcPr>
            <w:tcW w:w="100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 xml:space="preserve">3.99 </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3420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24.94</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105.02</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0.87</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9.27</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0.15</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1.52</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6.41</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kern w:val="2"/>
                <w:sz w:val="21"/>
                <w:szCs w:val="21"/>
                <w:u w:val="none"/>
                <w:lang w:val="en-US" w:eastAsia="zh-CN" w:bidi="ar-SA"/>
              </w:rPr>
              <w:t>17.00</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0.73</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kern w:val="2"/>
                <w:sz w:val="21"/>
                <w:szCs w:val="21"/>
                <w:u w:val="none"/>
                <w:lang w:val="en-US" w:eastAsia="zh-CN" w:bidi="ar-SA"/>
              </w:rPr>
              <w:t>3.99</w:t>
            </w:r>
          </w:p>
        </w:tc>
        <w:tc>
          <w:tcPr>
            <w:tcW w:w="2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青龙河入龙川江汇前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龙川江</w:t>
            </w: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16.06</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31.13</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0.21</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1.79</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0.11</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0.37</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5.13</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7.12</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青龙河汇入龙川江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16.06</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31.13</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0.21</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1.79</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0.11</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0.37</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5.13</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7.12</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完全混合段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15.86</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30.75</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0.21</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1.78</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0.11</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0.37</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5.11</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7.10</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15.48</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30.01</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0.21</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1.75</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0.11</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kern w:val="2"/>
                <w:sz w:val="21"/>
                <w:szCs w:val="21"/>
                <w:u w:val="none"/>
                <w:lang w:val="en-US" w:eastAsia="zh-CN" w:bidi="ar-SA"/>
              </w:rPr>
              <w:t>0.37</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5.09</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7.07</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楚雄市第一污水处理厂排口汇入前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8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 xml:space="preserve">15.44 </w:t>
            </w:r>
          </w:p>
        </w:tc>
        <w:tc>
          <w:tcPr>
            <w:tcW w:w="85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 xml:space="preserve">28.66 </w:t>
            </w:r>
          </w:p>
        </w:tc>
        <w:tc>
          <w:tcPr>
            <w:tcW w:w="779"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 xml:space="preserve">0.24 </w:t>
            </w:r>
          </w:p>
        </w:tc>
        <w:tc>
          <w:tcPr>
            <w:tcW w:w="86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auto"/>
                <w:sz w:val="21"/>
                <w:szCs w:val="21"/>
                <w:u w:val="none"/>
                <w:lang w:val="en-US" w:eastAsia="zh-CN"/>
              </w:rPr>
            </w:pPr>
            <w:r>
              <w:rPr>
                <w:rFonts w:hint="eastAsia" w:cs="Times New Roman"/>
                <w:b/>
                <w:bCs/>
                <w:i w:val="0"/>
                <w:iCs w:val="0"/>
                <w:color w:val="auto"/>
                <w:sz w:val="21"/>
                <w:szCs w:val="21"/>
                <w:u w:val="none"/>
                <w:lang w:val="en-US" w:eastAsia="zh-CN"/>
              </w:rPr>
              <w:t xml:space="preserve">1.64 </w:t>
            </w:r>
          </w:p>
        </w:tc>
        <w:tc>
          <w:tcPr>
            <w:tcW w:w="78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 xml:space="preserve">0.15 </w:t>
            </w:r>
          </w:p>
        </w:tc>
        <w:tc>
          <w:tcPr>
            <w:tcW w:w="90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auto"/>
                <w:sz w:val="21"/>
                <w:szCs w:val="21"/>
                <w:u w:val="none"/>
                <w:lang w:val="en-US" w:eastAsia="zh-CN"/>
              </w:rPr>
            </w:pPr>
            <w:r>
              <w:rPr>
                <w:rFonts w:hint="eastAsia" w:cs="Times New Roman"/>
                <w:b/>
                <w:bCs/>
                <w:i w:val="0"/>
                <w:iCs w:val="0"/>
                <w:color w:val="auto"/>
                <w:sz w:val="21"/>
                <w:szCs w:val="21"/>
                <w:u w:val="none"/>
                <w:lang w:val="en-US" w:eastAsia="zh-CN"/>
              </w:rPr>
              <w:t xml:space="preserve">0.38 </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5.09</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7.07</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楚雄市第一污水处理厂排口汇入后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8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 xml:space="preserve">15.44 </w:t>
            </w:r>
          </w:p>
        </w:tc>
        <w:tc>
          <w:tcPr>
            <w:tcW w:w="85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 xml:space="preserve">28.66 </w:t>
            </w:r>
          </w:p>
        </w:tc>
        <w:tc>
          <w:tcPr>
            <w:tcW w:w="779"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 xml:space="preserve">0.24 </w:t>
            </w:r>
          </w:p>
        </w:tc>
        <w:tc>
          <w:tcPr>
            <w:tcW w:w="862"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sz w:val="21"/>
                <w:szCs w:val="21"/>
                <w:u w:val="none"/>
                <w:lang w:val="en-US" w:eastAsia="zh-CN"/>
              </w:rPr>
              <w:t xml:space="preserve">1.64 </w:t>
            </w:r>
          </w:p>
        </w:tc>
        <w:tc>
          <w:tcPr>
            <w:tcW w:w="78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 xml:space="preserve">0.15 </w:t>
            </w:r>
          </w:p>
        </w:tc>
        <w:tc>
          <w:tcPr>
            <w:tcW w:w="90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cs="Times New Roman"/>
                <w:b/>
                <w:bCs/>
                <w:i w:val="0"/>
                <w:iCs w:val="0"/>
                <w:color w:val="auto"/>
                <w:sz w:val="21"/>
                <w:szCs w:val="21"/>
                <w:u w:val="none"/>
                <w:lang w:val="en-US" w:eastAsia="zh-CN"/>
              </w:rPr>
              <w:t xml:space="preserve">0.38 </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5.06</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7.03</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14.88</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27.63</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0.23</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1.60</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0.14</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0.38</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5.01</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6.96</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14.18</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26.33</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0.22</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1.55</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0.14</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0.38</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4.96</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6.89</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13.51</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25.09</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0.22</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1.50</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0.14</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0.37</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4.91</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6.82</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12.88</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23.90</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0.21</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1.45</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0.14</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0.37</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4.87</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6.76</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12.51</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23.22</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0.21</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1.42</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0.14</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0.37</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4.84</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6.72</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楚雄市第二污水处理厂汇入前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13.97</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23.03</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0.27</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1.30</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0.20</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0.39</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4.84</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6.72</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楚雄市第二污水处理厂汇入后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13.97</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23.03</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0.27</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1.30</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0.20</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0.39</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4.82</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6.69</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13.50</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22.27</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0.27</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1.27</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0.19</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0.39</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4.77</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6.62</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12.87</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21.22</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0.26</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1.23</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0.19</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0.38</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4.72</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6.56</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9100</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12.80</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21.12</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0.26</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1.22</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0.19</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ascii="Times New Roman" w:hAnsi="Times New Roman" w:eastAsia="宋体" w:cs="Times New Roman"/>
                <w:b/>
                <w:bCs/>
                <w:i w:val="0"/>
                <w:iCs w:val="0"/>
                <w:color w:val="auto"/>
                <w:sz w:val="21"/>
                <w:szCs w:val="21"/>
                <w:u w:val="none"/>
                <w:lang w:val="en-US" w:eastAsia="zh-CN"/>
              </w:rPr>
              <w:t>0.38</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4.72</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6.55</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0.32</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0.94</w:t>
            </w:r>
          </w:p>
        </w:tc>
        <w:tc>
          <w:tcPr>
            <w:tcW w:w="2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西观桥国控断面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02"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最小安全余量</w:t>
            </w:r>
          </w:p>
        </w:tc>
        <w:tc>
          <w:tcPr>
            <w:tcW w:w="81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8%</w:t>
            </w:r>
          </w:p>
        </w:tc>
        <w:tc>
          <w:tcPr>
            <w:tcW w:w="85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77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38%</w:t>
            </w:r>
          </w:p>
        </w:tc>
        <w:tc>
          <w:tcPr>
            <w:tcW w:w="86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78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33.3%</w:t>
            </w:r>
          </w:p>
        </w:tc>
        <w:tc>
          <w:tcPr>
            <w:tcW w:w="90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cs="Times New Roman"/>
                <w:b/>
                <w:bCs/>
                <w:i w:val="0"/>
                <w:iCs w:val="0"/>
                <w:color w:val="auto"/>
                <w:sz w:val="21"/>
                <w:szCs w:val="21"/>
                <w:u w:val="none"/>
                <w:lang w:val="en-US" w:eastAsia="zh-CN"/>
              </w:rPr>
              <w:t>/</w:t>
            </w:r>
          </w:p>
        </w:tc>
        <w:tc>
          <w:tcPr>
            <w:tcW w:w="78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72"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w:t>
            </w:r>
          </w:p>
        </w:tc>
        <w:tc>
          <w:tcPr>
            <w:tcW w:w="96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51.33%</w:t>
            </w:r>
          </w:p>
        </w:tc>
        <w:tc>
          <w:tcPr>
            <w:tcW w:w="100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2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pPr>
        <w:autoSpaceDE w:val="0"/>
        <w:autoSpaceDN w:val="0"/>
        <w:ind w:firstLine="560" w:firstLineChars="0"/>
        <w:jc w:val="center"/>
        <w:rPr>
          <w:b/>
          <w:bCs/>
          <w:color w:val="auto"/>
          <w:kern w:val="21"/>
        </w:rPr>
      </w:pPr>
    </w:p>
    <w:p>
      <w:pPr>
        <w:ind w:firstLine="480"/>
        <w:jc w:val="left"/>
        <w:rPr>
          <w:rFonts w:hint="default" w:ascii="Times New Roman" w:hAnsi="Times New Roman" w:eastAsia="宋体" w:cs="Times New Roman"/>
          <w:color w:val="auto"/>
          <w:spacing w:val="0"/>
          <w:w w:val="100"/>
          <w:kern w:val="21"/>
          <w:sz w:val="24"/>
        </w:rPr>
        <w:sectPr>
          <w:pgSz w:w="16783" w:h="11850" w:orient="landscape"/>
          <w:pgMar w:top="1417" w:right="1418" w:bottom="1134" w:left="1134" w:header="851" w:footer="992" w:gutter="0"/>
          <w:cols w:space="0" w:num="1"/>
          <w:rtlGutter w:val="0"/>
          <w:docGrid w:type="lines" w:linePitch="332" w:charSpace="0"/>
        </w:sectPr>
      </w:pPr>
    </w:p>
    <w:p>
      <w:pPr>
        <w:keepNext w:val="0"/>
        <w:keepLines w:val="0"/>
        <w:widowControl/>
        <w:suppressLineNumbers w:val="0"/>
        <w:jc w:val="left"/>
        <w:rPr>
          <w:rFonts w:hint="default" w:ascii="Times New Roman" w:hAnsi="Times New Roman" w:eastAsia="宋体" w:cs="Times New Roman"/>
          <w:color w:val="auto"/>
          <w:spacing w:val="0"/>
          <w:w w:val="100"/>
          <w:sz w:val="24"/>
        </w:rPr>
      </w:pPr>
      <w:r>
        <w:rPr>
          <w:rFonts w:hint="eastAsia" w:cs="Times New Roman"/>
          <w:color w:val="auto"/>
          <w:spacing w:val="0"/>
          <w:w w:val="100"/>
          <w:kern w:val="21"/>
          <w:sz w:val="24"/>
          <w:lang w:eastAsia="zh-CN"/>
        </w:rPr>
        <w:t>根据表</w:t>
      </w:r>
      <w:r>
        <w:rPr>
          <w:rFonts w:hint="eastAsia" w:cs="Times New Roman"/>
          <w:color w:val="auto"/>
          <w:spacing w:val="0"/>
          <w:w w:val="100"/>
          <w:kern w:val="21"/>
          <w:sz w:val="24"/>
          <w:lang w:val="en-US" w:eastAsia="zh-CN"/>
        </w:rPr>
        <w:t>5-6的预测结果看，</w:t>
      </w:r>
      <w:r>
        <w:rPr>
          <w:rFonts w:hint="default" w:ascii="Times New Roman" w:hAnsi="Times New Roman" w:eastAsia="宋体" w:cs="Times New Roman"/>
          <w:color w:val="auto"/>
          <w:spacing w:val="0"/>
          <w:w w:val="100"/>
          <w:kern w:val="21"/>
          <w:sz w:val="24"/>
        </w:rPr>
        <w:t>考虑区域实施</w:t>
      </w:r>
      <w:r>
        <w:rPr>
          <w:rFonts w:hint="eastAsia" w:cs="Times New Roman"/>
          <w:color w:val="auto"/>
          <w:spacing w:val="0"/>
          <w:w w:val="100"/>
          <w:kern w:val="21"/>
          <w:sz w:val="24"/>
          <w:lang w:eastAsia="zh-CN"/>
        </w:rPr>
        <w:t>《楚雄市青龙河入龙川江口断面水体达标方案（2021-2025年）》</w:t>
      </w:r>
      <w:r>
        <w:rPr>
          <w:rFonts w:hint="default" w:ascii="Times New Roman" w:hAnsi="Times New Roman" w:eastAsia="宋体" w:cs="Times New Roman"/>
          <w:color w:val="auto"/>
          <w:spacing w:val="0"/>
          <w:w w:val="100"/>
          <w:kern w:val="21"/>
          <w:sz w:val="24"/>
        </w:rPr>
        <w:t>后环境质量改善目标要求情景下的模拟预测</w:t>
      </w:r>
      <w:r>
        <w:rPr>
          <w:rFonts w:hint="eastAsia" w:cs="Times New Roman"/>
          <w:color w:val="auto"/>
          <w:spacing w:val="0"/>
          <w:w w:val="100"/>
          <w:kern w:val="21"/>
          <w:sz w:val="24"/>
          <w:lang w:eastAsia="zh-CN"/>
        </w:rPr>
        <w:t>，</w:t>
      </w:r>
      <w:r>
        <w:rPr>
          <w:rFonts w:hint="default" w:ascii="Times New Roman" w:hAnsi="Times New Roman" w:eastAsia="宋体" w:cs="Times New Roman"/>
          <w:color w:val="auto"/>
          <w:spacing w:val="0"/>
          <w:w w:val="100"/>
          <w:sz w:val="24"/>
        </w:rPr>
        <w:t>在青龙河枯水期，本项目正常排放情况下，经过完全混合后，</w:t>
      </w:r>
      <w:r>
        <w:rPr>
          <w:rFonts w:hint="eastAsia" w:cs="Times New Roman"/>
          <w:color w:val="auto"/>
          <w:spacing w:val="0"/>
          <w:w w:val="100"/>
          <w:sz w:val="24"/>
          <w:lang w:eastAsia="zh-CN"/>
        </w:rPr>
        <w:t>预测因子</w:t>
      </w:r>
      <w:r>
        <w:rPr>
          <w:rFonts w:hint="default" w:ascii="Times New Roman" w:hAnsi="Times New Roman" w:eastAsia="宋体" w:cs="Times New Roman"/>
          <w:color w:val="auto"/>
          <w:spacing w:val="0"/>
          <w:w w:val="100"/>
          <w:sz w:val="24"/>
        </w:rPr>
        <w:t>COD、</w:t>
      </w:r>
      <w:r>
        <w:rPr>
          <w:rFonts w:hint="eastAsia" w:cs="Times New Roman"/>
          <w:color w:val="auto"/>
          <w:spacing w:val="0"/>
          <w:w w:val="100"/>
          <w:sz w:val="24"/>
          <w:lang w:eastAsia="zh-CN"/>
        </w:rPr>
        <w:t>氨氮、</w:t>
      </w:r>
      <w:r>
        <w:rPr>
          <w:rFonts w:hint="default" w:ascii="Times New Roman" w:hAnsi="Times New Roman" w:eastAsia="宋体" w:cs="Times New Roman"/>
          <w:color w:val="auto"/>
          <w:spacing w:val="0"/>
          <w:w w:val="100"/>
          <w:sz w:val="24"/>
        </w:rPr>
        <w:t>总磷</w:t>
      </w:r>
      <w:r>
        <w:rPr>
          <w:rFonts w:hint="eastAsia" w:cs="Times New Roman"/>
          <w:color w:val="auto"/>
          <w:spacing w:val="0"/>
          <w:w w:val="100"/>
          <w:sz w:val="24"/>
          <w:lang w:eastAsia="zh-CN"/>
        </w:rPr>
        <w:t>、</w:t>
      </w:r>
      <w:r>
        <w:rPr>
          <w:rFonts w:hint="default" w:ascii="Times New Roman" w:hAnsi="Times New Roman" w:eastAsia="宋体" w:cs="Times New Roman"/>
          <w:color w:val="auto"/>
          <w:spacing w:val="0"/>
          <w:w w:val="100"/>
          <w:sz w:val="24"/>
        </w:rPr>
        <w:t>和氟化物</w:t>
      </w:r>
      <w:r>
        <w:rPr>
          <w:rFonts w:hint="eastAsia" w:cs="Times New Roman"/>
          <w:color w:val="auto"/>
          <w:spacing w:val="0"/>
          <w:w w:val="100"/>
          <w:sz w:val="24"/>
          <w:lang w:eastAsia="zh-CN"/>
        </w:rPr>
        <w:t>均能达到</w:t>
      </w:r>
      <w:r>
        <w:rPr>
          <w:rFonts w:hint="default" w:ascii="Times New Roman" w:hAnsi="Times New Roman" w:eastAsia="宋体" w:cs="Times New Roman"/>
          <w:color w:val="auto"/>
          <w:spacing w:val="0"/>
          <w:w w:val="100"/>
          <w:sz w:val="24"/>
        </w:rPr>
        <w:t>《地表水环境质量标准》（GB3838-2002）中</w:t>
      </w:r>
      <w:r>
        <w:rPr>
          <w:rFonts w:hint="default" w:ascii="Times New Roman" w:hAnsi="Times New Roman" w:eastAsia="宋体" w:cs="Times New Roman"/>
          <w:color w:val="auto"/>
          <w:spacing w:val="0"/>
          <w:w w:val="100"/>
          <w:sz w:val="24"/>
        </w:rPr>
        <w:fldChar w:fldCharType="begin"/>
      </w:r>
      <w:r>
        <w:rPr>
          <w:rFonts w:hint="default" w:ascii="Times New Roman" w:hAnsi="Times New Roman" w:eastAsia="宋体" w:cs="Times New Roman"/>
          <w:color w:val="auto"/>
          <w:spacing w:val="0"/>
          <w:w w:val="100"/>
          <w:sz w:val="24"/>
        </w:rPr>
        <w:instrText xml:space="preserve"> = 4 \* ROMAN \* MERGEFORMAT </w:instrText>
      </w:r>
      <w:r>
        <w:rPr>
          <w:rFonts w:hint="default" w:ascii="Times New Roman" w:hAnsi="Times New Roman" w:eastAsia="宋体" w:cs="Times New Roman"/>
          <w:color w:val="auto"/>
          <w:spacing w:val="0"/>
          <w:w w:val="100"/>
          <w:sz w:val="24"/>
        </w:rPr>
        <w:fldChar w:fldCharType="separate"/>
      </w:r>
      <w:r>
        <w:rPr>
          <w:rFonts w:hint="default" w:ascii="Times New Roman" w:hAnsi="Times New Roman" w:eastAsia="宋体" w:cs="Times New Roman"/>
          <w:color w:val="auto"/>
          <w:spacing w:val="0"/>
          <w:w w:val="100"/>
          <w:sz w:val="24"/>
        </w:rPr>
        <w:t>IV</w:t>
      </w:r>
      <w:r>
        <w:rPr>
          <w:rFonts w:hint="default" w:ascii="Times New Roman" w:hAnsi="Times New Roman" w:eastAsia="宋体" w:cs="Times New Roman"/>
          <w:color w:val="auto"/>
          <w:spacing w:val="0"/>
          <w:w w:val="100"/>
          <w:sz w:val="24"/>
        </w:rPr>
        <w:fldChar w:fldCharType="end"/>
      </w:r>
      <w:r>
        <w:rPr>
          <w:rFonts w:hint="default" w:ascii="Times New Roman" w:hAnsi="Times New Roman" w:eastAsia="宋体" w:cs="Times New Roman"/>
          <w:color w:val="auto"/>
          <w:spacing w:val="0"/>
          <w:w w:val="100"/>
          <w:sz w:val="24"/>
        </w:rPr>
        <w:t>类水体标准限值</w:t>
      </w:r>
      <w:r>
        <w:rPr>
          <w:rFonts w:hint="eastAsia" w:cs="Times New Roman"/>
          <w:color w:val="auto"/>
          <w:spacing w:val="0"/>
          <w:w w:val="100"/>
          <w:sz w:val="24"/>
          <w:lang w:eastAsia="zh-CN"/>
        </w:rPr>
        <w:t>；在</w:t>
      </w:r>
      <w:r>
        <w:rPr>
          <w:rFonts w:hint="eastAsia" w:cs="Times New Roman"/>
          <w:color w:val="auto"/>
          <w:spacing w:val="0"/>
          <w:w w:val="100"/>
          <w:sz w:val="24"/>
          <w:lang w:val="en-US" w:eastAsia="zh-CN"/>
        </w:rPr>
        <w:t>3420m后汇入龙川江，也未改变龙川江</w:t>
      </w:r>
      <w:r>
        <w:rPr>
          <w:rFonts w:hint="default" w:ascii="Times New Roman" w:hAnsi="Times New Roman" w:eastAsia="宋体" w:cs="Times New Roman"/>
          <w:color w:val="auto"/>
          <w:spacing w:val="0"/>
          <w:w w:val="100"/>
          <w:sz w:val="24"/>
        </w:rPr>
        <w:fldChar w:fldCharType="begin"/>
      </w:r>
      <w:r>
        <w:rPr>
          <w:rFonts w:hint="default" w:ascii="Times New Roman" w:hAnsi="Times New Roman" w:eastAsia="宋体" w:cs="Times New Roman"/>
          <w:color w:val="auto"/>
          <w:spacing w:val="0"/>
          <w:w w:val="100"/>
          <w:sz w:val="24"/>
        </w:rPr>
        <w:instrText xml:space="preserve"> = 4 \* ROMAN \* MERGEFORMAT </w:instrText>
      </w:r>
      <w:r>
        <w:rPr>
          <w:rFonts w:hint="default" w:ascii="Times New Roman" w:hAnsi="Times New Roman" w:eastAsia="宋体" w:cs="Times New Roman"/>
          <w:color w:val="auto"/>
          <w:spacing w:val="0"/>
          <w:w w:val="100"/>
          <w:sz w:val="24"/>
        </w:rPr>
        <w:fldChar w:fldCharType="separate"/>
      </w:r>
      <w:r>
        <w:rPr>
          <w:rFonts w:hint="default" w:ascii="Times New Roman" w:hAnsi="Times New Roman" w:eastAsia="宋体" w:cs="Times New Roman"/>
          <w:color w:val="auto"/>
          <w:spacing w:val="0"/>
          <w:w w:val="100"/>
          <w:sz w:val="24"/>
        </w:rPr>
        <w:t>IV</w:t>
      </w:r>
      <w:r>
        <w:rPr>
          <w:rFonts w:hint="default" w:ascii="Times New Roman" w:hAnsi="Times New Roman" w:eastAsia="宋体" w:cs="Times New Roman"/>
          <w:color w:val="auto"/>
          <w:spacing w:val="0"/>
          <w:w w:val="100"/>
          <w:sz w:val="24"/>
        </w:rPr>
        <w:fldChar w:fldCharType="end"/>
      </w:r>
      <w:r>
        <w:rPr>
          <w:rFonts w:hint="default" w:ascii="Times New Roman" w:hAnsi="Times New Roman" w:eastAsia="宋体" w:cs="Times New Roman"/>
          <w:color w:val="auto"/>
          <w:spacing w:val="0"/>
          <w:w w:val="100"/>
          <w:sz w:val="24"/>
        </w:rPr>
        <w:t>类水体</w:t>
      </w:r>
      <w:r>
        <w:rPr>
          <w:rFonts w:hint="eastAsia" w:cs="Times New Roman"/>
          <w:color w:val="auto"/>
          <w:spacing w:val="0"/>
          <w:w w:val="100"/>
          <w:sz w:val="24"/>
          <w:lang w:eastAsia="zh-CN"/>
        </w:rPr>
        <w:t>的水质要求，行进至龙川江河段</w:t>
      </w:r>
      <w:r>
        <w:rPr>
          <w:rFonts w:hint="eastAsia" w:cs="Times New Roman"/>
          <w:color w:val="auto"/>
          <w:spacing w:val="0"/>
          <w:w w:val="100"/>
          <w:sz w:val="24"/>
          <w:lang w:val="en-US" w:eastAsia="zh-CN"/>
        </w:rPr>
        <w:t>1500m和6600m处，叠加楚雄市第一污水处理厂和楚雄市第二污水处理厂的排污情况后，同样未出现超标河段，行进至9100m西观桥断面</w:t>
      </w:r>
      <w:r>
        <w:rPr>
          <w:rFonts w:hint="default" w:ascii="Times New Roman" w:hAnsi="Times New Roman" w:eastAsia="宋体" w:cs="Times New Roman"/>
          <w:color w:val="auto"/>
          <w:spacing w:val="0"/>
          <w:w w:val="100"/>
          <w:sz w:val="24"/>
        </w:rPr>
        <w:t>COD、</w:t>
      </w:r>
      <w:r>
        <w:rPr>
          <w:rFonts w:hint="eastAsia" w:cs="Times New Roman"/>
          <w:color w:val="auto"/>
          <w:spacing w:val="0"/>
          <w:w w:val="100"/>
          <w:sz w:val="24"/>
          <w:lang w:eastAsia="zh-CN"/>
        </w:rPr>
        <w:t>氨氮、</w:t>
      </w:r>
      <w:r>
        <w:rPr>
          <w:rFonts w:hint="default" w:ascii="Times New Roman" w:hAnsi="Times New Roman" w:eastAsia="宋体" w:cs="Times New Roman"/>
          <w:color w:val="auto"/>
          <w:spacing w:val="0"/>
          <w:w w:val="100"/>
          <w:sz w:val="24"/>
        </w:rPr>
        <w:t>总磷</w:t>
      </w:r>
      <w:r>
        <w:rPr>
          <w:rFonts w:hint="eastAsia" w:cs="Times New Roman"/>
          <w:color w:val="auto"/>
          <w:spacing w:val="0"/>
          <w:w w:val="100"/>
          <w:sz w:val="24"/>
          <w:lang w:eastAsia="zh-CN"/>
        </w:rPr>
        <w:t>、</w:t>
      </w:r>
      <w:r>
        <w:rPr>
          <w:rFonts w:hint="default" w:ascii="Times New Roman" w:hAnsi="Times New Roman" w:eastAsia="宋体" w:cs="Times New Roman"/>
          <w:color w:val="auto"/>
          <w:spacing w:val="0"/>
          <w:w w:val="100"/>
          <w:sz w:val="24"/>
        </w:rPr>
        <w:t>和氟化物</w:t>
      </w:r>
      <w:r>
        <w:rPr>
          <w:rFonts w:hint="eastAsia" w:cs="Times New Roman"/>
          <w:color w:val="auto"/>
          <w:spacing w:val="0"/>
          <w:w w:val="100"/>
          <w:sz w:val="24"/>
          <w:lang w:eastAsia="zh-CN"/>
        </w:rPr>
        <w:t>预测指标分别为</w:t>
      </w:r>
      <w:r>
        <w:rPr>
          <w:rFonts w:hint="eastAsia" w:cs="Times New Roman"/>
          <w:color w:val="auto"/>
          <w:spacing w:val="0"/>
          <w:w w:val="100"/>
          <w:sz w:val="24"/>
          <w:lang w:val="en-US" w:eastAsia="zh-CN"/>
        </w:rPr>
        <w:t>14.07mg/L、0.39mg/L、0.25mg/L、0.70mg/L，也未超过</w:t>
      </w:r>
      <w:r>
        <w:rPr>
          <w:rFonts w:hint="default" w:ascii="Times New Roman" w:hAnsi="Times New Roman" w:eastAsia="宋体" w:cs="Times New Roman"/>
          <w:color w:val="auto"/>
          <w:spacing w:val="0"/>
          <w:w w:val="100"/>
          <w:sz w:val="24"/>
        </w:rPr>
        <w:t>《地表水环境质量标准》（GB3838-2002）中</w:t>
      </w:r>
      <w:r>
        <w:rPr>
          <w:rFonts w:hint="default" w:ascii="Times New Roman" w:hAnsi="Times New Roman" w:eastAsia="宋体" w:cs="Times New Roman"/>
          <w:color w:val="auto"/>
          <w:spacing w:val="0"/>
          <w:w w:val="100"/>
          <w:sz w:val="24"/>
        </w:rPr>
        <w:fldChar w:fldCharType="begin"/>
      </w:r>
      <w:r>
        <w:rPr>
          <w:rFonts w:hint="default" w:ascii="Times New Roman" w:hAnsi="Times New Roman" w:eastAsia="宋体" w:cs="Times New Roman"/>
          <w:color w:val="auto"/>
          <w:spacing w:val="0"/>
          <w:w w:val="100"/>
          <w:sz w:val="24"/>
        </w:rPr>
        <w:instrText xml:space="preserve"> = 4 \* ROMAN \* MERGEFORMAT </w:instrText>
      </w:r>
      <w:r>
        <w:rPr>
          <w:rFonts w:hint="default" w:ascii="Times New Roman" w:hAnsi="Times New Roman" w:eastAsia="宋体" w:cs="Times New Roman"/>
          <w:color w:val="auto"/>
          <w:spacing w:val="0"/>
          <w:w w:val="100"/>
          <w:sz w:val="24"/>
        </w:rPr>
        <w:fldChar w:fldCharType="separate"/>
      </w:r>
      <w:r>
        <w:rPr>
          <w:rFonts w:hint="default" w:ascii="Times New Roman" w:hAnsi="Times New Roman" w:eastAsia="宋体" w:cs="Times New Roman"/>
          <w:color w:val="auto"/>
          <w:spacing w:val="0"/>
          <w:w w:val="100"/>
          <w:sz w:val="24"/>
        </w:rPr>
        <w:t>IV</w:t>
      </w:r>
      <w:r>
        <w:rPr>
          <w:rFonts w:hint="default" w:ascii="Times New Roman" w:hAnsi="Times New Roman" w:eastAsia="宋体" w:cs="Times New Roman"/>
          <w:color w:val="auto"/>
          <w:spacing w:val="0"/>
          <w:w w:val="100"/>
          <w:sz w:val="24"/>
        </w:rPr>
        <w:fldChar w:fldCharType="end"/>
      </w:r>
      <w:r>
        <w:rPr>
          <w:rFonts w:hint="default" w:ascii="Times New Roman" w:hAnsi="Times New Roman" w:eastAsia="宋体" w:cs="Times New Roman"/>
          <w:color w:val="auto"/>
          <w:spacing w:val="0"/>
          <w:w w:val="100"/>
          <w:sz w:val="24"/>
        </w:rPr>
        <w:t>类水体标准限值</w:t>
      </w:r>
      <w:r>
        <w:rPr>
          <w:rFonts w:hint="eastAsia" w:cs="Times New Roman"/>
          <w:color w:val="auto"/>
          <w:spacing w:val="0"/>
          <w:w w:val="100"/>
          <w:sz w:val="24"/>
          <w:lang w:val="en-US" w:eastAsia="zh-CN"/>
        </w:rPr>
        <w:t>要求。</w:t>
      </w:r>
      <w:r>
        <w:rPr>
          <w:rFonts w:hint="eastAsia" w:cs="Times New Roman"/>
          <w:color w:val="auto"/>
          <w:spacing w:val="0"/>
          <w:w w:val="100"/>
          <w:sz w:val="24"/>
          <w:lang w:eastAsia="zh-CN"/>
        </w:rPr>
        <w:t>且</w:t>
      </w:r>
      <w:r>
        <w:rPr>
          <w:rFonts w:hint="eastAsia" w:cs="Times New Roman"/>
          <w:color w:val="auto"/>
          <w:spacing w:val="0"/>
          <w:w w:val="100"/>
          <w:sz w:val="24"/>
          <w:lang w:val="en-US" w:eastAsia="zh-CN"/>
        </w:rPr>
        <w:t>COD预留有9.8%安全余量、氨氮预留有8%安全余量、总磷预留有10%安全余量、氟化物预留有9.33%安全余</w:t>
      </w:r>
      <w:r>
        <w:rPr>
          <w:rFonts w:hint="eastAsia" w:ascii="Times New Roman" w:hAnsi="Times New Roman" w:eastAsia="宋体" w:cs="Times New Roman"/>
          <w:color w:val="auto"/>
          <w:spacing w:val="0"/>
          <w:w w:val="100"/>
          <w:sz w:val="24"/>
          <w:lang w:val="en-US" w:eastAsia="zh-CN"/>
        </w:rPr>
        <w:t>量</w:t>
      </w:r>
      <w:r>
        <w:rPr>
          <w:rFonts w:hint="eastAsia" w:cs="Times New Roman"/>
          <w:color w:val="auto"/>
          <w:spacing w:val="0"/>
          <w:w w:val="100"/>
          <w:sz w:val="24"/>
          <w:lang w:val="en-US" w:eastAsia="zh-CN"/>
        </w:rPr>
        <w:t>，</w:t>
      </w:r>
      <w:r>
        <w:rPr>
          <w:rFonts w:hint="eastAsia" w:ascii="Times New Roman" w:hAnsi="Times New Roman" w:eastAsia="宋体" w:cs="Times New Roman"/>
          <w:color w:val="auto"/>
          <w:spacing w:val="0"/>
          <w:w w:val="100"/>
          <w:sz w:val="24"/>
          <w:lang w:val="en-US" w:eastAsia="zh-CN"/>
        </w:rPr>
        <w:t>满足地表水环境质量管理及安全余量要求。</w:t>
      </w:r>
    </w:p>
    <w:p>
      <w:pPr>
        <w:jc w:val="left"/>
        <w:rPr>
          <w:rFonts w:hint="default" w:ascii="Times New Roman" w:hAnsi="Times New Roman" w:eastAsia="宋体" w:cs="Times New Roman"/>
          <w:b w:val="0"/>
          <w:bCs w:val="0"/>
          <w:color w:val="auto"/>
          <w:spacing w:val="0"/>
          <w:w w:val="100"/>
          <w:kern w:val="21"/>
          <w:sz w:val="24"/>
          <w:lang w:val="en-US" w:eastAsia="zh-CN"/>
        </w:rPr>
      </w:pPr>
      <w:r>
        <w:rPr>
          <w:rFonts w:hint="eastAsia" w:cs="Times New Roman"/>
          <w:b w:val="0"/>
          <w:bCs w:val="0"/>
          <w:color w:val="auto"/>
          <w:spacing w:val="0"/>
          <w:w w:val="100"/>
          <w:kern w:val="21"/>
          <w:sz w:val="24"/>
          <w:lang w:val="en-US" w:eastAsia="zh-CN"/>
        </w:rPr>
        <w:t>《地表水环境质量标准》（GB3838-2002）对河流中总氮未设置标准限值，且根据“中华人民共和国生态环境部部长信箱”2020年8月10日对“关于地表水质量标准中总氮限值问题的回复”：总氮不作为日常水质评价标准，必要时可作为参考指标单独评价。因此，本项目总氮作为参考指标单独进行评价。枯水期本项目总氮达标排入青龙河完全混合后的浓度为9.89mg/L，青龙河总氮背景浓度值为3.98mg/L，本项目正常排污对青龙河的总氮增量为1.48倍；在行进3420m入龙川江完全混合后的浓度为7.58mg/L，龙川江总氮背景浓度值为6.86mg/L，本项目正常排污对青龙河的总氮增量为0.10倍。从上述情况看，项目枯水期排污是青龙河总氮升高的主要原因，但对龙川江的增量影响不大。</w:t>
      </w:r>
    </w:p>
    <w:p>
      <w:pPr>
        <w:ind w:firstLine="480"/>
        <w:jc w:val="left"/>
        <w:rPr>
          <w:rFonts w:hint="eastAsia" w:cs="Times New Roman"/>
          <w:color w:val="auto"/>
          <w:spacing w:val="0"/>
          <w:w w:val="100"/>
          <w:sz w:val="24"/>
          <w:lang w:val="en-US" w:eastAsia="zh-CN"/>
        </w:rPr>
      </w:pPr>
      <w:r>
        <w:rPr>
          <w:rFonts w:hint="default" w:ascii="Times New Roman" w:hAnsi="Times New Roman" w:eastAsia="宋体" w:cs="Times New Roman"/>
          <w:color w:val="auto"/>
          <w:spacing w:val="0"/>
          <w:w w:val="100"/>
          <w:sz w:val="24"/>
        </w:rPr>
        <w:t>在青龙河枯水期，</w:t>
      </w:r>
      <w:r>
        <w:rPr>
          <w:rFonts w:hint="eastAsia" w:cs="Times New Roman"/>
          <w:color w:val="auto"/>
          <w:spacing w:val="0"/>
          <w:w w:val="100"/>
          <w:kern w:val="21"/>
          <w:sz w:val="24"/>
          <w:lang w:eastAsia="zh-CN"/>
        </w:rPr>
        <w:t>非正常排污情况下，</w:t>
      </w:r>
      <w:r>
        <w:rPr>
          <w:rFonts w:hint="default" w:ascii="Times New Roman" w:hAnsi="Times New Roman" w:eastAsia="宋体" w:cs="Times New Roman"/>
          <w:color w:val="auto"/>
          <w:spacing w:val="0"/>
          <w:w w:val="100"/>
          <w:sz w:val="24"/>
        </w:rPr>
        <w:t>经过完全混合后，</w:t>
      </w:r>
      <w:r>
        <w:rPr>
          <w:rFonts w:hint="eastAsia" w:cs="Times New Roman"/>
          <w:color w:val="auto"/>
          <w:spacing w:val="0"/>
          <w:w w:val="100"/>
          <w:sz w:val="24"/>
          <w:lang w:eastAsia="zh-CN"/>
        </w:rPr>
        <w:t>预测因子</w:t>
      </w:r>
      <w:r>
        <w:rPr>
          <w:rFonts w:hint="default" w:ascii="Times New Roman" w:hAnsi="Times New Roman" w:eastAsia="宋体" w:cs="Times New Roman"/>
          <w:color w:val="auto"/>
          <w:spacing w:val="0"/>
          <w:w w:val="100"/>
          <w:sz w:val="24"/>
        </w:rPr>
        <w:t>COD、</w:t>
      </w:r>
      <w:r>
        <w:rPr>
          <w:rFonts w:hint="eastAsia" w:cs="Times New Roman"/>
          <w:color w:val="auto"/>
          <w:spacing w:val="0"/>
          <w:w w:val="100"/>
          <w:sz w:val="24"/>
          <w:lang w:eastAsia="zh-CN"/>
        </w:rPr>
        <w:t>氨氮、</w:t>
      </w:r>
      <w:r>
        <w:rPr>
          <w:rFonts w:hint="default" w:ascii="Times New Roman" w:hAnsi="Times New Roman" w:eastAsia="宋体" w:cs="Times New Roman"/>
          <w:color w:val="auto"/>
          <w:spacing w:val="0"/>
          <w:w w:val="100"/>
          <w:sz w:val="24"/>
        </w:rPr>
        <w:t>总磷</w:t>
      </w:r>
      <w:r>
        <w:rPr>
          <w:rFonts w:hint="eastAsia" w:cs="Times New Roman"/>
          <w:color w:val="auto"/>
          <w:spacing w:val="0"/>
          <w:w w:val="100"/>
          <w:sz w:val="24"/>
          <w:lang w:eastAsia="zh-CN"/>
        </w:rPr>
        <w:t>、氟化物不能达到</w:t>
      </w:r>
      <w:r>
        <w:rPr>
          <w:rFonts w:hint="default" w:ascii="Times New Roman" w:hAnsi="Times New Roman" w:eastAsia="宋体" w:cs="Times New Roman"/>
          <w:color w:val="auto"/>
          <w:spacing w:val="0"/>
          <w:w w:val="100"/>
          <w:sz w:val="24"/>
        </w:rPr>
        <w:t>《地表水环境质量标准》（GB3838-2002）中</w:t>
      </w:r>
      <w:r>
        <w:rPr>
          <w:rFonts w:hint="default" w:ascii="Times New Roman" w:hAnsi="Times New Roman" w:eastAsia="宋体" w:cs="Times New Roman"/>
          <w:color w:val="auto"/>
          <w:spacing w:val="0"/>
          <w:w w:val="100"/>
          <w:sz w:val="24"/>
        </w:rPr>
        <w:fldChar w:fldCharType="begin"/>
      </w:r>
      <w:r>
        <w:rPr>
          <w:rFonts w:hint="default" w:ascii="Times New Roman" w:hAnsi="Times New Roman" w:eastAsia="宋体" w:cs="Times New Roman"/>
          <w:color w:val="auto"/>
          <w:spacing w:val="0"/>
          <w:w w:val="100"/>
          <w:sz w:val="24"/>
        </w:rPr>
        <w:instrText xml:space="preserve"> = 4 \* ROMAN \* MERGEFORMAT </w:instrText>
      </w:r>
      <w:r>
        <w:rPr>
          <w:rFonts w:hint="default" w:ascii="Times New Roman" w:hAnsi="Times New Roman" w:eastAsia="宋体" w:cs="Times New Roman"/>
          <w:color w:val="auto"/>
          <w:spacing w:val="0"/>
          <w:w w:val="100"/>
          <w:sz w:val="24"/>
        </w:rPr>
        <w:fldChar w:fldCharType="separate"/>
      </w:r>
      <w:r>
        <w:rPr>
          <w:rFonts w:hint="default" w:ascii="Times New Roman" w:hAnsi="Times New Roman" w:eastAsia="宋体" w:cs="Times New Roman"/>
          <w:color w:val="auto"/>
          <w:spacing w:val="0"/>
          <w:w w:val="100"/>
          <w:sz w:val="24"/>
        </w:rPr>
        <w:t>IV</w:t>
      </w:r>
      <w:r>
        <w:rPr>
          <w:rFonts w:hint="default" w:ascii="Times New Roman" w:hAnsi="Times New Roman" w:eastAsia="宋体" w:cs="Times New Roman"/>
          <w:color w:val="auto"/>
          <w:spacing w:val="0"/>
          <w:w w:val="100"/>
          <w:sz w:val="24"/>
        </w:rPr>
        <w:fldChar w:fldCharType="end"/>
      </w:r>
      <w:r>
        <w:rPr>
          <w:rFonts w:hint="default" w:ascii="Times New Roman" w:hAnsi="Times New Roman" w:eastAsia="宋体" w:cs="Times New Roman"/>
          <w:color w:val="auto"/>
          <w:spacing w:val="0"/>
          <w:w w:val="100"/>
          <w:sz w:val="24"/>
        </w:rPr>
        <w:t>类水体标准限值</w:t>
      </w:r>
      <w:r>
        <w:rPr>
          <w:rFonts w:hint="eastAsia" w:cs="Times New Roman"/>
          <w:color w:val="auto"/>
          <w:spacing w:val="0"/>
          <w:w w:val="100"/>
          <w:sz w:val="24"/>
          <w:lang w:eastAsia="zh-CN"/>
        </w:rPr>
        <w:t>，排污口下游青龙河河段全段超标，在</w:t>
      </w:r>
      <w:r>
        <w:rPr>
          <w:rFonts w:hint="eastAsia" w:cs="Times New Roman"/>
          <w:color w:val="auto"/>
          <w:spacing w:val="0"/>
          <w:w w:val="100"/>
          <w:sz w:val="24"/>
          <w:lang w:val="en-US" w:eastAsia="zh-CN"/>
        </w:rPr>
        <w:t>3420m后汇入龙川江，也导致了龙川江出现超标，特别是总磷指标，行进至西观桥断面也未能达标。因此，本环评要求建设单位</w:t>
      </w:r>
      <w:r>
        <w:rPr>
          <w:rFonts w:ascii="Times New Roman" w:hAnsi="Times New Roman"/>
          <w:color w:val="auto"/>
          <w:kern w:val="21"/>
          <w:sz w:val="24"/>
          <w:szCs w:val="24"/>
        </w:rPr>
        <w:t>加强管理，</w:t>
      </w:r>
      <w:r>
        <w:rPr>
          <w:rFonts w:hint="eastAsia" w:cs="Times New Roman"/>
          <w:color w:val="auto"/>
          <w:spacing w:val="0"/>
          <w:w w:val="100"/>
          <w:sz w:val="24"/>
          <w:lang w:val="en-US" w:eastAsia="zh-CN"/>
        </w:rPr>
        <w:t>杜绝非正常情况排污。</w:t>
      </w:r>
    </w:p>
    <w:p>
      <w:pPr>
        <w:keepNext w:val="0"/>
        <w:keepLines w:val="0"/>
        <w:widowControl/>
        <w:suppressLineNumbers w:val="0"/>
        <w:jc w:val="left"/>
        <w:rPr>
          <w:rFonts w:hint="default" w:ascii="Times New Roman" w:hAnsi="Times New Roman" w:eastAsia="宋体" w:cs="Times New Roman"/>
          <w:color w:val="auto"/>
          <w:spacing w:val="0"/>
          <w:w w:val="100"/>
          <w:sz w:val="24"/>
        </w:rPr>
      </w:pPr>
      <w:r>
        <w:rPr>
          <w:rFonts w:hint="eastAsia" w:cs="Times New Roman"/>
          <w:color w:val="auto"/>
          <w:spacing w:val="0"/>
          <w:w w:val="100"/>
          <w:kern w:val="21"/>
          <w:sz w:val="24"/>
          <w:lang w:eastAsia="zh-CN"/>
        </w:rPr>
        <w:t>根据表</w:t>
      </w:r>
      <w:r>
        <w:rPr>
          <w:rFonts w:hint="eastAsia" w:cs="Times New Roman"/>
          <w:color w:val="auto"/>
          <w:spacing w:val="0"/>
          <w:w w:val="100"/>
          <w:kern w:val="21"/>
          <w:sz w:val="24"/>
          <w:lang w:val="en-US" w:eastAsia="zh-CN"/>
        </w:rPr>
        <w:t>5-7的预测结果看，</w:t>
      </w:r>
      <w:r>
        <w:rPr>
          <w:rFonts w:hint="default" w:ascii="Times New Roman" w:hAnsi="Times New Roman" w:eastAsia="宋体" w:cs="Times New Roman"/>
          <w:color w:val="auto"/>
          <w:spacing w:val="0"/>
          <w:w w:val="100"/>
          <w:kern w:val="21"/>
          <w:sz w:val="24"/>
        </w:rPr>
        <w:t>考虑区域实施</w:t>
      </w:r>
      <w:r>
        <w:rPr>
          <w:rFonts w:hint="eastAsia" w:cs="Times New Roman"/>
          <w:color w:val="auto"/>
          <w:spacing w:val="0"/>
          <w:w w:val="100"/>
          <w:kern w:val="21"/>
          <w:sz w:val="24"/>
          <w:lang w:eastAsia="zh-CN"/>
        </w:rPr>
        <w:t>《楚雄市青龙河入龙川江口断面水体达标方案（2021-2025年）》</w:t>
      </w:r>
      <w:r>
        <w:rPr>
          <w:rFonts w:hint="default" w:ascii="Times New Roman" w:hAnsi="Times New Roman" w:eastAsia="宋体" w:cs="Times New Roman"/>
          <w:color w:val="auto"/>
          <w:spacing w:val="0"/>
          <w:w w:val="100"/>
          <w:kern w:val="21"/>
          <w:sz w:val="24"/>
        </w:rPr>
        <w:t>后环境质量改善目标要求情景下的模拟预测</w:t>
      </w:r>
      <w:r>
        <w:rPr>
          <w:rFonts w:hint="eastAsia" w:cs="Times New Roman"/>
          <w:color w:val="auto"/>
          <w:spacing w:val="0"/>
          <w:w w:val="100"/>
          <w:kern w:val="21"/>
          <w:sz w:val="24"/>
          <w:lang w:eastAsia="zh-CN"/>
        </w:rPr>
        <w:t>，</w:t>
      </w:r>
      <w:r>
        <w:rPr>
          <w:rFonts w:hint="default" w:ascii="Times New Roman" w:hAnsi="Times New Roman" w:eastAsia="宋体" w:cs="Times New Roman"/>
          <w:color w:val="auto"/>
          <w:spacing w:val="0"/>
          <w:w w:val="100"/>
          <w:sz w:val="24"/>
        </w:rPr>
        <w:t>在青龙河</w:t>
      </w:r>
      <w:r>
        <w:rPr>
          <w:rFonts w:hint="eastAsia" w:cs="Times New Roman"/>
          <w:color w:val="auto"/>
          <w:spacing w:val="0"/>
          <w:w w:val="100"/>
          <w:sz w:val="24"/>
          <w:lang w:eastAsia="zh-CN"/>
        </w:rPr>
        <w:t>丰水</w:t>
      </w:r>
      <w:r>
        <w:rPr>
          <w:rFonts w:hint="default" w:ascii="Times New Roman" w:hAnsi="Times New Roman" w:eastAsia="宋体" w:cs="Times New Roman"/>
          <w:color w:val="auto"/>
          <w:spacing w:val="0"/>
          <w:w w:val="100"/>
          <w:sz w:val="24"/>
        </w:rPr>
        <w:t>期，本项目正常排放情况下，经过完全混合后，</w:t>
      </w:r>
      <w:r>
        <w:rPr>
          <w:rFonts w:hint="eastAsia" w:cs="Times New Roman"/>
          <w:color w:val="auto"/>
          <w:spacing w:val="0"/>
          <w:w w:val="100"/>
          <w:sz w:val="24"/>
          <w:lang w:eastAsia="zh-CN"/>
        </w:rPr>
        <w:t>预测因子</w:t>
      </w:r>
      <w:r>
        <w:rPr>
          <w:rFonts w:hint="default" w:ascii="Times New Roman" w:hAnsi="Times New Roman" w:eastAsia="宋体" w:cs="Times New Roman"/>
          <w:color w:val="auto"/>
          <w:spacing w:val="0"/>
          <w:w w:val="100"/>
          <w:sz w:val="24"/>
        </w:rPr>
        <w:t>COD、</w:t>
      </w:r>
      <w:r>
        <w:rPr>
          <w:rFonts w:hint="eastAsia" w:cs="Times New Roman"/>
          <w:color w:val="auto"/>
          <w:spacing w:val="0"/>
          <w:w w:val="100"/>
          <w:sz w:val="24"/>
          <w:lang w:eastAsia="zh-CN"/>
        </w:rPr>
        <w:t>氨氮、</w:t>
      </w:r>
      <w:r>
        <w:rPr>
          <w:rFonts w:hint="default" w:ascii="Times New Roman" w:hAnsi="Times New Roman" w:eastAsia="宋体" w:cs="Times New Roman"/>
          <w:color w:val="auto"/>
          <w:spacing w:val="0"/>
          <w:w w:val="100"/>
          <w:sz w:val="24"/>
        </w:rPr>
        <w:t>总磷</w:t>
      </w:r>
      <w:r>
        <w:rPr>
          <w:rFonts w:hint="eastAsia" w:cs="Times New Roman"/>
          <w:color w:val="auto"/>
          <w:spacing w:val="0"/>
          <w:w w:val="100"/>
          <w:sz w:val="24"/>
          <w:lang w:eastAsia="zh-CN"/>
        </w:rPr>
        <w:t>、</w:t>
      </w:r>
      <w:r>
        <w:rPr>
          <w:rFonts w:hint="default" w:ascii="Times New Roman" w:hAnsi="Times New Roman" w:eastAsia="宋体" w:cs="Times New Roman"/>
          <w:color w:val="auto"/>
          <w:spacing w:val="0"/>
          <w:w w:val="100"/>
          <w:sz w:val="24"/>
        </w:rPr>
        <w:t>和氟化物</w:t>
      </w:r>
      <w:r>
        <w:rPr>
          <w:rFonts w:hint="eastAsia" w:cs="Times New Roman"/>
          <w:color w:val="auto"/>
          <w:spacing w:val="0"/>
          <w:w w:val="100"/>
          <w:sz w:val="24"/>
          <w:lang w:eastAsia="zh-CN"/>
        </w:rPr>
        <w:t>均能达到</w:t>
      </w:r>
      <w:r>
        <w:rPr>
          <w:rFonts w:hint="default" w:ascii="Times New Roman" w:hAnsi="Times New Roman" w:eastAsia="宋体" w:cs="Times New Roman"/>
          <w:color w:val="auto"/>
          <w:spacing w:val="0"/>
          <w:w w:val="100"/>
          <w:sz w:val="24"/>
        </w:rPr>
        <w:t>《地表水环境质量标准》（GB3838-2002）中</w:t>
      </w:r>
      <w:r>
        <w:rPr>
          <w:rFonts w:hint="default" w:ascii="Times New Roman" w:hAnsi="Times New Roman" w:eastAsia="宋体" w:cs="Times New Roman"/>
          <w:color w:val="auto"/>
          <w:spacing w:val="0"/>
          <w:w w:val="100"/>
          <w:sz w:val="24"/>
        </w:rPr>
        <w:fldChar w:fldCharType="begin"/>
      </w:r>
      <w:r>
        <w:rPr>
          <w:rFonts w:hint="default" w:ascii="Times New Roman" w:hAnsi="Times New Roman" w:eastAsia="宋体" w:cs="Times New Roman"/>
          <w:color w:val="auto"/>
          <w:spacing w:val="0"/>
          <w:w w:val="100"/>
          <w:sz w:val="24"/>
        </w:rPr>
        <w:instrText xml:space="preserve"> = 4 \* ROMAN \* MERGEFORMAT </w:instrText>
      </w:r>
      <w:r>
        <w:rPr>
          <w:rFonts w:hint="default" w:ascii="Times New Roman" w:hAnsi="Times New Roman" w:eastAsia="宋体" w:cs="Times New Roman"/>
          <w:color w:val="auto"/>
          <w:spacing w:val="0"/>
          <w:w w:val="100"/>
          <w:sz w:val="24"/>
        </w:rPr>
        <w:fldChar w:fldCharType="separate"/>
      </w:r>
      <w:r>
        <w:rPr>
          <w:rFonts w:hint="default" w:ascii="Times New Roman" w:hAnsi="Times New Roman" w:eastAsia="宋体" w:cs="Times New Roman"/>
          <w:color w:val="auto"/>
          <w:spacing w:val="0"/>
          <w:w w:val="100"/>
          <w:sz w:val="24"/>
        </w:rPr>
        <w:t>IV</w:t>
      </w:r>
      <w:r>
        <w:rPr>
          <w:rFonts w:hint="default" w:ascii="Times New Roman" w:hAnsi="Times New Roman" w:eastAsia="宋体" w:cs="Times New Roman"/>
          <w:color w:val="auto"/>
          <w:spacing w:val="0"/>
          <w:w w:val="100"/>
          <w:sz w:val="24"/>
        </w:rPr>
        <w:fldChar w:fldCharType="end"/>
      </w:r>
      <w:r>
        <w:rPr>
          <w:rFonts w:hint="default" w:ascii="Times New Roman" w:hAnsi="Times New Roman" w:eastAsia="宋体" w:cs="Times New Roman"/>
          <w:color w:val="auto"/>
          <w:spacing w:val="0"/>
          <w:w w:val="100"/>
          <w:sz w:val="24"/>
        </w:rPr>
        <w:t>类水体标准限值</w:t>
      </w:r>
      <w:r>
        <w:rPr>
          <w:rFonts w:hint="eastAsia" w:cs="Times New Roman"/>
          <w:color w:val="auto"/>
          <w:spacing w:val="0"/>
          <w:w w:val="100"/>
          <w:sz w:val="24"/>
          <w:lang w:eastAsia="zh-CN"/>
        </w:rPr>
        <w:t>，在</w:t>
      </w:r>
      <w:r>
        <w:rPr>
          <w:rFonts w:hint="eastAsia" w:cs="Times New Roman"/>
          <w:color w:val="auto"/>
          <w:spacing w:val="0"/>
          <w:w w:val="100"/>
          <w:sz w:val="24"/>
          <w:lang w:val="en-US" w:eastAsia="zh-CN"/>
        </w:rPr>
        <w:t>3420m后汇入龙川江，也未改变龙川江</w:t>
      </w:r>
      <w:r>
        <w:rPr>
          <w:rFonts w:hint="default" w:ascii="Times New Roman" w:hAnsi="Times New Roman" w:eastAsia="宋体" w:cs="Times New Roman"/>
          <w:color w:val="auto"/>
          <w:spacing w:val="0"/>
          <w:w w:val="100"/>
          <w:sz w:val="24"/>
        </w:rPr>
        <w:fldChar w:fldCharType="begin"/>
      </w:r>
      <w:r>
        <w:rPr>
          <w:rFonts w:hint="default" w:ascii="Times New Roman" w:hAnsi="Times New Roman" w:eastAsia="宋体" w:cs="Times New Roman"/>
          <w:color w:val="auto"/>
          <w:spacing w:val="0"/>
          <w:w w:val="100"/>
          <w:sz w:val="24"/>
        </w:rPr>
        <w:instrText xml:space="preserve"> = 4 \* ROMAN \* MERGEFORMAT </w:instrText>
      </w:r>
      <w:r>
        <w:rPr>
          <w:rFonts w:hint="default" w:ascii="Times New Roman" w:hAnsi="Times New Roman" w:eastAsia="宋体" w:cs="Times New Roman"/>
          <w:color w:val="auto"/>
          <w:spacing w:val="0"/>
          <w:w w:val="100"/>
          <w:sz w:val="24"/>
        </w:rPr>
        <w:fldChar w:fldCharType="separate"/>
      </w:r>
      <w:r>
        <w:rPr>
          <w:rFonts w:hint="default" w:ascii="Times New Roman" w:hAnsi="Times New Roman" w:eastAsia="宋体" w:cs="Times New Roman"/>
          <w:color w:val="auto"/>
          <w:spacing w:val="0"/>
          <w:w w:val="100"/>
          <w:sz w:val="24"/>
        </w:rPr>
        <w:t>IV</w:t>
      </w:r>
      <w:r>
        <w:rPr>
          <w:rFonts w:hint="default" w:ascii="Times New Roman" w:hAnsi="Times New Roman" w:eastAsia="宋体" w:cs="Times New Roman"/>
          <w:color w:val="auto"/>
          <w:spacing w:val="0"/>
          <w:w w:val="100"/>
          <w:sz w:val="24"/>
        </w:rPr>
        <w:fldChar w:fldCharType="end"/>
      </w:r>
      <w:r>
        <w:rPr>
          <w:rFonts w:hint="default" w:ascii="Times New Roman" w:hAnsi="Times New Roman" w:eastAsia="宋体" w:cs="Times New Roman"/>
          <w:color w:val="auto"/>
          <w:spacing w:val="0"/>
          <w:w w:val="100"/>
          <w:sz w:val="24"/>
        </w:rPr>
        <w:t>类水体</w:t>
      </w:r>
      <w:r>
        <w:rPr>
          <w:rFonts w:hint="eastAsia" w:cs="Times New Roman"/>
          <w:color w:val="auto"/>
          <w:spacing w:val="0"/>
          <w:w w:val="100"/>
          <w:sz w:val="24"/>
          <w:lang w:eastAsia="zh-CN"/>
        </w:rPr>
        <w:t>的水质要求，行进至龙川江河段</w:t>
      </w:r>
      <w:r>
        <w:rPr>
          <w:rFonts w:hint="eastAsia" w:cs="Times New Roman"/>
          <w:color w:val="auto"/>
          <w:spacing w:val="0"/>
          <w:w w:val="100"/>
          <w:sz w:val="24"/>
          <w:lang w:val="en-US" w:eastAsia="zh-CN"/>
        </w:rPr>
        <w:t>1500m和6600m处，叠加楚雄市第一污水处理厂和楚雄市第二污水处理厂的排污情况后，同样未出现超标河段，行进至9100m西观桥断面</w:t>
      </w:r>
      <w:r>
        <w:rPr>
          <w:rFonts w:hint="default" w:ascii="Times New Roman" w:hAnsi="Times New Roman" w:eastAsia="宋体" w:cs="Times New Roman"/>
          <w:color w:val="auto"/>
          <w:spacing w:val="0"/>
          <w:w w:val="100"/>
          <w:sz w:val="24"/>
        </w:rPr>
        <w:t>COD、</w:t>
      </w:r>
      <w:r>
        <w:rPr>
          <w:rFonts w:hint="eastAsia" w:cs="Times New Roman"/>
          <w:color w:val="auto"/>
          <w:spacing w:val="0"/>
          <w:w w:val="100"/>
          <w:sz w:val="24"/>
          <w:lang w:eastAsia="zh-CN"/>
        </w:rPr>
        <w:t>氨氮、</w:t>
      </w:r>
      <w:r>
        <w:rPr>
          <w:rFonts w:hint="default" w:ascii="Times New Roman" w:hAnsi="Times New Roman" w:eastAsia="宋体" w:cs="Times New Roman"/>
          <w:color w:val="auto"/>
          <w:spacing w:val="0"/>
          <w:w w:val="100"/>
          <w:sz w:val="24"/>
        </w:rPr>
        <w:t>总磷</w:t>
      </w:r>
      <w:r>
        <w:rPr>
          <w:rFonts w:hint="eastAsia" w:cs="Times New Roman"/>
          <w:color w:val="auto"/>
          <w:spacing w:val="0"/>
          <w:w w:val="100"/>
          <w:sz w:val="24"/>
          <w:lang w:eastAsia="zh-CN"/>
        </w:rPr>
        <w:t>、</w:t>
      </w:r>
      <w:r>
        <w:rPr>
          <w:rFonts w:hint="default" w:ascii="Times New Roman" w:hAnsi="Times New Roman" w:eastAsia="宋体" w:cs="Times New Roman"/>
          <w:color w:val="auto"/>
          <w:spacing w:val="0"/>
          <w:w w:val="100"/>
          <w:sz w:val="24"/>
        </w:rPr>
        <w:t>和氟化物</w:t>
      </w:r>
      <w:r>
        <w:rPr>
          <w:rFonts w:hint="eastAsia" w:cs="Times New Roman"/>
          <w:color w:val="auto"/>
          <w:spacing w:val="0"/>
          <w:w w:val="100"/>
          <w:sz w:val="24"/>
          <w:lang w:eastAsia="zh-CN"/>
        </w:rPr>
        <w:t>预测指标分别为</w:t>
      </w:r>
      <w:r>
        <w:rPr>
          <w:rFonts w:hint="eastAsia" w:cs="Times New Roman"/>
          <w:color w:val="auto"/>
          <w:spacing w:val="0"/>
          <w:w w:val="100"/>
          <w:sz w:val="24"/>
          <w:lang w:val="en-US" w:eastAsia="zh-CN"/>
        </w:rPr>
        <w:t>12.80mg/L、0.26mg/L、0.19mg/L、0.32mg/L，也未超过</w:t>
      </w:r>
      <w:r>
        <w:rPr>
          <w:rFonts w:hint="default" w:ascii="Times New Roman" w:hAnsi="Times New Roman" w:eastAsia="宋体" w:cs="Times New Roman"/>
          <w:color w:val="auto"/>
          <w:spacing w:val="0"/>
          <w:w w:val="100"/>
          <w:sz w:val="24"/>
        </w:rPr>
        <w:t>《地表水环境质量标准》（GB3838-2002）中</w:t>
      </w:r>
      <w:r>
        <w:rPr>
          <w:rFonts w:hint="default" w:ascii="Times New Roman" w:hAnsi="Times New Roman" w:eastAsia="宋体" w:cs="Times New Roman"/>
          <w:color w:val="auto"/>
          <w:spacing w:val="0"/>
          <w:w w:val="100"/>
          <w:sz w:val="24"/>
        </w:rPr>
        <w:fldChar w:fldCharType="begin"/>
      </w:r>
      <w:r>
        <w:rPr>
          <w:rFonts w:hint="default" w:ascii="Times New Roman" w:hAnsi="Times New Roman" w:eastAsia="宋体" w:cs="Times New Roman"/>
          <w:color w:val="auto"/>
          <w:spacing w:val="0"/>
          <w:w w:val="100"/>
          <w:sz w:val="24"/>
        </w:rPr>
        <w:instrText xml:space="preserve"> = 4 \* ROMAN \* MERGEFORMAT </w:instrText>
      </w:r>
      <w:r>
        <w:rPr>
          <w:rFonts w:hint="default" w:ascii="Times New Roman" w:hAnsi="Times New Roman" w:eastAsia="宋体" w:cs="Times New Roman"/>
          <w:color w:val="auto"/>
          <w:spacing w:val="0"/>
          <w:w w:val="100"/>
          <w:sz w:val="24"/>
        </w:rPr>
        <w:fldChar w:fldCharType="separate"/>
      </w:r>
      <w:r>
        <w:rPr>
          <w:rFonts w:hint="default" w:ascii="Times New Roman" w:hAnsi="Times New Roman" w:eastAsia="宋体" w:cs="Times New Roman"/>
          <w:color w:val="auto"/>
          <w:spacing w:val="0"/>
          <w:w w:val="100"/>
          <w:sz w:val="24"/>
        </w:rPr>
        <w:t>IV</w:t>
      </w:r>
      <w:r>
        <w:rPr>
          <w:rFonts w:hint="default" w:ascii="Times New Roman" w:hAnsi="Times New Roman" w:eastAsia="宋体" w:cs="Times New Roman"/>
          <w:color w:val="auto"/>
          <w:spacing w:val="0"/>
          <w:w w:val="100"/>
          <w:sz w:val="24"/>
        </w:rPr>
        <w:fldChar w:fldCharType="end"/>
      </w:r>
      <w:r>
        <w:rPr>
          <w:rFonts w:hint="default" w:ascii="Times New Roman" w:hAnsi="Times New Roman" w:eastAsia="宋体" w:cs="Times New Roman"/>
          <w:color w:val="auto"/>
          <w:spacing w:val="0"/>
          <w:w w:val="100"/>
          <w:sz w:val="24"/>
        </w:rPr>
        <w:t>类水体标准限值</w:t>
      </w:r>
      <w:r>
        <w:rPr>
          <w:rFonts w:hint="eastAsia" w:cs="Times New Roman"/>
          <w:color w:val="auto"/>
          <w:spacing w:val="0"/>
          <w:w w:val="100"/>
          <w:sz w:val="24"/>
          <w:lang w:val="en-US" w:eastAsia="zh-CN"/>
        </w:rPr>
        <w:t>要求。</w:t>
      </w:r>
      <w:r>
        <w:rPr>
          <w:rFonts w:hint="eastAsia" w:cs="Times New Roman"/>
          <w:color w:val="auto"/>
          <w:spacing w:val="0"/>
          <w:w w:val="100"/>
          <w:sz w:val="24"/>
          <w:lang w:eastAsia="zh-CN"/>
        </w:rPr>
        <w:t>且</w:t>
      </w:r>
      <w:r>
        <w:rPr>
          <w:rFonts w:hint="eastAsia" w:cs="Times New Roman"/>
          <w:color w:val="auto"/>
          <w:spacing w:val="0"/>
          <w:w w:val="100"/>
          <w:sz w:val="24"/>
          <w:lang w:val="en-US" w:eastAsia="zh-CN"/>
        </w:rPr>
        <w:t>COD预留有8%安全余量、氨氮预留有38%安全余量、总磷预留有33.3%安全余量、氟化物预留有51.33%安全余</w:t>
      </w:r>
      <w:r>
        <w:rPr>
          <w:rFonts w:hint="eastAsia" w:ascii="Times New Roman" w:hAnsi="Times New Roman" w:eastAsia="宋体" w:cs="Times New Roman"/>
          <w:color w:val="auto"/>
          <w:spacing w:val="0"/>
          <w:w w:val="100"/>
          <w:sz w:val="24"/>
          <w:lang w:val="en-US" w:eastAsia="zh-CN"/>
        </w:rPr>
        <w:t>量</w:t>
      </w:r>
      <w:r>
        <w:rPr>
          <w:rFonts w:hint="eastAsia" w:cs="Times New Roman"/>
          <w:color w:val="auto"/>
          <w:spacing w:val="0"/>
          <w:w w:val="100"/>
          <w:sz w:val="24"/>
          <w:lang w:val="en-US" w:eastAsia="zh-CN"/>
        </w:rPr>
        <w:t>，</w:t>
      </w:r>
      <w:r>
        <w:rPr>
          <w:rFonts w:hint="eastAsia" w:ascii="Times New Roman" w:hAnsi="Times New Roman" w:eastAsia="宋体" w:cs="Times New Roman"/>
          <w:color w:val="auto"/>
          <w:spacing w:val="0"/>
          <w:w w:val="100"/>
          <w:sz w:val="24"/>
          <w:lang w:val="en-US" w:eastAsia="zh-CN"/>
        </w:rPr>
        <w:t>满足地表水环境质量管理及安全余量要求。</w:t>
      </w:r>
    </w:p>
    <w:p>
      <w:pPr>
        <w:jc w:val="left"/>
        <w:rPr>
          <w:rFonts w:hint="default" w:ascii="Times New Roman" w:hAnsi="Times New Roman" w:eastAsia="宋体" w:cs="Times New Roman"/>
          <w:b w:val="0"/>
          <w:bCs w:val="0"/>
          <w:color w:val="auto"/>
          <w:spacing w:val="0"/>
          <w:w w:val="100"/>
          <w:kern w:val="21"/>
          <w:sz w:val="24"/>
          <w:lang w:val="en-US" w:eastAsia="zh-CN"/>
        </w:rPr>
      </w:pPr>
      <w:r>
        <w:rPr>
          <w:rFonts w:hint="eastAsia" w:cs="Times New Roman"/>
          <w:b w:val="0"/>
          <w:bCs w:val="0"/>
          <w:color w:val="auto"/>
          <w:spacing w:val="0"/>
          <w:w w:val="100"/>
          <w:kern w:val="21"/>
          <w:sz w:val="24"/>
          <w:lang w:val="en-US" w:eastAsia="zh-CN"/>
        </w:rPr>
        <w:t>丰水期本项目总氮达标排入青龙河完全混合后的浓度为6.54mg/L，青龙河总氮背景浓度值为3.98mg/L，本项目正常排污对青龙河的总氮增量为0.64倍；在行进3420m入龙川江完全混合后的浓度为5.13mg/L，龙川江总氮背景浓度值为4.83mg/L，本项目正常排污对青龙河的总氮增量为0.06倍。从上述情况看，项目丰水期排污是仍是青龙河总氮升高的主要原因，但对龙川江的增量影响不大。</w:t>
      </w:r>
    </w:p>
    <w:p>
      <w:pPr>
        <w:ind w:firstLine="480"/>
        <w:jc w:val="left"/>
        <w:rPr>
          <w:rFonts w:hint="default" w:ascii="Times New Roman" w:hAnsi="Times New Roman" w:eastAsia="宋体" w:cs="Times New Roman"/>
          <w:color w:val="auto"/>
          <w:spacing w:val="0"/>
          <w:w w:val="100"/>
          <w:sz w:val="24"/>
        </w:rPr>
      </w:pPr>
      <w:r>
        <w:rPr>
          <w:rFonts w:hint="default" w:ascii="Times New Roman" w:hAnsi="Times New Roman" w:eastAsia="宋体" w:cs="Times New Roman"/>
          <w:color w:val="auto"/>
          <w:spacing w:val="0"/>
          <w:w w:val="100"/>
          <w:sz w:val="24"/>
        </w:rPr>
        <w:t>在青龙河</w:t>
      </w:r>
      <w:r>
        <w:rPr>
          <w:rFonts w:hint="eastAsia" w:cs="Times New Roman"/>
          <w:color w:val="auto"/>
          <w:spacing w:val="0"/>
          <w:w w:val="100"/>
          <w:sz w:val="24"/>
          <w:lang w:eastAsia="zh-CN"/>
        </w:rPr>
        <w:t>丰水期</w:t>
      </w:r>
      <w:r>
        <w:rPr>
          <w:rFonts w:hint="default" w:ascii="Times New Roman" w:hAnsi="Times New Roman" w:eastAsia="宋体" w:cs="Times New Roman"/>
          <w:color w:val="auto"/>
          <w:spacing w:val="0"/>
          <w:w w:val="100"/>
          <w:sz w:val="24"/>
        </w:rPr>
        <w:t>，</w:t>
      </w:r>
      <w:r>
        <w:rPr>
          <w:rFonts w:hint="eastAsia" w:cs="Times New Roman"/>
          <w:color w:val="auto"/>
          <w:spacing w:val="0"/>
          <w:w w:val="100"/>
          <w:kern w:val="21"/>
          <w:sz w:val="24"/>
          <w:lang w:eastAsia="zh-CN"/>
        </w:rPr>
        <w:t>非正常排污情况下，</w:t>
      </w:r>
      <w:r>
        <w:rPr>
          <w:rFonts w:hint="default" w:ascii="Times New Roman" w:hAnsi="Times New Roman" w:eastAsia="宋体" w:cs="Times New Roman"/>
          <w:color w:val="auto"/>
          <w:spacing w:val="0"/>
          <w:w w:val="100"/>
          <w:sz w:val="24"/>
        </w:rPr>
        <w:t>经过完全混合后，</w:t>
      </w:r>
      <w:r>
        <w:rPr>
          <w:rFonts w:hint="eastAsia" w:cs="Times New Roman"/>
          <w:color w:val="auto"/>
          <w:spacing w:val="0"/>
          <w:w w:val="100"/>
          <w:sz w:val="24"/>
          <w:lang w:eastAsia="zh-CN"/>
        </w:rPr>
        <w:t>预测因子</w:t>
      </w:r>
      <w:r>
        <w:rPr>
          <w:rFonts w:hint="default" w:ascii="Times New Roman" w:hAnsi="Times New Roman" w:eastAsia="宋体" w:cs="Times New Roman"/>
          <w:color w:val="auto"/>
          <w:spacing w:val="0"/>
          <w:w w:val="100"/>
          <w:sz w:val="24"/>
        </w:rPr>
        <w:t>COD、</w:t>
      </w:r>
      <w:r>
        <w:rPr>
          <w:rFonts w:hint="eastAsia" w:cs="Times New Roman"/>
          <w:color w:val="auto"/>
          <w:spacing w:val="0"/>
          <w:w w:val="100"/>
          <w:sz w:val="24"/>
          <w:lang w:eastAsia="zh-CN"/>
        </w:rPr>
        <w:t>氨氮、</w:t>
      </w:r>
      <w:r>
        <w:rPr>
          <w:rFonts w:hint="default" w:ascii="Times New Roman" w:hAnsi="Times New Roman" w:eastAsia="宋体" w:cs="Times New Roman"/>
          <w:color w:val="auto"/>
          <w:spacing w:val="0"/>
          <w:w w:val="100"/>
          <w:sz w:val="24"/>
        </w:rPr>
        <w:t>总磷</w:t>
      </w:r>
      <w:r>
        <w:rPr>
          <w:rFonts w:hint="eastAsia" w:cs="Times New Roman"/>
          <w:color w:val="auto"/>
          <w:spacing w:val="0"/>
          <w:w w:val="100"/>
          <w:sz w:val="24"/>
          <w:lang w:eastAsia="zh-CN"/>
        </w:rPr>
        <w:t>、氟化物不能达到</w:t>
      </w:r>
      <w:r>
        <w:rPr>
          <w:rFonts w:hint="default" w:ascii="Times New Roman" w:hAnsi="Times New Roman" w:eastAsia="宋体" w:cs="Times New Roman"/>
          <w:color w:val="auto"/>
          <w:spacing w:val="0"/>
          <w:w w:val="100"/>
          <w:sz w:val="24"/>
        </w:rPr>
        <w:t>《地表水环境质量标准》（GB3838-2002）中</w:t>
      </w:r>
      <w:r>
        <w:rPr>
          <w:rFonts w:hint="default" w:ascii="Times New Roman" w:hAnsi="Times New Roman" w:eastAsia="宋体" w:cs="Times New Roman"/>
          <w:color w:val="auto"/>
          <w:spacing w:val="0"/>
          <w:w w:val="100"/>
          <w:sz w:val="24"/>
        </w:rPr>
        <w:fldChar w:fldCharType="begin"/>
      </w:r>
      <w:r>
        <w:rPr>
          <w:rFonts w:hint="default" w:ascii="Times New Roman" w:hAnsi="Times New Roman" w:eastAsia="宋体" w:cs="Times New Roman"/>
          <w:color w:val="auto"/>
          <w:spacing w:val="0"/>
          <w:w w:val="100"/>
          <w:sz w:val="24"/>
        </w:rPr>
        <w:instrText xml:space="preserve"> = 4 \* ROMAN \* MERGEFORMAT </w:instrText>
      </w:r>
      <w:r>
        <w:rPr>
          <w:rFonts w:hint="default" w:ascii="Times New Roman" w:hAnsi="Times New Roman" w:eastAsia="宋体" w:cs="Times New Roman"/>
          <w:color w:val="auto"/>
          <w:spacing w:val="0"/>
          <w:w w:val="100"/>
          <w:sz w:val="24"/>
        </w:rPr>
        <w:fldChar w:fldCharType="separate"/>
      </w:r>
      <w:r>
        <w:rPr>
          <w:rFonts w:hint="default" w:ascii="Times New Roman" w:hAnsi="Times New Roman" w:eastAsia="宋体" w:cs="Times New Roman"/>
          <w:color w:val="auto"/>
          <w:spacing w:val="0"/>
          <w:w w:val="100"/>
          <w:sz w:val="24"/>
        </w:rPr>
        <w:t>IV</w:t>
      </w:r>
      <w:r>
        <w:rPr>
          <w:rFonts w:hint="default" w:ascii="Times New Roman" w:hAnsi="Times New Roman" w:eastAsia="宋体" w:cs="Times New Roman"/>
          <w:color w:val="auto"/>
          <w:spacing w:val="0"/>
          <w:w w:val="100"/>
          <w:sz w:val="24"/>
        </w:rPr>
        <w:fldChar w:fldCharType="end"/>
      </w:r>
      <w:r>
        <w:rPr>
          <w:rFonts w:hint="default" w:ascii="Times New Roman" w:hAnsi="Times New Roman" w:eastAsia="宋体" w:cs="Times New Roman"/>
          <w:color w:val="auto"/>
          <w:spacing w:val="0"/>
          <w:w w:val="100"/>
          <w:sz w:val="24"/>
        </w:rPr>
        <w:t>类水体标准限值</w:t>
      </w:r>
      <w:r>
        <w:rPr>
          <w:rFonts w:hint="eastAsia" w:cs="Times New Roman"/>
          <w:color w:val="auto"/>
          <w:spacing w:val="0"/>
          <w:w w:val="100"/>
          <w:sz w:val="24"/>
          <w:lang w:eastAsia="zh-CN"/>
        </w:rPr>
        <w:t>，排污口下游青龙河河段全段超标；在</w:t>
      </w:r>
      <w:r>
        <w:rPr>
          <w:rFonts w:hint="eastAsia" w:cs="Times New Roman"/>
          <w:color w:val="auto"/>
          <w:spacing w:val="0"/>
          <w:w w:val="100"/>
          <w:sz w:val="24"/>
          <w:lang w:val="en-US" w:eastAsia="zh-CN"/>
        </w:rPr>
        <w:t>3420m后汇入龙川江，也导致了龙川江出现超标，特别是总磷指标，行进至西观桥断面也未能达标。因此，本环评要求建设单位</w:t>
      </w:r>
      <w:r>
        <w:rPr>
          <w:rFonts w:ascii="Times New Roman" w:hAnsi="Times New Roman"/>
          <w:color w:val="auto"/>
          <w:kern w:val="21"/>
          <w:sz w:val="24"/>
          <w:szCs w:val="24"/>
        </w:rPr>
        <w:t>加强管理，</w:t>
      </w:r>
      <w:r>
        <w:rPr>
          <w:rFonts w:hint="eastAsia" w:cs="Times New Roman"/>
          <w:color w:val="auto"/>
          <w:spacing w:val="0"/>
          <w:w w:val="100"/>
          <w:sz w:val="24"/>
          <w:lang w:val="en-US" w:eastAsia="zh-CN"/>
        </w:rPr>
        <w:t>杜绝非正常情况排污。</w:t>
      </w:r>
    </w:p>
    <w:p>
      <w:pPr>
        <w:pStyle w:val="16"/>
        <w:keepNext w:val="0"/>
        <w:keepLines w:val="0"/>
        <w:pageBreakBefore w:val="0"/>
        <w:widowControl w:val="0"/>
        <w:kinsoku/>
        <w:wordWrap/>
        <w:overflowPunct/>
        <w:topLinePunct w:val="0"/>
        <w:autoSpaceDE w:val="0"/>
        <w:autoSpaceDN w:val="0"/>
        <w:bidi w:val="0"/>
        <w:adjustRightInd/>
        <w:snapToGrid/>
        <w:spacing w:before="0"/>
        <w:ind w:left="0" w:leftChars="0" w:right="0" w:firstLine="480" w:firstLineChars="200"/>
        <w:jc w:val="both"/>
        <w:textAlignment w:val="auto"/>
        <w:rPr>
          <w:rFonts w:hint="default" w:ascii="Times New Roman" w:hAnsi="Times New Roman" w:eastAsia="宋体" w:cs="Times New Roman"/>
          <w:b w:val="0"/>
          <w:bCs w:val="0"/>
          <w:color w:val="auto"/>
          <w:kern w:val="21"/>
          <w:sz w:val="24"/>
          <w:szCs w:val="24"/>
          <w:lang w:val="en-US" w:eastAsia="zh-CN"/>
        </w:rPr>
      </w:pPr>
      <w:r>
        <w:rPr>
          <w:rFonts w:hint="default" w:ascii="Times New Roman" w:hAnsi="Times New Roman" w:cs="Times New Roman"/>
          <w:b w:val="0"/>
          <w:bCs w:val="0"/>
          <w:color w:val="auto"/>
          <w:kern w:val="21"/>
          <w:sz w:val="24"/>
          <w:szCs w:val="24"/>
          <w:lang w:eastAsia="zh-CN"/>
        </w:rPr>
        <w:t>综上所述，</w:t>
      </w:r>
      <w:r>
        <w:rPr>
          <w:rFonts w:hint="default" w:ascii="Times New Roman" w:hAnsi="Times New Roman" w:eastAsia="宋体" w:cs="Times New Roman"/>
          <w:color w:val="auto"/>
          <w:spacing w:val="0"/>
          <w:w w:val="100"/>
          <w:kern w:val="21"/>
          <w:sz w:val="24"/>
        </w:rPr>
        <w:t>区域实施</w:t>
      </w:r>
      <w:r>
        <w:rPr>
          <w:rFonts w:hint="eastAsia" w:ascii="Times New Roman" w:hAnsi="Times New Roman" w:cs="Times New Roman"/>
          <w:color w:val="auto"/>
          <w:spacing w:val="0"/>
          <w:w w:val="100"/>
          <w:kern w:val="21"/>
          <w:sz w:val="24"/>
          <w:lang w:eastAsia="zh-CN"/>
        </w:rPr>
        <w:t>《楚雄市青龙河入龙川江口断面水体达标方案（2021-2025年）》</w:t>
      </w:r>
      <w:r>
        <w:rPr>
          <w:rFonts w:hint="default" w:ascii="Times New Roman" w:hAnsi="Times New Roman" w:cs="Times New Roman"/>
          <w:color w:val="auto"/>
          <w:spacing w:val="0"/>
          <w:w w:val="100"/>
          <w:kern w:val="21"/>
          <w:sz w:val="24"/>
          <w:lang w:eastAsia="zh-CN"/>
        </w:rPr>
        <w:t>达到</w:t>
      </w:r>
      <w:r>
        <w:rPr>
          <w:rFonts w:hint="default" w:ascii="Times New Roman" w:hAnsi="Times New Roman" w:eastAsia="宋体" w:cs="Times New Roman"/>
          <w:color w:val="auto"/>
          <w:spacing w:val="0"/>
          <w:w w:val="100"/>
          <w:kern w:val="21"/>
          <w:sz w:val="24"/>
        </w:rPr>
        <w:t>环境质量改善目标</w:t>
      </w:r>
      <w:r>
        <w:rPr>
          <w:rFonts w:hint="default" w:ascii="Times New Roman" w:hAnsi="Times New Roman" w:cs="Times New Roman"/>
          <w:color w:val="auto"/>
          <w:spacing w:val="0"/>
          <w:w w:val="100"/>
          <w:kern w:val="21"/>
          <w:sz w:val="24"/>
          <w:lang w:eastAsia="zh-CN"/>
        </w:rPr>
        <w:t>后，本项目按照表</w:t>
      </w:r>
      <w:r>
        <w:rPr>
          <w:rFonts w:hint="default" w:ascii="Times New Roman" w:hAnsi="Times New Roman" w:cs="Times New Roman"/>
          <w:color w:val="auto"/>
          <w:spacing w:val="0"/>
          <w:w w:val="100"/>
          <w:kern w:val="21"/>
          <w:sz w:val="24"/>
          <w:lang w:val="en-US" w:eastAsia="zh-CN"/>
        </w:rPr>
        <w:t>2-23的排放限值正常排污对青龙河、龙川江的影响不大，青龙河、龙川江能满足</w:t>
      </w:r>
      <w:r>
        <w:rPr>
          <w:rFonts w:hint="default" w:ascii="Times New Roman" w:hAnsi="Times New Roman" w:eastAsia="宋体" w:cs="Times New Roman"/>
          <w:color w:val="auto"/>
          <w:spacing w:val="0"/>
          <w:w w:val="100"/>
          <w:sz w:val="24"/>
        </w:rPr>
        <w:t>《地表水环境质量标准》（GB3838-2002）中</w:t>
      </w:r>
      <w:r>
        <w:rPr>
          <w:rFonts w:hint="default" w:ascii="Times New Roman" w:hAnsi="Times New Roman" w:eastAsia="宋体" w:cs="Times New Roman"/>
          <w:color w:val="auto"/>
          <w:spacing w:val="0"/>
          <w:w w:val="100"/>
          <w:sz w:val="24"/>
        </w:rPr>
        <w:fldChar w:fldCharType="begin"/>
      </w:r>
      <w:r>
        <w:rPr>
          <w:rFonts w:hint="default" w:ascii="Times New Roman" w:hAnsi="Times New Roman" w:eastAsia="宋体" w:cs="Times New Roman"/>
          <w:color w:val="auto"/>
          <w:spacing w:val="0"/>
          <w:w w:val="100"/>
          <w:sz w:val="24"/>
        </w:rPr>
        <w:instrText xml:space="preserve"> = 4 \* ROMAN \* MERGEFORMAT </w:instrText>
      </w:r>
      <w:r>
        <w:rPr>
          <w:rFonts w:hint="default" w:ascii="Times New Roman" w:hAnsi="Times New Roman" w:eastAsia="宋体" w:cs="Times New Roman"/>
          <w:color w:val="auto"/>
          <w:spacing w:val="0"/>
          <w:w w:val="100"/>
          <w:sz w:val="24"/>
        </w:rPr>
        <w:fldChar w:fldCharType="separate"/>
      </w:r>
      <w:r>
        <w:rPr>
          <w:rFonts w:hint="default" w:ascii="Times New Roman" w:hAnsi="Times New Roman" w:eastAsia="宋体" w:cs="Times New Roman"/>
          <w:color w:val="auto"/>
          <w:spacing w:val="0"/>
          <w:w w:val="100"/>
          <w:sz w:val="24"/>
        </w:rPr>
        <w:t>IV</w:t>
      </w:r>
      <w:r>
        <w:rPr>
          <w:rFonts w:hint="default" w:ascii="Times New Roman" w:hAnsi="Times New Roman" w:eastAsia="宋体" w:cs="Times New Roman"/>
          <w:color w:val="auto"/>
          <w:spacing w:val="0"/>
          <w:w w:val="100"/>
          <w:sz w:val="24"/>
        </w:rPr>
        <w:fldChar w:fldCharType="end"/>
      </w:r>
      <w:r>
        <w:rPr>
          <w:rFonts w:hint="default" w:ascii="Times New Roman" w:hAnsi="Times New Roman" w:eastAsia="宋体" w:cs="Times New Roman"/>
          <w:color w:val="auto"/>
          <w:spacing w:val="0"/>
          <w:w w:val="100"/>
          <w:sz w:val="24"/>
        </w:rPr>
        <w:t>类水体标准限值</w:t>
      </w:r>
      <w:r>
        <w:rPr>
          <w:rFonts w:hint="default" w:ascii="Times New Roman" w:hAnsi="Times New Roman" w:cs="Times New Roman"/>
          <w:color w:val="auto"/>
          <w:spacing w:val="0"/>
          <w:w w:val="100"/>
          <w:sz w:val="24"/>
          <w:lang w:val="en-US" w:eastAsia="zh-CN"/>
        </w:rPr>
        <w:t>要求，且预留有足够的安全余量</w:t>
      </w:r>
      <w:r>
        <w:rPr>
          <w:rFonts w:hint="eastAsia" w:ascii="Times New Roman" w:hAnsi="Times New Roman" w:cs="Times New Roman"/>
          <w:color w:val="auto"/>
          <w:spacing w:val="0"/>
          <w:w w:val="100"/>
          <w:sz w:val="24"/>
          <w:lang w:val="en-US" w:eastAsia="zh-CN"/>
        </w:rPr>
        <w:t>。非正常情况下，项目排污会导致青龙河、龙川江出现水质超标，本环评要求</w:t>
      </w:r>
      <w:r>
        <w:rPr>
          <w:rFonts w:hint="eastAsia" w:cs="Times New Roman"/>
          <w:color w:val="auto"/>
          <w:spacing w:val="0"/>
          <w:w w:val="100"/>
          <w:sz w:val="24"/>
          <w:lang w:val="en-US" w:eastAsia="zh-CN"/>
        </w:rPr>
        <w:t>建设单位</w:t>
      </w:r>
      <w:r>
        <w:rPr>
          <w:rFonts w:ascii="Times New Roman" w:hAnsi="Times New Roman"/>
          <w:color w:val="auto"/>
          <w:kern w:val="21"/>
          <w:sz w:val="24"/>
          <w:szCs w:val="24"/>
        </w:rPr>
        <w:t>加强管理，</w:t>
      </w:r>
      <w:r>
        <w:rPr>
          <w:rFonts w:hint="eastAsia" w:ascii="Times New Roman" w:hAnsi="Times New Roman"/>
          <w:color w:val="auto"/>
          <w:kern w:val="21"/>
          <w:sz w:val="24"/>
          <w:szCs w:val="24"/>
          <w:lang w:eastAsia="zh-CN"/>
        </w:rPr>
        <w:t>未经处理或处理不达标的废水不得外排，</w:t>
      </w:r>
      <w:r>
        <w:rPr>
          <w:rFonts w:hint="eastAsia" w:cs="Times New Roman"/>
          <w:color w:val="auto"/>
          <w:spacing w:val="0"/>
          <w:w w:val="100"/>
          <w:sz w:val="24"/>
          <w:lang w:val="en-US" w:eastAsia="zh-CN"/>
        </w:rPr>
        <w:t>杜绝非正常情况排污。</w:t>
      </w:r>
    </w:p>
    <w:p>
      <w:pPr>
        <w:pStyle w:val="16"/>
        <w:adjustRightInd/>
        <w:spacing w:before="0"/>
        <w:ind w:left="480" w:leftChars="200" w:right="0" w:firstLine="0" w:firstLineChars="0"/>
        <w:jc w:val="both"/>
        <w:rPr>
          <w:rFonts w:ascii="Times New Roman" w:hAnsi="Times New Roman"/>
          <w:b/>
          <w:bCs/>
          <w:color w:val="auto"/>
          <w:kern w:val="21"/>
          <w:sz w:val="24"/>
          <w:szCs w:val="24"/>
        </w:rPr>
      </w:pPr>
      <w:r>
        <w:rPr>
          <w:rFonts w:hint="eastAsia" w:ascii="Times New Roman" w:hAnsi="Times New Roman"/>
          <w:b/>
          <w:bCs/>
          <w:color w:val="auto"/>
          <w:kern w:val="21"/>
          <w:sz w:val="24"/>
          <w:szCs w:val="24"/>
        </w:rPr>
        <w:t>7</w:t>
      </w:r>
      <w:r>
        <w:rPr>
          <w:rFonts w:ascii="Times New Roman" w:hAnsi="Times New Roman"/>
          <w:b/>
          <w:bCs/>
          <w:color w:val="auto"/>
          <w:kern w:val="21"/>
          <w:sz w:val="24"/>
          <w:szCs w:val="24"/>
        </w:rPr>
        <w:t>、事故排放水环境影响分析</w:t>
      </w:r>
    </w:p>
    <w:p>
      <w:pPr>
        <w:pStyle w:val="16"/>
        <w:adjustRightInd/>
        <w:spacing w:before="0"/>
        <w:ind w:right="0" w:firstLine="480"/>
        <w:jc w:val="both"/>
        <w:rPr>
          <w:rFonts w:hint="default" w:ascii="Times New Roman" w:hAnsi="Times New Roman" w:eastAsia="宋体"/>
          <w:color w:val="auto"/>
          <w:kern w:val="21"/>
          <w:sz w:val="24"/>
          <w:szCs w:val="24"/>
          <w:lang w:val="en-US" w:eastAsia="zh-CN"/>
        </w:rPr>
      </w:pPr>
      <w:r>
        <w:rPr>
          <w:rFonts w:hint="eastAsia" w:ascii="Times New Roman" w:hAnsi="Times New Roman"/>
          <w:color w:val="auto"/>
          <w:kern w:val="21"/>
          <w:sz w:val="24"/>
          <w:szCs w:val="24"/>
        </w:rPr>
        <w:t>根据业主类似项目运行经验，本项目常规故障可能出现的最长维修时间不超过</w:t>
      </w:r>
      <w:r>
        <w:rPr>
          <w:rFonts w:ascii="Times New Roman" w:hAnsi="Times New Roman"/>
          <w:color w:val="auto"/>
          <w:kern w:val="21"/>
          <w:sz w:val="24"/>
          <w:szCs w:val="24"/>
        </w:rPr>
        <w:t>8</w:t>
      </w:r>
      <w:r>
        <w:rPr>
          <w:rFonts w:hint="eastAsia" w:ascii="Times New Roman" w:hAnsi="Times New Roman"/>
          <w:color w:val="auto"/>
          <w:kern w:val="21"/>
          <w:sz w:val="24"/>
          <w:szCs w:val="24"/>
        </w:rPr>
        <w:t>小时，现已设置的</w:t>
      </w:r>
      <w:r>
        <w:rPr>
          <w:rFonts w:hint="eastAsia" w:ascii="Times New Roman" w:hAnsi="Times New Roman"/>
          <w:color w:val="auto"/>
          <w:kern w:val="21"/>
          <w:sz w:val="24"/>
          <w:szCs w:val="24"/>
          <w:lang w:eastAsia="zh-CN"/>
        </w:rPr>
        <w:t>调节池</w:t>
      </w:r>
      <w:r>
        <w:rPr>
          <w:rFonts w:hint="eastAsia" w:ascii="Times New Roman" w:hAnsi="Times New Roman"/>
          <w:color w:val="auto"/>
          <w:kern w:val="21"/>
          <w:sz w:val="24"/>
          <w:szCs w:val="24"/>
        </w:rPr>
        <w:t>（2000m</w:t>
      </w:r>
      <w:r>
        <w:rPr>
          <w:rFonts w:hint="eastAsia" w:ascii="Times New Roman" w:hAnsi="Times New Roman"/>
          <w:color w:val="auto"/>
          <w:kern w:val="21"/>
          <w:sz w:val="24"/>
          <w:szCs w:val="24"/>
          <w:vertAlign w:val="superscript"/>
        </w:rPr>
        <w:t>3</w:t>
      </w:r>
      <w:r>
        <w:rPr>
          <w:rFonts w:hint="eastAsia" w:ascii="Times New Roman" w:hAnsi="Times New Roman"/>
          <w:color w:val="auto"/>
          <w:kern w:val="21"/>
          <w:sz w:val="24"/>
          <w:szCs w:val="24"/>
        </w:rPr>
        <w:t>）可满足应急需要。当出现极端情况（如外部停电）时，可将进水临时切换至东升路市政污水管网，由一污厂、二污厂临时接纳处理，不会影响下游地表水体。</w:t>
      </w:r>
    </w:p>
    <w:p>
      <w:pPr>
        <w:pStyle w:val="8"/>
        <w:spacing w:before="0" w:after="0" w:line="360" w:lineRule="auto"/>
        <w:ind w:firstLine="0" w:firstLineChars="0"/>
        <w:rPr>
          <w:rFonts w:ascii="Times New Roman" w:hAnsi="Times New Roman" w:eastAsia="宋体"/>
          <w:color w:val="auto"/>
          <w:kern w:val="21"/>
          <w:sz w:val="24"/>
          <w:szCs w:val="24"/>
        </w:rPr>
      </w:pPr>
      <w:bookmarkStart w:id="246" w:name="_Toc349768220"/>
      <w:r>
        <w:rPr>
          <w:rFonts w:ascii="Times New Roman" w:hAnsi="Times New Roman" w:eastAsia="宋体"/>
          <w:color w:val="auto"/>
          <w:kern w:val="21"/>
          <w:sz w:val="24"/>
          <w:szCs w:val="24"/>
        </w:rPr>
        <w:t>5.2.1.5项目排水去向合理性分析</w:t>
      </w:r>
    </w:p>
    <w:bookmarkEnd w:id="246"/>
    <w:p>
      <w:pPr>
        <w:pStyle w:val="116"/>
        <w:adjustRightInd/>
        <w:snapToGrid/>
        <w:ind w:firstLine="482" w:firstLineChars="200"/>
        <w:rPr>
          <w:snapToGrid/>
          <w:color w:val="auto"/>
          <w:kern w:val="21"/>
          <w:lang w:bidi="ar"/>
        </w:rPr>
      </w:pPr>
      <w:r>
        <w:rPr>
          <w:rFonts w:hint="eastAsia"/>
          <w:b/>
          <w:bCs/>
          <w:snapToGrid/>
          <w:color w:val="auto"/>
          <w:kern w:val="21"/>
          <w:lang w:bidi="ar"/>
        </w:rPr>
        <w:t>1、</w:t>
      </w:r>
      <w:r>
        <w:rPr>
          <w:b/>
          <w:bCs/>
          <w:snapToGrid/>
          <w:color w:val="auto"/>
          <w:kern w:val="21"/>
          <w:lang w:bidi="ar"/>
        </w:rPr>
        <w:t>项目排污口设置情况</w:t>
      </w:r>
    </w:p>
    <w:p>
      <w:pPr>
        <w:pStyle w:val="116"/>
        <w:adjustRightInd/>
        <w:snapToGrid/>
        <w:ind w:firstLine="480" w:firstLineChars="200"/>
        <w:rPr>
          <w:snapToGrid/>
          <w:color w:val="auto"/>
          <w:kern w:val="21"/>
        </w:rPr>
      </w:pPr>
      <w:r>
        <w:rPr>
          <w:rFonts w:hint="eastAsia"/>
          <w:snapToGrid/>
          <w:color w:val="auto"/>
          <w:kern w:val="21"/>
          <w:lang w:eastAsia="zh-CN" w:bidi="ar"/>
        </w:rPr>
        <w:t>本项目处理达标的</w:t>
      </w:r>
      <w:r>
        <w:rPr>
          <w:snapToGrid/>
          <w:color w:val="auto"/>
          <w:kern w:val="21"/>
          <w:lang w:bidi="ar"/>
        </w:rPr>
        <w:t>尾水通过通过2014年已建成的混凝土沟渠（带盖板的暗渠）排入青龙河，沟渠断面尺寸为2m×1.7m，该沟渠兼有排洪的功能。项目尾水排放口坐标为</w:t>
      </w:r>
      <w:r>
        <w:rPr>
          <w:snapToGrid/>
          <w:color w:val="auto"/>
          <w:kern w:val="21"/>
        </w:rPr>
        <w:t>东经</w:t>
      </w:r>
      <w:r>
        <w:rPr>
          <w:snapToGrid/>
          <w:color w:val="auto"/>
          <w:kern w:val="21"/>
          <w:szCs w:val="20"/>
        </w:rPr>
        <w:t>101°34′2"，北纬25°1′10"，海拔为1823m。</w:t>
      </w:r>
      <w:r>
        <w:rPr>
          <w:snapToGrid/>
          <w:color w:val="auto"/>
          <w:kern w:val="21"/>
          <w:lang w:bidi="ar"/>
        </w:rPr>
        <w:t>入青龙河排放口坐标为</w:t>
      </w:r>
      <w:r>
        <w:rPr>
          <w:snapToGrid/>
          <w:color w:val="auto"/>
          <w:kern w:val="21"/>
        </w:rPr>
        <w:t>东经</w:t>
      </w:r>
      <w:r>
        <w:rPr>
          <w:snapToGrid/>
          <w:color w:val="auto"/>
          <w:kern w:val="21"/>
          <w:szCs w:val="20"/>
        </w:rPr>
        <w:t>101°34′03.32"，北纬25°1′27.03"，海拔为1778m，</w:t>
      </w:r>
      <w:r>
        <w:rPr>
          <w:snapToGrid/>
          <w:color w:val="auto"/>
          <w:kern w:val="21"/>
          <w:lang w:bidi="ar"/>
        </w:rPr>
        <w:t>沟渠</w:t>
      </w:r>
      <w:r>
        <w:rPr>
          <w:snapToGrid/>
          <w:color w:val="auto"/>
          <w:kern w:val="21"/>
          <w:szCs w:val="20"/>
        </w:rPr>
        <w:t>长度约为4043m，出口涵洞</w:t>
      </w:r>
      <w:r>
        <w:rPr>
          <w:snapToGrid/>
          <w:color w:val="auto"/>
          <w:kern w:val="21"/>
          <w:lang w:bidi="ar"/>
        </w:rPr>
        <w:t>断面尺寸为2m×1.7m，</w:t>
      </w:r>
      <w:r>
        <w:rPr>
          <w:snapToGrid/>
          <w:color w:val="auto"/>
          <w:kern w:val="21"/>
          <w:szCs w:val="20"/>
        </w:rPr>
        <w:t>排水</w:t>
      </w:r>
      <w:r>
        <w:rPr>
          <w:snapToGrid/>
          <w:color w:val="auto"/>
          <w:kern w:val="21"/>
          <w:lang w:bidi="ar"/>
        </w:rPr>
        <w:t>沟渠走向</w:t>
      </w:r>
      <w:r>
        <w:rPr>
          <w:snapToGrid/>
          <w:color w:val="auto"/>
          <w:kern w:val="21"/>
          <w:szCs w:val="20"/>
        </w:rPr>
        <w:t>示意图见图5-1，</w:t>
      </w:r>
      <w:r>
        <w:rPr>
          <w:snapToGrid/>
          <w:color w:val="auto"/>
          <w:kern w:val="21"/>
          <w:lang w:bidi="ar"/>
        </w:rPr>
        <w:t>入青龙河排放口（</w:t>
      </w:r>
      <w:r>
        <w:rPr>
          <w:snapToGrid/>
          <w:color w:val="auto"/>
          <w:kern w:val="21"/>
          <w:szCs w:val="20"/>
        </w:rPr>
        <w:t>涵洞</w:t>
      </w:r>
      <w:r>
        <w:rPr>
          <w:snapToGrid/>
          <w:color w:val="auto"/>
          <w:kern w:val="21"/>
          <w:lang w:bidi="ar"/>
        </w:rPr>
        <w:t>）现状见图5-</w:t>
      </w:r>
      <w:r>
        <w:rPr>
          <w:rFonts w:hint="eastAsia"/>
          <w:snapToGrid/>
          <w:color w:val="auto"/>
          <w:kern w:val="21"/>
          <w:lang w:bidi="ar"/>
        </w:rPr>
        <w:t>2</w:t>
      </w:r>
      <w:r>
        <w:rPr>
          <w:snapToGrid/>
          <w:color w:val="auto"/>
          <w:kern w:val="21"/>
          <w:lang w:bidi="ar"/>
        </w:rPr>
        <w:t>。</w:t>
      </w:r>
    </w:p>
    <w:p>
      <w:pPr>
        <w:pStyle w:val="116"/>
        <w:adjustRightInd/>
        <w:snapToGrid/>
        <w:ind w:firstLine="0"/>
        <w:jc w:val="center"/>
        <w:rPr>
          <w:snapToGrid/>
          <w:color w:val="auto"/>
          <w:kern w:val="21"/>
        </w:rPr>
      </w:pPr>
      <w:r>
        <w:rPr>
          <w:snapToGrid/>
          <w:color w:val="auto"/>
          <w:kern w:val="21"/>
        </w:rPr>
        <w:drawing>
          <wp:inline distT="0" distB="0" distL="0" distR="0">
            <wp:extent cx="5265420" cy="2372995"/>
            <wp:effectExtent l="0" t="0" r="0" b="0"/>
            <wp:docPr id="19" name="图片 318" descr="管线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8" descr="管线图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65420" cy="2372995"/>
                    </a:xfrm>
                    <a:prstGeom prst="rect">
                      <a:avLst/>
                    </a:prstGeom>
                    <a:noFill/>
                    <a:ln>
                      <a:noFill/>
                    </a:ln>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b/>
          <w:bCs/>
          <w:snapToGrid/>
          <w:color w:val="auto"/>
          <w:kern w:val="21"/>
        </w:rPr>
      </w:pPr>
      <w:r>
        <w:rPr>
          <w:b/>
          <w:bCs/>
          <w:snapToGrid/>
          <w:color w:val="auto"/>
          <w:kern w:val="21"/>
          <w:szCs w:val="20"/>
        </w:rPr>
        <w:t>项目排水沟渠走向示意图</w:t>
      </w:r>
    </w:p>
    <w:p>
      <w:pPr>
        <w:pStyle w:val="116"/>
        <w:adjustRightInd/>
        <w:snapToGrid/>
        <w:ind w:firstLine="480" w:firstLineChars="200"/>
        <w:jc w:val="center"/>
        <w:rPr>
          <w:snapToGrid/>
          <w:color w:val="auto"/>
          <w:kern w:val="21"/>
        </w:rPr>
      </w:pPr>
      <w:r>
        <w:rPr>
          <w:snapToGrid/>
          <w:color w:val="auto"/>
          <w:kern w:val="21"/>
        </w:rPr>
        <w:drawing>
          <wp:inline distT="0" distB="0" distL="0" distR="0">
            <wp:extent cx="4493260" cy="2404110"/>
            <wp:effectExtent l="0" t="0" r="0" b="0"/>
            <wp:docPr id="20" name="图片 319" descr="QQ图片2020041819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9" descr="QQ图片202004181918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493260" cy="2404110"/>
                    </a:xfrm>
                    <a:prstGeom prst="rect">
                      <a:avLst/>
                    </a:prstGeom>
                    <a:noFill/>
                    <a:ln>
                      <a:noFill/>
                    </a:ln>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b/>
          <w:bCs/>
          <w:snapToGrid/>
          <w:color w:val="auto"/>
          <w:kern w:val="21"/>
        </w:rPr>
      </w:pPr>
      <w:r>
        <w:rPr>
          <w:b/>
          <w:bCs/>
          <w:snapToGrid/>
          <w:color w:val="auto"/>
          <w:kern w:val="21"/>
          <w:szCs w:val="20"/>
        </w:rPr>
        <w:t>项目</w:t>
      </w:r>
      <w:r>
        <w:rPr>
          <w:b/>
          <w:bCs/>
          <w:snapToGrid/>
          <w:color w:val="auto"/>
          <w:kern w:val="21"/>
          <w:lang w:bidi="ar"/>
        </w:rPr>
        <w:t>尾水入青龙河排放口</w:t>
      </w:r>
      <w:r>
        <w:rPr>
          <w:rFonts w:hint="eastAsia"/>
          <w:b/>
          <w:bCs/>
          <w:snapToGrid/>
          <w:color w:val="auto"/>
          <w:kern w:val="21"/>
          <w:lang w:bidi="ar"/>
        </w:rPr>
        <w:t>（涵洞）</w:t>
      </w:r>
      <w:r>
        <w:rPr>
          <w:b/>
          <w:bCs/>
          <w:snapToGrid/>
          <w:color w:val="auto"/>
          <w:kern w:val="21"/>
          <w:lang w:bidi="ar"/>
        </w:rPr>
        <w:t>现状</w:t>
      </w:r>
    </w:p>
    <w:p>
      <w:pPr>
        <w:pStyle w:val="116"/>
        <w:adjustRightInd/>
        <w:snapToGrid/>
        <w:ind w:firstLine="482" w:firstLineChars="200"/>
        <w:rPr>
          <w:b/>
          <w:bCs/>
          <w:snapToGrid/>
          <w:color w:val="auto"/>
          <w:kern w:val="21"/>
          <w:lang w:bidi="ar"/>
        </w:rPr>
      </w:pPr>
      <w:r>
        <w:rPr>
          <w:b/>
          <w:bCs/>
          <w:snapToGrid/>
          <w:color w:val="auto"/>
          <w:kern w:val="21"/>
          <w:lang w:bidi="ar"/>
        </w:rPr>
        <w:t>2、项目废水排入的排洪沟现状改道整治情况</w:t>
      </w:r>
    </w:p>
    <w:p>
      <w:pPr>
        <w:ind w:firstLine="482"/>
        <w:jc w:val="left"/>
        <w:rPr>
          <w:b/>
          <w:bCs/>
          <w:color w:val="auto"/>
          <w:szCs w:val="30"/>
        </w:rPr>
      </w:pPr>
      <w:r>
        <w:rPr>
          <w:b/>
          <w:bCs/>
          <w:color w:val="auto"/>
          <w:szCs w:val="30"/>
        </w:rPr>
        <w:t>（1）管网介绍</w:t>
      </w:r>
    </w:p>
    <w:p>
      <w:pPr>
        <w:ind w:firstLine="480"/>
        <w:rPr>
          <w:color w:val="auto"/>
          <w:szCs w:val="30"/>
        </w:rPr>
      </w:pPr>
      <w:r>
        <w:rPr>
          <w:color w:val="auto"/>
          <w:szCs w:val="30"/>
        </w:rPr>
        <w:t>项目废水排入的排洪沟涵（雨水管网）自东升路K4+560附近涵洞，至青龙河与阳光大道交叉口，总长约4125.5m，共由多段管网组成。</w:t>
      </w:r>
    </w:p>
    <w:p>
      <w:pPr>
        <w:ind w:firstLine="480"/>
        <w:rPr>
          <w:color w:val="auto"/>
          <w:szCs w:val="30"/>
        </w:rPr>
      </w:pPr>
      <w:r>
        <w:rPr>
          <w:color w:val="auto"/>
          <w:szCs w:val="30"/>
        </w:rPr>
        <w:fldChar w:fldCharType="begin"/>
      </w:r>
      <w:r>
        <w:rPr>
          <w:color w:val="auto"/>
          <w:szCs w:val="30"/>
        </w:rPr>
        <w:instrText xml:space="preserve"> = 1 \* GB3 \* MERGEFORMAT </w:instrText>
      </w:r>
      <w:r>
        <w:rPr>
          <w:color w:val="auto"/>
          <w:szCs w:val="30"/>
        </w:rPr>
        <w:fldChar w:fldCharType="separate"/>
      </w:r>
      <w:r>
        <w:rPr>
          <w:rFonts w:hint="eastAsia"/>
          <w:color w:val="auto"/>
        </w:rPr>
        <w:t>①</w:t>
      </w:r>
      <w:r>
        <w:rPr>
          <w:color w:val="auto"/>
          <w:szCs w:val="30"/>
        </w:rPr>
        <w:fldChar w:fldCharType="end"/>
      </w:r>
      <w:r>
        <w:rPr>
          <w:color w:val="auto"/>
          <w:szCs w:val="30"/>
        </w:rPr>
        <w:t>南起东升路K4+560附近已建2m×1.7m涵洞，北至阳光花园西侧52号路与阳光大道交叉口，长约1516m，为2m×1.7m钢筋砼沟涵，沟涵与阳光大道北侧雨水管相接。</w:t>
      </w:r>
    </w:p>
    <w:p>
      <w:pPr>
        <w:ind w:firstLine="480"/>
        <w:rPr>
          <w:color w:val="auto"/>
          <w:szCs w:val="30"/>
        </w:rPr>
      </w:pPr>
      <w:r>
        <w:rPr>
          <w:color w:val="auto"/>
          <w:szCs w:val="30"/>
        </w:rPr>
        <w:fldChar w:fldCharType="begin"/>
      </w:r>
      <w:r>
        <w:rPr>
          <w:color w:val="auto"/>
          <w:szCs w:val="30"/>
        </w:rPr>
        <w:instrText xml:space="preserve"> = 2 \* GB3 \* MERGEFORMAT </w:instrText>
      </w:r>
      <w:r>
        <w:rPr>
          <w:color w:val="auto"/>
          <w:szCs w:val="30"/>
        </w:rPr>
        <w:fldChar w:fldCharType="separate"/>
      </w:r>
      <w:r>
        <w:rPr>
          <w:rFonts w:hint="eastAsia"/>
          <w:color w:val="auto"/>
        </w:rPr>
        <w:t>②</w:t>
      </w:r>
      <w:r>
        <w:rPr>
          <w:color w:val="auto"/>
          <w:szCs w:val="30"/>
        </w:rPr>
        <w:fldChar w:fldCharType="end"/>
      </w:r>
      <w:r>
        <w:rPr>
          <w:color w:val="auto"/>
          <w:szCs w:val="30"/>
        </w:rPr>
        <w:t>东起阳光花园西侧52号路沟涵与阳光大道北侧雨水管接口，西至阳光大道北侧雨水沟涵与青龙河汇入口，长约2609.5m。其中：DN1500砼管695.5m；2.2m×1.78m钢筋砼沟涵986m；2.5m×1.78m钢筋砼沟涵385.5m；3m×1.78m钢筋砼沟涵542.5m。</w:t>
      </w:r>
    </w:p>
    <w:p>
      <w:pPr>
        <w:ind w:firstLine="482"/>
        <w:jc w:val="left"/>
        <w:rPr>
          <w:b/>
          <w:bCs/>
          <w:color w:val="auto"/>
          <w:szCs w:val="30"/>
        </w:rPr>
      </w:pPr>
      <w:r>
        <w:rPr>
          <w:b/>
          <w:bCs/>
          <w:color w:val="auto"/>
          <w:szCs w:val="30"/>
        </w:rPr>
        <w:t>（2）现状整治情况</w:t>
      </w:r>
    </w:p>
    <w:p>
      <w:pPr>
        <w:ind w:firstLine="480"/>
        <w:rPr>
          <w:color w:val="auto"/>
        </w:rPr>
      </w:pPr>
      <w:r>
        <w:rPr>
          <w:color w:val="auto"/>
        </w:rPr>
        <w:t>根据中交公司提供的资料，经对阳光大道（东升路至青龙河东路）雨污分流及污水错接情况进行全面排查，共发现污水口错误接入</w:t>
      </w:r>
      <w:r>
        <w:rPr>
          <w:rFonts w:hint="eastAsia"/>
          <w:color w:val="auto"/>
          <w:lang w:eastAsia="zh-CN"/>
        </w:rPr>
        <w:t>排洪沟涵的错接点</w:t>
      </w:r>
      <w:r>
        <w:rPr>
          <w:color w:val="auto"/>
        </w:rPr>
        <w:t>共计22处，现已</w:t>
      </w:r>
      <w:r>
        <w:rPr>
          <w:rFonts w:hint="eastAsia"/>
          <w:color w:val="auto"/>
          <w:lang w:eastAsia="zh-CN"/>
        </w:rPr>
        <w:t>全部完成整治</w:t>
      </w:r>
      <w:r>
        <w:rPr>
          <w:color w:val="auto"/>
        </w:rPr>
        <w:t>。</w:t>
      </w:r>
    </w:p>
    <w:p>
      <w:pPr>
        <w:ind w:firstLine="480"/>
        <w:rPr>
          <w:color w:val="auto"/>
        </w:rPr>
      </w:pPr>
      <w:r>
        <w:rPr>
          <w:color w:val="auto"/>
        </w:rPr>
        <w:t>该段管网实施雨污分流整治累计完成工程量：新建DN500污水管3480m；新建雨水管DN600雨水管844m；新建污水检查井81座，新建污水沉泥井35座；新建A型截流井4座；封堵污水口21处；管道及沟涵清淤疏通1570m。</w:t>
      </w:r>
    </w:p>
    <w:p>
      <w:pPr>
        <w:pStyle w:val="16"/>
        <w:adjustRightInd/>
        <w:spacing w:before="0"/>
        <w:ind w:right="0" w:firstLine="482"/>
        <w:rPr>
          <w:rFonts w:ascii="Times New Roman" w:hAnsi="Times New Roman"/>
          <w:b/>
          <w:bCs/>
          <w:color w:val="auto"/>
          <w:kern w:val="21"/>
          <w:sz w:val="24"/>
          <w:szCs w:val="24"/>
        </w:rPr>
      </w:pPr>
      <w:r>
        <w:rPr>
          <w:rFonts w:ascii="Times New Roman" w:hAnsi="Times New Roman"/>
          <w:b/>
          <w:bCs/>
          <w:color w:val="auto"/>
          <w:kern w:val="21"/>
          <w:sz w:val="24"/>
          <w:szCs w:val="24"/>
        </w:rPr>
        <w:t>（2）</w:t>
      </w:r>
      <w:r>
        <w:rPr>
          <w:rFonts w:hint="eastAsia" w:ascii="Times New Roman" w:hAnsi="Times New Roman"/>
          <w:b/>
          <w:bCs/>
          <w:color w:val="auto"/>
          <w:kern w:val="21"/>
          <w:sz w:val="24"/>
          <w:szCs w:val="24"/>
        </w:rPr>
        <w:t>项目排水去向合理性</w:t>
      </w:r>
    </w:p>
    <w:p>
      <w:pPr>
        <w:pStyle w:val="23"/>
        <w:spacing w:after="0" w:line="360" w:lineRule="auto"/>
        <w:ind w:left="0" w:leftChars="0" w:firstLine="480"/>
        <w:rPr>
          <w:color w:val="auto"/>
        </w:rPr>
      </w:pPr>
      <w:r>
        <w:rPr>
          <w:rFonts w:hint="eastAsia"/>
          <w:color w:val="auto"/>
        </w:rPr>
        <w:fldChar w:fldCharType="begin"/>
      </w:r>
      <w:r>
        <w:rPr>
          <w:rFonts w:hint="eastAsia"/>
          <w:color w:val="auto"/>
        </w:rPr>
        <w:instrText xml:space="preserve"> = 1 \* GB3 \* MERGEFORMAT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项目废水对排洪沟影响</w:t>
      </w:r>
    </w:p>
    <w:p>
      <w:pPr>
        <w:pStyle w:val="23"/>
        <w:spacing w:after="0" w:line="360" w:lineRule="auto"/>
        <w:ind w:left="0" w:leftChars="0" w:firstLine="480"/>
        <w:rPr>
          <w:color w:val="auto"/>
        </w:rPr>
      </w:pPr>
      <w:r>
        <w:rPr>
          <w:rFonts w:hint="eastAsia"/>
          <w:color w:val="auto"/>
        </w:rPr>
        <w:t>该排洪沟（涵洞）起点为东升路K</w:t>
      </w:r>
      <w:r>
        <w:rPr>
          <w:color w:val="auto"/>
        </w:rPr>
        <w:t>4</w:t>
      </w:r>
      <w:r>
        <w:rPr>
          <w:rFonts w:hint="eastAsia"/>
          <w:color w:val="auto"/>
        </w:rPr>
        <w:t>+</w:t>
      </w:r>
      <w:r>
        <w:rPr>
          <w:color w:val="auto"/>
        </w:rPr>
        <w:t>560</w:t>
      </w:r>
      <w:r>
        <w:rPr>
          <w:rFonts w:hint="eastAsia"/>
          <w:color w:val="auto"/>
        </w:rPr>
        <w:t>，终点为青龙河下段，共分两段建成，靠近本项目段建成于2</w:t>
      </w:r>
      <w:r>
        <w:rPr>
          <w:color w:val="auto"/>
        </w:rPr>
        <w:t>014</w:t>
      </w:r>
      <w:r>
        <w:rPr>
          <w:rFonts w:hint="eastAsia"/>
          <w:color w:val="auto"/>
        </w:rPr>
        <w:t>年6月。该沟为园区东片雨水排洪设施。该涵洞采用钢筋混凝土现浇2</w:t>
      </w:r>
      <w:r>
        <w:rPr>
          <w:color w:val="auto"/>
        </w:rPr>
        <w:t>m</w:t>
      </w:r>
      <w:r>
        <w:rPr>
          <w:rFonts w:hint="eastAsia"/>
          <w:color w:val="auto"/>
        </w:rPr>
        <w:t>×</w:t>
      </w:r>
      <w:r>
        <w:rPr>
          <w:color w:val="auto"/>
        </w:rPr>
        <w:t>1.7m</w:t>
      </w:r>
      <w:r>
        <w:rPr>
          <w:rFonts w:hint="eastAsia"/>
          <w:color w:val="auto"/>
        </w:rPr>
        <w:t>矩形涵洞。设计为C</w:t>
      </w:r>
      <w:r>
        <w:rPr>
          <w:color w:val="auto"/>
        </w:rPr>
        <w:t>30</w:t>
      </w:r>
      <w:r>
        <w:rPr>
          <w:rFonts w:hint="eastAsia"/>
          <w:color w:val="auto"/>
        </w:rPr>
        <w:t>抗渗混凝土，抗渗等级为P</w:t>
      </w:r>
      <w:r>
        <w:rPr>
          <w:color w:val="auto"/>
        </w:rPr>
        <w:t>6</w:t>
      </w:r>
      <w:r>
        <w:rPr>
          <w:rFonts w:hint="eastAsia"/>
          <w:color w:val="auto"/>
        </w:rPr>
        <w:t>。前些年靠近阳光大道涵段可能存在局部污水错接情况，经近两年楚雄城区实施“雨污分流”</w:t>
      </w:r>
      <w:r>
        <w:rPr>
          <w:rFonts w:hint="eastAsia"/>
          <w:color w:val="auto"/>
          <w:lang w:eastAsia="zh-CN"/>
        </w:rPr>
        <w:t>设置</w:t>
      </w:r>
      <w:r>
        <w:rPr>
          <w:rFonts w:hint="eastAsia"/>
          <w:color w:val="auto"/>
        </w:rPr>
        <w:t>后，该排洪沟全段错接的污水管网均已完成封堵，不再有污水混入。</w:t>
      </w:r>
    </w:p>
    <w:p>
      <w:pPr>
        <w:pStyle w:val="23"/>
        <w:spacing w:after="0" w:line="360" w:lineRule="auto"/>
        <w:ind w:left="0" w:leftChars="0" w:firstLine="480"/>
        <w:rPr>
          <w:color w:val="auto"/>
        </w:rPr>
      </w:pPr>
      <w:r>
        <w:rPr>
          <w:rFonts w:hint="eastAsia"/>
          <w:color w:val="auto"/>
        </w:rPr>
        <w:t>本期项目（近期5</w:t>
      </w:r>
      <w:r>
        <w:rPr>
          <w:color w:val="auto"/>
        </w:rPr>
        <w:t>000t/</w:t>
      </w:r>
      <w:r>
        <w:rPr>
          <w:rFonts w:hint="eastAsia"/>
          <w:color w:val="auto"/>
        </w:rPr>
        <w:t>d）排水流量仅为</w:t>
      </w:r>
      <w:r>
        <w:rPr>
          <w:color w:val="auto"/>
        </w:rPr>
        <w:t>0.0555m</w:t>
      </w:r>
      <w:r>
        <w:rPr>
          <w:color w:val="auto"/>
          <w:vertAlign w:val="superscript"/>
        </w:rPr>
        <w:t>3</w:t>
      </w:r>
      <w:r>
        <w:rPr>
          <w:color w:val="auto"/>
        </w:rPr>
        <w:t>/s</w:t>
      </w:r>
      <w:r>
        <w:rPr>
          <w:rFonts w:hint="eastAsia"/>
          <w:color w:val="auto"/>
        </w:rPr>
        <w:t>，排洪沟设计过流能力为</w:t>
      </w:r>
      <w:r>
        <w:rPr>
          <w:color w:val="auto"/>
        </w:rPr>
        <w:t>12.01m</w:t>
      </w:r>
      <w:r>
        <w:rPr>
          <w:color w:val="auto"/>
          <w:vertAlign w:val="superscript"/>
        </w:rPr>
        <w:t>3</w:t>
      </w:r>
      <w:r>
        <w:rPr>
          <w:color w:val="auto"/>
        </w:rPr>
        <w:t>/s</w:t>
      </w:r>
      <w:r>
        <w:rPr>
          <w:rFonts w:hint="eastAsia"/>
          <w:color w:val="auto"/>
        </w:rPr>
        <w:t>，按二十年一遇1小时暴雨强度（6</w:t>
      </w:r>
      <w:r>
        <w:rPr>
          <w:color w:val="auto"/>
        </w:rPr>
        <w:t>4.10mm/h</w:t>
      </w:r>
      <w:r>
        <w:rPr>
          <w:rFonts w:hint="eastAsia"/>
          <w:color w:val="auto"/>
        </w:rPr>
        <w:t>）计算径流区域最大洪峰流量为</w:t>
      </w:r>
      <w:r>
        <w:rPr>
          <w:color w:val="auto"/>
        </w:rPr>
        <w:t>11.33m</w:t>
      </w:r>
      <w:r>
        <w:rPr>
          <w:color w:val="auto"/>
          <w:vertAlign w:val="superscript"/>
        </w:rPr>
        <w:t>3</w:t>
      </w:r>
      <w:r>
        <w:rPr>
          <w:color w:val="auto"/>
        </w:rPr>
        <w:t>/s</w:t>
      </w:r>
      <w:r>
        <w:rPr>
          <w:rFonts w:hint="eastAsia"/>
          <w:color w:val="auto"/>
        </w:rPr>
        <w:t>，因此本项目（近期）经处理达标的废水排入该排洪沟不会影响雨季排洪。</w:t>
      </w:r>
    </w:p>
    <w:p>
      <w:pPr>
        <w:numPr>
          <w:ilvl w:val="0"/>
          <w:numId w:val="11"/>
        </w:numPr>
        <w:tabs>
          <w:tab w:val="left" w:pos="3395"/>
          <w:tab w:val="clear" w:pos="0"/>
        </w:tabs>
        <w:ind w:left="0" w:leftChars="0" w:firstLine="0" w:firstLineChars="0"/>
        <w:jc w:val="center"/>
        <w:rPr>
          <w:b/>
          <w:color w:val="auto"/>
          <w:szCs w:val="20"/>
        </w:rPr>
      </w:pPr>
      <w:r>
        <w:rPr>
          <w:rFonts w:hint="eastAsia"/>
          <w:b/>
          <w:color w:val="auto"/>
          <w:szCs w:val="20"/>
        </w:rPr>
        <w:t>排洪</w:t>
      </w:r>
      <w:r>
        <w:rPr>
          <w:b/>
          <w:color w:val="auto"/>
          <w:szCs w:val="20"/>
        </w:rPr>
        <w:t>沟断面过水能力计算表</w:t>
      </w:r>
    </w:p>
    <w:tbl>
      <w:tblPr>
        <w:tblStyle w:val="51"/>
        <w:tblW w:w="9588"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2"/>
        <w:gridCol w:w="709"/>
        <w:gridCol w:w="425"/>
        <w:gridCol w:w="567"/>
        <w:gridCol w:w="709"/>
        <w:gridCol w:w="709"/>
        <w:gridCol w:w="709"/>
        <w:gridCol w:w="708"/>
        <w:gridCol w:w="709"/>
        <w:gridCol w:w="753"/>
        <w:gridCol w:w="806"/>
        <w:gridCol w:w="895"/>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822" w:type="dxa"/>
            <w:vMerge w:val="restart"/>
            <w:vAlign w:val="center"/>
          </w:tcPr>
          <w:p>
            <w:pPr>
              <w:adjustRightInd w:val="0"/>
              <w:snapToGrid w:val="0"/>
              <w:spacing w:line="240" w:lineRule="auto"/>
              <w:ind w:firstLine="0" w:firstLineChars="0"/>
              <w:jc w:val="center"/>
              <w:rPr>
                <w:color w:val="auto"/>
                <w:sz w:val="21"/>
                <w:szCs w:val="21"/>
              </w:rPr>
            </w:pPr>
            <w:r>
              <w:rPr>
                <w:color w:val="auto"/>
                <w:sz w:val="21"/>
                <w:szCs w:val="21"/>
              </w:rPr>
              <w:t>名称</w:t>
            </w:r>
          </w:p>
        </w:tc>
        <w:tc>
          <w:tcPr>
            <w:tcW w:w="709" w:type="dxa"/>
            <w:vMerge w:val="restart"/>
            <w:noWrap/>
            <w:vAlign w:val="center"/>
          </w:tcPr>
          <w:p>
            <w:pPr>
              <w:adjustRightInd w:val="0"/>
              <w:snapToGrid w:val="0"/>
              <w:spacing w:line="240" w:lineRule="auto"/>
              <w:ind w:firstLine="0" w:firstLineChars="0"/>
              <w:jc w:val="center"/>
              <w:rPr>
                <w:color w:val="auto"/>
                <w:sz w:val="21"/>
                <w:szCs w:val="21"/>
              </w:rPr>
            </w:pPr>
            <w:r>
              <w:rPr>
                <w:color w:val="auto"/>
                <w:sz w:val="21"/>
                <w:szCs w:val="21"/>
              </w:rPr>
              <w:t>断面</w:t>
            </w:r>
          </w:p>
          <w:p>
            <w:pPr>
              <w:adjustRightInd w:val="0"/>
              <w:snapToGrid w:val="0"/>
              <w:spacing w:line="240" w:lineRule="auto"/>
              <w:ind w:firstLine="0" w:firstLineChars="0"/>
              <w:jc w:val="center"/>
              <w:rPr>
                <w:color w:val="auto"/>
                <w:sz w:val="21"/>
                <w:szCs w:val="21"/>
              </w:rPr>
            </w:pPr>
            <w:r>
              <w:rPr>
                <w:color w:val="auto"/>
                <w:sz w:val="21"/>
                <w:szCs w:val="21"/>
              </w:rPr>
              <w:t>形式</w:t>
            </w:r>
          </w:p>
        </w:tc>
        <w:tc>
          <w:tcPr>
            <w:tcW w:w="425" w:type="dxa"/>
            <w:vAlign w:val="center"/>
          </w:tcPr>
          <w:p>
            <w:pPr>
              <w:adjustRightInd w:val="0"/>
              <w:snapToGrid w:val="0"/>
              <w:spacing w:line="240" w:lineRule="auto"/>
              <w:ind w:firstLine="0" w:firstLineChars="0"/>
              <w:jc w:val="center"/>
              <w:rPr>
                <w:color w:val="auto"/>
                <w:sz w:val="21"/>
                <w:szCs w:val="21"/>
              </w:rPr>
            </w:pPr>
            <w:r>
              <w:rPr>
                <w:color w:val="auto"/>
                <w:sz w:val="21"/>
                <w:szCs w:val="21"/>
              </w:rPr>
              <w:t>宽</w:t>
            </w:r>
          </w:p>
        </w:tc>
        <w:tc>
          <w:tcPr>
            <w:tcW w:w="567" w:type="dxa"/>
            <w:noWrap/>
            <w:vAlign w:val="center"/>
          </w:tcPr>
          <w:p>
            <w:pPr>
              <w:adjustRightInd w:val="0"/>
              <w:snapToGrid w:val="0"/>
              <w:spacing w:line="240" w:lineRule="auto"/>
              <w:ind w:firstLine="0" w:firstLineChars="0"/>
              <w:jc w:val="center"/>
              <w:rPr>
                <w:color w:val="auto"/>
                <w:sz w:val="21"/>
                <w:szCs w:val="21"/>
              </w:rPr>
            </w:pPr>
            <w:r>
              <w:rPr>
                <w:color w:val="auto"/>
                <w:sz w:val="21"/>
                <w:szCs w:val="21"/>
              </w:rPr>
              <w:t>深</w:t>
            </w:r>
          </w:p>
        </w:tc>
        <w:tc>
          <w:tcPr>
            <w:tcW w:w="709" w:type="dxa"/>
            <w:noWrap/>
            <w:vAlign w:val="center"/>
          </w:tcPr>
          <w:p>
            <w:pPr>
              <w:adjustRightInd w:val="0"/>
              <w:snapToGrid w:val="0"/>
              <w:spacing w:line="240" w:lineRule="auto"/>
              <w:ind w:firstLine="0" w:firstLineChars="0"/>
              <w:jc w:val="center"/>
              <w:rPr>
                <w:color w:val="auto"/>
                <w:sz w:val="21"/>
                <w:szCs w:val="21"/>
              </w:rPr>
            </w:pPr>
            <w:r>
              <w:rPr>
                <w:color w:val="auto"/>
                <w:sz w:val="21"/>
                <w:szCs w:val="21"/>
              </w:rPr>
              <w:t>安全超高</w:t>
            </w:r>
          </w:p>
        </w:tc>
        <w:tc>
          <w:tcPr>
            <w:tcW w:w="709" w:type="dxa"/>
            <w:noWrap/>
            <w:vAlign w:val="center"/>
          </w:tcPr>
          <w:p>
            <w:pPr>
              <w:adjustRightInd w:val="0"/>
              <w:snapToGrid w:val="0"/>
              <w:spacing w:line="240" w:lineRule="auto"/>
              <w:ind w:firstLine="0" w:firstLineChars="0"/>
              <w:jc w:val="center"/>
              <w:rPr>
                <w:color w:val="auto"/>
                <w:sz w:val="21"/>
                <w:szCs w:val="21"/>
              </w:rPr>
            </w:pPr>
            <w:r>
              <w:rPr>
                <w:color w:val="auto"/>
                <w:sz w:val="21"/>
                <w:szCs w:val="21"/>
              </w:rPr>
              <w:t>底坡</w:t>
            </w:r>
          </w:p>
        </w:tc>
        <w:tc>
          <w:tcPr>
            <w:tcW w:w="709" w:type="dxa"/>
            <w:noWrap/>
            <w:vAlign w:val="center"/>
          </w:tcPr>
          <w:p>
            <w:pPr>
              <w:adjustRightInd w:val="0"/>
              <w:snapToGrid w:val="0"/>
              <w:spacing w:line="240" w:lineRule="auto"/>
              <w:ind w:firstLine="0" w:firstLineChars="0"/>
              <w:jc w:val="center"/>
              <w:rPr>
                <w:color w:val="auto"/>
                <w:sz w:val="21"/>
                <w:szCs w:val="21"/>
              </w:rPr>
            </w:pPr>
            <w:r>
              <w:rPr>
                <w:color w:val="auto"/>
                <w:sz w:val="21"/>
                <w:szCs w:val="21"/>
              </w:rPr>
              <w:t>糙率</w:t>
            </w:r>
          </w:p>
        </w:tc>
        <w:tc>
          <w:tcPr>
            <w:tcW w:w="708" w:type="dxa"/>
            <w:noWrap/>
            <w:vAlign w:val="center"/>
          </w:tcPr>
          <w:p>
            <w:pPr>
              <w:adjustRightInd w:val="0"/>
              <w:snapToGrid w:val="0"/>
              <w:spacing w:line="240" w:lineRule="auto"/>
              <w:ind w:firstLine="0" w:firstLineChars="0"/>
              <w:jc w:val="center"/>
              <w:rPr>
                <w:color w:val="auto"/>
                <w:sz w:val="21"/>
                <w:szCs w:val="21"/>
              </w:rPr>
            </w:pPr>
            <w:r>
              <w:rPr>
                <w:color w:val="auto"/>
                <w:sz w:val="21"/>
                <w:szCs w:val="21"/>
              </w:rPr>
              <w:t>过水面积</w:t>
            </w:r>
          </w:p>
        </w:tc>
        <w:tc>
          <w:tcPr>
            <w:tcW w:w="709" w:type="dxa"/>
            <w:noWrap/>
            <w:vAlign w:val="center"/>
          </w:tcPr>
          <w:p>
            <w:pPr>
              <w:adjustRightInd w:val="0"/>
              <w:snapToGrid w:val="0"/>
              <w:spacing w:line="240" w:lineRule="auto"/>
              <w:ind w:firstLine="0" w:firstLineChars="0"/>
              <w:jc w:val="center"/>
              <w:rPr>
                <w:color w:val="auto"/>
                <w:sz w:val="21"/>
                <w:szCs w:val="21"/>
              </w:rPr>
            </w:pPr>
            <w:r>
              <w:rPr>
                <w:color w:val="auto"/>
                <w:sz w:val="21"/>
                <w:szCs w:val="21"/>
              </w:rPr>
              <w:t>湿周</w:t>
            </w:r>
          </w:p>
        </w:tc>
        <w:tc>
          <w:tcPr>
            <w:tcW w:w="753" w:type="dxa"/>
            <w:noWrap/>
            <w:vAlign w:val="center"/>
          </w:tcPr>
          <w:p>
            <w:pPr>
              <w:adjustRightInd w:val="0"/>
              <w:snapToGrid w:val="0"/>
              <w:spacing w:line="240" w:lineRule="auto"/>
              <w:ind w:firstLine="0" w:firstLineChars="0"/>
              <w:jc w:val="center"/>
              <w:rPr>
                <w:color w:val="auto"/>
                <w:sz w:val="21"/>
                <w:szCs w:val="21"/>
              </w:rPr>
            </w:pPr>
            <w:r>
              <w:rPr>
                <w:color w:val="auto"/>
                <w:sz w:val="21"/>
                <w:szCs w:val="21"/>
              </w:rPr>
              <w:t>水力半径</w:t>
            </w:r>
          </w:p>
        </w:tc>
        <w:tc>
          <w:tcPr>
            <w:tcW w:w="806" w:type="dxa"/>
            <w:noWrap/>
            <w:vAlign w:val="center"/>
          </w:tcPr>
          <w:p>
            <w:pPr>
              <w:adjustRightInd w:val="0"/>
              <w:snapToGrid w:val="0"/>
              <w:spacing w:line="240" w:lineRule="auto"/>
              <w:ind w:firstLine="0" w:firstLineChars="0"/>
              <w:jc w:val="center"/>
              <w:rPr>
                <w:color w:val="auto"/>
                <w:sz w:val="21"/>
                <w:szCs w:val="21"/>
              </w:rPr>
            </w:pPr>
            <w:r>
              <w:rPr>
                <w:color w:val="auto"/>
                <w:sz w:val="21"/>
                <w:szCs w:val="21"/>
              </w:rPr>
              <w:t>谢才</w:t>
            </w:r>
          </w:p>
          <w:p>
            <w:pPr>
              <w:adjustRightInd w:val="0"/>
              <w:snapToGrid w:val="0"/>
              <w:spacing w:line="240" w:lineRule="auto"/>
              <w:ind w:firstLine="0" w:firstLineChars="0"/>
              <w:jc w:val="center"/>
              <w:rPr>
                <w:color w:val="auto"/>
                <w:sz w:val="21"/>
                <w:szCs w:val="21"/>
              </w:rPr>
            </w:pPr>
            <w:r>
              <w:rPr>
                <w:color w:val="auto"/>
                <w:sz w:val="21"/>
                <w:szCs w:val="21"/>
              </w:rPr>
              <w:t>系数</w:t>
            </w:r>
          </w:p>
        </w:tc>
        <w:tc>
          <w:tcPr>
            <w:tcW w:w="895" w:type="dxa"/>
            <w:noWrap/>
            <w:vAlign w:val="center"/>
          </w:tcPr>
          <w:p>
            <w:pPr>
              <w:adjustRightInd w:val="0"/>
              <w:snapToGrid w:val="0"/>
              <w:spacing w:line="240" w:lineRule="auto"/>
              <w:ind w:firstLine="0" w:firstLineChars="0"/>
              <w:jc w:val="center"/>
              <w:rPr>
                <w:color w:val="auto"/>
                <w:sz w:val="21"/>
                <w:szCs w:val="21"/>
              </w:rPr>
            </w:pPr>
            <w:r>
              <w:rPr>
                <w:color w:val="auto"/>
                <w:sz w:val="21"/>
                <w:szCs w:val="21"/>
              </w:rPr>
              <w:t>设计</w:t>
            </w:r>
          </w:p>
          <w:p>
            <w:pPr>
              <w:adjustRightInd w:val="0"/>
              <w:snapToGrid w:val="0"/>
              <w:spacing w:line="240" w:lineRule="auto"/>
              <w:ind w:firstLine="0" w:firstLineChars="0"/>
              <w:jc w:val="center"/>
              <w:rPr>
                <w:color w:val="auto"/>
                <w:sz w:val="21"/>
                <w:szCs w:val="21"/>
              </w:rPr>
            </w:pPr>
            <w:r>
              <w:rPr>
                <w:color w:val="auto"/>
                <w:sz w:val="21"/>
                <w:szCs w:val="21"/>
              </w:rPr>
              <w:t>过流量</w:t>
            </w:r>
          </w:p>
        </w:tc>
        <w:tc>
          <w:tcPr>
            <w:tcW w:w="1067" w:type="dxa"/>
            <w:vAlign w:val="center"/>
          </w:tcPr>
          <w:p>
            <w:pPr>
              <w:adjustRightInd w:val="0"/>
              <w:snapToGrid w:val="0"/>
              <w:spacing w:line="240" w:lineRule="auto"/>
              <w:ind w:firstLine="0" w:firstLineChars="0"/>
              <w:jc w:val="center"/>
              <w:rPr>
                <w:color w:val="auto"/>
                <w:sz w:val="21"/>
                <w:szCs w:val="21"/>
              </w:rPr>
            </w:pPr>
            <w:r>
              <w:rPr>
                <w:color w:val="auto"/>
                <w:sz w:val="21"/>
                <w:szCs w:val="21"/>
              </w:rPr>
              <w:t>最大洪峰流量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822" w:type="dxa"/>
            <w:vMerge w:val="continue"/>
            <w:vAlign w:val="center"/>
          </w:tcPr>
          <w:p>
            <w:pPr>
              <w:adjustRightInd w:val="0"/>
              <w:snapToGrid w:val="0"/>
              <w:spacing w:line="240" w:lineRule="auto"/>
              <w:ind w:firstLine="0" w:firstLineChars="0"/>
              <w:jc w:val="center"/>
              <w:rPr>
                <w:color w:val="auto"/>
                <w:sz w:val="21"/>
                <w:szCs w:val="21"/>
              </w:rPr>
            </w:pPr>
          </w:p>
        </w:tc>
        <w:tc>
          <w:tcPr>
            <w:tcW w:w="709" w:type="dxa"/>
            <w:vMerge w:val="continue"/>
            <w:vAlign w:val="center"/>
          </w:tcPr>
          <w:p>
            <w:pPr>
              <w:adjustRightInd w:val="0"/>
              <w:snapToGrid w:val="0"/>
              <w:spacing w:line="240" w:lineRule="auto"/>
              <w:ind w:firstLine="0" w:firstLineChars="0"/>
              <w:jc w:val="center"/>
              <w:rPr>
                <w:color w:val="auto"/>
                <w:sz w:val="21"/>
                <w:szCs w:val="21"/>
              </w:rPr>
            </w:pPr>
          </w:p>
        </w:tc>
        <w:tc>
          <w:tcPr>
            <w:tcW w:w="425" w:type="dxa"/>
            <w:vAlign w:val="center"/>
          </w:tcPr>
          <w:p>
            <w:pPr>
              <w:adjustRightInd w:val="0"/>
              <w:snapToGrid w:val="0"/>
              <w:spacing w:line="240" w:lineRule="auto"/>
              <w:ind w:firstLine="0" w:firstLineChars="0"/>
              <w:jc w:val="center"/>
              <w:rPr>
                <w:color w:val="auto"/>
                <w:sz w:val="21"/>
                <w:szCs w:val="21"/>
              </w:rPr>
            </w:pPr>
            <w:r>
              <w:rPr>
                <w:color w:val="auto"/>
                <w:sz w:val="21"/>
                <w:szCs w:val="21"/>
              </w:rPr>
              <w:t>m</w:t>
            </w:r>
          </w:p>
        </w:tc>
        <w:tc>
          <w:tcPr>
            <w:tcW w:w="567" w:type="dxa"/>
            <w:vAlign w:val="center"/>
          </w:tcPr>
          <w:p>
            <w:pPr>
              <w:adjustRightInd w:val="0"/>
              <w:snapToGrid w:val="0"/>
              <w:spacing w:line="240" w:lineRule="auto"/>
              <w:ind w:firstLine="0" w:firstLineChars="0"/>
              <w:jc w:val="center"/>
              <w:rPr>
                <w:color w:val="auto"/>
                <w:sz w:val="21"/>
                <w:szCs w:val="21"/>
              </w:rPr>
            </w:pPr>
            <w:r>
              <w:rPr>
                <w:color w:val="auto"/>
                <w:sz w:val="21"/>
                <w:szCs w:val="21"/>
              </w:rPr>
              <w:t>h</w:t>
            </w:r>
          </w:p>
        </w:tc>
        <w:tc>
          <w:tcPr>
            <w:tcW w:w="709" w:type="dxa"/>
            <w:vAlign w:val="center"/>
          </w:tcPr>
          <w:p>
            <w:pPr>
              <w:adjustRightInd w:val="0"/>
              <w:snapToGrid w:val="0"/>
              <w:spacing w:line="240" w:lineRule="auto"/>
              <w:ind w:firstLine="0" w:firstLineChars="0"/>
              <w:jc w:val="center"/>
              <w:rPr>
                <w:color w:val="auto"/>
                <w:sz w:val="21"/>
                <w:szCs w:val="21"/>
              </w:rPr>
            </w:pPr>
            <w:r>
              <w:rPr>
                <w:color w:val="auto"/>
                <w:sz w:val="21"/>
                <w:szCs w:val="21"/>
              </w:rPr>
              <w:t>m</w:t>
            </w:r>
          </w:p>
        </w:tc>
        <w:tc>
          <w:tcPr>
            <w:tcW w:w="709" w:type="dxa"/>
            <w:vAlign w:val="center"/>
          </w:tcPr>
          <w:p>
            <w:pPr>
              <w:adjustRightInd w:val="0"/>
              <w:snapToGrid w:val="0"/>
              <w:spacing w:line="240" w:lineRule="auto"/>
              <w:ind w:firstLine="0" w:firstLineChars="0"/>
              <w:jc w:val="center"/>
              <w:rPr>
                <w:color w:val="auto"/>
                <w:sz w:val="21"/>
                <w:szCs w:val="21"/>
              </w:rPr>
            </w:pPr>
            <w:r>
              <w:rPr>
                <w:color w:val="auto"/>
                <w:sz w:val="21"/>
                <w:szCs w:val="21"/>
              </w:rPr>
              <w:t>i(%)</w:t>
            </w:r>
          </w:p>
        </w:tc>
        <w:tc>
          <w:tcPr>
            <w:tcW w:w="709" w:type="dxa"/>
            <w:vAlign w:val="center"/>
          </w:tcPr>
          <w:p>
            <w:pPr>
              <w:adjustRightInd w:val="0"/>
              <w:snapToGrid w:val="0"/>
              <w:spacing w:line="240" w:lineRule="auto"/>
              <w:ind w:firstLine="0" w:firstLineChars="0"/>
              <w:jc w:val="center"/>
              <w:rPr>
                <w:color w:val="auto"/>
                <w:sz w:val="21"/>
                <w:szCs w:val="21"/>
              </w:rPr>
            </w:pPr>
            <w:r>
              <w:rPr>
                <w:color w:val="auto"/>
                <w:sz w:val="21"/>
                <w:szCs w:val="21"/>
              </w:rPr>
              <w:t>n</w:t>
            </w:r>
          </w:p>
        </w:tc>
        <w:tc>
          <w:tcPr>
            <w:tcW w:w="708" w:type="dxa"/>
            <w:vAlign w:val="center"/>
          </w:tcPr>
          <w:p>
            <w:pPr>
              <w:adjustRightInd w:val="0"/>
              <w:snapToGrid w:val="0"/>
              <w:spacing w:line="240" w:lineRule="auto"/>
              <w:ind w:firstLine="0" w:firstLineChars="0"/>
              <w:jc w:val="center"/>
              <w:rPr>
                <w:color w:val="auto"/>
                <w:sz w:val="21"/>
                <w:szCs w:val="21"/>
              </w:rPr>
            </w:pPr>
            <w:r>
              <w:rPr>
                <w:color w:val="auto"/>
                <w:sz w:val="21"/>
                <w:szCs w:val="21"/>
              </w:rPr>
              <w:t>A</w:t>
            </w:r>
          </w:p>
        </w:tc>
        <w:tc>
          <w:tcPr>
            <w:tcW w:w="709" w:type="dxa"/>
            <w:vAlign w:val="center"/>
          </w:tcPr>
          <w:p>
            <w:pPr>
              <w:adjustRightInd w:val="0"/>
              <w:snapToGrid w:val="0"/>
              <w:spacing w:line="240" w:lineRule="auto"/>
              <w:ind w:firstLine="0" w:firstLineChars="0"/>
              <w:jc w:val="center"/>
              <w:rPr>
                <w:color w:val="auto"/>
                <w:sz w:val="21"/>
                <w:szCs w:val="21"/>
              </w:rPr>
            </w:pPr>
            <w:r>
              <w:rPr>
                <w:color w:val="auto"/>
                <w:sz w:val="21"/>
                <w:szCs w:val="21"/>
              </w:rPr>
              <w:t>x</w:t>
            </w:r>
          </w:p>
        </w:tc>
        <w:tc>
          <w:tcPr>
            <w:tcW w:w="753" w:type="dxa"/>
            <w:vAlign w:val="center"/>
          </w:tcPr>
          <w:p>
            <w:pPr>
              <w:adjustRightInd w:val="0"/>
              <w:snapToGrid w:val="0"/>
              <w:spacing w:line="240" w:lineRule="auto"/>
              <w:ind w:firstLine="0" w:firstLineChars="0"/>
              <w:jc w:val="center"/>
              <w:rPr>
                <w:color w:val="auto"/>
                <w:sz w:val="21"/>
                <w:szCs w:val="21"/>
              </w:rPr>
            </w:pPr>
            <w:r>
              <w:rPr>
                <w:color w:val="auto"/>
                <w:sz w:val="21"/>
                <w:szCs w:val="21"/>
              </w:rPr>
              <w:t>R</w:t>
            </w:r>
          </w:p>
        </w:tc>
        <w:tc>
          <w:tcPr>
            <w:tcW w:w="806" w:type="dxa"/>
            <w:vAlign w:val="center"/>
          </w:tcPr>
          <w:p>
            <w:pPr>
              <w:adjustRightInd w:val="0"/>
              <w:snapToGrid w:val="0"/>
              <w:spacing w:line="240" w:lineRule="auto"/>
              <w:ind w:firstLine="0" w:firstLineChars="0"/>
              <w:jc w:val="center"/>
              <w:rPr>
                <w:color w:val="auto"/>
                <w:sz w:val="21"/>
                <w:szCs w:val="21"/>
              </w:rPr>
            </w:pPr>
            <w:r>
              <w:rPr>
                <w:color w:val="auto"/>
                <w:sz w:val="21"/>
                <w:szCs w:val="21"/>
              </w:rPr>
              <w:t>c</w:t>
            </w:r>
          </w:p>
        </w:tc>
        <w:tc>
          <w:tcPr>
            <w:tcW w:w="895" w:type="dxa"/>
            <w:vAlign w:val="center"/>
          </w:tcPr>
          <w:p>
            <w:pPr>
              <w:adjustRightInd w:val="0"/>
              <w:snapToGrid w:val="0"/>
              <w:spacing w:line="240" w:lineRule="auto"/>
              <w:ind w:firstLine="0" w:firstLineChars="0"/>
              <w:jc w:val="center"/>
              <w:rPr>
                <w:color w:val="auto"/>
                <w:sz w:val="21"/>
                <w:szCs w:val="21"/>
              </w:rPr>
            </w:pPr>
            <w:r>
              <w:rPr>
                <w:color w:val="auto"/>
                <w:sz w:val="21"/>
                <w:szCs w:val="21"/>
              </w:rPr>
              <w:t>Q</w:t>
            </w:r>
            <w:r>
              <w:rPr>
                <w:color w:val="auto"/>
                <w:sz w:val="21"/>
                <w:szCs w:val="21"/>
                <w:vertAlign w:val="subscript"/>
              </w:rPr>
              <w:t>b</w:t>
            </w:r>
            <w:r>
              <w:rPr>
                <w:color w:val="auto"/>
                <w:sz w:val="21"/>
                <w:szCs w:val="21"/>
              </w:rPr>
              <w:t>(m</w:t>
            </w:r>
            <w:r>
              <w:rPr>
                <w:color w:val="auto"/>
                <w:sz w:val="21"/>
                <w:szCs w:val="21"/>
                <w:vertAlign w:val="superscript"/>
              </w:rPr>
              <w:t>3</w:t>
            </w:r>
            <w:r>
              <w:rPr>
                <w:color w:val="auto"/>
                <w:sz w:val="21"/>
                <w:szCs w:val="21"/>
              </w:rPr>
              <w:t>/s)</w:t>
            </w:r>
          </w:p>
        </w:tc>
        <w:tc>
          <w:tcPr>
            <w:tcW w:w="1067" w:type="dxa"/>
            <w:vAlign w:val="center"/>
          </w:tcPr>
          <w:p>
            <w:pPr>
              <w:adjustRightInd w:val="0"/>
              <w:snapToGrid w:val="0"/>
              <w:spacing w:line="240" w:lineRule="auto"/>
              <w:ind w:firstLine="0" w:firstLineChars="0"/>
              <w:jc w:val="center"/>
              <w:rPr>
                <w:color w:val="auto"/>
                <w:sz w:val="21"/>
                <w:szCs w:val="21"/>
              </w:rPr>
            </w:pPr>
            <w:r>
              <w:rPr>
                <w:color w:val="auto"/>
                <w:sz w:val="21"/>
                <w:szCs w:val="21"/>
              </w:rPr>
              <w:t>Q(m</w:t>
            </w:r>
            <w:r>
              <w:rPr>
                <w:color w:val="auto"/>
                <w:sz w:val="21"/>
                <w:szCs w:val="21"/>
                <w:vertAlign w:val="superscript"/>
              </w:rPr>
              <w:t>3</w:t>
            </w:r>
            <w:r>
              <w:rPr>
                <w:color w:val="auto"/>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822" w:type="dxa"/>
            <w:vAlign w:val="center"/>
          </w:tcPr>
          <w:p>
            <w:pPr>
              <w:adjustRightInd w:val="0"/>
              <w:snapToGrid w:val="0"/>
              <w:spacing w:line="240" w:lineRule="auto"/>
              <w:ind w:firstLine="0" w:firstLineChars="0"/>
              <w:jc w:val="center"/>
              <w:rPr>
                <w:color w:val="auto"/>
                <w:sz w:val="21"/>
                <w:szCs w:val="21"/>
              </w:rPr>
            </w:pPr>
            <w:r>
              <w:rPr>
                <w:color w:val="auto"/>
                <w:sz w:val="21"/>
                <w:szCs w:val="21"/>
              </w:rPr>
              <w:t>排洪沟</w:t>
            </w:r>
          </w:p>
        </w:tc>
        <w:tc>
          <w:tcPr>
            <w:tcW w:w="709" w:type="dxa"/>
            <w:vAlign w:val="center"/>
          </w:tcPr>
          <w:p>
            <w:pPr>
              <w:adjustRightInd w:val="0"/>
              <w:snapToGrid w:val="0"/>
              <w:spacing w:line="240" w:lineRule="auto"/>
              <w:ind w:firstLine="0" w:firstLineChars="0"/>
              <w:jc w:val="center"/>
              <w:rPr>
                <w:color w:val="auto"/>
                <w:sz w:val="21"/>
                <w:szCs w:val="21"/>
              </w:rPr>
            </w:pPr>
            <w:r>
              <w:rPr>
                <w:color w:val="auto"/>
                <w:sz w:val="21"/>
                <w:szCs w:val="21"/>
              </w:rPr>
              <w:t>矩形</w:t>
            </w:r>
          </w:p>
        </w:tc>
        <w:tc>
          <w:tcPr>
            <w:tcW w:w="425" w:type="dxa"/>
            <w:vAlign w:val="center"/>
          </w:tcPr>
          <w:p>
            <w:pPr>
              <w:adjustRightInd w:val="0"/>
              <w:snapToGrid w:val="0"/>
              <w:spacing w:line="240" w:lineRule="auto"/>
              <w:ind w:firstLine="0" w:firstLineChars="0"/>
              <w:jc w:val="center"/>
              <w:rPr>
                <w:color w:val="auto"/>
                <w:sz w:val="21"/>
                <w:szCs w:val="21"/>
              </w:rPr>
            </w:pPr>
            <w:r>
              <w:rPr>
                <w:color w:val="auto"/>
                <w:sz w:val="21"/>
                <w:szCs w:val="21"/>
              </w:rPr>
              <w:t>2</w:t>
            </w:r>
          </w:p>
        </w:tc>
        <w:tc>
          <w:tcPr>
            <w:tcW w:w="567" w:type="dxa"/>
            <w:vAlign w:val="center"/>
          </w:tcPr>
          <w:p>
            <w:pPr>
              <w:adjustRightInd w:val="0"/>
              <w:snapToGrid w:val="0"/>
              <w:spacing w:line="240" w:lineRule="auto"/>
              <w:ind w:firstLine="0" w:firstLineChars="0"/>
              <w:jc w:val="center"/>
              <w:rPr>
                <w:color w:val="auto"/>
                <w:sz w:val="21"/>
                <w:szCs w:val="21"/>
              </w:rPr>
            </w:pPr>
            <w:r>
              <w:rPr>
                <w:color w:val="auto"/>
                <w:sz w:val="21"/>
                <w:szCs w:val="21"/>
              </w:rPr>
              <w:t>1.7</w:t>
            </w:r>
          </w:p>
        </w:tc>
        <w:tc>
          <w:tcPr>
            <w:tcW w:w="709" w:type="dxa"/>
            <w:vAlign w:val="center"/>
          </w:tcPr>
          <w:p>
            <w:pPr>
              <w:adjustRightInd w:val="0"/>
              <w:snapToGrid w:val="0"/>
              <w:spacing w:line="240" w:lineRule="auto"/>
              <w:ind w:firstLine="0" w:firstLineChars="0"/>
              <w:jc w:val="center"/>
              <w:rPr>
                <w:color w:val="auto"/>
                <w:sz w:val="21"/>
                <w:szCs w:val="21"/>
              </w:rPr>
            </w:pPr>
            <w:r>
              <w:rPr>
                <w:color w:val="auto"/>
                <w:sz w:val="21"/>
                <w:szCs w:val="21"/>
              </w:rPr>
              <w:t>0.3</w:t>
            </w:r>
          </w:p>
        </w:tc>
        <w:tc>
          <w:tcPr>
            <w:tcW w:w="709" w:type="dxa"/>
            <w:vAlign w:val="center"/>
          </w:tcPr>
          <w:p>
            <w:pPr>
              <w:adjustRightInd w:val="0"/>
              <w:snapToGrid w:val="0"/>
              <w:spacing w:line="240" w:lineRule="auto"/>
              <w:ind w:firstLine="0" w:firstLineChars="0"/>
              <w:jc w:val="center"/>
              <w:rPr>
                <w:color w:val="auto"/>
                <w:sz w:val="21"/>
                <w:szCs w:val="21"/>
              </w:rPr>
            </w:pPr>
            <w:r>
              <w:rPr>
                <w:color w:val="auto"/>
                <w:sz w:val="21"/>
                <w:szCs w:val="21"/>
              </w:rPr>
              <w:t>0.85</w:t>
            </w:r>
          </w:p>
        </w:tc>
        <w:tc>
          <w:tcPr>
            <w:tcW w:w="709" w:type="dxa"/>
            <w:vAlign w:val="center"/>
          </w:tcPr>
          <w:p>
            <w:pPr>
              <w:adjustRightInd w:val="0"/>
              <w:snapToGrid w:val="0"/>
              <w:spacing w:line="240" w:lineRule="auto"/>
              <w:ind w:firstLine="0" w:firstLineChars="0"/>
              <w:jc w:val="center"/>
              <w:rPr>
                <w:color w:val="auto"/>
                <w:sz w:val="21"/>
                <w:szCs w:val="21"/>
              </w:rPr>
            </w:pPr>
            <w:r>
              <w:rPr>
                <w:color w:val="auto"/>
                <w:sz w:val="21"/>
                <w:szCs w:val="21"/>
              </w:rPr>
              <w:t>0.015</w:t>
            </w:r>
          </w:p>
        </w:tc>
        <w:tc>
          <w:tcPr>
            <w:tcW w:w="708" w:type="dxa"/>
            <w:vAlign w:val="center"/>
          </w:tcPr>
          <w:p>
            <w:pPr>
              <w:adjustRightInd w:val="0"/>
              <w:snapToGrid w:val="0"/>
              <w:spacing w:line="240" w:lineRule="auto"/>
              <w:ind w:firstLine="0" w:firstLineChars="0"/>
              <w:jc w:val="center"/>
              <w:rPr>
                <w:color w:val="auto"/>
                <w:sz w:val="21"/>
                <w:szCs w:val="21"/>
              </w:rPr>
            </w:pPr>
            <w:r>
              <w:rPr>
                <w:color w:val="auto"/>
                <w:sz w:val="21"/>
                <w:szCs w:val="21"/>
              </w:rPr>
              <w:t>2.8</w:t>
            </w:r>
          </w:p>
        </w:tc>
        <w:tc>
          <w:tcPr>
            <w:tcW w:w="709" w:type="dxa"/>
            <w:vAlign w:val="center"/>
          </w:tcPr>
          <w:p>
            <w:pPr>
              <w:adjustRightInd w:val="0"/>
              <w:snapToGrid w:val="0"/>
              <w:spacing w:line="240" w:lineRule="auto"/>
              <w:ind w:firstLine="0" w:firstLineChars="0"/>
              <w:jc w:val="center"/>
              <w:rPr>
                <w:color w:val="auto"/>
                <w:sz w:val="21"/>
                <w:szCs w:val="21"/>
              </w:rPr>
            </w:pPr>
            <w:r>
              <w:rPr>
                <w:color w:val="auto"/>
                <w:sz w:val="21"/>
                <w:szCs w:val="21"/>
                <w:lang w:eastAsia="ja-JP"/>
              </w:rPr>
              <w:t>4.8</w:t>
            </w:r>
          </w:p>
        </w:tc>
        <w:tc>
          <w:tcPr>
            <w:tcW w:w="753" w:type="dxa"/>
            <w:vAlign w:val="center"/>
          </w:tcPr>
          <w:p>
            <w:pPr>
              <w:adjustRightInd w:val="0"/>
              <w:snapToGrid w:val="0"/>
              <w:spacing w:line="240" w:lineRule="auto"/>
              <w:ind w:firstLine="0" w:firstLineChars="0"/>
              <w:jc w:val="center"/>
              <w:rPr>
                <w:color w:val="auto"/>
                <w:sz w:val="21"/>
                <w:szCs w:val="21"/>
              </w:rPr>
            </w:pPr>
            <w:r>
              <w:rPr>
                <w:color w:val="auto"/>
                <w:sz w:val="21"/>
                <w:szCs w:val="21"/>
              </w:rPr>
              <w:t>0.583</w:t>
            </w:r>
          </w:p>
        </w:tc>
        <w:tc>
          <w:tcPr>
            <w:tcW w:w="806" w:type="dxa"/>
            <w:vAlign w:val="center"/>
          </w:tcPr>
          <w:p>
            <w:pPr>
              <w:adjustRightInd w:val="0"/>
              <w:snapToGrid w:val="0"/>
              <w:spacing w:line="240" w:lineRule="auto"/>
              <w:ind w:firstLine="0" w:firstLineChars="0"/>
              <w:jc w:val="center"/>
              <w:rPr>
                <w:color w:val="auto"/>
                <w:sz w:val="21"/>
                <w:szCs w:val="21"/>
              </w:rPr>
            </w:pPr>
            <w:r>
              <w:rPr>
                <w:color w:val="auto"/>
                <w:sz w:val="21"/>
                <w:szCs w:val="21"/>
              </w:rPr>
              <w:t>60.932</w:t>
            </w:r>
          </w:p>
        </w:tc>
        <w:tc>
          <w:tcPr>
            <w:tcW w:w="895" w:type="dxa"/>
            <w:vAlign w:val="center"/>
          </w:tcPr>
          <w:p>
            <w:pPr>
              <w:adjustRightInd w:val="0"/>
              <w:snapToGrid w:val="0"/>
              <w:spacing w:line="240" w:lineRule="auto"/>
              <w:ind w:firstLine="0" w:firstLineChars="0"/>
              <w:jc w:val="center"/>
              <w:rPr>
                <w:color w:val="auto"/>
                <w:sz w:val="21"/>
                <w:szCs w:val="21"/>
              </w:rPr>
            </w:pPr>
            <w:r>
              <w:rPr>
                <w:color w:val="auto"/>
                <w:sz w:val="21"/>
                <w:szCs w:val="21"/>
              </w:rPr>
              <w:t>12.01</w:t>
            </w:r>
          </w:p>
        </w:tc>
        <w:tc>
          <w:tcPr>
            <w:tcW w:w="1067" w:type="dxa"/>
            <w:vAlign w:val="center"/>
          </w:tcPr>
          <w:p>
            <w:pPr>
              <w:adjustRightInd w:val="0"/>
              <w:snapToGrid w:val="0"/>
              <w:spacing w:line="240" w:lineRule="auto"/>
              <w:ind w:firstLine="0" w:firstLineChars="0"/>
              <w:jc w:val="center"/>
              <w:rPr>
                <w:color w:val="auto"/>
                <w:sz w:val="21"/>
                <w:szCs w:val="21"/>
              </w:rPr>
            </w:pPr>
            <w:r>
              <w:rPr>
                <w:color w:val="auto"/>
                <w:sz w:val="21"/>
                <w:szCs w:val="21"/>
              </w:rPr>
              <w:t>11.32</w:t>
            </w:r>
          </w:p>
        </w:tc>
      </w:tr>
    </w:tbl>
    <w:p>
      <w:pPr>
        <w:numPr>
          <w:ilvl w:val="0"/>
          <w:numId w:val="11"/>
        </w:numPr>
        <w:tabs>
          <w:tab w:val="left" w:pos="3395"/>
          <w:tab w:val="clear" w:pos="0"/>
        </w:tabs>
        <w:ind w:left="0" w:leftChars="0" w:firstLine="0" w:firstLineChars="0"/>
        <w:jc w:val="center"/>
        <w:rPr>
          <w:rFonts w:ascii="Times New Roman" w:hAnsi="Times New Roman" w:eastAsia="仿宋_GB2312" w:cs="Times New Roman"/>
          <w:b/>
          <w:color w:val="auto"/>
        </w:rPr>
      </w:pPr>
      <w:r>
        <w:rPr>
          <w:rFonts w:ascii="Times New Roman" w:hAnsi="Times New Roman" w:eastAsia="宋体" w:cs="Times New Roman"/>
          <w:b/>
          <w:color w:val="auto"/>
        </w:rPr>
        <w:t>最大</w:t>
      </w:r>
      <w:r>
        <w:rPr>
          <w:rFonts w:hint="eastAsia"/>
          <w:b/>
          <w:color w:val="auto"/>
          <w:szCs w:val="20"/>
        </w:rPr>
        <w:t>洪峰</w:t>
      </w:r>
      <w:r>
        <w:rPr>
          <w:rFonts w:ascii="Times New Roman" w:hAnsi="Times New Roman" w:eastAsia="宋体" w:cs="Times New Roman"/>
          <w:b/>
          <w:color w:val="auto"/>
        </w:rPr>
        <w:t>流量计算表</w:t>
      </w:r>
      <w:r>
        <w:rPr>
          <w:rFonts w:ascii="Times New Roman" w:hAnsi="Times New Roman" w:eastAsia="仿宋_GB2312" w:cs="Times New Roman"/>
          <w:b/>
          <w:color w:val="auto"/>
        </w:rPr>
        <w:t>（</w:t>
      </w:r>
      <w:r>
        <w:rPr>
          <w:rFonts w:ascii="Times New Roman" w:hAnsi="Times New Roman" w:cs="Times New Roman"/>
          <w:color w:val="auto"/>
        </w:rPr>
        <w:t>Q</w:t>
      </w:r>
      <w:r>
        <w:rPr>
          <w:rFonts w:ascii="Times New Roman" w:hAnsi="Times New Roman" w:cs="Times New Roman"/>
          <w:color w:val="auto"/>
          <w:vertAlign w:val="subscript"/>
        </w:rPr>
        <w:t>B</w:t>
      </w:r>
      <w:r>
        <w:rPr>
          <w:rFonts w:ascii="Times New Roman" w:hAnsi="Times New Roman" w:cs="Times New Roman"/>
          <w:color w:val="auto"/>
        </w:rPr>
        <w:t>=0.278kiF）</w:t>
      </w:r>
    </w:p>
    <w:tbl>
      <w:tblPr>
        <w:tblStyle w:val="51"/>
        <w:tblW w:w="928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032"/>
        <w:gridCol w:w="261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2" w:type="dxa"/>
            <w:vAlign w:val="center"/>
          </w:tcPr>
          <w:p>
            <w:pPr>
              <w:spacing w:line="240" w:lineRule="auto"/>
              <w:ind w:firstLine="0" w:firstLineChars="0"/>
              <w:jc w:val="center"/>
              <w:rPr>
                <w:color w:val="auto"/>
                <w:sz w:val="21"/>
                <w:szCs w:val="21"/>
              </w:rPr>
            </w:pPr>
            <w:r>
              <w:rPr>
                <w:color w:val="auto"/>
                <w:sz w:val="21"/>
                <w:szCs w:val="21"/>
              </w:rPr>
              <w:t>最大洪峰流量</w:t>
            </w:r>
          </w:p>
          <w:p>
            <w:pPr>
              <w:spacing w:line="240" w:lineRule="auto"/>
              <w:ind w:firstLine="0" w:firstLineChars="0"/>
              <w:jc w:val="center"/>
              <w:rPr>
                <w:color w:val="auto"/>
                <w:sz w:val="21"/>
                <w:szCs w:val="21"/>
              </w:rPr>
            </w:pPr>
            <w:r>
              <w:rPr>
                <w:color w:val="auto"/>
                <w:sz w:val="21"/>
                <w:szCs w:val="21"/>
              </w:rPr>
              <w:t>Q</w:t>
            </w:r>
            <w:r>
              <w:rPr>
                <w:color w:val="auto"/>
                <w:sz w:val="21"/>
                <w:szCs w:val="21"/>
                <w:vertAlign w:val="subscript"/>
              </w:rPr>
              <w:t>B</w:t>
            </w:r>
            <w:r>
              <w:rPr>
                <w:color w:val="auto"/>
                <w:sz w:val="21"/>
                <w:szCs w:val="21"/>
              </w:rPr>
              <w:t>(m</w:t>
            </w:r>
            <w:r>
              <w:rPr>
                <w:color w:val="auto"/>
                <w:sz w:val="21"/>
                <w:szCs w:val="21"/>
                <w:vertAlign w:val="superscript"/>
              </w:rPr>
              <w:t>3</w:t>
            </w:r>
            <w:r>
              <w:rPr>
                <w:color w:val="auto"/>
                <w:sz w:val="21"/>
                <w:szCs w:val="21"/>
              </w:rPr>
              <w:t>/s)</w:t>
            </w:r>
          </w:p>
        </w:tc>
        <w:tc>
          <w:tcPr>
            <w:tcW w:w="2032" w:type="dxa"/>
            <w:vAlign w:val="center"/>
          </w:tcPr>
          <w:p>
            <w:pPr>
              <w:spacing w:line="240" w:lineRule="auto"/>
              <w:ind w:firstLine="0" w:firstLineChars="0"/>
              <w:jc w:val="center"/>
              <w:rPr>
                <w:color w:val="auto"/>
                <w:sz w:val="21"/>
                <w:szCs w:val="21"/>
              </w:rPr>
            </w:pPr>
            <w:r>
              <w:rPr>
                <w:color w:val="auto"/>
                <w:sz w:val="21"/>
                <w:szCs w:val="21"/>
              </w:rPr>
              <w:t>径流系数</w:t>
            </w:r>
          </w:p>
          <w:p>
            <w:pPr>
              <w:spacing w:line="240" w:lineRule="auto"/>
              <w:ind w:firstLine="0" w:firstLineChars="0"/>
              <w:jc w:val="center"/>
              <w:rPr>
                <w:color w:val="auto"/>
                <w:sz w:val="21"/>
                <w:szCs w:val="21"/>
              </w:rPr>
            </w:pPr>
            <w:r>
              <w:rPr>
                <w:rFonts w:hint="eastAsia"/>
                <w:color w:val="auto"/>
                <w:sz w:val="21"/>
                <w:szCs w:val="21"/>
              </w:rPr>
              <w:t>k</w:t>
            </w:r>
          </w:p>
        </w:tc>
        <w:tc>
          <w:tcPr>
            <w:tcW w:w="2612" w:type="dxa"/>
            <w:vAlign w:val="center"/>
          </w:tcPr>
          <w:p>
            <w:pPr>
              <w:spacing w:line="240" w:lineRule="auto"/>
              <w:ind w:firstLine="0" w:firstLineChars="0"/>
              <w:jc w:val="center"/>
              <w:rPr>
                <w:color w:val="auto"/>
                <w:sz w:val="21"/>
                <w:szCs w:val="21"/>
              </w:rPr>
            </w:pPr>
            <w:r>
              <w:rPr>
                <w:color w:val="auto"/>
                <w:sz w:val="21"/>
                <w:szCs w:val="21"/>
              </w:rPr>
              <w:t>二十年一遇最大1h暴雨强度i（mm/h）</w:t>
            </w:r>
          </w:p>
        </w:tc>
        <w:tc>
          <w:tcPr>
            <w:tcW w:w="2322" w:type="dxa"/>
            <w:vAlign w:val="center"/>
          </w:tcPr>
          <w:p>
            <w:pPr>
              <w:spacing w:line="240" w:lineRule="auto"/>
              <w:ind w:firstLine="0" w:firstLineChars="0"/>
              <w:jc w:val="center"/>
              <w:rPr>
                <w:color w:val="auto"/>
                <w:sz w:val="21"/>
                <w:szCs w:val="21"/>
              </w:rPr>
            </w:pPr>
            <w:r>
              <w:rPr>
                <w:color w:val="auto"/>
                <w:sz w:val="21"/>
                <w:szCs w:val="21"/>
              </w:rPr>
              <w:t>山坡汇水面积</w:t>
            </w:r>
          </w:p>
          <w:p>
            <w:pPr>
              <w:spacing w:line="240" w:lineRule="auto"/>
              <w:ind w:firstLine="0" w:firstLineChars="0"/>
              <w:jc w:val="center"/>
              <w:rPr>
                <w:color w:val="auto"/>
                <w:sz w:val="21"/>
                <w:szCs w:val="21"/>
              </w:rPr>
            </w:pPr>
            <w:r>
              <w:rPr>
                <w:color w:val="auto"/>
                <w:sz w:val="21"/>
                <w:szCs w:val="21"/>
              </w:rPr>
              <w:t>F（km</w:t>
            </w:r>
            <w:r>
              <w:rPr>
                <w:color w:val="auto"/>
                <w:sz w:val="21"/>
                <w:szCs w:val="21"/>
                <w:vertAlign w:val="superscript"/>
              </w:rPr>
              <w:t>2</w:t>
            </w: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2" w:type="dxa"/>
            <w:vAlign w:val="center"/>
          </w:tcPr>
          <w:p>
            <w:pPr>
              <w:spacing w:line="240" w:lineRule="auto"/>
              <w:ind w:firstLine="0" w:firstLineChars="0"/>
              <w:jc w:val="center"/>
              <w:rPr>
                <w:color w:val="auto"/>
                <w:sz w:val="21"/>
                <w:szCs w:val="21"/>
              </w:rPr>
            </w:pPr>
            <w:r>
              <w:rPr>
                <w:color w:val="auto"/>
                <w:sz w:val="21"/>
                <w:szCs w:val="21"/>
              </w:rPr>
              <w:t>11.33</w:t>
            </w:r>
          </w:p>
        </w:tc>
        <w:tc>
          <w:tcPr>
            <w:tcW w:w="2032" w:type="dxa"/>
            <w:vAlign w:val="center"/>
          </w:tcPr>
          <w:p>
            <w:pPr>
              <w:spacing w:line="240" w:lineRule="auto"/>
              <w:ind w:firstLine="0" w:firstLineChars="0"/>
              <w:jc w:val="center"/>
              <w:rPr>
                <w:color w:val="auto"/>
                <w:sz w:val="21"/>
                <w:szCs w:val="21"/>
              </w:rPr>
            </w:pPr>
            <w:r>
              <w:rPr>
                <w:color w:val="auto"/>
                <w:sz w:val="21"/>
                <w:szCs w:val="21"/>
              </w:rPr>
              <w:t>0.6</w:t>
            </w:r>
          </w:p>
        </w:tc>
        <w:tc>
          <w:tcPr>
            <w:tcW w:w="2612" w:type="dxa"/>
            <w:vAlign w:val="center"/>
          </w:tcPr>
          <w:p>
            <w:pPr>
              <w:spacing w:line="240" w:lineRule="auto"/>
              <w:ind w:firstLine="0" w:firstLineChars="0"/>
              <w:jc w:val="center"/>
              <w:rPr>
                <w:color w:val="auto"/>
                <w:sz w:val="21"/>
                <w:szCs w:val="21"/>
              </w:rPr>
            </w:pPr>
            <w:r>
              <w:rPr>
                <w:rFonts w:hint="eastAsia"/>
                <w:color w:val="auto"/>
                <w:sz w:val="21"/>
                <w:szCs w:val="21"/>
              </w:rPr>
              <w:t>64.10</w:t>
            </w:r>
          </w:p>
        </w:tc>
        <w:tc>
          <w:tcPr>
            <w:tcW w:w="2322" w:type="dxa"/>
            <w:vAlign w:val="center"/>
          </w:tcPr>
          <w:p>
            <w:pPr>
              <w:spacing w:line="240" w:lineRule="auto"/>
              <w:ind w:firstLine="0" w:firstLineChars="0"/>
              <w:jc w:val="center"/>
              <w:rPr>
                <w:color w:val="auto"/>
                <w:sz w:val="21"/>
                <w:szCs w:val="21"/>
              </w:rPr>
            </w:pPr>
            <w:r>
              <w:rPr>
                <w:color w:val="auto"/>
                <w:sz w:val="21"/>
                <w:szCs w:val="21"/>
              </w:rPr>
              <w:t>1.06</w:t>
            </w:r>
          </w:p>
        </w:tc>
      </w:tr>
    </w:tbl>
    <w:p>
      <w:pPr>
        <w:pStyle w:val="177"/>
        <w:spacing w:before="0" w:after="0" w:line="360" w:lineRule="auto"/>
        <w:ind w:left="0" w:right="0" w:firstLine="480" w:firstLineChars="200"/>
        <w:jc w:val="left"/>
        <w:rPr>
          <w:i w:val="0"/>
          <w:color w:val="auto"/>
          <w:kern w:val="21"/>
          <w:sz w:val="24"/>
          <w:szCs w:val="24"/>
        </w:rPr>
      </w:pPr>
      <w:r>
        <w:rPr>
          <w:rFonts w:hint="eastAsia"/>
          <w:i w:val="0"/>
          <w:color w:val="auto"/>
          <w:kern w:val="21"/>
          <w:sz w:val="24"/>
          <w:szCs w:val="24"/>
        </w:rPr>
        <w:t>根据上述内容，排洪沟实施错接污水口整治后已无污水进入，且项目废水量相比排洪沟设计泄洪量很小，对排洪沟泄洪功能影响甚微。</w:t>
      </w:r>
    </w:p>
    <w:p>
      <w:pPr>
        <w:pStyle w:val="177"/>
        <w:spacing w:before="0" w:after="0" w:line="360" w:lineRule="auto"/>
        <w:ind w:left="0" w:right="0" w:firstLine="482" w:firstLineChars="200"/>
        <w:jc w:val="left"/>
        <w:rPr>
          <w:b/>
          <w:bCs/>
          <w:i w:val="0"/>
          <w:color w:val="auto"/>
          <w:kern w:val="21"/>
          <w:sz w:val="24"/>
          <w:szCs w:val="24"/>
        </w:rPr>
      </w:pPr>
      <w:r>
        <w:rPr>
          <w:b/>
          <w:bCs/>
          <w:i w:val="0"/>
          <w:color w:val="auto"/>
          <w:kern w:val="21"/>
          <w:sz w:val="24"/>
          <w:szCs w:val="24"/>
        </w:rPr>
        <w:fldChar w:fldCharType="begin"/>
      </w:r>
      <w:r>
        <w:rPr>
          <w:b/>
          <w:bCs/>
          <w:i w:val="0"/>
          <w:color w:val="auto"/>
          <w:kern w:val="21"/>
          <w:sz w:val="24"/>
          <w:szCs w:val="24"/>
        </w:rPr>
        <w:instrText xml:space="preserve"> = 2 \* GB3 \* MERGEFORMAT </w:instrText>
      </w:r>
      <w:r>
        <w:rPr>
          <w:b/>
          <w:bCs/>
          <w:i w:val="0"/>
          <w:color w:val="auto"/>
          <w:kern w:val="21"/>
          <w:sz w:val="24"/>
          <w:szCs w:val="24"/>
        </w:rPr>
        <w:fldChar w:fldCharType="separate"/>
      </w:r>
      <w:r>
        <w:rPr>
          <w:rFonts w:hint="eastAsia"/>
          <w:b/>
          <w:bCs/>
          <w:i w:val="0"/>
          <w:color w:val="auto"/>
          <w:sz w:val="24"/>
          <w:szCs w:val="24"/>
        </w:rPr>
        <w:t>②</w:t>
      </w:r>
      <w:r>
        <w:rPr>
          <w:b/>
          <w:bCs/>
          <w:i w:val="0"/>
          <w:color w:val="auto"/>
          <w:kern w:val="21"/>
          <w:sz w:val="24"/>
          <w:szCs w:val="24"/>
        </w:rPr>
        <w:fldChar w:fldCharType="end"/>
      </w:r>
      <w:r>
        <w:rPr>
          <w:rFonts w:hint="eastAsia"/>
          <w:b/>
          <w:bCs/>
          <w:i w:val="0"/>
          <w:color w:val="auto"/>
          <w:kern w:val="21"/>
          <w:sz w:val="24"/>
          <w:szCs w:val="24"/>
        </w:rPr>
        <w:t>项目经排洪沟入青龙河排污口合理性</w:t>
      </w:r>
    </w:p>
    <w:p>
      <w:pPr>
        <w:pStyle w:val="177"/>
        <w:spacing w:before="0" w:after="0" w:line="360" w:lineRule="auto"/>
        <w:ind w:left="0" w:right="0" w:firstLine="480" w:firstLineChars="200"/>
        <w:jc w:val="left"/>
        <w:rPr>
          <w:i w:val="0"/>
          <w:iCs/>
          <w:color w:val="auto"/>
          <w:kern w:val="21"/>
          <w:sz w:val="24"/>
          <w:szCs w:val="24"/>
        </w:rPr>
      </w:pPr>
      <w:r>
        <w:rPr>
          <w:rFonts w:hint="eastAsia"/>
          <w:i w:val="0"/>
          <w:iCs/>
          <w:color w:val="auto"/>
          <w:kern w:val="21"/>
          <w:sz w:val="24"/>
          <w:szCs w:val="24"/>
        </w:rPr>
        <w:t>根据预测，在考虑区域实施</w:t>
      </w:r>
      <w:r>
        <w:rPr>
          <w:rFonts w:hint="eastAsia"/>
          <w:i w:val="0"/>
          <w:iCs/>
          <w:color w:val="auto"/>
          <w:kern w:val="21"/>
          <w:sz w:val="24"/>
          <w:szCs w:val="24"/>
          <w:lang w:eastAsia="zh-CN"/>
        </w:rPr>
        <w:t>《楚雄市青龙河入龙川江口断面水体达标方案（2021-2025年）》</w:t>
      </w:r>
      <w:r>
        <w:rPr>
          <w:rFonts w:hint="eastAsia"/>
          <w:i w:val="0"/>
          <w:iCs/>
          <w:color w:val="auto"/>
          <w:kern w:val="21"/>
          <w:sz w:val="24"/>
          <w:szCs w:val="24"/>
        </w:rPr>
        <w:t>后环境质量改善目标要求情景下的模拟预测，正常状况下，污水处理厂处理达标后的尾水排入青龙河完全混合后，COD、氨氮、总磷、氟化物的预测值均满足《地表水环境质量标准》（GB3838-2002）Ⅳ类标准要求。且项目已于2022年3月7日取得《楚雄州生态环境局关于楚雄市富民工业园区污水处理厂工业入河排污口设置审核的意见》（楚环审[2022]1号）。</w:t>
      </w:r>
    </w:p>
    <w:p>
      <w:pPr>
        <w:ind w:firstLine="480"/>
        <w:rPr>
          <w:rFonts w:hint="eastAsia"/>
          <w:color w:val="auto"/>
        </w:rPr>
      </w:pPr>
      <w:r>
        <w:rPr>
          <w:rFonts w:hint="eastAsia"/>
          <w:color w:val="auto"/>
        </w:rPr>
        <w:t>综上所述，本项目废水经排洪沟入青龙河是合理可行的。</w:t>
      </w:r>
    </w:p>
    <w:p>
      <w:pPr>
        <w:pStyle w:val="23"/>
        <w:spacing w:line="360" w:lineRule="auto"/>
        <w:ind w:left="0" w:leftChars="0" w:firstLine="0" w:firstLineChars="0"/>
        <w:outlineLvl w:val="3"/>
        <w:rPr>
          <w:rFonts w:hint="eastAsia" w:eastAsia="宋体"/>
          <w:b/>
          <w:bCs/>
          <w:color w:val="auto"/>
          <w:lang w:eastAsia="zh-CN"/>
        </w:rPr>
      </w:pPr>
      <w:r>
        <w:rPr>
          <w:b/>
          <w:bCs/>
          <w:color w:val="auto"/>
          <w:kern w:val="21"/>
        </w:rPr>
        <w:t>5.2.1.6</w:t>
      </w:r>
      <w:r>
        <w:rPr>
          <w:rFonts w:hint="eastAsia"/>
          <w:b/>
          <w:bCs/>
          <w:color w:val="auto"/>
          <w:kern w:val="21"/>
          <w:lang w:eastAsia="zh-CN"/>
        </w:rPr>
        <w:t>底泥污染分析</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cs="Times New Roman"/>
          <w:i w:val="0"/>
          <w:iCs/>
          <w:color w:val="auto"/>
          <w:kern w:val="21"/>
          <w:sz w:val="24"/>
          <w:szCs w:val="24"/>
          <w:lang w:val="en-US" w:eastAsia="zh-CN" w:bidi="ar-SA"/>
        </w:rPr>
      </w:pPr>
      <w:r>
        <w:rPr>
          <w:rFonts w:hint="eastAsia" w:cs="Times New Roman"/>
          <w:i w:val="0"/>
          <w:iCs/>
          <w:color w:val="auto"/>
          <w:kern w:val="21"/>
          <w:sz w:val="24"/>
          <w:szCs w:val="24"/>
          <w:lang w:val="en-US" w:eastAsia="zh-CN" w:bidi="ar-SA"/>
        </w:rPr>
        <w:t>底泥污染物分为有机质（OM）、营养元素（N、P）和重金属三类。污染物进入水体后，经过被水体颗粒物的吸附、絮凝、沉淀以及生物吸收等多种方式最终沉积到底泥中并且逐渐累积，因此，底泥被看作是水体中各种污染物质的最终储存场所，在不断的累积富集下，底泥中的有机物、营养元素、重金属等浓度往往比上覆水中高出几个数量级，特别是城市河道浅水、相对静止的特点，污染物更容易沉积到河道底泥中。</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cs="Times New Roman"/>
          <w:i w:val="0"/>
          <w:iCs/>
          <w:color w:val="auto"/>
          <w:kern w:val="21"/>
          <w:sz w:val="24"/>
          <w:szCs w:val="24"/>
          <w:lang w:val="en-US" w:eastAsia="zh-CN" w:bidi="ar-SA"/>
        </w:rPr>
      </w:pPr>
      <w:r>
        <w:rPr>
          <w:rFonts w:hint="eastAsia" w:ascii="Times New Roman" w:hAnsi="Times New Roman" w:eastAsia="宋体" w:cs="Times New Roman"/>
          <w:i w:val="0"/>
          <w:iCs/>
          <w:color w:val="auto"/>
          <w:kern w:val="21"/>
          <w:sz w:val="24"/>
          <w:szCs w:val="24"/>
          <w:lang w:val="en-US" w:eastAsia="zh-CN" w:bidi="ar-SA"/>
        </w:rPr>
        <w:t>底泥是</w:t>
      </w:r>
      <w:r>
        <w:rPr>
          <w:rFonts w:hint="eastAsia" w:cs="Times New Roman"/>
          <w:i w:val="0"/>
          <w:iCs/>
          <w:color w:val="auto"/>
          <w:kern w:val="21"/>
          <w:sz w:val="24"/>
          <w:szCs w:val="24"/>
          <w:lang w:val="en-US" w:eastAsia="zh-CN" w:bidi="ar-SA"/>
        </w:rPr>
        <w:t>水体生态系统的重要组成部分，对水体自净起着重要作用。底泥和水体之间存在吸收和释放的动态平衡，当水体污染较严重时，部分污染物通过沉淀、吸附等作用迁移到底泥中；当外源污染得到一定控制后，内源污染即底泥中污染物的释放可能会成为水体污染的重要来源。</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cs="Times New Roman"/>
          <w:i w:val="0"/>
          <w:iCs/>
          <w:color w:val="auto"/>
          <w:kern w:val="21"/>
          <w:sz w:val="24"/>
          <w:szCs w:val="24"/>
          <w:lang w:val="en-US" w:eastAsia="zh-CN" w:bidi="ar-SA"/>
        </w:rPr>
      </w:pPr>
      <w:r>
        <w:rPr>
          <w:rFonts w:hint="eastAsia" w:cs="Times New Roman"/>
          <w:i w:val="0"/>
          <w:iCs/>
          <w:color w:val="auto"/>
          <w:kern w:val="21"/>
          <w:sz w:val="24"/>
          <w:szCs w:val="24"/>
          <w:lang w:val="en-US" w:eastAsia="zh-CN" w:bidi="ar-SA"/>
        </w:rPr>
        <w:t>影响底泥释放的因素有很多，包括溶解氧、pH、温度、光照、扰动、上覆水浓度、藻类、微生物、有机物含量等等。研究发现，溶解氧是影响底泥释放氮的关键环境因子。好氧状态下，泥水交界面的硝化细菌可以通过消化作用，将部分氨氮转化为硝态氮，同时会促使氨氮吸附在底泥表层。而在厌氧状态下，硝化作用受到抑制，此时对氮起主导作用的是反硝化作用。无论在好氧还是厌氧状态下，底泥中有机氮均可以在氨化作用下发生氨化作用，其最终产物氨氮可以通过扩散迁移等方式向上覆水释放。</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cs="Times New Roman"/>
          <w:i w:val="0"/>
          <w:iCs/>
          <w:color w:val="auto"/>
          <w:kern w:val="21"/>
          <w:sz w:val="24"/>
          <w:szCs w:val="24"/>
          <w:lang w:val="en-US" w:eastAsia="zh-CN" w:bidi="ar-SA"/>
        </w:rPr>
      </w:pPr>
      <w:r>
        <w:rPr>
          <w:rFonts w:hint="eastAsia" w:cs="Times New Roman"/>
          <w:i w:val="0"/>
          <w:iCs/>
          <w:color w:val="auto"/>
          <w:kern w:val="21"/>
          <w:sz w:val="24"/>
          <w:szCs w:val="24"/>
          <w:lang w:val="en-US" w:eastAsia="zh-CN" w:bidi="ar-SA"/>
        </w:rPr>
        <w:t>溶解氧含量对底泥中的磷的释放也起到决定性作用，厌氧状态能促进磷的释放，好氧状态则抑制磷的释放，有时甚至发生磷的吸附。同时，pH也是影响底泥磷释放的另一个重要环境因子，但只有在极端pH条件下才会导致底泥对磷有明显的释放，pH在6~9之间没有明显释放。</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cs="Times New Roman"/>
          <w:i w:val="0"/>
          <w:iCs/>
          <w:color w:val="auto"/>
          <w:kern w:val="21"/>
          <w:sz w:val="24"/>
          <w:szCs w:val="24"/>
          <w:lang w:val="en-US" w:eastAsia="zh-CN" w:bidi="ar-SA"/>
        </w:rPr>
      </w:pPr>
      <w:r>
        <w:rPr>
          <w:rFonts w:hint="eastAsia" w:cs="Times New Roman"/>
          <w:i w:val="0"/>
          <w:iCs/>
          <w:color w:val="auto"/>
          <w:kern w:val="21"/>
          <w:sz w:val="24"/>
          <w:szCs w:val="24"/>
          <w:lang w:val="en-US" w:eastAsia="zh-CN" w:bidi="ar-SA"/>
        </w:rPr>
        <w:t>COD作为有机物相对含量的指标之一，溶解氧对其底泥释放的影响不大。底泥在好氧情况下，部分易降解有机物被好氧微生物和兼性微生物降解，同时由于底泥好氧层厚度增加，底泥中部分还原性无机物质在向上迁移的过程中被氧化，因此底泥对COD仅有少量的释放；在厌氧情况下，厌氧微生物和兼性微生物可以可实现对有机物的降解，因此表现出底泥对COD有一定的释放。</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cs="Times New Roman"/>
          <w:i w:val="0"/>
          <w:iCs/>
          <w:color w:val="auto"/>
          <w:kern w:val="21"/>
          <w:sz w:val="24"/>
          <w:szCs w:val="24"/>
          <w:lang w:val="en-US" w:eastAsia="zh-CN" w:bidi="ar-SA"/>
        </w:rPr>
      </w:pPr>
      <w:r>
        <w:rPr>
          <w:rFonts w:hint="eastAsia" w:cs="Times New Roman"/>
          <w:i w:val="0"/>
          <w:iCs/>
          <w:color w:val="auto"/>
          <w:kern w:val="21"/>
          <w:sz w:val="24"/>
          <w:szCs w:val="24"/>
          <w:lang w:val="en-US" w:eastAsia="zh-CN" w:bidi="ar-SA"/>
        </w:rPr>
        <w:t>本项目排污河青龙河属于典型的城市纳污河流，具有水浅、相对静止的特点，因此污染物容易沉积，但根据青龙河2016年取样检测数据看，青龙河底泥中有机质含量、总氮、总磷已超过最低级，未超过严重级，数值围绕最低级波动不大；底泥重金属除镉有轻度污染外，其余重金属指标均为无污染。因此，青龙河有机质、营养元素、重金属均属于轻度污染。</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cs="Times New Roman"/>
          <w:i w:val="0"/>
          <w:iCs/>
          <w:color w:val="auto"/>
          <w:kern w:val="21"/>
          <w:sz w:val="24"/>
          <w:szCs w:val="24"/>
          <w:lang w:val="en-US" w:eastAsia="zh-CN" w:bidi="ar-SA"/>
        </w:rPr>
      </w:pPr>
      <w:r>
        <w:rPr>
          <w:rFonts w:hint="eastAsia" w:cs="Times New Roman"/>
          <w:i w:val="0"/>
          <w:iCs/>
          <w:color w:val="auto"/>
          <w:kern w:val="21"/>
          <w:sz w:val="24"/>
          <w:szCs w:val="24"/>
          <w:lang w:val="en-US" w:eastAsia="zh-CN" w:bidi="ar-SA"/>
        </w:rPr>
        <w:t>青龙河水质在未整治前常年处于V类~劣V类之间，但由上述结果可知青龙河水质对底泥的累积影响程度不大。特别是随着近几年青龙河治理工程的实施、各排污口规范化设置、废水达标排放后，青龙河水质逐年向好，本项目废水达标排放对底泥的累积影响将越来越小。反而需要考虑当青龙河水质逐渐向好时，底泥释放对青龙河水质的影响。</w:t>
      </w:r>
    </w:p>
    <w:p>
      <w:pPr>
        <w:pStyle w:val="23"/>
        <w:spacing w:line="360" w:lineRule="auto"/>
        <w:ind w:left="0" w:leftChars="0" w:firstLine="0" w:firstLineChars="0"/>
        <w:outlineLvl w:val="3"/>
        <w:rPr>
          <w:b/>
          <w:bCs/>
          <w:color w:val="auto"/>
        </w:rPr>
      </w:pPr>
      <w:r>
        <w:rPr>
          <w:b/>
          <w:bCs/>
          <w:color w:val="auto"/>
          <w:kern w:val="21"/>
        </w:rPr>
        <w:t>5.2.1.</w:t>
      </w:r>
      <w:r>
        <w:rPr>
          <w:rFonts w:hint="eastAsia"/>
          <w:b/>
          <w:bCs/>
          <w:color w:val="auto"/>
          <w:kern w:val="21"/>
          <w:lang w:val="en-US" w:eastAsia="zh-CN"/>
        </w:rPr>
        <w:t>7</w:t>
      </w:r>
      <w:r>
        <w:rPr>
          <w:rFonts w:hint="eastAsia"/>
          <w:b/>
          <w:bCs/>
          <w:color w:val="auto"/>
          <w:kern w:val="21"/>
        </w:rPr>
        <w:t>小结</w:t>
      </w:r>
    </w:p>
    <w:p>
      <w:pPr>
        <w:pStyle w:val="177"/>
        <w:spacing w:before="0" w:after="0" w:line="360" w:lineRule="auto"/>
        <w:ind w:left="0" w:right="0" w:firstLine="480" w:firstLineChars="200"/>
        <w:jc w:val="both"/>
        <w:rPr>
          <w:i w:val="0"/>
          <w:iCs/>
          <w:color w:val="auto"/>
          <w:kern w:val="21"/>
          <w:sz w:val="24"/>
          <w:szCs w:val="24"/>
        </w:rPr>
      </w:pPr>
      <w:r>
        <w:rPr>
          <w:i w:val="0"/>
          <w:iCs/>
          <w:color w:val="auto"/>
          <w:kern w:val="21"/>
          <w:sz w:val="24"/>
          <w:szCs w:val="24"/>
        </w:rPr>
        <w:t>随着</w:t>
      </w:r>
      <w:r>
        <w:rPr>
          <w:rFonts w:hint="eastAsia"/>
          <w:i w:val="0"/>
          <w:iCs/>
          <w:color w:val="auto"/>
          <w:kern w:val="21"/>
          <w:sz w:val="24"/>
          <w:szCs w:val="24"/>
        </w:rPr>
        <w:t>《</w:t>
      </w:r>
      <w:r>
        <w:rPr>
          <w:i w:val="0"/>
          <w:iCs/>
          <w:color w:val="auto"/>
          <w:kern w:val="21"/>
          <w:sz w:val="24"/>
          <w:szCs w:val="24"/>
        </w:rPr>
        <w:t>楚雄市青龙河入龙川江口断面水体达标方案（2021-2025年）》的实施，到2025年青龙河流域污染物COD削减3012.92t/a，NH</w:t>
      </w:r>
      <w:r>
        <w:rPr>
          <w:i w:val="0"/>
          <w:iCs/>
          <w:color w:val="auto"/>
          <w:kern w:val="21"/>
          <w:sz w:val="24"/>
          <w:szCs w:val="24"/>
          <w:vertAlign w:val="subscript"/>
        </w:rPr>
        <w:t>3</w:t>
      </w:r>
      <w:r>
        <w:rPr>
          <w:i w:val="0"/>
          <w:iCs/>
          <w:color w:val="auto"/>
          <w:kern w:val="21"/>
          <w:sz w:val="24"/>
          <w:szCs w:val="24"/>
        </w:rPr>
        <w:t>-N削减量129.31t/a，TP削减量33.02t/a，在基础污染设施运转正常、管理到位的前提下，青龙河流域污染物将得到有效的削减，化学需氧量、氨氮、总磷三个指标入河污染负荷量均小于环境容量，</w:t>
      </w:r>
      <w:r>
        <w:rPr>
          <w:rFonts w:hint="eastAsia"/>
          <w:i w:val="0"/>
          <w:iCs/>
          <w:color w:val="auto"/>
          <w:kern w:val="21"/>
          <w:sz w:val="24"/>
          <w:szCs w:val="24"/>
          <w:lang w:eastAsia="zh-CN"/>
        </w:rPr>
        <w:t>青龙河水质</w:t>
      </w:r>
      <w:r>
        <w:rPr>
          <w:i w:val="0"/>
          <w:iCs/>
          <w:color w:val="auto"/>
          <w:kern w:val="21"/>
          <w:sz w:val="24"/>
          <w:szCs w:val="24"/>
        </w:rPr>
        <w:t>可以达标。</w:t>
      </w:r>
    </w:p>
    <w:p>
      <w:pPr>
        <w:pStyle w:val="177"/>
        <w:spacing w:before="0" w:after="0" w:line="360" w:lineRule="auto"/>
        <w:ind w:left="0" w:right="0" w:firstLine="480" w:firstLineChars="200"/>
        <w:jc w:val="left"/>
        <w:rPr>
          <w:i w:val="0"/>
          <w:iCs/>
          <w:color w:val="auto"/>
          <w:kern w:val="21"/>
          <w:sz w:val="24"/>
          <w:szCs w:val="24"/>
        </w:rPr>
      </w:pPr>
      <w:r>
        <w:rPr>
          <w:rFonts w:hint="eastAsia"/>
          <w:i w:val="0"/>
          <w:color w:val="auto"/>
          <w:kern w:val="21"/>
          <w:sz w:val="24"/>
          <w:szCs w:val="24"/>
        </w:rPr>
        <w:t>项目西侧排洪沟实施错接污水口整治后已无污水进入，且项目废水量相比排洪沟设计泄洪量很小，对排洪沟泄洪功能影响甚微</w:t>
      </w:r>
      <w:r>
        <w:rPr>
          <w:rFonts w:hint="eastAsia"/>
          <w:i w:val="0"/>
          <w:color w:val="auto"/>
          <w:kern w:val="21"/>
          <w:sz w:val="24"/>
          <w:szCs w:val="24"/>
          <w:lang w:eastAsia="zh-CN"/>
        </w:rPr>
        <w:t>；</w:t>
      </w:r>
      <w:r>
        <w:rPr>
          <w:rFonts w:hint="eastAsia"/>
          <w:i w:val="0"/>
          <w:iCs/>
          <w:color w:val="auto"/>
          <w:kern w:val="21"/>
          <w:sz w:val="24"/>
          <w:szCs w:val="24"/>
        </w:rPr>
        <w:t>项目已于2022年3月7日取得《楚雄州生态环境局关于楚雄市富民工业园区污水处理厂工业入河排污口设置审核的意见》（楚环审[2022]1号）。</w:t>
      </w:r>
    </w:p>
    <w:p>
      <w:pPr>
        <w:pStyle w:val="177"/>
        <w:spacing w:before="0" w:after="0" w:line="360" w:lineRule="auto"/>
        <w:ind w:left="0" w:right="0" w:firstLine="480" w:firstLineChars="200"/>
        <w:jc w:val="both"/>
        <w:rPr>
          <w:rFonts w:hint="default"/>
          <w:i w:val="0"/>
          <w:iCs/>
          <w:color w:val="auto"/>
          <w:kern w:val="21"/>
          <w:sz w:val="24"/>
          <w:szCs w:val="24"/>
          <w:lang w:val="en-US" w:eastAsia="zh-CN"/>
        </w:rPr>
      </w:pPr>
      <w:r>
        <w:rPr>
          <w:i w:val="0"/>
          <w:iCs/>
          <w:color w:val="auto"/>
          <w:kern w:val="21"/>
          <w:sz w:val="24"/>
          <w:szCs w:val="24"/>
        </w:rPr>
        <w:t>本项目污水处理工艺采用“预处理+水解酸化+</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i w:val="0"/>
          <w:iCs/>
          <w:color w:val="auto"/>
          <w:kern w:val="21"/>
          <w:sz w:val="24"/>
          <w:szCs w:val="24"/>
        </w:rPr>
        <w:t>/O</w:t>
      </w:r>
      <w:r>
        <w:rPr>
          <w:i w:val="0"/>
          <w:iCs/>
          <w:color w:val="auto"/>
          <w:kern w:val="21"/>
          <w:sz w:val="24"/>
          <w:szCs w:val="24"/>
        </w:rPr>
        <w:t>+MBR”以及紫外线消毒处理工艺合理可行，处理后出水水质达到</w:t>
      </w:r>
      <w:r>
        <w:rPr>
          <w:rFonts w:hint="eastAsia"/>
          <w:i w:val="0"/>
          <w:iCs/>
          <w:color w:val="auto"/>
          <w:kern w:val="21"/>
          <w:sz w:val="24"/>
          <w:szCs w:val="24"/>
          <w:lang w:eastAsia="zh-CN"/>
        </w:rPr>
        <w:t>表</w:t>
      </w:r>
      <w:r>
        <w:rPr>
          <w:rFonts w:hint="eastAsia"/>
          <w:i w:val="0"/>
          <w:iCs/>
          <w:color w:val="auto"/>
          <w:kern w:val="21"/>
          <w:sz w:val="24"/>
          <w:szCs w:val="24"/>
          <w:lang w:val="en-US" w:eastAsia="zh-CN"/>
        </w:rPr>
        <w:t>2-23</w:t>
      </w:r>
      <w:r>
        <w:rPr>
          <w:i w:val="0"/>
          <w:iCs/>
          <w:color w:val="auto"/>
          <w:kern w:val="21"/>
          <w:sz w:val="24"/>
          <w:szCs w:val="24"/>
        </w:rPr>
        <w:t>标准限值后排入青龙河。</w:t>
      </w:r>
      <w:r>
        <w:rPr>
          <w:rFonts w:hint="default"/>
          <w:i w:val="0"/>
          <w:iCs/>
          <w:color w:val="auto"/>
          <w:kern w:val="21"/>
          <w:sz w:val="24"/>
          <w:szCs w:val="24"/>
        </w:rPr>
        <w:t>区域实施</w:t>
      </w:r>
      <w:r>
        <w:rPr>
          <w:rFonts w:hint="eastAsia"/>
          <w:i w:val="0"/>
          <w:iCs/>
          <w:color w:val="auto"/>
          <w:kern w:val="21"/>
          <w:sz w:val="24"/>
          <w:szCs w:val="24"/>
          <w:lang w:eastAsia="zh-CN"/>
        </w:rPr>
        <w:t>《楚雄市青龙河入龙川江口断面水体达标方案（2021-2025年）》</w:t>
      </w:r>
      <w:r>
        <w:rPr>
          <w:rFonts w:hint="default"/>
          <w:i w:val="0"/>
          <w:iCs/>
          <w:color w:val="auto"/>
          <w:kern w:val="21"/>
          <w:sz w:val="24"/>
          <w:szCs w:val="24"/>
          <w:lang w:eastAsia="zh-CN"/>
        </w:rPr>
        <w:t>达到</w:t>
      </w:r>
      <w:r>
        <w:rPr>
          <w:rFonts w:hint="default"/>
          <w:i w:val="0"/>
          <w:iCs/>
          <w:color w:val="auto"/>
          <w:kern w:val="21"/>
          <w:sz w:val="24"/>
          <w:szCs w:val="24"/>
        </w:rPr>
        <w:t>环境质量改善目标</w:t>
      </w:r>
      <w:r>
        <w:rPr>
          <w:rFonts w:hint="default"/>
          <w:i w:val="0"/>
          <w:iCs/>
          <w:color w:val="auto"/>
          <w:kern w:val="21"/>
          <w:sz w:val="24"/>
          <w:szCs w:val="24"/>
          <w:lang w:eastAsia="zh-CN"/>
        </w:rPr>
        <w:t>后，本项目</w:t>
      </w:r>
      <w:r>
        <w:rPr>
          <w:rFonts w:hint="default"/>
          <w:i w:val="0"/>
          <w:iCs/>
          <w:color w:val="auto"/>
          <w:kern w:val="21"/>
          <w:sz w:val="24"/>
          <w:szCs w:val="24"/>
          <w:lang w:val="en-US" w:eastAsia="zh-CN"/>
        </w:rPr>
        <w:t>正常排污对青龙河、龙川江的影响不大，青龙河、龙川江能满足</w:t>
      </w:r>
      <w:r>
        <w:rPr>
          <w:rFonts w:hint="default"/>
          <w:i w:val="0"/>
          <w:iCs/>
          <w:color w:val="auto"/>
          <w:kern w:val="21"/>
          <w:sz w:val="24"/>
          <w:szCs w:val="24"/>
        </w:rPr>
        <w:t>《地表水环境质量标准》（GB3838-2002）中</w:t>
      </w:r>
      <w:r>
        <w:rPr>
          <w:rFonts w:hint="default"/>
          <w:i w:val="0"/>
          <w:iCs/>
          <w:color w:val="auto"/>
          <w:kern w:val="21"/>
          <w:sz w:val="24"/>
          <w:szCs w:val="24"/>
        </w:rPr>
        <w:fldChar w:fldCharType="begin"/>
      </w:r>
      <w:r>
        <w:rPr>
          <w:rFonts w:hint="default"/>
          <w:i w:val="0"/>
          <w:iCs/>
          <w:color w:val="auto"/>
          <w:kern w:val="21"/>
          <w:sz w:val="24"/>
          <w:szCs w:val="24"/>
        </w:rPr>
        <w:instrText xml:space="preserve"> = 4 \* ROMAN \* MERGEFORMAT </w:instrText>
      </w:r>
      <w:r>
        <w:rPr>
          <w:rFonts w:hint="default"/>
          <w:i w:val="0"/>
          <w:iCs/>
          <w:color w:val="auto"/>
          <w:kern w:val="21"/>
          <w:sz w:val="24"/>
          <w:szCs w:val="24"/>
        </w:rPr>
        <w:fldChar w:fldCharType="separate"/>
      </w:r>
      <w:r>
        <w:rPr>
          <w:rFonts w:hint="default"/>
          <w:i w:val="0"/>
          <w:iCs/>
          <w:color w:val="auto"/>
          <w:kern w:val="21"/>
          <w:sz w:val="24"/>
          <w:szCs w:val="24"/>
        </w:rPr>
        <w:t>IV</w:t>
      </w:r>
      <w:r>
        <w:rPr>
          <w:rFonts w:hint="default"/>
          <w:i w:val="0"/>
          <w:iCs/>
          <w:color w:val="auto"/>
          <w:kern w:val="21"/>
          <w:sz w:val="24"/>
          <w:szCs w:val="24"/>
        </w:rPr>
        <w:fldChar w:fldCharType="end"/>
      </w:r>
      <w:r>
        <w:rPr>
          <w:rFonts w:hint="default"/>
          <w:i w:val="0"/>
          <w:iCs/>
          <w:color w:val="auto"/>
          <w:kern w:val="21"/>
          <w:sz w:val="24"/>
          <w:szCs w:val="24"/>
        </w:rPr>
        <w:t>类水体标准限值</w:t>
      </w:r>
      <w:r>
        <w:rPr>
          <w:rFonts w:hint="default"/>
          <w:i w:val="0"/>
          <w:iCs/>
          <w:color w:val="auto"/>
          <w:kern w:val="21"/>
          <w:sz w:val="24"/>
          <w:szCs w:val="24"/>
          <w:lang w:val="en-US" w:eastAsia="zh-CN"/>
        </w:rPr>
        <w:t>要求，且预留有足够的安全余量</w:t>
      </w:r>
      <w:r>
        <w:rPr>
          <w:rFonts w:hint="eastAsia"/>
          <w:i w:val="0"/>
          <w:iCs/>
          <w:color w:val="auto"/>
          <w:kern w:val="21"/>
          <w:sz w:val="24"/>
          <w:szCs w:val="24"/>
          <w:lang w:val="en-US" w:eastAsia="zh-CN"/>
        </w:rPr>
        <w:t>。非正常情况下，项目排污会导致青龙河、龙川江出现水质超标，本环评要求建设单位</w:t>
      </w:r>
      <w:r>
        <w:rPr>
          <w:i w:val="0"/>
          <w:iCs/>
          <w:color w:val="auto"/>
          <w:kern w:val="21"/>
          <w:sz w:val="24"/>
          <w:szCs w:val="24"/>
        </w:rPr>
        <w:t>加强管理，</w:t>
      </w:r>
      <w:r>
        <w:rPr>
          <w:rFonts w:hint="eastAsia"/>
          <w:i w:val="0"/>
          <w:iCs/>
          <w:color w:val="auto"/>
          <w:kern w:val="21"/>
          <w:sz w:val="24"/>
          <w:szCs w:val="24"/>
          <w:lang w:eastAsia="zh-CN"/>
        </w:rPr>
        <w:t>未经处理或处理不达标的废水不得外排，</w:t>
      </w:r>
      <w:r>
        <w:rPr>
          <w:rFonts w:hint="eastAsia"/>
          <w:i w:val="0"/>
          <w:iCs/>
          <w:color w:val="auto"/>
          <w:kern w:val="21"/>
          <w:sz w:val="24"/>
          <w:szCs w:val="24"/>
          <w:lang w:val="en-US" w:eastAsia="zh-CN"/>
        </w:rPr>
        <w:t>杜绝非正常情况排污。</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5.2.1.</w:t>
      </w:r>
      <w:r>
        <w:rPr>
          <w:rFonts w:hint="eastAsia" w:ascii="Times New Roman" w:hAnsi="Times New Roman" w:eastAsia="宋体"/>
          <w:color w:val="auto"/>
          <w:kern w:val="21"/>
          <w:sz w:val="24"/>
          <w:szCs w:val="24"/>
        </w:rPr>
        <w:t>7</w:t>
      </w:r>
      <w:r>
        <w:rPr>
          <w:rFonts w:ascii="Times New Roman" w:hAnsi="Times New Roman" w:eastAsia="宋体"/>
          <w:color w:val="auto"/>
          <w:kern w:val="21"/>
          <w:sz w:val="24"/>
          <w:szCs w:val="24"/>
        </w:rPr>
        <w:t>地表水环境影响评价自查表</w:t>
      </w:r>
    </w:p>
    <w:p>
      <w:pPr>
        <w:ind w:firstLine="480"/>
        <w:rPr>
          <w:color w:val="auto"/>
          <w:kern w:val="21"/>
          <w:szCs w:val="21"/>
        </w:rPr>
      </w:pPr>
      <w:r>
        <w:rPr>
          <w:color w:val="auto"/>
          <w:kern w:val="21"/>
          <w:szCs w:val="21"/>
        </w:rPr>
        <w:t>项目地表水环境评价自查表见</w:t>
      </w:r>
      <w:r>
        <w:rPr>
          <w:rFonts w:hint="eastAsia"/>
          <w:color w:val="auto"/>
          <w:kern w:val="21"/>
          <w:szCs w:val="21"/>
          <w:lang w:eastAsia="zh-CN"/>
        </w:rPr>
        <w:t>下表</w:t>
      </w:r>
      <w:r>
        <w:rPr>
          <w:color w:val="auto"/>
          <w:kern w:val="21"/>
          <w:szCs w:val="21"/>
        </w:rPr>
        <w:t>。</w:t>
      </w:r>
    </w:p>
    <w:p>
      <w:pPr>
        <w:pStyle w:val="23"/>
        <w:ind w:left="480" w:firstLine="480"/>
        <w:rPr>
          <w:color w:val="auto"/>
          <w:kern w:val="21"/>
          <w:szCs w:val="21"/>
        </w:rPr>
        <w:sectPr>
          <w:pgSz w:w="11850" w:h="16783"/>
          <w:pgMar w:top="1418" w:right="1134" w:bottom="1134" w:left="1418" w:header="851" w:footer="992" w:gutter="0"/>
          <w:cols w:space="720" w:num="1"/>
          <w:docGrid w:type="lines" w:linePitch="312" w:charSpace="0"/>
        </w:sectPr>
      </w:pPr>
    </w:p>
    <w:p>
      <w:pPr>
        <w:numPr>
          <w:ilvl w:val="0"/>
          <w:numId w:val="11"/>
        </w:numPr>
        <w:tabs>
          <w:tab w:val="left" w:pos="3395"/>
          <w:tab w:val="clear" w:pos="0"/>
        </w:tabs>
        <w:ind w:left="0" w:leftChars="0" w:firstLine="0" w:firstLineChars="0"/>
        <w:jc w:val="center"/>
        <w:rPr>
          <w:b/>
          <w:bCs/>
          <w:color w:val="auto"/>
          <w:kern w:val="21"/>
          <w:szCs w:val="21"/>
        </w:rPr>
      </w:pPr>
      <w:r>
        <w:rPr>
          <w:b/>
          <w:bCs/>
          <w:color w:val="auto"/>
          <w:kern w:val="21"/>
          <w:szCs w:val="21"/>
        </w:rPr>
        <w:t>项目地表水环境影响评价自查表</w:t>
      </w:r>
    </w:p>
    <w:tbl>
      <w:tblPr>
        <w:tblStyle w:val="51"/>
        <w:tblW w:w="14478" w:type="dxa"/>
        <w:tblInd w:w="93" w:type="dxa"/>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
        <w:gridCol w:w="1055"/>
        <w:gridCol w:w="3084"/>
        <w:gridCol w:w="1890"/>
        <w:gridCol w:w="1201"/>
        <w:gridCol w:w="992"/>
        <w:gridCol w:w="525"/>
        <w:gridCol w:w="1318"/>
        <w:gridCol w:w="80"/>
        <w:gridCol w:w="1551"/>
        <w:gridCol w:w="712"/>
        <w:gridCol w:w="233"/>
        <w:gridCol w:w="188"/>
        <w:gridCol w:w="1634"/>
      </w:tblGrid>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232" w:hRule="atLeast"/>
        </w:trPr>
        <w:tc>
          <w:tcPr>
            <w:tcW w:w="4139" w:type="dxa"/>
            <w:gridSpan w:val="2"/>
            <w:vAlign w:val="center"/>
          </w:tcPr>
          <w:p>
            <w:pPr>
              <w:widowControl/>
              <w:spacing w:line="240" w:lineRule="auto"/>
              <w:ind w:firstLine="360"/>
              <w:jc w:val="center"/>
              <w:rPr>
                <w:color w:val="auto"/>
                <w:kern w:val="21"/>
                <w:sz w:val="18"/>
                <w:szCs w:val="18"/>
              </w:rPr>
            </w:pPr>
            <w:r>
              <w:rPr>
                <w:color w:val="auto"/>
                <w:kern w:val="21"/>
                <w:sz w:val="18"/>
                <w:szCs w:val="18"/>
              </w:rPr>
              <w:t>工作内容</w:t>
            </w:r>
          </w:p>
        </w:tc>
        <w:tc>
          <w:tcPr>
            <w:tcW w:w="10324" w:type="dxa"/>
            <w:gridSpan w:val="11"/>
            <w:vAlign w:val="center"/>
          </w:tcPr>
          <w:p>
            <w:pPr>
              <w:spacing w:line="240" w:lineRule="auto"/>
              <w:ind w:firstLine="360"/>
              <w:jc w:val="center"/>
              <w:rPr>
                <w:color w:val="auto"/>
                <w:kern w:val="21"/>
                <w:sz w:val="18"/>
                <w:szCs w:val="18"/>
              </w:rPr>
            </w:pPr>
            <w:r>
              <w:rPr>
                <w:color w:val="auto"/>
                <w:kern w:val="21"/>
                <w:sz w:val="18"/>
                <w:szCs w:val="18"/>
              </w:rPr>
              <w:t>自查项目</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32" w:hRule="atLeast"/>
        </w:trPr>
        <w:tc>
          <w:tcPr>
            <w:tcW w:w="1055" w:type="dxa"/>
            <w:vMerge w:val="restart"/>
            <w:vAlign w:val="center"/>
          </w:tcPr>
          <w:p>
            <w:pPr>
              <w:widowControl/>
              <w:spacing w:line="240" w:lineRule="auto"/>
              <w:ind w:firstLine="0" w:firstLineChars="0"/>
              <w:jc w:val="center"/>
              <w:rPr>
                <w:color w:val="auto"/>
                <w:kern w:val="21"/>
                <w:sz w:val="18"/>
                <w:szCs w:val="18"/>
              </w:rPr>
            </w:pPr>
            <w:r>
              <w:rPr>
                <w:color w:val="auto"/>
                <w:kern w:val="21"/>
                <w:sz w:val="18"/>
                <w:szCs w:val="18"/>
              </w:rPr>
              <w:t>影响识别</w:t>
            </w: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影响类型</w:t>
            </w:r>
          </w:p>
        </w:tc>
        <w:tc>
          <w:tcPr>
            <w:tcW w:w="10324" w:type="dxa"/>
            <w:gridSpan w:val="11"/>
            <w:vAlign w:val="center"/>
          </w:tcPr>
          <w:p>
            <w:pPr>
              <w:widowControl/>
              <w:spacing w:line="240" w:lineRule="auto"/>
              <w:ind w:firstLine="360"/>
              <w:jc w:val="center"/>
              <w:rPr>
                <w:color w:val="auto"/>
                <w:kern w:val="21"/>
                <w:sz w:val="18"/>
                <w:szCs w:val="18"/>
              </w:rPr>
            </w:pPr>
            <w:r>
              <w:rPr>
                <w:color w:val="auto"/>
                <w:kern w:val="21"/>
                <w:sz w:val="18"/>
                <w:szCs w:val="18"/>
              </w:rPr>
              <w:t>水污染影响型</w:t>
            </w:r>
            <w:r>
              <w:rPr>
                <w:color w:val="auto"/>
                <w:kern w:val="21"/>
                <w:sz w:val="21"/>
                <w:szCs w:val="21"/>
              </w:rPr>
              <w:sym w:font="Wingdings 2" w:char="0052"/>
            </w:r>
            <w:r>
              <w:rPr>
                <w:color w:val="auto"/>
                <w:kern w:val="21"/>
                <w:sz w:val="18"/>
                <w:szCs w:val="18"/>
              </w:rPr>
              <w:t>；水</w:t>
            </w:r>
            <w:r>
              <w:rPr>
                <w:rFonts w:hint="eastAsia"/>
                <w:color w:val="auto"/>
                <w:kern w:val="21"/>
                <w:sz w:val="18"/>
                <w:szCs w:val="18"/>
              </w:rPr>
              <w:t>文</w:t>
            </w:r>
            <w:r>
              <w:rPr>
                <w:color w:val="auto"/>
                <w:kern w:val="21"/>
                <w:sz w:val="18"/>
                <w:szCs w:val="18"/>
              </w:rPr>
              <w:t>要素影响型口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688" w:hRule="atLeast"/>
        </w:trPr>
        <w:tc>
          <w:tcPr>
            <w:tcW w:w="1055" w:type="dxa"/>
            <w:vMerge w:val="continue"/>
            <w:vAlign w:val="center"/>
          </w:tcPr>
          <w:p>
            <w:pPr>
              <w:spacing w:line="240" w:lineRule="auto"/>
              <w:ind w:firstLine="360"/>
              <w:jc w:val="left"/>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水环境保护目标</w:t>
            </w:r>
          </w:p>
        </w:tc>
        <w:tc>
          <w:tcPr>
            <w:tcW w:w="10324" w:type="dxa"/>
            <w:gridSpan w:val="11"/>
            <w:vAlign w:val="center"/>
          </w:tcPr>
          <w:p>
            <w:pPr>
              <w:widowControl/>
              <w:spacing w:line="240" w:lineRule="auto"/>
              <w:ind w:firstLine="0" w:firstLineChars="0"/>
              <w:rPr>
                <w:color w:val="auto"/>
                <w:kern w:val="21"/>
                <w:sz w:val="18"/>
                <w:szCs w:val="18"/>
              </w:rPr>
            </w:pPr>
            <w:r>
              <w:rPr>
                <w:color w:val="auto"/>
                <w:kern w:val="21"/>
                <w:sz w:val="18"/>
                <w:szCs w:val="18"/>
              </w:rPr>
              <w:t>饮用水水源保护区口；饮用水取水口口；涉水的自然保护区口；重要湿地口；重点保护与珍稀水生生物的栖息地口；重要水生生物的自然产卵场及索饵场、越冬场和洄游通道、天然渔场等渔业水体口；涉水的风景名胜区口；其他</w:t>
            </w:r>
            <w:r>
              <w:rPr>
                <w:color w:val="auto"/>
                <w:kern w:val="21"/>
                <w:sz w:val="21"/>
                <w:szCs w:val="21"/>
              </w:rPr>
              <w:sym w:font="Wingdings 2" w:char="0052"/>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280" w:hRule="atLeast"/>
        </w:trPr>
        <w:tc>
          <w:tcPr>
            <w:tcW w:w="1055" w:type="dxa"/>
            <w:vMerge w:val="continue"/>
          </w:tcPr>
          <w:p>
            <w:pPr>
              <w:spacing w:line="240" w:lineRule="auto"/>
              <w:ind w:firstLine="360"/>
              <w:jc w:val="left"/>
              <w:rPr>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影响途径</w:t>
            </w:r>
          </w:p>
        </w:tc>
        <w:tc>
          <w:tcPr>
            <w:tcW w:w="5926" w:type="dxa"/>
            <w:gridSpan w:val="5"/>
            <w:vAlign w:val="center"/>
          </w:tcPr>
          <w:p>
            <w:pPr>
              <w:widowControl/>
              <w:spacing w:line="240" w:lineRule="auto"/>
              <w:ind w:firstLine="360"/>
              <w:jc w:val="center"/>
              <w:rPr>
                <w:color w:val="auto"/>
                <w:kern w:val="21"/>
                <w:sz w:val="18"/>
                <w:szCs w:val="18"/>
              </w:rPr>
            </w:pPr>
            <w:r>
              <w:rPr>
                <w:color w:val="auto"/>
                <w:kern w:val="21"/>
                <w:sz w:val="18"/>
                <w:szCs w:val="18"/>
              </w:rPr>
              <w:t>水污染影响型</w:t>
            </w:r>
          </w:p>
        </w:tc>
        <w:tc>
          <w:tcPr>
            <w:tcW w:w="4398" w:type="dxa"/>
            <w:gridSpan w:val="6"/>
            <w:vAlign w:val="center"/>
          </w:tcPr>
          <w:p>
            <w:pPr>
              <w:widowControl/>
              <w:spacing w:line="240" w:lineRule="auto"/>
              <w:ind w:firstLine="360"/>
              <w:jc w:val="center"/>
              <w:rPr>
                <w:color w:val="auto"/>
                <w:kern w:val="21"/>
                <w:sz w:val="18"/>
                <w:szCs w:val="18"/>
              </w:rPr>
            </w:pPr>
            <w:r>
              <w:rPr>
                <w:color w:val="auto"/>
                <w:kern w:val="21"/>
                <w:sz w:val="18"/>
                <w:szCs w:val="18"/>
              </w:rPr>
              <w:t>水文要素影响型</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196" w:hRule="atLeast"/>
        </w:trPr>
        <w:tc>
          <w:tcPr>
            <w:tcW w:w="1055" w:type="dxa"/>
            <w:vMerge w:val="continue"/>
          </w:tcPr>
          <w:p>
            <w:pPr>
              <w:spacing w:line="240" w:lineRule="auto"/>
              <w:ind w:firstLine="360"/>
              <w:jc w:val="left"/>
              <w:rPr>
                <w:color w:val="auto"/>
                <w:kern w:val="21"/>
                <w:sz w:val="18"/>
                <w:szCs w:val="18"/>
              </w:rPr>
            </w:pPr>
          </w:p>
        </w:tc>
        <w:tc>
          <w:tcPr>
            <w:tcW w:w="308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p>
        </w:tc>
        <w:tc>
          <w:tcPr>
            <w:tcW w:w="5926" w:type="dxa"/>
            <w:gridSpan w:val="5"/>
            <w:vAlign w:val="center"/>
          </w:tcPr>
          <w:p>
            <w:pPr>
              <w:widowControl/>
              <w:spacing w:line="240" w:lineRule="auto"/>
              <w:ind w:firstLine="360"/>
              <w:jc w:val="center"/>
              <w:rPr>
                <w:color w:val="auto"/>
                <w:kern w:val="21"/>
                <w:sz w:val="18"/>
                <w:szCs w:val="18"/>
              </w:rPr>
            </w:pPr>
            <w:r>
              <w:rPr>
                <w:color w:val="auto"/>
                <w:kern w:val="21"/>
                <w:sz w:val="18"/>
                <w:szCs w:val="18"/>
              </w:rPr>
              <w:t>直接排放</w:t>
            </w:r>
            <w:r>
              <w:rPr>
                <w:color w:val="auto"/>
                <w:kern w:val="21"/>
                <w:sz w:val="21"/>
                <w:szCs w:val="21"/>
              </w:rPr>
              <w:sym w:font="Wingdings 2" w:char="0052"/>
            </w:r>
            <w:r>
              <w:rPr>
                <w:color w:val="auto"/>
                <w:kern w:val="21"/>
                <w:sz w:val="18"/>
                <w:szCs w:val="18"/>
              </w:rPr>
              <w:t>；间接排放口；其他口</w:t>
            </w:r>
          </w:p>
        </w:tc>
        <w:tc>
          <w:tcPr>
            <w:tcW w:w="4398" w:type="dxa"/>
            <w:gridSpan w:val="6"/>
            <w:vAlign w:val="center"/>
          </w:tcPr>
          <w:p>
            <w:pPr>
              <w:widowControl/>
              <w:spacing w:line="240" w:lineRule="auto"/>
              <w:ind w:firstLine="360"/>
              <w:jc w:val="center"/>
              <w:rPr>
                <w:color w:val="auto"/>
                <w:kern w:val="21"/>
                <w:sz w:val="18"/>
                <w:szCs w:val="18"/>
              </w:rPr>
            </w:pPr>
            <w:r>
              <w:rPr>
                <w:color w:val="auto"/>
                <w:kern w:val="21"/>
                <w:sz w:val="18"/>
                <w:szCs w:val="18"/>
              </w:rPr>
              <w:t>水温口；径流口；水域面积口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496" w:hRule="atLeast"/>
        </w:trPr>
        <w:tc>
          <w:tcPr>
            <w:tcW w:w="1055" w:type="dxa"/>
            <w:vMerge w:val="continue"/>
          </w:tcPr>
          <w:p>
            <w:pPr>
              <w:spacing w:line="240" w:lineRule="auto"/>
              <w:ind w:firstLine="360"/>
              <w:jc w:val="left"/>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影响因子</w:t>
            </w:r>
          </w:p>
        </w:tc>
        <w:tc>
          <w:tcPr>
            <w:tcW w:w="5926" w:type="dxa"/>
            <w:gridSpan w:val="5"/>
            <w:vAlign w:val="center"/>
          </w:tcPr>
          <w:p>
            <w:pPr>
              <w:widowControl/>
              <w:spacing w:line="240" w:lineRule="auto"/>
              <w:ind w:firstLine="360"/>
              <w:rPr>
                <w:color w:val="auto"/>
                <w:kern w:val="21"/>
                <w:sz w:val="18"/>
                <w:szCs w:val="18"/>
              </w:rPr>
            </w:pPr>
            <w:r>
              <w:rPr>
                <w:color w:val="auto"/>
                <w:kern w:val="21"/>
                <w:sz w:val="18"/>
                <w:szCs w:val="18"/>
              </w:rPr>
              <w:t>持久性污染物口；有毒有害污染物口；非持久性污染物</w:t>
            </w:r>
            <w:r>
              <w:rPr>
                <w:color w:val="auto"/>
                <w:kern w:val="21"/>
                <w:sz w:val="21"/>
                <w:szCs w:val="21"/>
              </w:rPr>
              <w:sym w:font="Wingdings 2" w:char="0052"/>
            </w:r>
            <w:r>
              <w:rPr>
                <w:color w:val="auto"/>
                <w:kern w:val="21"/>
                <w:sz w:val="18"/>
                <w:szCs w:val="18"/>
              </w:rPr>
              <w:t>；pH值口；热污染口；富营养化</w:t>
            </w:r>
            <w:r>
              <w:rPr>
                <w:color w:val="auto"/>
                <w:kern w:val="21"/>
                <w:sz w:val="21"/>
                <w:szCs w:val="21"/>
              </w:rPr>
              <w:sym w:font="Wingdings 2" w:char="00A3"/>
            </w:r>
            <w:r>
              <w:rPr>
                <w:color w:val="auto"/>
                <w:kern w:val="21"/>
                <w:sz w:val="18"/>
                <w:szCs w:val="18"/>
              </w:rPr>
              <w:t>；其他口</w:t>
            </w:r>
          </w:p>
        </w:tc>
        <w:tc>
          <w:tcPr>
            <w:tcW w:w="4398" w:type="dxa"/>
            <w:gridSpan w:val="6"/>
            <w:vAlign w:val="center"/>
          </w:tcPr>
          <w:p>
            <w:pPr>
              <w:widowControl/>
              <w:spacing w:line="240" w:lineRule="auto"/>
              <w:ind w:firstLine="0" w:firstLineChars="0"/>
              <w:rPr>
                <w:color w:val="auto"/>
                <w:kern w:val="21"/>
                <w:sz w:val="18"/>
                <w:szCs w:val="18"/>
              </w:rPr>
            </w:pPr>
            <w:r>
              <w:rPr>
                <w:color w:val="auto"/>
                <w:kern w:val="21"/>
                <w:sz w:val="18"/>
                <w:szCs w:val="18"/>
              </w:rPr>
              <w:t>水温口；水位（水深）口；流速口；流量口；其他口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90" w:hRule="atLeast"/>
        </w:trPr>
        <w:tc>
          <w:tcPr>
            <w:tcW w:w="4139" w:type="dxa"/>
            <w:gridSpan w:val="2"/>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评价等级</w:t>
            </w:r>
          </w:p>
        </w:tc>
        <w:tc>
          <w:tcPr>
            <w:tcW w:w="5926" w:type="dxa"/>
            <w:gridSpan w:val="5"/>
            <w:vAlign w:val="center"/>
          </w:tcPr>
          <w:p>
            <w:pPr>
              <w:widowControl/>
              <w:spacing w:line="240" w:lineRule="auto"/>
              <w:ind w:firstLine="360"/>
              <w:jc w:val="center"/>
              <w:rPr>
                <w:color w:val="auto"/>
                <w:kern w:val="21"/>
                <w:sz w:val="18"/>
                <w:szCs w:val="18"/>
              </w:rPr>
            </w:pPr>
            <w:r>
              <w:rPr>
                <w:color w:val="auto"/>
                <w:kern w:val="21"/>
                <w:sz w:val="18"/>
                <w:szCs w:val="18"/>
              </w:rPr>
              <w:t>水污染影响型</w:t>
            </w:r>
          </w:p>
        </w:tc>
        <w:tc>
          <w:tcPr>
            <w:tcW w:w="4398" w:type="dxa"/>
            <w:gridSpan w:val="6"/>
            <w:vAlign w:val="center"/>
          </w:tcPr>
          <w:p>
            <w:pPr>
              <w:widowControl/>
              <w:spacing w:line="240" w:lineRule="auto"/>
              <w:ind w:firstLine="360"/>
              <w:jc w:val="center"/>
              <w:rPr>
                <w:color w:val="auto"/>
                <w:kern w:val="21"/>
                <w:sz w:val="18"/>
                <w:szCs w:val="18"/>
              </w:rPr>
            </w:pPr>
            <w:r>
              <w:rPr>
                <w:color w:val="auto"/>
                <w:kern w:val="21"/>
                <w:sz w:val="18"/>
                <w:szCs w:val="18"/>
              </w:rPr>
              <w:t>水文要素影响型</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280" w:hRule="atLeast"/>
        </w:trPr>
        <w:tc>
          <w:tcPr>
            <w:tcW w:w="4139" w:type="dxa"/>
            <w:gridSpan w:val="2"/>
            <w:vMerge w:val="continue"/>
            <w:vAlign w:val="center"/>
          </w:tcPr>
          <w:p>
            <w:pPr>
              <w:widowControl/>
              <w:spacing w:line="240" w:lineRule="auto"/>
              <w:ind w:firstLine="360"/>
              <w:jc w:val="center"/>
              <w:rPr>
                <w:color w:val="auto"/>
                <w:kern w:val="21"/>
                <w:sz w:val="18"/>
                <w:szCs w:val="18"/>
              </w:rPr>
            </w:pPr>
          </w:p>
        </w:tc>
        <w:tc>
          <w:tcPr>
            <w:tcW w:w="5926" w:type="dxa"/>
            <w:gridSpan w:val="5"/>
            <w:vAlign w:val="center"/>
          </w:tcPr>
          <w:p>
            <w:pPr>
              <w:widowControl/>
              <w:spacing w:line="240" w:lineRule="auto"/>
              <w:ind w:firstLine="360"/>
              <w:jc w:val="center"/>
              <w:rPr>
                <w:color w:val="auto"/>
                <w:kern w:val="21"/>
                <w:sz w:val="18"/>
                <w:szCs w:val="18"/>
              </w:rPr>
            </w:pPr>
            <w:r>
              <w:rPr>
                <w:color w:val="auto"/>
                <w:kern w:val="21"/>
                <w:sz w:val="18"/>
                <w:szCs w:val="18"/>
              </w:rPr>
              <w:t>一级口；二级</w:t>
            </w:r>
            <w:r>
              <w:rPr>
                <w:color w:val="auto"/>
                <w:kern w:val="21"/>
                <w:sz w:val="21"/>
                <w:szCs w:val="21"/>
              </w:rPr>
              <w:sym w:font="Wingdings 2" w:char="0052"/>
            </w:r>
            <w:r>
              <w:rPr>
                <w:color w:val="auto"/>
                <w:kern w:val="21"/>
                <w:sz w:val="18"/>
                <w:szCs w:val="18"/>
              </w:rPr>
              <w:t>；三级A口；三级B口</w:t>
            </w:r>
          </w:p>
        </w:tc>
        <w:tc>
          <w:tcPr>
            <w:tcW w:w="4398" w:type="dxa"/>
            <w:gridSpan w:val="6"/>
            <w:vAlign w:val="center"/>
          </w:tcPr>
          <w:p>
            <w:pPr>
              <w:widowControl/>
              <w:spacing w:line="240" w:lineRule="auto"/>
              <w:ind w:firstLine="360"/>
              <w:jc w:val="center"/>
              <w:rPr>
                <w:color w:val="auto"/>
                <w:kern w:val="21"/>
                <w:sz w:val="18"/>
                <w:szCs w:val="18"/>
              </w:rPr>
            </w:pPr>
            <w:r>
              <w:rPr>
                <w:color w:val="auto"/>
                <w:kern w:val="21"/>
                <w:sz w:val="18"/>
                <w:szCs w:val="18"/>
              </w:rPr>
              <w:t>一级口；二级口；三级口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196" w:hRule="atLeast"/>
        </w:trPr>
        <w:tc>
          <w:tcPr>
            <w:tcW w:w="1055" w:type="dxa"/>
            <w:vMerge w:val="restart"/>
            <w:vAlign w:val="center"/>
          </w:tcPr>
          <w:p>
            <w:pPr>
              <w:widowControl/>
              <w:spacing w:line="240" w:lineRule="auto"/>
              <w:ind w:firstLine="0" w:firstLineChars="0"/>
              <w:jc w:val="center"/>
              <w:rPr>
                <w:color w:val="auto"/>
                <w:kern w:val="21"/>
                <w:sz w:val="18"/>
                <w:szCs w:val="18"/>
              </w:rPr>
            </w:pPr>
            <w:r>
              <w:rPr>
                <w:color w:val="auto"/>
                <w:kern w:val="21"/>
                <w:sz w:val="18"/>
                <w:szCs w:val="18"/>
              </w:rPr>
              <w:t>现状调查</w:t>
            </w:r>
          </w:p>
          <w:p>
            <w:pPr>
              <w:spacing w:line="240" w:lineRule="auto"/>
              <w:ind w:firstLine="360"/>
              <w:rPr>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区域污染源</w:t>
            </w:r>
          </w:p>
        </w:tc>
        <w:tc>
          <w:tcPr>
            <w:tcW w:w="5926" w:type="dxa"/>
            <w:gridSpan w:val="5"/>
            <w:vAlign w:val="center"/>
          </w:tcPr>
          <w:p>
            <w:pPr>
              <w:widowControl/>
              <w:spacing w:line="240" w:lineRule="auto"/>
              <w:ind w:firstLine="360"/>
              <w:jc w:val="center"/>
              <w:rPr>
                <w:color w:val="auto"/>
                <w:kern w:val="21"/>
                <w:sz w:val="18"/>
                <w:szCs w:val="18"/>
              </w:rPr>
            </w:pPr>
            <w:r>
              <w:rPr>
                <w:color w:val="auto"/>
                <w:kern w:val="21"/>
                <w:sz w:val="18"/>
                <w:szCs w:val="18"/>
              </w:rPr>
              <w:t>调查项目</w:t>
            </w:r>
          </w:p>
        </w:tc>
        <w:tc>
          <w:tcPr>
            <w:tcW w:w="4398" w:type="dxa"/>
            <w:gridSpan w:val="6"/>
            <w:vAlign w:val="center"/>
          </w:tcPr>
          <w:p>
            <w:pPr>
              <w:widowControl/>
              <w:spacing w:line="240" w:lineRule="auto"/>
              <w:ind w:firstLine="360"/>
              <w:jc w:val="center"/>
              <w:rPr>
                <w:color w:val="auto"/>
                <w:kern w:val="21"/>
                <w:sz w:val="18"/>
                <w:szCs w:val="18"/>
              </w:rPr>
            </w:pPr>
            <w:r>
              <w:rPr>
                <w:color w:val="auto"/>
                <w:kern w:val="21"/>
                <w:sz w:val="18"/>
                <w:szCs w:val="18"/>
              </w:rPr>
              <w:t>数据来源</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532" w:hRule="atLeast"/>
        </w:trPr>
        <w:tc>
          <w:tcPr>
            <w:tcW w:w="1055" w:type="dxa"/>
            <w:vMerge w:val="continue"/>
            <w:vAlign w:val="center"/>
          </w:tcPr>
          <w:p>
            <w:pPr>
              <w:spacing w:line="240" w:lineRule="auto"/>
              <w:ind w:firstLine="360"/>
              <w:rPr>
                <w:color w:val="auto"/>
                <w:kern w:val="21"/>
                <w:sz w:val="18"/>
                <w:szCs w:val="18"/>
              </w:rPr>
            </w:pPr>
          </w:p>
        </w:tc>
        <w:tc>
          <w:tcPr>
            <w:tcW w:w="3084"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p>
        </w:tc>
        <w:tc>
          <w:tcPr>
            <w:tcW w:w="4083" w:type="dxa"/>
            <w:gridSpan w:val="3"/>
            <w:vAlign w:val="center"/>
          </w:tcPr>
          <w:p>
            <w:pPr>
              <w:widowControl/>
              <w:spacing w:line="240" w:lineRule="auto"/>
              <w:ind w:firstLine="0" w:firstLineChars="0"/>
              <w:jc w:val="center"/>
              <w:rPr>
                <w:color w:val="auto"/>
                <w:kern w:val="21"/>
                <w:sz w:val="18"/>
                <w:szCs w:val="18"/>
              </w:rPr>
            </w:pPr>
            <w:r>
              <w:rPr>
                <w:color w:val="auto"/>
                <w:kern w:val="21"/>
                <w:sz w:val="18"/>
                <w:szCs w:val="18"/>
              </w:rPr>
              <w:t>已建</w:t>
            </w:r>
            <w:r>
              <w:rPr>
                <w:color w:val="auto"/>
                <w:kern w:val="21"/>
                <w:sz w:val="21"/>
                <w:szCs w:val="21"/>
              </w:rPr>
              <w:sym w:font="Wingdings 2" w:char="0052"/>
            </w:r>
            <w:r>
              <w:rPr>
                <w:color w:val="auto"/>
                <w:kern w:val="21"/>
                <w:sz w:val="18"/>
                <w:szCs w:val="18"/>
              </w:rPr>
              <w:t>；在建</w:t>
            </w:r>
            <w:r>
              <w:rPr>
                <w:color w:val="auto"/>
                <w:kern w:val="21"/>
                <w:sz w:val="21"/>
                <w:szCs w:val="21"/>
              </w:rPr>
              <w:sym w:font="Wingdings 2" w:char="00A3"/>
            </w:r>
            <w:r>
              <w:rPr>
                <w:color w:val="auto"/>
                <w:kern w:val="21"/>
                <w:sz w:val="18"/>
                <w:szCs w:val="18"/>
              </w:rPr>
              <w:t>；拟建口；其他</w:t>
            </w:r>
            <w:r>
              <w:rPr>
                <w:color w:val="auto"/>
                <w:kern w:val="21"/>
                <w:sz w:val="21"/>
                <w:szCs w:val="21"/>
              </w:rPr>
              <w:sym w:font="Wingdings 2" w:char="0052"/>
            </w:r>
          </w:p>
        </w:tc>
        <w:tc>
          <w:tcPr>
            <w:tcW w:w="1843" w:type="dxa"/>
            <w:gridSpan w:val="2"/>
            <w:vAlign w:val="center"/>
          </w:tcPr>
          <w:p>
            <w:pPr>
              <w:widowControl/>
              <w:spacing w:line="240" w:lineRule="auto"/>
              <w:ind w:firstLine="0" w:firstLineChars="0"/>
              <w:rPr>
                <w:color w:val="auto"/>
                <w:kern w:val="21"/>
                <w:sz w:val="18"/>
                <w:szCs w:val="18"/>
              </w:rPr>
            </w:pPr>
            <w:r>
              <w:rPr>
                <w:color w:val="auto"/>
                <w:kern w:val="21"/>
                <w:sz w:val="18"/>
                <w:szCs w:val="18"/>
              </w:rPr>
              <w:t>拟替代的污染源口</w:t>
            </w:r>
          </w:p>
        </w:tc>
        <w:tc>
          <w:tcPr>
            <w:tcW w:w="4398" w:type="dxa"/>
            <w:gridSpan w:val="6"/>
            <w:vAlign w:val="center"/>
          </w:tcPr>
          <w:p>
            <w:pPr>
              <w:widowControl/>
              <w:spacing w:line="240" w:lineRule="auto"/>
              <w:ind w:firstLine="0" w:firstLineChars="0"/>
              <w:rPr>
                <w:color w:val="auto"/>
                <w:kern w:val="21"/>
                <w:sz w:val="18"/>
                <w:szCs w:val="18"/>
              </w:rPr>
            </w:pPr>
            <w:r>
              <w:rPr>
                <w:color w:val="auto"/>
                <w:kern w:val="21"/>
                <w:sz w:val="18"/>
                <w:szCs w:val="18"/>
              </w:rPr>
              <w:t>排污许可证口；环评</w:t>
            </w:r>
            <w:r>
              <w:rPr>
                <w:color w:val="auto"/>
                <w:kern w:val="21"/>
                <w:sz w:val="21"/>
                <w:szCs w:val="21"/>
              </w:rPr>
              <w:sym w:font="Wingdings 2" w:char="0052"/>
            </w:r>
            <w:r>
              <w:rPr>
                <w:color w:val="auto"/>
                <w:kern w:val="21"/>
                <w:sz w:val="18"/>
                <w:szCs w:val="18"/>
              </w:rPr>
              <w:t>；环保验收口；既有实测</w:t>
            </w:r>
            <w:r>
              <w:rPr>
                <w:color w:val="auto"/>
                <w:kern w:val="21"/>
                <w:sz w:val="21"/>
                <w:szCs w:val="21"/>
              </w:rPr>
              <w:sym w:font="Wingdings 2" w:char="0052"/>
            </w:r>
            <w:r>
              <w:rPr>
                <w:color w:val="auto"/>
                <w:kern w:val="21"/>
                <w:sz w:val="18"/>
                <w:szCs w:val="18"/>
              </w:rPr>
              <w:t>；现场监测</w:t>
            </w:r>
            <w:r>
              <w:rPr>
                <w:color w:val="auto"/>
                <w:kern w:val="21"/>
                <w:sz w:val="21"/>
                <w:szCs w:val="21"/>
              </w:rPr>
              <w:sym w:font="Wingdings 2" w:char="0052"/>
            </w:r>
            <w:r>
              <w:rPr>
                <w:color w:val="auto"/>
                <w:kern w:val="21"/>
                <w:sz w:val="18"/>
                <w:szCs w:val="18"/>
              </w:rPr>
              <w:t>；入河排放口数据</w:t>
            </w:r>
            <w:r>
              <w:rPr>
                <w:color w:val="auto"/>
                <w:kern w:val="21"/>
                <w:sz w:val="21"/>
                <w:szCs w:val="21"/>
              </w:rPr>
              <w:sym w:font="Wingdings 2" w:char="0052"/>
            </w:r>
            <w:r>
              <w:rPr>
                <w:color w:val="auto"/>
                <w:kern w:val="21"/>
                <w:sz w:val="18"/>
                <w:szCs w:val="18"/>
              </w:rPr>
              <w:t>；其他口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90" w:hRule="atLeast"/>
        </w:trPr>
        <w:tc>
          <w:tcPr>
            <w:tcW w:w="1055" w:type="dxa"/>
            <w:vMerge w:val="continue"/>
            <w:vAlign w:val="center"/>
          </w:tcPr>
          <w:p>
            <w:pPr>
              <w:spacing w:line="240" w:lineRule="auto"/>
              <w:ind w:firstLine="360"/>
              <w:rPr>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受影响水体水环境质量</w:t>
            </w:r>
          </w:p>
        </w:tc>
        <w:tc>
          <w:tcPr>
            <w:tcW w:w="5926" w:type="dxa"/>
            <w:gridSpan w:val="5"/>
            <w:vAlign w:val="center"/>
          </w:tcPr>
          <w:p>
            <w:pPr>
              <w:widowControl/>
              <w:spacing w:line="240" w:lineRule="auto"/>
              <w:ind w:firstLine="360"/>
              <w:jc w:val="center"/>
              <w:rPr>
                <w:color w:val="auto"/>
                <w:kern w:val="21"/>
                <w:sz w:val="18"/>
                <w:szCs w:val="18"/>
              </w:rPr>
            </w:pPr>
            <w:r>
              <w:rPr>
                <w:color w:val="auto"/>
                <w:kern w:val="21"/>
                <w:sz w:val="18"/>
                <w:szCs w:val="18"/>
              </w:rPr>
              <w:t>调查时期</w:t>
            </w:r>
          </w:p>
        </w:tc>
        <w:tc>
          <w:tcPr>
            <w:tcW w:w="4398" w:type="dxa"/>
            <w:gridSpan w:val="6"/>
            <w:vAlign w:val="center"/>
          </w:tcPr>
          <w:p>
            <w:pPr>
              <w:widowControl/>
              <w:spacing w:line="240" w:lineRule="auto"/>
              <w:ind w:firstLine="360"/>
              <w:jc w:val="center"/>
              <w:rPr>
                <w:color w:val="auto"/>
                <w:kern w:val="21"/>
                <w:sz w:val="18"/>
                <w:szCs w:val="18"/>
              </w:rPr>
            </w:pPr>
            <w:r>
              <w:rPr>
                <w:color w:val="auto"/>
                <w:kern w:val="21"/>
                <w:sz w:val="18"/>
                <w:szCs w:val="18"/>
              </w:rPr>
              <w:t>数据来源</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337" w:hRule="atLeast"/>
        </w:trPr>
        <w:tc>
          <w:tcPr>
            <w:tcW w:w="1055" w:type="dxa"/>
            <w:vMerge w:val="continue"/>
            <w:vAlign w:val="center"/>
          </w:tcPr>
          <w:p>
            <w:pPr>
              <w:spacing w:line="240" w:lineRule="auto"/>
              <w:ind w:firstLine="360"/>
              <w:rPr>
                <w:color w:val="auto"/>
                <w:kern w:val="21"/>
                <w:sz w:val="18"/>
                <w:szCs w:val="18"/>
              </w:rPr>
            </w:pPr>
          </w:p>
        </w:tc>
        <w:tc>
          <w:tcPr>
            <w:tcW w:w="3084"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p>
        </w:tc>
        <w:tc>
          <w:tcPr>
            <w:tcW w:w="5926" w:type="dxa"/>
            <w:gridSpan w:val="5"/>
            <w:vAlign w:val="center"/>
          </w:tcPr>
          <w:p>
            <w:pPr>
              <w:widowControl/>
              <w:spacing w:line="240" w:lineRule="auto"/>
              <w:ind w:firstLine="0" w:firstLineChars="0"/>
              <w:rPr>
                <w:color w:val="auto"/>
                <w:kern w:val="21"/>
                <w:sz w:val="18"/>
                <w:szCs w:val="18"/>
              </w:rPr>
            </w:pPr>
            <w:r>
              <w:rPr>
                <w:color w:val="auto"/>
                <w:kern w:val="21"/>
                <w:sz w:val="18"/>
                <w:szCs w:val="18"/>
              </w:rPr>
              <w:t>丰水期</w:t>
            </w:r>
            <w:r>
              <w:rPr>
                <w:color w:val="auto"/>
                <w:kern w:val="21"/>
                <w:sz w:val="21"/>
                <w:szCs w:val="21"/>
              </w:rPr>
              <w:sym w:font="Wingdings 2" w:char="0052"/>
            </w:r>
            <w:r>
              <w:rPr>
                <w:color w:val="auto"/>
                <w:kern w:val="21"/>
                <w:sz w:val="18"/>
                <w:szCs w:val="18"/>
              </w:rPr>
              <w:t>；平水期</w:t>
            </w:r>
            <w:r>
              <w:rPr>
                <w:color w:val="auto"/>
                <w:kern w:val="21"/>
                <w:sz w:val="21"/>
                <w:szCs w:val="21"/>
              </w:rPr>
              <w:sym w:font="Wingdings 2" w:char="00A3"/>
            </w:r>
            <w:r>
              <w:rPr>
                <w:color w:val="auto"/>
                <w:kern w:val="21"/>
                <w:sz w:val="18"/>
                <w:szCs w:val="18"/>
              </w:rPr>
              <w:t>；枯水期</w:t>
            </w:r>
            <w:r>
              <w:rPr>
                <w:color w:val="auto"/>
                <w:kern w:val="21"/>
                <w:sz w:val="21"/>
                <w:szCs w:val="21"/>
              </w:rPr>
              <w:sym w:font="Wingdings 2" w:char="0052"/>
            </w:r>
            <w:r>
              <w:rPr>
                <w:color w:val="auto"/>
                <w:kern w:val="21"/>
                <w:sz w:val="18"/>
                <w:szCs w:val="18"/>
              </w:rPr>
              <w:t>；冰封期</w:t>
            </w:r>
            <w:r>
              <w:rPr>
                <w:color w:val="auto"/>
                <w:kern w:val="21"/>
                <w:sz w:val="21"/>
                <w:szCs w:val="21"/>
              </w:rPr>
              <w:sym w:font="Wingdings 2" w:char="00A3"/>
            </w:r>
          </w:p>
          <w:p>
            <w:pPr>
              <w:spacing w:line="240" w:lineRule="auto"/>
              <w:ind w:left="0" w:leftChars="0" w:firstLine="0" w:firstLineChars="0"/>
              <w:jc w:val="left"/>
              <w:rPr>
                <w:color w:val="auto"/>
                <w:kern w:val="21"/>
                <w:sz w:val="18"/>
                <w:szCs w:val="18"/>
              </w:rPr>
            </w:pPr>
            <w:r>
              <w:rPr>
                <w:color w:val="auto"/>
                <w:kern w:val="21"/>
                <w:sz w:val="18"/>
                <w:szCs w:val="18"/>
              </w:rPr>
              <w:t>春季</w:t>
            </w:r>
            <w:r>
              <w:rPr>
                <w:color w:val="auto"/>
                <w:kern w:val="21"/>
                <w:sz w:val="21"/>
                <w:szCs w:val="21"/>
              </w:rPr>
              <w:sym w:font="Wingdings 2" w:char="00A3"/>
            </w:r>
            <w:r>
              <w:rPr>
                <w:color w:val="auto"/>
                <w:kern w:val="21"/>
                <w:sz w:val="18"/>
                <w:szCs w:val="18"/>
              </w:rPr>
              <w:t>；夏季</w:t>
            </w:r>
            <w:r>
              <w:rPr>
                <w:color w:val="auto"/>
                <w:kern w:val="21"/>
                <w:sz w:val="21"/>
                <w:szCs w:val="21"/>
              </w:rPr>
              <w:sym w:font="Wingdings 2" w:char="00A3"/>
            </w:r>
            <w:r>
              <w:rPr>
                <w:color w:val="auto"/>
                <w:kern w:val="21"/>
                <w:sz w:val="18"/>
                <w:szCs w:val="18"/>
              </w:rPr>
              <w:t>；秋季</w:t>
            </w:r>
            <w:r>
              <w:rPr>
                <w:color w:val="auto"/>
                <w:kern w:val="21"/>
                <w:sz w:val="21"/>
                <w:szCs w:val="21"/>
              </w:rPr>
              <w:sym w:font="Wingdings 2" w:char="00A3"/>
            </w:r>
            <w:r>
              <w:rPr>
                <w:color w:val="auto"/>
                <w:kern w:val="21"/>
                <w:sz w:val="18"/>
                <w:szCs w:val="18"/>
              </w:rPr>
              <w:t>；冬季</w:t>
            </w:r>
            <w:r>
              <w:rPr>
                <w:color w:val="auto"/>
                <w:kern w:val="21"/>
                <w:sz w:val="21"/>
                <w:szCs w:val="21"/>
              </w:rPr>
              <w:sym w:font="Wingdings 2" w:char="00A3"/>
            </w:r>
          </w:p>
        </w:tc>
        <w:tc>
          <w:tcPr>
            <w:tcW w:w="4398" w:type="dxa"/>
            <w:gridSpan w:val="6"/>
            <w:vAlign w:val="center"/>
          </w:tcPr>
          <w:p>
            <w:pPr>
              <w:widowControl/>
              <w:spacing w:line="240" w:lineRule="auto"/>
              <w:ind w:firstLine="0" w:firstLineChars="0"/>
              <w:rPr>
                <w:color w:val="auto"/>
                <w:kern w:val="21"/>
                <w:sz w:val="18"/>
                <w:szCs w:val="18"/>
              </w:rPr>
            </w:pPr>
            <w:r>
              <w:rPr>
                <w:color w:val="auto"/>
                <w:kern w:val="21"/>
                <w:sz w:val="18"/>
                <w:szCs w:val="18"/>
              </w:rPr>
              <w:t>生态环境保护主管部门</w:t>
            </w:r>
            <w:r>
              <w:rPr>
                <w:color w:val="auto"/>
                <w:kern w:val="21"/>
                <w:sz w:val="21"/>
                <w:szCs w:val="21"/>
              </w:rPr>
              <w:sym w:font="Wingdings 2" w:char="0052"/>
            </w:r>
            <w:r>
              <w:rPr>
                <w:color w:val="auto"/>
                <w:kern w:val="21"/>
                <w:sz w:val="18"/>
                <w:szCs w:val="18"/>
              </w:rPr>
              <w:t>；补充监测</w:t>
            </w:r>
            <w:r>
              <w:rPr>
                <w:color w:val="auto"/>
                <w:kern w:val="21"/>
                <w:sz w:val="21"/>
                <w:szCs w:val="21"/>
              </w:rPr>
              <w:sym w:font="Wingdings 2" w:char="0052"/>
            </w:r>
            <w:r>
              <w:rPr>
                <w:color w:val="auto"/>
                <w:kern w:val="21"/>
                <w:sz w:val="18"/>
                <w:szCs w:val="18"/>
              </w:rPr>
              <w:t>；其他口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90" w:hRule="atLeast"/>
        </w:trPr>
        <w:tc>
          <w:tcPr>
            <w:tcW w:w="1055" w:type="dxa"/>
            <w:vMerge w:val="continue"/>
            <w:vAlign w:val="center"/>
          </w:tcPr>
          <w:p>
            <w:pPr>
              <w:spacing w:line="240" w:lineRule="auto"/>
              <w:ind w:firstLine="360"/>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区域水资源开发利用状况</w:t>
            </w:r>
          </w:p>
        </w:tc>
        <w:tc>
          <w:tcPr>
            <w:tcW w:w="10324" w:type="dxa"/>
            <w:gridSpan w:val="11"/>
            <w:vAlign w:val="center"/>
          </w:tcPr>
          <w:p>
            <w:pPr>
              <w:widowControl/>
              <w:spacing w:line="240" w:lineRule="auto"/>
              <w:ind w:firstLine="360"/>
              <w:jc w:val="center"/>
              <w:rPr>
                <w:color w:val="auto"/>
                <w:kern w:val="21"/>
                <w:sz w:val="18"/>
                <w:szCs w:val="18"/>
              </w:rPr>
            </w:pPr>
            <w:r>
              <w:rPr>
                <w:color w:val="auto"/>
                <w:kern w:val="21"/>
                <w:sz w:val="18"/>
                <w:szCs w:val="18"/>
              </w:rPr>
              <w:t>未开发口；开发量40%以下口；开发量40%以上</w:t>
            </w:r>
            <w:r>
              <w:rPr>
                <w:color w:val="auto"/>
                <w:kern w:val="21"/>
                <w:sz w:val="21"/>
                <w:szCs w:val="21"/>
              </w:rPr>
              <w:sym w:font="Wingdings 2" w:char="00A3"/>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634" w:hRule="atLeast"/>
        </w:trPr>
        <w:tc>
          <w:tcPr>
            <w:tcW w:w="1055" w:type="dxa"/>
            <w:vMerge w:val="continue"/>
            <w:vAlign w:val="center"/>
          </w:tcPr>
          <w:p>
            <w:pPr>
              <w:spacing w:line="240" w:lineRule="auto"/>
              <w:ind w:firstLine="360"/>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水文情势调查</w:t>
            </w:r>
          </w:p>
        </w:tc>
        <w:tc>
          <w:tcPr>
            <w:tcW w:w="5926" w:type="dxa"/>
            <w:gridSpan w:val="5"/>
            <w:vAlign w:val="center"/>
          </w:tcPr>
          <w:p>
            <w:pPr>
              <w:widowControl/>
              <w:spacing w:line="240" w:lineRule="auto"/>
              <w:ind w:firstLine="180" w:firstLineChars="100"/>
              <w:rPr>
                <w:color w:val="auto"/>
                <w:kern w:val="21"/>
                <w:sz w:val="18"/>
                <w:szCs w:val="18"/>
              </w:rPr>
            </w:pPr>
            <w:r>
              <w:rPr>
                <w:color w:val="auto"/>
                <w:kern w:val="21"/>
                <w:sz w:val="18"/>
                <w:szCs w:val="18"/>
              </w:rPr>
              <w:t>丰水期</w:t>
            </w:r>
            <w:r>
              <w:rPr>
                <w:color w:val="auto"/>
                <w:kern w:val="21"/>
                <w:sz w:val="21"/>
                <w:szCs w:val="21"/>
              </w:rPr>
              <w:sym w:font="Wingdings 2" w:char="00A3"/>
            </w:r>
            <w:r>
              <w:rPr>
                <w:color w:val="auto"/>
                <w:kern w:val="21"/>
                <w:sz w:val="18"/>
                <w:szCs w:val="18"/>
              </w:rPr>
              <w:t>；平水期</w:t>
            </w:r>
            <w:r>
              <w:rPr>
                <w:color w:val="auto"/>
                <w:kern w:val="21"/>
                <w:sz w:val="21"/>
                <w:szCs w:val="21"/>
              </w:rPr>
              <w:sym w:font="Wingdings 2" w:char="00A3"/>
            </w:r>
            <w:r>
              <w:rPr>
                <w:color w:val="auto"/>
                <w:kern w:val="21"/>
                <w:sz w:val="18"/>
                <w:szCs w:val="18"/>
              </w:rPr>
              <w:t>；枯水期</w:t>
            </w:r>
            <w:r>
              <w:rPr>
                <w:color w:val="auto"/>
                <w:kern w:val="21"/>
                <w:sz w:val="21"/>
                <w:szCs w:val="21"/>
              </w:rPr>
              <w:sym w:font="Wingdings 2" w:char="00A3"/>
            </w:r>
            <w:r>
              <w:rPr>
                <w:color w:val="auto"/>
                <w:kern w:val="21"/>
                <w:sz w:val="18"/>
                <w:szCs w:val="18"/>
              </w:rPr>
              <w:t>；冰封期</w:t>
            </w:r>
            <w:r>
              <w:rPr>
                <w:color w:val="auto"/>
                <w:kern w:val="21"/>
                <w:sz w:val="21"/>
                <w:szCs w:val="21"/>
              </w:rPr>
              <w:sym w:font="Wingdings 2" w:char="00A3"/>
            </w:r>
          </w:p>
          <w:p>
            <w:pPr>
              <w:spacing w:line="240" w:lineRule="auto"/>
              <w:ind w:firstLine="180" w:firstLineChars="100"/>
              <w:rPr>
                <w:color w:val="auto"/>
                <w:kern w:val="21"/>
                <w:sz w:val="18"/>
                <w:szCs w:val="18"/>
              </w:rPr>
            </w:pPr>
            <w:r>
              <w:rPr>
                <w:color w:val="auto"/>
                <w:kern w:val="21"/>
                <w:sz w:val="18"/>
                <w:szCs w:val="18"/>
              </w:rPr>
              <w:t>春季</w:t>
            </w:r>
            <w:r>
              <w:rPr>
                <w:color w:val="auto"/>
                <w:kern w:val="21"/>
                <w:sz w:val="21"/>
                <w:szCs w:val="21"/>
              </w:rPr>
              <w:sym w:font="Wingdings 2" w:char="00A3"/>
            </w:r>
            <w:r>
              <w:rPr>
                <w:color w:val="auto"/>
                <w:kern w:val="21"/>
                <w:sz w:val="18"/>
                <w:szCs w:val="18"/>
              </w:rPr>
              <w:t>；夏季</w:t>
            </w:r>
            <w:r>
              <w:rPr>
                <w:color w:val="auto"/>
                <w:kern w:val="21"/>
                <w:sz w:val="21"/>
                <w:szCs w:val="21"/>
              </w:rPr>
              <w:sym w:font="Wingdings 2" w:char="00A3"/>
            </w:r>
            <w:r>
              <w:rPr>
                <w:color w:val="auto"/>
                <w:kern w:val="21"/>
                <w:sz w:val="18"/>
                <w:szCs w:val="18"/>
              </w:rPr>
              <w:t>；秋季</w:t>
            </w:r>
            <w:r>
              <w:rPr>
                <w:color w:val="auto"/>
                <w:kern w:val="21"/>
                <w:sz w:val="21"/>
                <w:szCs w:val="21"/>
              </w:rPr>
              <w:sym w:font="Wingdings 2" w:char="00A3"/>
            </w:r>
            <w:r>
              <w:rPr>
                <w:color w:val="auto"/>
                <w:kern w:val="21"/>
                <w:sz w:val="18"/>
                <w:szCs w:val="18"/>
              </w:rPr>
              <w:t>；冬季</w:t>
            </w:r>
            <w:r>
              <w:rPr>
                <w:color w:val="auto"/>
                <w:kern w:val="21"/>
                <w:sz w:val="21"/>
                <w:szCs w:val="21"/>
              </w:rPr>
              <w:sym w:font="Wingdings 2" w:char="00A3"/>
            </w:r>
          </w:p>
        </w:tc>
        <w:tc>
          <w:tcPr>
            <w:tcW w:w="4398" w:type="dxa"/>
            <w:gridSpan w:val="6"/>
            <w:vAlign w:val="center"/>
          </w:tcPr>
          <w:p>
            <w:pPr>
              <w:spacing w:line="240" w:lineRule="auto"/>
              <w:ind w:firstLine="360"/>
              <w:rPr>
                <w:color w:val="auto"/>
                <w:kern w:val="21"/>
                <w:sz w:val="18"/>
                <w:szCs w:val="18"/>
              </w:rPr>
            </w:pPr>
            <w:r>
              <w:rPr>
                <w:color w:val="auto"/>
                <w:kern w:val="21"/>
                <w:sz w:val="18"/>
                <w:szCs w:val="18"/>
              </w:rPr>
              <w:t>水行政主管部门口；补充监测</w:t>
            </w:r>
            <w:r>
              <w:rPr>
                <w:color w:val="auto"/>
                <w:kern w:val="21"/>
                <w:sz w:val="21"/>
                <w:szCs w:val="21"/>
              </w:rPr>
              <w:sym w:font="Wingdings 2" w:char="00A3"/>
            </w:r>
            <w:r>
              <w:rPr>
                <w:color w:val="auto"/>
                <w:kern w:val="21"/>
                <w:sz w:val="18"/>
                <w:szCs w:val="18"/>
              </w:rPr>
              <w:t>；其他口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117" w:hRule="atLeast"/>
        </w:trPr>
        <w:tc>
          <w:tcPr>
            <w:tcW w:w="1055" w:type="dxa"/>
            <w:vMerge w:val="continue"/>
            <w:vAlign w:val="center"/>
          </w:tcPr>
          <w:p>
            <w:pPr>
              <w:widowControl/>
              <w:spacing w:line="240" w:lineRule="auto"/>
              <w:ind w:firstLine="360"/>
              <w:rPr>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补充监测</w:t>
            </w:r>
          </w:p>
        </w:tc>
        <w:tc>
          <w:tcPr>
            <w:tcW w:w="5926" w:type="dxa"/>
            <w:gridSpan w:val="5"/>
            <w:vAlign w:val="center"/>
          </w:tcPr>
          <w:p>
            <w:pPr>
              <w:widowControl/>
              <w:spacing w:line="240" w:lineRule="auto"/>
              <w:ind w:firstLine="2160" w:firstLineChars="1200"/>
              <w:rPr>
                <w:color w:val="auto"/>
                <w:kern w:val="21"/>
                <w:sz w:val="18"/>
                <w:szCs w:val="18"/>
              </w:rPr>
            </w:pPr>
            <w:r>
              <w:rPr>
                <w:color w:val="auto"/>
                <w:kern w:val="21"/>
                <w:sz w:val="18"/>
                <w:szCs w:val="18"/>
              </w:rPr>
              <w:t>监测时期</w:t>
            </w:r>
          </w:p>
        </w:tc>
        <w:tc>
          <w:tcPr>
            <w:tcW w:w="2576" w:type="dxa"/>
            <w:gridSpan w:val="4"/>
            <w:vAlign w:val="center"/>
          </w:tcPr>
          <w:p>
            <w:pPr>
              <w:widowControl/>
              <w:spacing w:line="240" w:lineRule="auto"/>
              <w:ind w:firstLine="540" w:firstLineChars="300"/>
              <w:rPr>
                <w:color w:val="auto"/>
                <w:kern w:val="21"/>
                <w:sz w:val="18"/>
                <w:szCs w:val="18"/>
              </w:rPr>
            </w:pPr>
            <w:r>
              <w:rPr>
                <w:color w:val="auto"/>
                <w:kern w:val="21"/>
                <w:sz w:val="18"/>
                <w:szCs w:val="18"/>
              </w:rPr>
              <w:t>监测因子</w:t>
            </w:r>
          </w:p>
        </w:tc>
        <w:tc>
          <w:tcPr>
            <w:tcW w:w="1822" w:type="dxa"/>
            <w:gridSpan w:val="2"/>
            <w:vAlign w:val="center"/>
          </w:tcPr>
          <w:p>
            <w:pPr>
              <w:widowControl/>
              <w:spacing w:line="240" w:lineRule="auto"/>
              <w:ind w:firstLine="180" w:firstLineChars="100"/>
              <w:rPr>
                <w:color w:val="auto"/>
                <w:kern w:val="21"/>
                <w:sz w:val="18"/>
                <w:szCs w:val="18"/>
              </w:rPr>
            </w:pPr>
            <w:r>
              <w:rPr>
                <w:color w:val="auto"/>
                <w:kern w:val="21"/>
                <w:sz w:val="18"/>
                <w:szCs w:val="18"/>
              </w:rPr>
              <w:t>监测断面或点位</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54" w:hRule="atLeast"/>
        </w:trPr>
        <w:tc>
          <w:tcPr>
            <w:tcW w:w="1055" w:type="dxa"/>
            <w:vMerge w:val="continue"/>
            <w:vAlign w:val="center"/>
          </w:tcPr>
          <w:p>
            <w:pPr>
              <w:widowControl/>
              <w:spacing w:line="240" w:lineRule="auto"/>
              <w:ind w:firstLine="360"/>
              <w:rPr>
                <w:color w:val="auto"/>
                <w:kern w:val="21"/>
                <w:sz w:val="18"/>
                <w:szCs w:val="18"/>
              </w:rPr>
            </w:pPr>
          </w:p>
        </w:tc>
        <w:tc>
          <w:tcPr>
            <w:tcW w:w="3084" w:type="dxa"/>
            <w:vMerge w:val="continue"/>
            <w:vAlign w:val="center"/>
          </w:tcPr>
          <w:p>
            <w:pPr>
              <w:spacing w:line="240" w:lineRule="auto"/>
              <w:ind w:firstLine="360"/>
              <w:rPr>
                <w:color w:val="auto"/>
                <w:kern w:val="21"/>
                <w:sz w:val="18"/>
                <w:szCs w:val="18"/>
              </w:rPr>
            </w:pPr>
          </w:p>
        </w:tc>
        <w:tc>
          <w:tcPr>
            <w:tcW w:w="5926" w:type="dxa"/>
            <w:gridSpan w:val="5"/>
            <w:vAlign w:val="center"/>
          </w:tcPr>
          <w:p>
            <w:pPr>
              <w:widowControl/>
              <w:spacing w:line="240" w:lineRule="auto"/>
              <w:ind w:firstLine="360"/>
              <w:rPr>
                <w:color w:val="auto"/>
                <w:kern w:val="21"/>
                <w:sz w:val="18"/>
                <w:szCs w:val="18"/>
              </w:rPr>
            </w:pPr>
            <w:r>
              <w:rPr>
                <w:color w:val="auto"/>
                <w:kern w:val="21"/>
                <w:sz w:val="18"/>
                <w:szCs w:val="18"/>
              </w:rPr>
              <w:t>丰水期</w:t>
            </w:r>
            <w:r>
              <w:rPr>
                <w:color w:val="auto"/>
                <w:kern w:val="21"/>
                <w:sz w:val="21"/>
                <w:szCs w:val="21"/>
              </w:rPr>
              <w:sym w:font="Wingdings 2" w:char="0052"/>
            </w:r>
            <w:r>
              <w:rPr>
                <w:color w:val="auto"/>
                <w:kern w:val="21"/>
                <w:sz w:val="18"/>
                <w:szCs w:val="18"/>
              </w:rPr>
              <w:t>；平水期口；枯水期</w:t>
            </w:r>
            <w:r>
              <w:rPr>
                <w:color w:val="auto"/>
                <w:kern w:val="21"/>
                <w:sz w:val="21"/>
                <w:szCs w:val="21"/>
              </w:rPr>
              <w:sym w:font="Wingdings 2" w:char="0052"/>
            </w:r>
            <w:r>
              <w:rPr>
                <w:color w:val="auto"/>
                <w:kern w:val="21"/>
                <w:sz w:val="18"/>
                <w:szCs w:val="18"/>
              </w:rPr>
              <w:t>；冰封期</w:t>
            </w:r>
            <w:r>
              <w:rPr>
                <w:color w:val="auto"/>
                <w:kern w:val="21"/>
                <w:sz w:val="21"/>
                <w:szCs w:val="21"/>
              </w:rPr>
              <w:sym w:font="Wingdings 2" w:char="00A3"/>
            </w:r>
          </w:p>
          <w:p>
            <w:pPr>
              <w:spacing w:line="240" w:lineRule="auto"/>
              <w:ind w:firstLine="360"/>
              <w:rPr>
                <w:color w:val="auto"/>
                <w:kern w:val="21"/>
                <w:sz w:val="18"/>
                <w:szCs w:val="18"/>
              </w:rPr>
            </w:pPr>
            <w:r>
              <w:rPr>
                <w:color w:val="auto"/>
                <w:kern w:val="21"/>
                <w:sz w:val="18"/>
                <w:szCs w:val="18"/>
              </w:rPr>
              <w:t>春季</w:t>
            </w:r>
            <w:r>
              <w:rPr>
                <w:color w:val="auto"/>
                <w:kern w:val="21"/>
                <w:sz w:val="21"/>
                <w:szCs w:val="21"/>
              </w:rPr>
              <w:sym w:font="Wingdings 2" w:char="00A3"/>
            </w:r>
            <w:r>
              <w:rPr>
                <w:color w:val="auto"/>
                <w:kern w:val="21"/>
                <w:sz w:val="18"/>
                <w:szCs w:val="18"/>
              </w:rPr>
              <w:t>；夏季</w:t>
            </w:r>
            <w:r>
              <w:rPr>
                <w:color w:val="auto"/>
                <w:kern w:val="21"/>
                <w:sz w:val="21"/>
                <w:szCs w:val="21"/>
              </w:rPr>
              <w:sym w:font="Wingdings 2" w:char="00A3"/>
            </w:r>
            <w:r>
              <w:rPr>
                <w:color w:val="auto"/>
                <w:kern w:val="21"/>
                <w:sz w:val="18"/>
                <w:szCs w:val="18"/>
              </w:rPr>
              <w:t>；秋季</w:t>
            </w:r>
            <w:r>
              <w:rPr>
                <w:color w:val="auto"/>
                <w:kern w:val="21"/>
                <w:sz w:val="21"/>
                <w:szCs w:val="21"/>
              </w:rPr>
              <w:sym w:font="Wingdings 2" w:char="00A3"/>
            </w:r>
            <w:r>
              <w:rPr>
                <w:color w:val="auto"/>
                <w:kern w:val="21"/>
                <w:sz w:val="18"/>
                <w:szCs w:val="18"/>
              </w:rPr>
              <w:t>；冬季</w:t>
            </w:r>
            <w:r>
              <w:rPr>
                <w:color w:val="auto"/>
                <w:kern w:val="21"/>
                <w:sz w:val="21"/>
                <w:szCs w:val="21"/>
              </w:rPr>
              <w:sym w:font="Wingdings 2" w:char="00A3"/>
            </w:r>
          </w:p>
        </w:tc>
        <w:tc>
          <w:tcPr>
            <w:tcW w:w="2576" w:type="dxa"/>
            <w:gridSpan w:val="4"/>
            <w:vAlign w:val="center"/>
          </w:tcPr>
          <w:p>
            <w:pPr>
              <w:spacing w:line="240" w:lineRule="auto"/>
              <w:ind w:firstLine="0" w:firstLineChars="0"/>
              <w:rPr>
                <w:color w:val="auto"/>
                <w:kern w:val="21"/>
                <w:sz w:val="18"/>
                <w:szCs w:val="18"/>
              </w:rPr>
            </w:pPr>
            <w:r>
              <w:rPr>
                <w:color w:val="auto"/>
                <w:kern w:val="21"/>
                <w:sz w:val="18"/>
                <w:szCs w:val="18"/>
              </w:rPr>
              <w:t>pH、BOD</w:t>
            </w:r>
            <w:r>
              <w:rPr>
                <w:color w:val="auto"/>
                <w:kern w:val="21"/>
                <w:sz w:val="18"/>
                <w:szCs w:val="18"/>
                <w:vertAlign w:val="subscript"/>
              </w:rPr>
              <w:t>5</w:t>
            </w:r>
            <w:r>
              <w:rPr>
                <w:color w:val="auto"/>
                <w:kern w:val="21"/>
                <w:sz w:val="18"/>
                <w:szCs w:val="18"/>
              </w:rPr>
              <w:t>、化学需氧量、悬浮物、石油类、阴离子表面活性剂、氨氮、总氮、总磷、色度、粪大肠菌群、氟化物、硫化物、总汞、总镉、总铬、六价铬、总砷、总铅</w:t>
            </w:r>
          </w:p>
        </w:tc>
        <w:tc>
          <w:tcPr>
            <w:tcW w:w="1822" w:type="dxa"/>
            <w:gridSpan w:val="2"/>
            <w:vAlign w:val="center"/>
          </w:tcPr>
          <w:p>
            <w:pPr>
              <w:widowControl/>
              <w:spacing w:line="240" w:lineRule="auto"/>
              <w:ind w:firstLine="0" w:firstLineChars="0"/>
              <w:rPr>
                <w:color w:val="auto"/>
                <w:kern w:val="21"/>
                <w:sz w:val="18"/>
                <w:szCs w:val="18"/>
              </w:rPr>
            </w:pPr>
            <w:r>
              <w:rPr>
                <w:color w:val="auto"/>
                <w:kern w:val="21"/>
                <w:sz w:val="18"/>
                <w:szCs w:val="18"/>
              </w:rPr>
              <w:t>监测测断面或点位个数（3）个</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90" w:hRule="atLeast"/>
        </w:trPr>
        <w:tc>
          <w:tcPr>
            <w:tcW w:w="1055" w:type="dxa"/>
            <w:vMerge w:val="restart"/>
            <w:vAlign w:val="center"/>
          </w:tcPr>
          <w:p>
            <w:pPr>
              <w:spacing w:line="240" w:lineRule="auto"/>
              <w:ind w:firstLine="0" w:firstLineChars="0"/>
              <w:jc w:val="center"/>
              <w:rPr>
                <w:color w:val="auto"/>
                <w:kern w:val="21"/>
                <w:sz w:val="18"/>
                <w:szCs w:val="18"/>
              </w:rPr>
            </w:pPr>
            <w:r>
              <w:rPr>
                <w:color w:val="auto"/>
                <w:kern w:val="21"/>
                <w:sz w:val="18"/>
                <w:szCs w:val="18"/>
              </w:rPr>
              <w:t>现状评价</w:t>
            </w:r>
          </w:p>
        </w:tc>
        <w:tc>
          <w:tcPr>
            <w:tcW w:w="3084" w:type="dxa"/>
            <w:vAlign w:val="center"/>
          </w:tcPr>
          <w:p>
            <w:pPr>
              <w:widowControl/>
              <w:spacing w:line="240" w:lineRule="auto"/>
              <w:ind w:firstLine="0" w:firstLineChars="0"/>
              <w:jc w:val="center"/>
              <w:rPr>
                <w:color w:val="auto"/>
                <w:kern w:val="21"/>
                <w:sz w:val="18"/>
                <w:szCs w:val="18"/>
              </w:rPr>
            </w:pPr>
            <w:r>
              <w:rPr>
                <w:color w:val="auto"/>
                <w:kern w:val="21"/>
                <w:sz w:val="18"/>
                <w:szCs w:val="18"/>
              </w:rPr>
              <w:t>评价范围</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河流：长度（3.42）km；湖库、河口及近岸海域：面积（）km²</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10" w:hRule="atLeast"/>
        </w:trPr>
        <w:tc>
          <w:tcPr>
            <w:tcW w:w="1055" w:type="dxa"/>
            <w:vMerge w:val="continue"/>
            <w:vAlign w:val="center"/>
          </w:tcPr>
          <w:p>
            <w:pPr>
              <w:spacing w:line="240" w:lineRule="auto"/>
              <w:ind w:firstLine="360"/>
              <w:jc w:val="center"/>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评价因子</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化学需氧量、氨氮、总磷、氟化物</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20" w:hRule="atLeast"/>
        </w:trPr>
        <w:tc>
          <w:tcPr>
            <w:tcW w:w="1055" w:type="dxa"/>
            <w:vMerge w:val="continue"/>
            <w:vAlign w:val="center"/>
          </w:tcPr>
          <w:p>
            <w:pPr>
              <w:spacing w:line="240" w:lineRule="auto"/>
              <w:ind w:firstLine="360"/>
              <w:jc w:val="center"/>
              <w:rPr>
                <w:color w:val="auto"/>
                <w:kern w:val="21"/>
                <w:sz w:val="18"/>
                <w:szCs w:val="18"/>
              </w:rPr>
            </w:pPr>
          </w:p>
        </w:tc>
        <w:tc>
          <w:tcPr>
            <w:tcW w:w="3084" w:type="dxa"/>
            <w:vMerge w:val="restart"/>
            <w:vAlign w:val="center"/>
          </w:tcPr>
          <w:p>
            <w:pPr>
              <w:widowControl/>
              <w:spacing w:line="240" w:lineRule="auto"/>
              <w:ind w:firstLine="0" w:firstLineChars="0"/>
              <w:jc w:val="center"/>
              <w:rPr>
                <w:rFonts w:hint="eastAsia" w:eastAsia="宋体"/>
                <w:color w:val="auto"/>
                <w:kern w:val="21"/>
                <w:sz w:val="18"/>
                <w:szCs w:val="18"/>
                <w:lang w:eastAsia="zh-CN"/>
              </w:rPr>
            </w:pPr>
            <w:r>
              <w:rPr>
                <w:rFonts w:hint="eastAsia"/>
                <w:color w:val="auto"/>
                <w:kern w:val="21"/>
                <w:sz w:val="18"/>
                <w:szCs w:val="18"/>
                <w:lang w:eastAsia="zh-CN"/>
              </w:rPr>
              <w:t>评价标准</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河流、湖库、河口I类</w:t>
            </w:r>
            <w:r>
              <w:rPr>
                <w:color w:val="auto"/>
                <w:kern w:val="21"/>
                <w:sz w:val="21"/>
                <w:szCs w:val="21"/>
              </w:rPr>
              <w:sym w:font="Wingdings 2" w:char="00A3"/>
            </w:r>
            <w:r>
              <w:rPr>
                <w:color w:val="auto"/>
                <w:kern w:val="21"/>
                <w:sz w:val="18"/>
                <w:szCs w:val="18"/>
              </w:rPr>
              <w:t>；II类</w:t>
            </w:r>
            <w:r>
              <w:rPr>
                <w:color w:val="auto"/>
                <w:kern w:val="21"/>
                <w:sz w:val="21"/>
                <w:szCs w:val="21"/>
              </w:rPr>
              <w:sym w:font="Wingdings 2" w:char="00A3"/>
            </w:r>
            <w:r>
              <w:rPr>
                <w:color w:val="auto"/>
                <w:kern w:val="21"/>
                <w:sz w:val="18"/>
                <w:szCs w:val="18"/>
              </w:rPr>
              <w:t>；皿类</w:t>
            </w:r>
            <w:r>
              <w:rPr>
                <w:color w:val="auto"/>
                <w:kern w:val="21"/>
                <w:sz w:val="21"/>
                <w:szCs w:val="21"/>
              </w:rPr>
              <w:sym w:font="Wingdings 2" w:char="00A3"/>
            </w:r>
            <w:r>
              <w:rPr>
                <w:color w:val="auto"/>
                <w:kern w:val="21"/>
                <w:sz w:val="18"/>
                <w:szCs w:val="18"/>
              </w:rPr>
              <w:t>；IV类</w:t>
            </w:r>
            <w:r>
              <w:rPr>
                <w:color w:val="auto"/>
                <w:kern w:val="21"/>
                <w:sz w:val="21"/>
                <w:szCs w:val="21"/>
              </w:rPr>
              <w:sym w:font="Wingdings 2" w:char="0052"/>
            </w:r>
            <w:r>
              <w:rPr>
                <w:color w:val="auto"/>
                <w:kern w:val="21"/>
                <w:sz w:val="18"/>
                <w:szCs w:val="18"/>
              </w:rPr>
              <w:t>；V类口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20" w:hRule="atLeast"/>
        </w:trPr>
        <w:tc>
          <w:tcPr>
            <w:tcW w:w="1055" w:type="dxa"/>
            <w:vMerge w:val="continue"/>
            <w:vAlign w:val="center"/>
          </w:tcPr>
          <w:p>
            <w:pPr>
              <w:spacing w:line="240" w:lineRule="auto"/>
              <w:ind w:firstLine="360"/>
              <w:jc w:val="center"/>
              <w:rPr>
                <w:color w:val="auto"/>
                <w:kern w:val="21"/>
                <w:sz w:val="18"/>
                <w:szCs w:val="18"/>
              </w:rPr>
            </w:pPr>
          </w:p>
        </w:tc>
        <w:tc>
          <w:tcPr>
            <w:tcW w:w="3084" w:type="dxa"/>
            <w:vMerge w:val="continue"/>
            <w:vAlign w:val="center"/>
          </w:tcPr>
          <w:p>
            <w:pPr>
              <w:spacing w:line="240" w:lineRule="auto"/>
              <w:ind w:firstLine="360"/>
              <w:jc w:val="center"/>
              <w:rPr>
                <w:color w:val="auto"/>
                <w:kern w:val="21"/>
                <w:sz w:val="18"/>
                <w:szCs w:val="18"/>
              </w:rPr>
            </w:pP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近岸海域第一类</w:t>
            </w:r>
            <w:r>
              <w:rPr>
                <w:color w:val="auto"/>
                <w:kern w:val="21"/>
                <w:sz w:val="21"/>
                <w:szCs w:val="21"/>
              </w:rPr>
              <w:sym w:font="Wingdings 2" w:char="00A3"/>
            </w:r>
            <w:r>
              <w:rPr>
                <w:color w:val="auto"/>
                <w:kern w:val="21"/>
                <w:sz w:val="18"/>
                <w:szCs w:val="18"/>
              </w:rPr>
              <w:t>；第二类</w:t>
            </w:r>
            <w:r>
              <w:rPr>
                <w:color w:val="auto"/>
                <w:kern w:val="21"/>
                <w:sz w:val="21"/>
                <w:szCs w:val="21"/>
              </w:rPr>
              <w:sym w:font="Wingdings 2" w:char="00A3"/>
            </w:r>
            <w:r>
              <w:rPr>
                <w:color w:val="auto"/>
                <w:kern w:val="21"/>
                <w:sz w:val="18"/>
                <w:szCs w:val="18"/>
              </w:rPr>
              <w:t>；第一类</w:t>
            </w:r>
            <w:r>
              <w:rPr>
                <w:color w:val="auto"/>
                <w:kern w:val="21"/>
                <w:sz w:val="21"/>
                <w:szCs w:val="21"/>
              </w:rPr>
              <w:sym w:font="Wingdings 2" w:char="00A3"/>
            </w:r>
            <w:r>
              <w:rPr>
                <w:color w:val="auto"/>
                <w:kern w:val="21"/>
                <w:sz w:val="18"/>
                <w:szCs w:val="18"/>
              </w:rPr>
              <w:t>；第四类</w:t>
            </w:r>
            <w:r>
              <w:rPr>
                <w:color w:val="auto"/>
                <w:kern w:val="21"/>
                <w:sz w:val="21"/>
                <w:szCs w:val="21"/>
              </w:rPr>
              <w:sym w:font="Wingdings 2" w:char="00A3"/>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10" w:hRule="atLeast"/>
        </w:trPr>
        <w:tc>
          <w:tcPr>
            <w:tcW w:w="1055" w:type="dxa"/>
            <w:vMerge w:val="continue"/>
            <w:vAlign w:val="center"/>
          </w:tcPr>
          <w:p>
            <w:pPr>
              <w:spacing w:line="240" w:lineRule="auto"/>
              <w:ind w:firstLine="360"/>
              <w:jc w:val="center"/>
              <w:rPr>
                <w:color w:val="auto"/>
                <w:kern w:val="21"/>
                <w:sz w:val="18"/>
                <w:szCs w:val="18"/>
              </w:rPr>
            </w:pPr>
          </w:p>
        </w:tc>
        <w:tc>
          <w:tcPr>
            <w:tcW w:w="3084" w:type="dxa"/>
            <w:vMerge w:val="continue"/>
            <w:vAlign w:val="center"/>
          </w:tcPr>
          <w:p>
            <w:pPr>
              <w:widowControl/>
              <w:spacing w:line="240" w:lineRule="auto"/>
              <w:ind w:firstLine="360"/>
              <w:jc w:val="center"/>
              <w:rPr>
                <w:color w:val="auto"/>
                <w:kern w:val="21"/>
                <w:sz w:val="18"/>
                <w:szCs w:val="18"/>
              </w:rPr>
            </w:pP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规划年评价标准（Ⅳ类）</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598" w:hRule="atLeast"/>
        </w:trPr>
        <w:tc>
          <w:tcPr>
            <w:tcW w:w="1055" w:type="dxa"/>
            <w:vMerge w:val="continue"/>
          </w:tcPr>
          <w:p>
            <w:pPr>
              <w:spacing w:line="240" w:lineRule="auto"/>
              <w:ind w:firstLine="360"/>
              <w:jc w:val="center"/>
              <w:rPr>
                <w:color w:val="auto"/>
                <w:kern w:val="21"/>
                <w:sz w:val="18"/>
                <w:szCs w:val="18"/>
              </w:rPr>
            </w:pPr>
          </w:p>
        </w:tc>
        <w:tc>
          <w:tcPr>
            <w:tcW w:w="3084" w:type="dxa"/>
            <w:vAlign w:val="center"/>
          </w:tcPr>
          <w:p>
            <w:pPr>
              <w:widowControl/>
              <w:spacing w:line="240" w:lineRule="auto"/>
              <w:ind w:firstLine="0" w:firstLineChars="0"/>
              <w:jc w:val="center"/>
              <w:rPr>
                <w:color w:val="auto"/>
                <w:kern w:val="21"/>
                <w:sz w:val="18"/>
                <w:szCs w:val="18"/>
              </w:rPr>
            </w:pPr>
            <w:r>
              <w:rPr>
                <w:color w:val="auto"/>
                <w:kern w:val="21"/>
                <w:sz w:val="18"/>
                <w:szCs w:val="18"/>
              </w:rPr>
              <w:t>评价时期</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丰水期口；平水期口；枯水期</w:t>
            </w:r>
            <w:r>
              <w:rPr>
                <w:color w:val="auto"/>
                <w:kern w:val="21"/>
                <w:sz w:val="21"/>
                <w:szCs w:val="21"/>
              </w:rPr>
              <w:sym w:font="Wingdings 2" w:char="00A3"/>
            </w:r>
            <w:r>
              <w:rPr>
                <w:color w:val="auto"/>
                <w:kern w:val="21"/>
                <w:sz w:val="18"/>
                <w:szCs w:val="18"/>
              </w:rPr>
              <w:t>；冰封期口</w:t>
            </w:r>
          </w:p>
          <w:p>
            <w:pPr>
              <w:spacing w:line="240" w:lineRule="auto"/>
              <w:ind w:firstLine="360"/>
              <w:rPr>
                <w:color w:val="auto"/>
                <w:kern w:val="21"/>
                <w:sz w:val="18"/>
                <w:szCs w:val="18"/>
              </w:rPr>
            </w:pPr>
            <w:r>
              <w:rPr>
                <w:color w:val="auto"/>
                <w:kern w:val="21"/>
                <w:sz w:val="18"/>
                <w:szCs w:val="18"/>
              </w:rPr>
              <w:t>春季口；夏季口；秋季口；冬季口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524" w:hRule="atLeast"/>
        </w:trPr>
        <w:tc>
          <w:tcPr>
            <w:tcW w:w="1055" w:type="dxa"/>
            <w:vMerge w:val="continue"/>
          </w:tcPr>
          <w:p>
            <w:pPr>
              <w:spacing w:line="240" w:lineRule="auto"/>
              <w:ind w:firstLine="360"/>
              <w:jc w:val="center"/>
              <w:rPr>
                <w:color w:val="auto"/>
                <w:kern w:val="21"/>
                <w:sz w:val="18"/>
                <w:szCs w:val="18"/>
              </w:rPr>
            </w:pPr>
          </w:p>
        </w:tc>
        <w:tc>
          <w:tcPr>
            <w:tcW w:w="3084" w:type="dxa"/>
            <w:vAlign w:val="center"/>
          </w:tcPr>
          <w:p>
            <w:pPr>
              <w:widowControl/>
              <w:spacing w:line="240" w:lineRule="auto"/>
              <w:ind w:firstLine="0" w:firstLineChars="0"/>
              <w:jc w:val="center"/>
              <w:rPr>
                <w:color w:val="auto"/>
                <w:kern w:val="21"/>
                <w:sz w:val="18"/>
                <w:szCs w:val="18"/>
              </w:rPr>
            </w:pPr>
            <w:r>
              <w:rPr>
                <w:color w:val="auto"/>
                <w:kern w:val="21"/>
                <w:sz w:val="18"/>
                <w:szCs w:val="18"/>
              </w:rPr>
              <w:t>评价结论</w:t>
            </w:r>
          </w:p>
        </w:tc>
        <w:tc>
          <w:tcPr>
            <w:tcW w:w="8269" w:type="dxa"/>
            <w:gridSpan w:val="8"/>
            <w:vAlign w:val="center"/>
          </w:tcPr>
          <w:p>
            <w:pPr>
              <w:widowControl/>
              <w:spacing w:line="240" w:lineRule="auto"/>
              <w:ind w:firstLine="360"/>
              <w:rPr>
                <w:color w:val="auto"/>
                <w:kern w:val="21"/>
                <w:sz w:val="18"/>
                <w:szCs w:val="18"/>
              </w:rPr>
            </w:pPr>
            <w:r>
              <w:rPr>
                <w:color w:val="auto"/>
                <w:kern w:val="21"/>
                <w:sz w:val="18"/>
                <w:szCs w:val="18"/>
              </w:rPr>
              <w:t>水环境功能区或水功能区、近岸海域环境</w:t>
            </w:r>
            <w:r>
              <w:rPr>
                <w:rFonts w:hint="eastAsia"/>
                <w:color w:val="auto"/>
                <w:kern w:val="21"/>
                <w:sz w:val="18"/>
                <w:szCs w:val="18"/>
                <w:lang w:eastAsia="zh-CN"/>
              </w:rPr>
              <w:t>功</w:t>
            </w:r>
            <w:r>
              <w:rPr>
                <w:color w:val="auto"/>
                <w:kern w:val="21"/>
                <w:sz w:val="18"/>
                <w:szCs w:val="18"/>
              </w:rPr>
              <w:t>能区水质达标状况：达标</w:t>
            </w:r>
            <w:r>
              <w:rPr>
                <w:color w:val="auto"/>
                <w:kern w:val="21"/>
                <w:sz w:val="21"/>
                <w:szCs w:val="21"/>
              </w:rPr>
              <w:sym w:font="Wingdings 2" w:char="0052"/>
            </w:r>
            <w:r>
              <w:rPr>
                <w:color w:val="auto"/>
                <w:kern w:val="21"/>
                <w:sz w:val="18"/>
                <w:szCs w:val="18"/>
              </w:rPr>
              <w:t>；不达标</w:t>
            </w:r>
            <w:r>
              <w:rPr>
                <w:color w:val="auto"/>
                <w:kern w:val="21"/>
                <w:sz w:val="21"/>
                <w:szCs w:val="21"/>
              </w:rPr>
              <w:sym w:font="Wingdings 2" w:char="00A3"/>
            </w:r>
            <w:r>
              <w:rPr>
                <w:color w:val="auto"/>
                <w:kern w:val="21"/>
                <w:sz w:val="18"/>
                <w:szCs w:val="18"/>
              </w:rPr>
              <w:t>；</w:t>
            </w:r>
          </w:p>
          <w:p>
            <w:pPr>
              <w:widowControl/>
              <w:spacing w:line="240" w:lineRule="auto"/>
              <w:ind w:firstLine="360"/>
              <w:rPr>
                <w:color w:val="auto"/>
                <w:kern w:val="21"/>
                <w:sz w:val="18"/>
                <w:szCs w:val="18"/>
              </w:rPr>
            </w:pPr>
            <w:r>
              <w:rPr>
                <w:color w:val="auto"/>
                <w:kern w:val="21"/>
                <w:sz w:val="18"/>
                <w:szCs w:val="18"/>
              </w:rPr>
              <w:t>水环境控制单元或断面水质达标状况口：达标</w:t>
            </w:r>
            <w:r>
              <w:rPr>
                <w:color w:val="auto"/>
                <w:kern w:val="21"/>
                <w:sz w:val="21"/>
                <w:szCs w:val="21"/>
              </w:rPr>
              <w:sym w:font="Wingdings 2" w:char="0052"/>
            </w:r>
            <w:r>
              <w:rPr>
                <w:color w:val="auto"/>
                <w:kern w:val="21"/>
                <w:sz w:val="18"/>
                <w:szCs w:val="18"/>
              </w:rPr>
              <w:t>；不达标</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水环境保护目标质量状况：达标</w:t>
            </w:r>
            <w:r>
              <w:rPr>
                <w:color w:val="auto"/>
                <w:kern w:val="21"/>
                <w:sz w:val="21"/>
                <w:szCs w:val="21"/>
              </w:rPr>
              <w:sym w:font="Wingdings 2" w:char="0052"/>
            </w:r>
            <w:r>
              <w:rPr>
                <w:color w:val="auto"/>
                <w:kern w:val="21"/>
                <w:sz w:val="18"/>
                <w:szCs w:val="18"/>
              </w:rPr>
              <w:t>；不达标</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对照断面、控制断面等代表性断面的水质状况口：达标</w:t>
            </w:r>
            <w:r>
              <w:rPr>
                <w:color w:val="auto"/>
                <w:kern w:val="21"/>
                <w:sz w:val="21"/>
                <w:szCs w:val="21"/>
              </w:rPr>
              <w:sym w:font="Wingdings 2" w:char="0052"/>
            </w:r>
            <w:r>
              <w:rPr>
                <w:color w:val="auto"/>
                <w:kern w:val="21"/>
                <w:sz w:val="18"/>
                <w:szCs w:val="18"/>
              </w:rPr>
              <w:t>；不达标</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底泥污染评价</w:t>
            </w:r>
            <w:r>
              <w:rPr>
                <w:color w:val="auto"/>
                <w:kern w:val="21"/>
                <w:sz w:val="21"/>
                <w:szCs w:val="21"/>
              </w:rPr>
              <w:sym w:font="Wingdings 2" w:char="0052"/>
            </w:r>
          </w:p>
          <w:p>
            <w:pPr>
              <w:widowControl/>
              <w:spacing w:line="240" w:lineRule="auto"/>
              <w:ind w:firstLine="360"/>
              <w:rPr>
                <w:color w:val="auto"/>
                <w:kern w:val="21"/>
                <w:sz w:val="18"/>
                <w:szCs w:val="18"/>
              </w:rPr>
            </w:pPr>
            <w:r>
              <w:rPr>
                <w:color w:val="auto"/>
                <w:kern w:val="21"/>
                <w:sz w:val="18"/>
                <w:szCs w:val="18"/>
              </w:rPr>
              <w:t>水资源与开发利用程度及其水文情势评价</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水环境质量回顾评价</w:t>
            </w:r>
            <w:r>
              <w:rPr>
                <w:color w:val="auto"/>
                <w:kern w:val="21"/>
                <w:sz w:val="21"/>
                <w:szCs w:val="21"/>
              </w:rPr>
              <w:sym w:font="Wingdings 2" w:char="00A3"/>
            </w:r>
          </w:p>
          <w:p>
            <w:pPr>
              <w:spacing w:line="240" w:lineRule="auto"/>
              <w:ind w:left="360" w:leftChars="150" w:firstLine="0" w:firstLineChars="0"/>
              <w:rPr>
                <w:color w:val="auto"/>
                <w:kern w:val="21"/>
                <w:sz w:val="18"/>
                <w:szCs w:val="18"/>
              </w:rPr>
            </w:pPr>
            <w:r>
              <w:rPr>
                <w:color w:val="auto"/>
                <w:kern w:val="21"/>
                <w:sz w:val="18"/>
                <w:szCs w:val="18"/>
              </w:rPr>
              <w:t>流域</w:t>
            </w:r>
            <w:r>
              <w:rPr>
                <w:rFonts w:hint="eastAsia"/>
                <w:color w:val="auto"/>
                <w:kern w:val="21"/>
                <w:sz w:val="18"/>
                <w:szCs w:val="18"/>
              </w:rPr>
              <w:t>（</w:t>
            </w:r>
            <w:r>
              <w:rPr>
                <w:color w:val="auto"/>
                <w:kern w:val="21"/>
                <w:sz w:val="18"/>
                <w:szCs w:val="18"/>
              </w:rPr>
              <w:t>区域</w:t>
            </w:r>
            <w:r>
              <w:rPr>
                <w:rFonts w:hint="eastAsia"/>
                <w:color w:val="auto"/>
                <w:kern w:val="21"/>
                <w:sz w:val="18"/>
                <w:szCs w:val="18"/>
              </w:rPr>
              <w:t>）</w:t>
            </w:r>
            <w:r>
              <w:rPr>
                <w:color w:val="auto"/>
                <w:kern w:val="21"/>
                <w:sz w:val="18"/>
                <w:szCs w:val="18"/>
              </w:rPr>
              <w:t>水资源（包括水能资源）与开发利用总体状况、生态流量管理要求与现状满足程度、建设项目占用水域空间的水流状况与河湖演变状况</w:t>
            </w:r>
            <w:r>
              <w:rPr>
                <w:color w:val="auto"/>
                <w:kern w:val="21"/>
                <w:sz w:val="21"/>
                <w:szCs w:val="21"/>
              </w:rPr>
              <w:sym w:font="Wingdings 2" w:char="00A3"/>
            </w:r>
          </w:p>
        </w:tc>
        <w:tc>
          <w:tcPr>
            <w:tcW w:w="2055" w:type="dxa"/>
            <w:gridSpan w:val="3"/>
            <w:vAlign w:val="center"/>
          </w:tcPr>
          <w:p>
            <w:pPr>
              <w:widowControl/>
              <w:spacing w:line="240" w:lineRule="auto"/>
              <w:ind w:firstLine="360"/>
              <w:rPr>
                <w:color w:val="auto"/>
                <w:kern w:val="21"/>
                <w:sz w:val="18"/>
                <w:szCs w:val="18"/>
              </w:rPr>
            </w:pPr>
            <w:r>
              <w:rPr>
                <w:color w:val="auto"/>
                <w:kern w:val="21"/>
                <w:sz w:val="18"/>
                <w:szCs w:val="18"/>
              </w:rPr>
              <w:t>达标区</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不达标区</w:t>
            </w:r>
            <w:r>
              <w:rPr>
                <w:color w:val="auto"/>
                <w:kern w:val="21"/>
                <w:sz w:val="21"/>
                <w:szCs w:val="21"/>
              </w:rPr>
              <w:sym w:font="Wingdings 2" w:char="0052"/>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172" w:hRule="atLeast"/>
        </w:trPr>
        <w:tc>
          <w:tcPr>
            <w:tcW w:w="1055" w:type="dxa"/>
            <w:vMerge w:val="restart"/>
            <w:vAlign w:val="center"/>
          </w:tcPr>
          <w:p>
            <w:pPr>
              <w:spacing w:line="240" w:lineRule="auto"/>
              <w:ind w:firstLine="0" w:firstLineChars="0"/>
              <w:jc w:val="center"/>
              <w:rPr>
                <w:color w:val="auto"/>
                <w:kern w:val="21"/>
                <w:sz w:val="18"/>
                <w:szCs w:val="18"/>
              </w:rPr>
            </w:pPr>
            <w:r>
              <w:rPr>
                <w:color w:val="auto"/>
                <w:kern w:val="21"/>
                <w:sz w:val="18"/>
                <w:szCs w:val="18"/>
              </w:rPr>
              <w:t>影响预测</w:t>
            </w: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预测范围</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河流长度（</w:t>
            </w:r>
            <w:r>
              <w:rPr>
                <w:rFonts w:hint="eastAsia"/>
                <w:color w:val="auto"/>
                <w:kern w:val="21"/>
                <w:sz w:val="18"/>
                <w:szCs w:val="18"/>
                <w:lang w:val="en-US" w:eastAsia="zh-CN"/>
              </w:rPr>
              <w:t>12.52</w:t>
            </w:r>
            <w:r>
              <w:rPr>
                <w:color w:val="auto"/>
                <w:kern w:val="21"/>
                <w:sz w:val="18"/>
                <w:szCs w:val="18"/>
              </w:rPr>
              <w:t>）km；湖明库、河口及近岸海域面积（）km²</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10" w:hRule="atLeast"/>
        </w:trPr>
        <w:tc>
          <w:tcPr>
            <w:tcW w:w="1055" w:type="dxa"/>
            <w:vMerge w:val="continue"/>
            <w:vAlign w:val="center"/>
          </w:tcPr>
          <w:p>
            <w:pPr>
              <w:spacing w:line="240" w:lineRule="auto"/>
              <w:ind w:firstLine="360"/>
              <w:jc w:val="center"/>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预测因子</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COD</w:t>
            </w:r>
            <w:r>
              <w:rPr>
                <w:color w:val="auto"/>
                <w:kern w:val="21"/>
                <w:sz w:val="18"/>
                <w:szCs w:val="18"/>
                <w:vertAlign w:val="subscript"/>
              </w:rPr>
              <w:t>Cr</w:t>
            </w:r>
            <w:r>
              <w:rPr>
                <w:color w:val="auto"/>
                <w:kern w:val="21"/>
                <w:sz w:val="18"/>
                <w:szCs w:val="18"/>
              </w:rPr>
              <w:t>、氨氮、总磷、氟化物</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19" w:hRule="atLeast"/>
        </w:trPr>
        <w:tc>
          <w:tcPr>
            <w:tcW w:w="1055" w:type="dxa"/>
            <w:vMerge w:val="continue"/>
            <w:vAlign w:val="center"/>
          </w:tcPr>
          <w:p>
            <w:pPr>
              <w:widowControl/>
              <w:spacing w:line="240" w:lineRule="auto"/>
              <w:ind w:firstLine="360"/>
              <w:jc w:val="center"/>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预测时期</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丰水期</w:t>
            </w:r>
            <w:r>
              <w:rPr>
                <w:color w:val="auto"/>
                <w:kern w:val="21"/>
                <w:sz w:val="21"/>
                <w:szCs w:val="21"/>
              </w:rPr>
              <w:sym w:font="Wingdings 2" w:char="0052"/>
            </w:r>
            <w:r>
              <w:rPr>
                <w:color w:val="auto"/>
                <w:kern w:val="21"/>
                <w:sz w:val="18"/>
                <w:szCs w:val="18"/>
              </w:rPr>
              <w:t>；平水期</w:t>
            </w:r>
            <w:r>
              <w:rPr>
                <w:color w:val="auto"/>
                <w:kern w:val="21"/>
                <w:sz w:val="21"/>
                <w:szCs w:val="21"/>
              </w:rPr>
              <w:sym w:font="Wingdings 2" w:char="00A3"/>
            </w:r>
            <w:r>
              <w:rPr>
                <w:color w:val="auto"/>
                <w:kern w:val="21"/>
                <w:sz w:val="18"/>
                <w:szCs w:val="18"/>
              </w:rPr>
              <w:t>；枯水期</w:t>
            </w:r>
            <w:r>
              <w:rPr>
                <w:color w:val="auto"/>
                <w:kern w:val="21"/>
                <w:sz w:val="21"/>
                <w:szCs w:val="21"/>
              </w:rPr>
              <w:sym w:font="Wingdings 2" w:char="0052"/>
            </w:r>
            <w:r>
              <w:rPr>
                <w:color w:val="auto"/>
                <w:kern w:val="21"/>
                <w:sz w:val="18"/>
                <w:szCs w:val="18"/>
              </w:rPr>
              <w:t>；冰封期</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春季</w:t>
            </w:r>
            <w:r>
              <w:rPr>
                <w:color w:val="auto"/>
                <w:kern w:val="21"/>
                <w:sz w:val="21"/>
                <w:szCs w:val="21"/>
              </w:rPr>
              <w:sym w:font="Wingdings 2" w:char="00A3"/>
            </w:r>
            <w:r>
              <w:rPr>
                <w:color w:val="auto"/>
                <w:kern w:val="21"/>
                <w:sz w:val="18"/>
                <w:szCs w:val="18"/>
              </w:rPr>
              <w:t>；夏季</w:t>
            </w:r>
            <w:r>
              <w:rPr>
                <w:color w:val="auto"/>
                <w:kern w:val="21"/>
                <w:sz w:val="21"/>
                <w:szCs w:val="21"/>
              </w:rPr>
              <w:sym w:font="Wingdings 2" w:char="00A3"/>
            </w:r>
            <w:r>
              <w:rPr>
                <w:color w:val="auto"/>
                <w:kern w:val="21"/>
                <w:sz w:val="18"/>
                <w:szCs w:val="18"/>
              </w:rPr>
              <w:t>；秋季</w:t>
            </w:r>
            <w:r>
              <w:rPr>
                <w:color w:val="auto"/>
                <w:kern w:val="21"/>
                <w:sz w:val="21"/>
                <w:szCs w:val="21"/>
              </w:rPr>
              <w:sym w:font="Wingdings 2" w:char="00A3"/>
            </w:r>
            <w:r>
              <w:rPr>
                <w:color w:val="auto"/>
                <w:kern w:val="21"/>
                <w:sz w:val="18"/>
                <w:szCs w:val="18"/>
              </w:rPr>
              <w:t>；冬季</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设计水文条件</w:t>
            </w:r>
            <w:r>
              <w:rPr>
                <w:color w:val="auto"/>
                <w:kern w:val="21"/>
                <w:sz w:val="21"/>
                <w:szCs w:val="21"/>
              </w:rPr>
              <w:sym w:font="Wingdings 2" w:char="00A3"/>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544" w:hRule="atLeast"/>
        </w:trPr>
        <w:tc>
          <w:tcPr>
            <w:tcW w:w="1055" w:type="dxa"/>
            <w:vMerge w:val="continue"/>
            <w:vAlign w:val="center"/>
          </w:tcPr>
          <w:p>
            <w:pPr>
              <w:widowControl/>
              <w:spacing w:line="240" w:lineRule="auto"/>
              <w:ind w:firstLine="360"/>
              <w:jc w:val="center"/>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预测情景</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建设期口；生产运行期</w:t>
            </w:r>
            <w:r>
              <w:rPr>
                <w:color w:val="auto"/>
                <w:kern w:val="21"/>
                <w:sz w:val="21"/>
                <w:szCs w:val="21"/>
              </w:rPr>
              <w:sym w:font="Wingdings 2" w:char="0052"/>
            </w:r>
            <w:r>
              <w:rPr>
                <w:color w:val="auto"/>
                <w:kern w:val="21"/>
                <w:sz w:val="18"/>
                <w:szCs w:val="18"/>
              </w:rPr>
              <w:t>；服务期满后</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正常工况</w:t>
            </w:r>
            <w:r>
              <w:rPr>
                <w:color w:val="auto"/>
                <w:kern w:val="21"/>
                <w:sz w:val="21"/>
                <w:szCs w:val="21"/>
              </w:rPr>
              <w:sym w:font="Wingdings 2" w:char="0052"/>
            </w:r>
            <w:r>
              <w:rPr>
                <w:color w:val="auto"/>
                <w:kern w:val="21"/>
                <w:sz w:val="18"/>
                <w:szCs w:val="18"/>
              </w:rPr>
              <w:t>；非正常工况</w:t>
            </w:r>
            <w:r>
              <w:rPr>
                <w:color w:val="auto"/>
                <w:kern w:val="21"/>
                <w:sz w:val="21"/>
                <w:szCs w:val="21"/>
              </w:rPr>
              <w:sym w:font="Wingdings 2" w:char="0052"/>
            </w:r>
            <w:r>
              <w:rPr>
                <w:color w:val="auto"/>
                <w:kern w:val="21"/>
                <w:sz w:val="18"/>
                <w:szCs w:val="18"/>
              </w:rPr>
              <w:t>；</w:t>
            </w:r>
          </w:p>
          <w:p>
            <w:pPr>
              <w:widowControl/>
              <w:spacing w:line="240" w:lineRule="auto"/>
              <w:ind w:firstLine="360"/>
              <w:rPr>
                <w:color w:val="auto"/>
                <w:kern w:val="21"/>
                <w:sz w:val="18"/>
                <w:szCs w:val="18"/>
              </w:rPr>
            </w:pPr>
            <w:r>
              <w:rPr>
                <w:color w:val="auto"/>
                <w:kern w:val="21"/>
                <w:sz w:val="18"/>
                <w:szCs w:val="18"/>
              </w:rPr>
              <w:t>污染控制和减缓措施方案</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区（流）域环境质量改善目标要求情景</w:t>
            </w:r>
            <w:r>
              <w:rPr>
                <w:color w:val="auto"/>
                <w:kern w:val="21"/>
                <w:sz w:val="21"/>
                <w:szCs w:val="21"/>
              </w:rPr>
              <w:sym w:font="Wingdings 2" w:char="00A3"/>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276" w:hRule="atLeast"/>
        </w:trPr>
        <w:tc>
          <w:tcPr>
            <w:tcW w:w="1055" w:type="dxa"/>
            <w:vMerge w:val="continue"/>
            <w:vAlign w:val="center"/>
          </w:tcPr>
          <w:p>
            <w:pPr>
              <w:widowControl/>
              <w:spacing w:line="240" w:lineRule="auto"/>
              <w:ind w:firstLine="360"/>
              <w:jc w:val="center"/>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预测方法</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数值解口；解析解</w:t>
            </w:r>
            <w:r>
              <w:rPr>
                <w:color w:val="auto"/>
                <w:kern w:val="21"/>
                <w:sz w:val="21"/>
                <w:szCs w:val="21"/>
              </w:rPr>
              <w:sym w:font="Wingdings 2" w:char="0052"/>
            </w:r>
            <w:r>
              <w:rPr>
                <w:color w:val="auto"/>
                <w:kern w:val="21"/>
                <w:sz w:val="18"/>
                <w:szCs w:val="18"/>
              </w:rPr>
              <w:t>；其他导则推荐模式</w:t>
            </w:r>
            <w:r>
              <w:rPr>
                <w:color w:val="auto"/>
                <w:kern w:val="21"/>
                <w:sz w:val="21"/>
                <w:szCs w:val="21"/>
              </w:rPr>
              <w:sym w:font="Wingdings 2" w:char="0052"/>
            </w:r>
            <w:r>
              <w:rPr>
                <w:color w:val="auto"/>
                <w:kern w:val="21"/>
                <w:sz w:val="18"/>
                <w:szCs w:val="18"/>
              </w:rPr>
              <w:t>；其他</w:t>
            </w:r>
            <w:r>
              <w:rPr>
                <w:color w:val="auto"/>
                <w:kern w:val="21"/>
                <w:sz w:val="21"/>
                <w:szCs w:val="21"/>
              </w:rPr>
              <w:sym w:font="Wingdings 2" w:char="00A3"/>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436" w:hRule="atLeast"/>
        </w:trPr>
        <w:tc>
          <w:tcPr>
            <w:tcW w:w="1055" w:type="dxa"/>
            <w:vMerge w:val="restart"/>
            <w:vAlign w:val="center"/>
          </w:tcPr>
          <w:p>
            <w:pPr>
              <w:widowControl/>
              <w:spacing w:line="240" w:lineRule="auto"/>
              <w:ind w:firstLine="0" w:firstLineChars="0"/>
              <w:jc w:val="center"/>
              <w:rPr>
                <w:color w:val="auto"/>
                <w:kern w:val="21"/>
                <w:sz w:val="18"/>
                <w:szCs w:val="18"/>
              </w:rPr>
            </w:pPr>
            <w:r>
              <w:rPr>
                <w:color w:val="auto"/>
                <w:kern w:val="21"/>
                <w:sz w:val="18"/>
                <w:szCs w:val="18"/>
              </w:rPr>
              <w:t>环境影响评价</w:t>
            </w:r>
          </w:p>
        </w:tc>
        <w:tc>
          <w:tcPr>
            <w:tcW w:w="3084" w:type="dxa"/>
            <w:vAlign w:val="center"/>
          </w:tcPr>
          <w:p>
            <w:pPr>
              <w:widowControl/>
              <w:spacing w:line="240" w:lineRule="auto"/>
              <w:ind w:firstLine="0" w:firstLineChars="0"/>
              <w:rPr>
                <w:color w:val="auto"/>
                <w:kern w:val="21"/>
                <w:sz w:val="18"/>
                <w:szCs w:val="18"/>
              </w:rPr>
            </w:pPr>
            <w:r>
              <w:rPr>
                <w:color w:val="auto"/>
                <w:kern w:val="21"/>
                <w:sz w:val="18"/>
                <w:szCs w:val="18"/>
              </w:rPr>
              <w:t>水污染控制和水环境影响减缓措施有效性评价</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区（流）域水环境质量改善目标</w:t>
            </w:r>
            <w:r>
              <w:rPr>
                <w:color w:val="auto"/>
                <w:kern w:val="21"/>
                <w:sz w:val="21"/>
                <w:szCs w:val="21"/>
              </w:rPr>
              <w:sym w:font="Wingdings 2" w:char="0052"/>
            </w:r>
            <w:r>
              <w:rPr>
                <w:color w:val="auto"/>
                <w:kern w:val="21"/>
                <w:sz w:val="18"/>
                <w:szCs w:val="18"/>
              </w:rPr>
              <w:t>；替代削减源口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918" w:hRule="atLeast"/>
        </w:trPr>
        <w:tc>
          <w:tcPr>
            <w:tcW w:w="1055" w:type="dxa"/>
            <w:vMerge w:val="continue"/>
            <w:tcBorders>
              <w:bottom w:val="single" w:color="000000" w:sz="8" w:space="0"/>
            </w:tcBorders>
            <w:vAlign w:val="center"/>
          </w:tcPr>
          <w:p>
            <w:pPr>
              <w:spacing w:line="240" w:lineRule="auto"/>
              <w:ind w:firstLine="360"/>
              <w:rPr>
                <w:color w:val="auto"/>
                <w:kern w:val="21"/>
                <w:sz w:val="18"/>
                <w:szCs w:val="18"/>
              </w:rPr>
            </w:pPr>
          </w:p>
        </w:tc>
        <w:tc>
          <w:tcPr>
            <w:tcW w:w="3084" w:type="dxa"/>
            <w:tcBorders>
              <w:bottom w:val="single" w:color="000000" w:sz="8" w:space="0"/>
            </w:tcBorders>
            <w:vAlign w:val="center"/>
          </w:tcPr>
          <w:p>
            <w:pPr>
              <w:widowControl/>
              <w:spacing w:line="240" w:lineRule="auto"/>
              <w:ind w:firstLine="0" w:firstLineChars="0"/>
              <w:jc w:val="center"/>
              <w:rPr>
                <w:color w:val="auto"/>
                <w:kern w:val="21"/>
                <w:sz w:val="18"/>
                <w:szCs w:val="18"/>
              </w:rPr>
            </w:pPr>
            <w:r>
              <w:rPr>
                <w:color w:val="auto"/>
                <w:kern w:val="21"/>
                <w:sz w:val="18"/>
                <w:szCs w:val="18"/>
              </w:rPr>
              <w:t>水环境影响评价</w:t>
            </w:r>
          </w:p>
        </w:tc>
        <w:tc>
          <w:tcPr>
            <w:tcW w:w="10324" w:type="dxa"/>
            <w:gridSpan w:val="11"/>
            <w:tcBorders>
              <w:bottom w:val="single" w:color="000000" w:sz="8" w:space="0"/>
            </w:tcBorders>
            <w:vAlign w:val="center"/>
          </w:tcPr>
          <w:p>
            <w:pPr>
              <w:widowControl/>
              <w:spacing w:line="240" w:lineRule="auto"/>
              <w:ind w:firstLine="360"/>
              <w:rPr>
                <w:color w:val="auto"/>
                <w:kern w:val="21"/>
                <w:sz w:val="18"/>
                <w:szCs w:val="18"/>
              </w:rPr>
            </w:pPr>
            <w:r>
              <w:rPr>
                <w:color w:val="auto"/>
                <w:kern w:val="21"/>
                <w:sz w:val="18"/>
                <w:szCs w:val="18"/>
              </w:rPr>
              <w:t>排放口混合区外满足水环境管理要求口</w:t>
            </w:r>
          </w:p>
          <w:p>
            <w:pPr>
              <w:widowControl/>
              <w:spacing w:line="240" w:lineRule="auto"/>
              <w:ind w:firstLine="360"/>
              <w:rPr>
                <w:color w:val="auto"/>
                <w:kern w:val="21"/>
                <w:sz w:val="21"/>
                <w:szCs w:val="21"/>
              </w:rPr>
            </w:pPr>
            <w:r>
              <w:rPr>
                <w:color w:val="auto"/>
                <w:kern w:val="21"/>
                <w:sz w:val="18"/>
                <w:szCs w:val="18"/>
              </w:rPr>
              <w:t>水环境功能区或水功能区、近岸海域环填功能区水质达标</w:t>
            </w:r>
            <w:r>
              <w:rPr>
                <w:color w:val="auto"/>
                <w:kern w:val="21"/>
                <w:sz w:val="21"/>
                <w:szCs w:val="21"/>
              </w:rPr>
              <w:sym w:font="Wingdings 2" w:char="00A3"/>
            </w:r>
          </w:p>
          <w:p>
            <w:pPr>
              <w:widowControl/>
              <w:spacing w:line="240" w:lineRule="auto"/>
              <w:ind w:firstLine="360"/>
              <w:rPr>
                <w:color w:val="auto"/>
                <w:kern w:val="21"/>
                <w:sz w:val="21"/>
                <w:szCs w:val="21"/>
              </w:rPr>
            </w:pPr>
            <w:r>
              <w:rPr>
                <w:color w:val="auto"/>
                <w:kern w:val="21"/>
                <w:sz w:val="18"/>
                <w:szCs w:val="18"/>
              </w:rPr>
              <w:t>满足水环境保护目标水域水环境质量要求</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水环境控制单元或断面水质达标口</w:t>
            </w:r>
          </w:p>
          <w:p>
            <w:pPr>
              <w:widowControl/>
              <w:spacing w:line="240" w:lineRule="auto"/>
              <w:ind w:firstLine="360"/>
              <w:rPr>
                <w:color w:val="auto"/>
                <w:kern w:val="21"/>
                <w:sz w:val="18"/>
                <w:szCs w:val="18"/>
              </w:rPr>
            </w:pPr>
            <w:r>
              <w:rPr>
                <w:color w:val="auto"/>
                <w:kern w:val="21"/>
                <w:sz w:val="18"/>
                <w:szCs w:val="18"/>
              </w:rPr>
              <w:t>满足重点水污染物排放总量控制指标要求，重点行业建设项目，主要污染物排放满足等量或减量替代要求</w:t>
            </w:r>
            <w:r>
              <w:rPr>
                <w:color w:val="auto"/>
                <w:kern w:val="21"/>
                <w:sz w:val="21"/>
                <w:szCs w:val="21"/>
              </w:rPr>
              <w:sym w:font="Wingdings 2" w:char="00A3"/>
            </w:r>
          </w:p>
          <w:p>
            <w:pPr>
              <w:widowControl/>
              <w:spacing w:line="240" w:lineRule="auto"/>
              <w:ind w:firstLine="360"/>
              <w:rPr>
                <w:color w:val="auto"/>
                <w:kern w:val="21"/>
                <w:sz w:val="18"/>
                <w:szCs w:val="18"/>
              </w:rPr>
            </w:pPr>
            <w:r>
              <w:rPr>
                <w:color w:val="auto"/>
                <w:kern w:val="21"/>
                <w:sz w:val="18"/>
                <w:szCs w:val="18"/>
              </w:rPr>
              <w:t>满足区（流）域水环境质量改善目标要求</w:t>
            </w:r>
            <w:r>
              <w:rPr>
                <w:color w:val="auto"/>
                <w:kern w:val="21"/>
                <w:sz w:val="21"/>
                <w:szCs w:val="21"/>
              </w:rPr>
              <w:sym w:font="Wingdings 2" w:char="0052"/>
            </w:r>
          </w:p>
          <w:p>
            <w:pPr>
              <w:spacing w:line="240" w:lineRule="auto"/>
              <w:ind w:firstLine="360"/>
              <w:rPr>
                <w:color w:val="auto"/>
                <w:kern w:val="21"/>
                <w:sz w:val="18"/>
                <w:szCs w:val="18"/>
              </w:rPr>
            </w:pPr>
            <w:r>
              <w:rPr>
                <w:color w:val="auto"/>
                <w:kern w:val="21"/>
                <w:sz w:val="18"/>
                <w:szCs w:val="18"/>
              </w:rPr>
              <w:t>水文要素影响型建设项目同时应包括水文情势变化评价、主要水文特征值影响评价、生态流量符合性评价口</w:t>
            </w:r>
          </w:p>
          <w:p>
            <w:pPr>
              <w:spacing w:line="240" w:lineRule="auto"/>
              <w:ind w:firstLine="360"/>
              <w:rPr>
                <w:color w:val="auto"/>
                <w:kern w:val="21"/>
                <w:sz w:val="18"/>
                <w:szCs w:val="18"/>
              </w:rPr>
            </w:pPr>
            <w:r>
              <w:rPr>
                <w:color w:val="auto"/>
                <w:kern w:val="21"/>
                <w:sz w:val="18"/>
                <w:szCs w:val="18"/>
              </w:rPr>
              <w:t>对于新建设或调整入河（湖库、近岸海域）排放口的建设项目，应包括排放口设置的环境合理性评价</w:t>
            </w:r>
            <w:r>
              <w:rPr>
                <w:color w:val="auto"/>
                <w:kern w:val="21"/>
                <w:sz w:val="21"/>
                <w:szCs w:val="21"/>
              </w:rPr>
              <w:sym w:font="Wingdings 2" w:char="0052"/>
            </w:r>
          </w:p>
          <w:p>
            <w:pPr>
              <w:spacing w:line="240" w:lineRule="auto"/>
              <w:ind w:firstLine="360"/>
              <w:rPr>
                <w:color w:val="auto"/>
                <w:kern w:val="21"/>
                <w:sz w:val="18"/>
                <w:szCs w:val="18"/>
              </w:rPr>
            </w:pPr>
            <w:r>
              <w:rPr>
                <w:color w:val="auto"/>
                <w:kern w:val="21"/>
                <w:sz w:val="18"/>
                <w:szCs w:val="18"/>
              </w:rPr>
              <w:t>满足生态保护红线、水环境质量底线、资源利用上线和环境准入清单管理要求</w:t>
            </w:r>
            <w:r>
              <w:rPr>
                <w:color w:val="auto"/>
                <w:kern w:val="21"/>
                <w:sz w:val="21"/>
                <w:szCs w:val="21"/>
              </w:rPr>
              <w:sym w:font="Wingdings 2" w:char="0052"/>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gridBefore w:val="1"/>
          <w:wBefore w:w="15" w:type="dxa"/>
          <w:trHeight w:val="156" w:hRule="atLeast"/>
        </w:trPr>
        <w:tc>
          <w:tcPr>
            <w:tcW w:w="1055" w:type="dxa"/>
            <w:vMerge w:val="continue"/>
          </w:tcPr>
          <w:p>
            <w:pPr>
              <w:spacing w:line="240" w:lineRule="auto"/>
              <w:ind w:firstLine="360"/>
              <w:rPr>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污染源排放量核算</w:t>
            </w:r>
          </w:p>
        </w:tc>
        <w:tc>
          <w:tcPr>
            <w:tcW w:w="3091" w:type="dxa"/>
            <w:gridSpan w:val="2"/>
            <w:vAlign w:val="center"/>
          </w:tcPr>
          <w:p>
            <w:pPr>
              <w:widowControl/>
              <w:spacing w:line="240" w:lineRule="auto"/>
              <w:ind w:firstLine="0" w:firstLineChars="0"/>
              <w:jc w:val="center"/>
              <w:rPr>
                <w:color w:val="auto"/>
                <w:kern w:val="21"/>
                <w:sz w:val="18"/>
                <w:szCs w:val="18"/>
              </w:rPr>
            </w:pPr>
            <w:r>
              <w:rPr>
                <w:color w:val="auto"/>
                <w:kern w:val="21"/>
                <w:sz w:val="18"/>
                <w:szCs w:val="18"/>
              </w:rPr>
              <w:t>污染物名称</w:t>
            </w:r>
          </w:p>
        </w:tc>
        <w:tc>
          <w:tcPr>
            <w:tcW w:w="4466" w:type="dxa"/>
            <w:gridSpan w:val="5"/>
            <w:vAlign w:val="center"/>
          </w:tcPr>
          <w:p>
            <w:pPr>
              <w:widowControl/>
              <w:spacing w:line="240" w:lineRule="auto"/>
              <w:ind w:firstLine="360"/>
              <w:jc w:val="center"/>
              <w:rPr>
                <w:color w:val="auto"/>
                <w:kern w:val="21"/>
                <w:sz w:val="18"/>
                <w:szCs w:val="18"/>
              </w:rPr>
            </w:pPr>
            <w:r>
              <w:rPr>
                <w:color w:val="auto"/>
                <w:kern w:val="21"/>
                <w:sz w:val="18"/>
                <w:szCs w:val="18"/>
              </w:rPr>
              <w:t>排放量/(t/a)</w:t>
            </w:r>
          </w:p>
        </w:tc>
        <w:tc>
          <w:tcPr>
            <w:tcW w:w="2767" w:type="dxa"/>
            <w:gridSpan w:val="4"/>
            <w:vAlign w:val="center"/>
          </w:tcPr>
          <w:p>
            <w:pPr>
              <w:widowControl/>
              <w:spacing w:line="240" w:lineRule="auto"/>
              <w:ind w:firstLine="360"/>
              <w:rPr>
                <w:color w:val="auto"/>
                <w:kern w:val="21"/>
                <w:sz w:val="18"/>
                <w:szCs w:val="18"/>
              </w:rPr>
            </w:pPr>
            <w:r>
              <w:rPr>
                <w:color w:val="auto"/>
                <w:kern w:val="21"/>
                <w:sz w:val="18"/>
                <w:szCs w:val="18"/>
              </w:rPr>
              <w:t>排放浓度/(mg/L)</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88" w:hRule="atLeast"/>
        </w:trPr>
        <w:tc>
          <w:tcPr>
            <w:tcW w:w="1055" w:type="dxa"/>
            <w:vMerge w:val="continue"/>
          </w:tcPr>
          <w:p>
            <w:pPr>
              <w:spacing w:line="240" w:lineRule="auto"/>
              <w:ind w:firstLine="360"/>
              <w:rPr>
                <w:color w:val="auto"/>
                <w:kern w:val="21"/>
                <w:sz w:val="18"/>
                <w:szCs w:val="18"/>
              </w:rPr>
            </w:pPr>
          </w:p>
        </w:tc>
        <w:tc>
          <w:tcPr>
            <w:tcW w:w="3084"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p>
        </w:tc>
        <w:tc>
          <w:tcPr>
            <w:tcW w:w="3091" w:type="dxa"/>
            <w:gridSpan w:val="2"/>
            <w:vAlign w:val="center"/>
          </w:tcPr>
          <w:p>
            <w:pPr>
              <w:widowControl/>
              <w:spacing w:line="240" w:lineRule="auto"/>
              <w:ind w:firstLine="0" w:firstLineChars="0"/>
              <w:rPr>
                <w:b/>
                <w:bCs/>
                <w:color w:val="auto"/>
                <w:kern w:val="21"/>
                <w:sz w:val="18"/>
                <w:szCs w:val="18"/>
              </w:rPr>
            </w:pPr>
            <w:r>
              <w:rPr>
                <w:color w:val="auto"/>
                <w:kern w:val="21"/>
                <w:sz w:val="18"/>
                <w:szCs w:val="18"/>
                <w:lang w:bidi="ar"/>
              </w:rPr>
              <w:t>BOD</w:t>
            </w:r>
            <w:r>
              <w:rPr>
                <w:color w:val="auto"/>
                <w:kern w:val="21"/>
                <w:sz w:val="18"/>
                <w:szCs w:val="18"/>
                <w:vertAlign w:val="subscript"/>
                <w:lang w:bidi="ar"/>
              </w:rPr>
              <w:t>5</w:t>
            </w:r>
            <w:r>
              <w:rPr>
                <w:color w:val="auto"/>
                <w:kern w:val="21"/>
                <w:sz w:val="18"/>
                <w:szCs w:val="18"/>
                <w:lang w:bidi="ar"/>
              </w:rPr>
              <w:t>、COD</w:t>
            </w:r>
            <w:r>
              <w:rPr>
                <w:color w:val="auto"/>
                <w:kern w:val="21"/>
                <w:sz w:val="18"/>
                <w:szCs w:val="18"/>
                <w:vertAlign w:val="subscript"/>
                <w:lang w:bidi="ar"/>
              </w:rPr>
              <w:t>C</w:t>
            </w:r>
            <w:r>
              <w:rPr>
                <w:color w:val="auto"/>
                <w:kern w:val="21"/>
                <w:sz w:val="18"/>
                <w:szCs w:val="18"/>
                <w:lang w:bidi="ar"/>
              </w:rPr>
              <w:t>r、氨氮、TP、SS</w:t>
            </w:r>
            <w:r>
              <w:rPr>
                <w:rFonts w:hint="eastAsia"/>
                <w:color w:val="auto"/>
                <w:kern w:val="21"/>
                <w:sz w:val="18"/>
                <w:szCs w:val="18"/>
                <w:lang w:bidi="ar"/>
              </w:rPr>
              <w:t>、氟化物</w:t>
            </w:r>
          </w:p>
        </w:tc>
        <w:tc>
          <w:tcPr>
            <w:tcW w:w="4466" w:type="dxa"/>
            <w:gridSpan w:val="5"/>
            <w:vAlign w:val="center"/>
          </w:tcPr>
          <w:p>
            <w:pPr>
              <w:spacing w:line="240" w:lineRule="auto"/>
              <w:ind w:firstLine="0" w:firstLineChars="0"/>
              <w:rPr>
                <w:rFonts w:hint="default" w:eastAsia="宋体"/>
                <w:b/>
                <w:bCs/>
                <w:color w:val="auto"/>
                <w:kern w:val="21"/>
                <w:sz w:val="18"/>
                <w:szCs w:val="18"/>
                <w:lang w:val="en-US" w:eastAsia="zh-CN"/>
              </w:rPr>
            </w:pPr>
            <w:r>
              <w:rPr>
                <w:color w:val="auto"/>
                <w:kern w:val="21"/>
                <w:sz w:val="18"/>
                <w:szCs w:val="18"/>
                <w:lang w:bidi="ar"/>
              </w:rPr>
              <w:t>BOD</w:t>
            </w:r>
            <w:r>
              <w:rPr>
                <w:color w:val="auto"/>
                <w:kern w:val="21"/>
                <w:sz w:val="18"/>
                <w:szCs w:val="18"/>
                <w:vertAlign w:val="subscript"/>
                <w:lang w:bidi="ar"/>
              </w:rPr>
              <w:t>5</w:t>
            </w:r>
            <w:r>
              <w:rPr>
                <w:color w:val="auto"/>
                <w:kern w:val="21"/>
                <w:sz w:val="18"/>
                <w:szCs w:val="18"/>
                <w:lang w:bidi="ar"/>
              </w:rPr>
              <w:t>：</w:t>
            </w:r>
            <w:r>
              <w:rPr>
                <w:rFonts w:hint="eastAsia"/>
                <w:color w:val="auto"/>
                <w:kern w:val="21"/>
                <w:sz w:val="18"/>
                <w:szCs w:val="18"/>
                <w:lang w:bidi="ar"/>
              </w:rPr>
              <w:t>17.5</w:t>
            </w:r>
            <w:r>
              <w:rPr>
                <w:rFonts w:hint="eastAsia"/>
                <w:color w:val="auto"/>
                <w:kern w:val="21"/>
                <w:sz w:val="18"/>
                <w:szCs w:val="18"/>
                <w:lang w:val="en-US" w:eastAsia="zh-CN" w:bidi="ar"/>
              </w:rPr>
              <w:t>1</w:t>
            </w:r>
            <w:r>
              <w:rPr>
                <w:color w:val="auto"/>
                <w:kern w:val="21"/>
                <w:sz w:val="18"/>
                <w:szCs w:val="18"/>
                <w:lang w:bidi="ar"/>
              </w:rPr>
              <w:t>、COD</w:t>
            </w:r>
            <w:r>
              <w:rPr>
                <w:color w:val="auto"/>
                <w:kern w:val="21"/>
                <w:sz w:val="18"/>
                <w:szCs w:val="18"/>
                <w:vertAlign w:val="subscript"/>
                <w:lang w:bidi="ar"/>
              </w:rPr>
              <w:t>C</w:t>
            </w:r>
            <w:r>
              <w:rPr>
                <w:color w:val="auto"/>
                <w:kern w:val="21"/>
                <w:sz w:val="18"/>
                <w:szCs w:val="18"/>
                <w:lang w:bidi="ar"/>
              </w:rPr>
              <w:t>r：</w:t>
            </w:r>
            <w:r>
              <w:rPr>
                <w:rFonts w:hint="eastAsia"/>
                <w:color w:val="auto"/>
                <w:kern w:val="21"/>
                <w:sz w:val="18"/>
                <w:szCs w:val="18"/>
                <w:lang w:val="en-US" w:eastAsia="zh-CN" w:bidi="ar"/>
              </w:rPr>
              <w:t>34.45</w:t>
            </w:r>
            <w:r>
              <w:rPr>
                <w:color w:val="auto"/>
                <w:kern w:val="21"/>
                <w:sz w:val="18"/>
                <w:szCs w:val="18"/>
                <w:lang w:bidi="ar"/>
              </w:rPr>
              <w:t>、氨氮：</w:t>
            </w:r>
            <w:r>
              <w:rPr>
                <w:rFonts w:hint="eastAsia"/>
                <w:color w:val="auto"/>
                <w:kern w:val="21"/>
                <w:sz w:val="18"/>
                <w:szCs w:val="18"/>
                <w:lang w:val="en-US" w:eastAsia="zh-CN" w:bidi="ar"/>
              </w:rPr>
              <w:t>3.62</w:t>
            </w:r>
            <w:r>
              <w:rPr>
                <w:color w:val="auto"/>
                <w:kern w:val="21"/>
                <w:sz w:val="18"/>
                <w:szCs w:val="18"/>
                <w:lang w:bidi="ar"/>
              </w:rPr>
              <w:t>、TP：</w:t>
            </w:r>
            <w:r>
              <w:rPr>
                <w:rFonts w:hint="eastAsia"/>
                <w:color w:val="auto"/>
                <w:kern w:val="21"/>
                <w:sz w:val="18"/>
                <w:szCs w:val="18"/>
                <w:lang w:val="en-US" w:eastAsia="zh-CN" w:bidi="ar"/>
              </w:rPr>
              <w:t>0.52</w:t>
            </w:r>
            <w:r>
              <w:rPr>
                <w:color w:val="auto"/>
                <w:kern w:val="21"/>
                <w:sz w:val="18"/>
                <w:szCs w:val="18"/>
                <w:lang w:bidi="ar"/>
              </w:rPr>
              <w:t>、SS：</w:t>
            </w:r>
            <w:r>
              <w:rPr>
                <w:rFonts w:hint="eastAsia"/>
                <w:color w:val="auto"/>
                <w:kern w:val="21"/>
                <w:sz w:val="18"/>
                <w:szCs w:val="18"/>
                <w:lang w:bidi="ar"/>
              </w:rPr>
              <w:t>17.5</w:t>
            </w:r>
            <w:r>
              <w:rPr>
                <w:rFonts w:hint="eastAsia"/>
                <w:color w:val="auto"/>
                <w:kern w:val="21"/>
                <w:sz w:val="18"/>
                <w:szCs w:val="18"/>
                <w:lang w:val="en-US" w:eastAsia="zh-CN" w:bidi="ar"/>
              </w:rPr>
              <w:t>1</w:t>
            </w:r>
            <w:r>
              <w:rPr>
                <w:rFonts w:hint="eastAsia"/>
                <w:color w:val="auto"/>
                <w:kern w:val="21"/>
                <w:sz w:val="18"/>
                <w:szCs w:val="18"/>
                <w:lang w:bidi="ar"/>
              </w:rPr>
              <w:t>、氟化物：</w:t>
            </w:r>
            <w:r>
              <w:rPr>
                <w:rFonts w:hint="eastAsia"/>
                <w:color w:val="auto"/>
                <w:kern w:val="21"/>
                <w:sz w:val="18"/>
                <w:szCs w:val="18"/>
                <w:lang w:val="en-US" w:eastAsia="zh-CN" w:bidi="ar"/>
              </w:rPr>
              <w:t>4.04</w:t>
            </w:r>
          </w:p>
        </w:tc>
        <w:tc>
          <w:tcPr>
            <w:tcW w:w="2767" w:type="dxa"/>
            <w:gridSpan w:val="4"/>
            <w:vAlign w:val="center"/>
          </w:tcPr>
          <w:p>
            <w:pPr>
              <w:widowControl/>
              <w:spacing w:line="240" w:lineRule="auto"/>
              <w:ind w:firstLine="0" w:firstLineChars="0"/>
              <w:jc w:val="left"/>
              <w:rPr>
                <w:b/>
                <w:bCs/>
                <w:color w:val="auto"/>
                <w:kern w:val="21"/>
                <w:sz w:val="18"/>
                <w:szCs w:val="18"/>
              </w:rPr>
            </w:pPr>
            <w:r>
              <w:rPr>
                <w:color w:val="auto"/>
                <w:spacing w:val="-6"/>
                <w:kern w:val="21"/>
                <w:sz w:val="18"/>
                <w:szCs w:val="18"/>
                <w:lang w:bidi="ar"/>
              </w:rPr>
              <w:t>BOD</w:t>
            </w:r>
            <w:r>
              <w:rPr>
                <w:color w:val="auto"/>
                <w:spacing w:val="-6"/>
                <w:kern w:val="21"/>
                <w:sz w:val="18"/>
                <w:szCs w:val="18"/>
                <w:vertAlign w:val="subscript"/>
                <w:lang w:bidi="ar"/>
              </w:rPr>
              <w:t>5</w:t>
            </w:r>
            <w:r>
              <w:rPr>
                <w:rFonts w:hint="eastAsia"/>
                <w:color w:val="auto"/>
                <w:spacing w:val="-6"/>
                <w:kern w:val="21"/>
                <w:sz w:val="18"/>
                <w:szCs w:val="18"/>
                <w:vertAlign w:val="baseline"/>
                <w:lang w:eastAsia="zh-CN" w:bidi="ar"/>
              </w:rPr>
              <w:t>：</w:t>
            </w:r>
            <w:r>
              <w:rPr>
                <w:color w:val="auto"/>
                <w:spacing w:val="-6"/>
                <w:kern w:val="21"/>
                <w:sz w:val="18"/>
                <w:szCs w:val="18"/>
                <w:lang w:bidi="ar"/>
              </w:rPr>
              <w:t>10</w:t>
            </w:r>
            <w:r>
              <w:rPr>
                <w:color w:val="auto"/>
                <w:spacing w:val="-6"/>
                <w:kern w:val="21"/>
                <w:sz w:val="18"/>
                <w:szCs w:val="18"/>
              </w:rPr>
              <w:t>mg/L</w:t>
            </w:r>
            <w:r>
              <w:rPr>
                <w:color w:val="auto"/>
                <w:spacing w:val="-6"/>
                <w:kern w:val="21"/>
                <w:sz w:val="18"/>
                <w:szCs w:val="18"/>
                <w:lang w:bidi="ar"/>
              </w:rPr>
              <w:t>、COD</w:t>
            </w:r>
            <w:r>
              <w:rPr>
                <w:color w:val="auto"/>
                <w:spacing w:val="-6"/>
                <w:kern w:val="21"/>
                <w:sz w:val="18"/>
                <w:szCs w:val="18"/>
                <w:vertAlign w:val="subscript"/>
                <w:lang w:bidi="ar"/>
              </w:rPr>
              <w:t>C</w:t>
            </w:r>
            <w:r>
              <w:rPr>
                <w:color w:val="auto"/>
                <w:spacing w:val="-6"/>
                <w:kern w:val="21"/>
                <w:sz w:val="18"/>
                <w:szCs w:val="18"/>
                <w:lang w:bidi="ar"/>
              </w:rPr>
              <w:t>r：</w:t>
            </w:r>
            <w:r>
              <w:rPr>
                <w:rFonts w:hint="eastAsia"/>
                <w:color w:val="auto"/>
                <w:spacing w:val="-6"/>
                <w:kern w:val="21"/>
                <w:sz w:val="18"/>
                <w:szCs w:val="18"/>
                <w:lang w:val="en-US" w:eastAsia="zh-CN" w:bidi="ar"/>
              </w:rPr>
              <w:t>19.68</w:t>
            </w:r>
            <w:r>
              <w:rPr>
                <w:color w:val="auto"/>
                <w:spacing w:val="-6"/>
                <w:kern w:val="21"/>
                <w:sz w:val="18"/>
                <w:szCs w:val="18"/>
              </w:rPr>
              <w:t>mg/L</w:t>
            </w:r>
            <w:r>
              <w:rPr>
                <w:color w:val="auto"/>
                <w:spacing w:val="-6"/>
                <w:kern w:val="21"/>
                <w:sz w:val="18"/>
                <w:szCs w:val="18"/>
                <w:lang w:bidi="ar"/>
              </w:rPr>
              <w:t>、氨氮</w:t>
            </w:r>
            <w:r>
              <w:rPr>
                <w:rFonts w:hint="eastAsia"/>
                <w:color w:val="auto"/>
                <w:spacing w:val="-6"/>
                <w:kern w:val="21"/>
                <w:sz w:val="18"/>
                <w:szCs w:val="18"/>
                <w:lang w:eastAsia="zh-CN" w:bidi="ar"/>
              </w:rPr>
              <w:t>：</w:t>
            </w:r>
            <w:r>
              <w:rPr>
                <w:rFonts w:hint="eastAsia"/>
                <w:color w:val="auto"/>
                <w:spacing w:val="-6"/>
                <w:kern w:val="21"/>
                <w:sz w:val="18"/>
                <w:szCs w:val="18"/>
                <w:lang w:val="en-US" w:eastAsia="zh-CN" w:bidi="ar"/>
              </w:rPr>
              <w:t>2.03</w:t>
            </w:r>
            <w:r>
              <w:rPr>
                <w:color w:val="auto"/>
                <w:spacing w:val="-6"/>
                <w:kern w:val="21"/>
                <w:sz w:val="18"/>
                <w:szCs w:val="18"/>
              </w:rPr>
              <w:t>mg/L</w:t>
            </w:r>
            <w:r>
              <w:rPr>
                <w:color w:val="auto"/>
                <w:spacing w:val="-6"/>
                <w:kern w:val="21"/>
                <w:sz w:val="18"/>
                <w:szCs w:val="18"/>
                <w:lang w:bidi="ar"/>
              </w:rPr>
              <w:t>、TP</w:t>
            </w:r>
            <w:r>
              <w:rPr>
                <w:rFonts w:hint="eastAsia"/>
                <w:color w:val="auto"/>
                <w:spacing w:val="-6"/>
                <w:kern w:val="21"/>
                <w:sz w:val="18"/>
                <w:szCs w:val="18"/>
                <w:lang w:eastAsia="zh-CN" w:bidi="ar"/>
              </w:rPr>
              <w:t>：</w:t>
            </w:r>
            <w:r>
              <w:rPr>
                <w:color w:val="auto"/>
                <w:spacing w:val="-6"/>
                <w:kern w:val="21"/>
                <w:sz w:val="18"/>
                <w:szCs w:val="18"/>
                <w:lang w:bidi="ar"/>
              </w:rPr>
              <w:t>0.</w:t>
            </w:r>
            <w:r>
              <w:rPr>
                <w:rFonts w:hint="eastAsia"/>
                <w:color w:val="auto"/>
                <w:spacing w:val="-6"/>
                <w:kern w:val="21"/>
                <w:sz w:val="18"/>
                <w:szCs w:val="18"/>
                <w:lang w:bidi="ar"/>
              </w:rPr>
              <w:t>3</w:t>
            </w:r>
            <w:r>
              <w:rPr>
                <w:color w:val="auto"/>
                <w:spacing w:val="-6"/>
                <w:kern w:val="21"/>
                <w:sz w:val="18"/>
                <w:szCs w:val="18"/>
              </w:rPr>
              <w:t>mg/L</w:t>
            </w:r>
            <w:r>
              <w:rPr>
                <w:color w:val="auto"/>
                <w:spacing w:val="-6"/>
                <w:kern w:val="21"/>
                <w:sz w:val="18"/>
                <w:szCs w:val="18"/>
                <w:lang w:bidi="ar"/>
              </w:rPr>
              <w:t>、SS</w:t>
            </w:r>
            <w:r>
              <w:rPr>
                <w:rFonts w:hint="eastAsia"/>
                <w:color w:val="auto"/>
                <w:spacing w:val="-6"/>
                <w:kern w:val="21"/>
                <w:sz w:val="18"/>
                <w:szCs w:val="18"/>
                <w:lang w:eastAsia="zh-CN" w:bidi="ar"/>
              </w:rPr>
              <w:t>：</w:t>
            </w:r>
            <w:r>
              <w:rPr>
                <w:color w:val="auto"/>
                <w:spacing w:val="-6"/>
                <w:kern w:val="21"/>
                <w:sz w:val="18"/>
                <w:szCs w:val="18"/>
                <w:lang w:bidi="ar"/>
              </w:rPr>
              <w:t>10</w:t>
            </w:r>
            <w:r>
              <w:rPr>
                <w:color w:val="auto"/>
                <w:spacing w:val="-6"/>
                <w:kern w:val="21"/>
                <w:sz w:val="18"/>
                <w:szCs w:val="18"/>
              </w:rPr>
              <w:t>mg/L</w:t>
            </w:r>
            <w:r>
              <w:rPr>
                <w:rFonts w:hint="eastAsia"/>
                <w:color w:val="auto"/>
                <w:spacing w:val="-6"/>
                <w:kern w:val="21"/>
                <w:sz w:val="18"/>
                <w:szCs w:val="18"/>
              </w:rPr>
              <w:t>、氟化物</w:t>
            </w:r>
            <w:r>
              <w:rPr>
                <w:rFonts w:hint="eastAsia"/>
                <w:color w:val="auto"/>
                <w:spacing w:val="-6"/>
                <w:kern w:val="21"/>
                <w:sz w:val="18"/>
                <w:szCs w:val="18"/>
                <w:lang w:eastAsia="zh-CN"/>
              </w:rPr>
              <w:t>：</w:t>
            </w:r>
            <w:r>
              <w:rPr>
                <w:rFonts w:hint="eastAsia"/>
                <w:color w:val="auto"/>
                <w:spacing w:val="-6"/>
                <w:kern w:val="21"/>
                <w:sz w:val="18"/>
                <w:szCs w:val="18"/>
                <w:lang w:val="en-US" w:eastAsia="zh-CN" w:bidi="ar"/>
              </w:rPr>
              <w:t>2.31</w:t>
            </w:r>
            <w:r>
              <w:rPr>
                <w:color w:val="auto"/>
                <w:spacing w:val="-6"/>
                <w:kern w:val="21"/>
                <w:sz w:val="18"/>
                <w:szCs w:val="18"/>
              </w:rPr>
              <w:t>mg/L</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289" w:hRule="atLeast"/>
        </w:trPr>
        <w:tc>
          <w:tcPr>
            <w:tcW w:w="1055" w:type="dxa"/>
            <w:vMerge w:val="continue"/>
          </w:tcPr>
          <w:p>
            <w:pPr>
              <w:spacing w:line="240" w:lineRule="auto"/>
              <w:ind w:firstLine="360"/>
              <w:rPr>
                <w:color w:val="auto"/>
                <w:kern w:val="21"/>
                <w:sz w:val="18"/>
                <w:szCs w:val="18"/>
              </w:rPr>
            </w:pPr>
          </w:p>
        </w:tc>
        <w:tc>
          <w:tcPr>
            <w:tcW w:w="308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p>
        </w:tc>
        <w:tc>
          <w:tcPr>
            <w:tcW w:w="18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污染源名称</w:t>
            </w:r>
          </w:p>
        </w:tc>
        <w:tc>
          <w:tcPr>
            <w:tcW w:w="2718"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排污许可证编号</w:t>
            </w:r>
          </w:p>
        </w:tc>
        <w:tc>
          <w:tcPr>
            <w:tcW w:w="1398"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污染物名称</w:t>
            </w:r>
          </w:p>
        </w:tc>
        <w:tc>
          <w:tcPr>
            <w:tcW w:w="2684" w:type="dxa"/>
            <w:gridSpan w:val="4"/>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排放量/(t/a)</w:t>
            </w:r>
          </w:p>
        </w:tc>
        <w:tc>
          <w:tcPr>
            <w:tcW w:w="163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排放浓度(mg/L)</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220" w:hRule="atLeast"/>
        </w:trPr>
        <w:tc>
          <w:tcPr>
            <w:tcW w:w="1055" w:type="dxa"/>
            <w:vMerge w:val="continue"/>
          </w:tcPr>
          <w:p>
            <w:pPr>
              <w:spacing w:line="240" w:lineRule="auto"/>
              <w:ind w:firstLine="360"/>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替代源排放情况</w:t>
            </w:r>
          </w:p>
        </w:tc>
        <w:tc>
          <w:tcPr>
            <w:tcW w:w="18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w:t>
            </w:r>
          </w:p>
        </w:tc>
        <w:tc>
          <w:tcPr>
            <w:tcW w:w="2718"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w:t>
            </w:r>
          </w:p>
        </w:tc>
        <w:tc>
          <w:tcPr>
            <w:tcW w:w="1398"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w:t>
            </w:r>
          </w:p>
        </w:tc>
        <w:tc>
          <w:tcPr>
            <w:tcW w:w="2684" w:type="dxa"/>
            <w:gridSpan w:val="4"/>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w:t>
            </w:r>
          </w:p>
        </w:tc>
        <w:tc>
          <w:tcPr>
            <w:tcW w:w="163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193" w:hRule="atLeast"/>
        </w:trPr>
        <w:tc>
          <w:tcPr>
            <w:tcW w:w="1055" w:type="dxa"/>
            <w:vMerge w:val="continue"/>
          </w:tcPr>
          <w:p>
            <w:pPr>
              <w:spacing w:line="240" w:lineRule="auto"/>
              <w:ind w:firstLine="360"/>
              <w:rPr>
                <w:color w:val="auto"/>
                <w:kern w:val="21"/>
                <w:sz w:val="18"/>
                <w:szCs w:val="18"/>
              </w:rPr>
            </w:pPr>
          </w:p>
        </w:tc>
        <w:tc>
          <w:tcPr>
            <w:tcW w:w="308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生态流量确定</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生态流量，一般水期</w:t>
            </w:r>
            <w:r>
              <w:rPr>
                <w:rFonts w:hint="eastAsia"/>
                <w:color w:val="auto"/>
                <w:kern w:val="21"/>
                <w:sz w:val="18"/>
                <w:szCs w:val="18"/>
              </w:rPr>
              <w:t>（）</w:t>
            </w:r>
            <w:r>
              <w:rPr>
                <w:color w:val="auto"/>
                <w:kern w:val="21"/>
                <w:sz w:val="18"/>
                <w:szCs w:val="18"/>
              </w:rPr>
              <w:t>m³/s；鱼类繁殖期（）；其他（）m³/s</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PrEx>
        <w:trPr>
          <w:gridBefore w:val="1"/>
          <w:wBefore w:w="15" w:type="dxa"/>
          <w:trHeight w:val="268" w:hRule="atLeast"/>
        </w:trPr>
        <w:tc>
          <w:tcPr>
            <w:tcW w:w="1055" w:type="dxa"/>
            <w:vMerge w:val="continue"/>
          </w:tcPr>
          <w:p>
            <w:pPr>
              <w:widowControl/>
              <w:spacing w:line="240" w:lineRule="auto"/>
              <w:ind w:firstLine="360"/>
              <w:rPr>
                <w:color w:val="auto"/>
                <w:kern w:val="21"/>
                <w:sz w:val="18"/>
                <w:szCs w:val="18"/>
              </w:rPr>
            </w:pPr>
          </w:p>
        </w:tc>
        <w:tc>
          <w:tcPr>
            <w:tcW w:w="3084" w:type="dxa"/>
            <w:vMerge w:val="continue"/>
            <w:vAlign w:val="center"/>
          </w:tcPr>
          <w:p>
            <w:pPr>
              <w:widowControl/>
              <w:spacing w:line="240" w:lineRule="auto"/>
              <w:ind w:firstLine="360"/>
              <w:rPr>
                <w:color w:val="auto"/>
                <w:kern w:val="21"/>
                <w:sz w:val="18"/>
                <w:szCs w:val="18"/>
              </w:rPr>
            </w:pP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生态水位，一般水期（）m；鱼类繁殖期（）m；其他（）m；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atLeast"/>
        </w:trPr>
        <w:tc>
          <w:tcPr>
            <w:tcW w:w="1070" w:type="dxa"/>
            <w:gridSpan w:val="2"/>
            <w:vMerge w:val="restart"/>
            <w:tcBorders>
              <w:bottom w:val="single" w:color="000000" w:sz="8" w:space="0"/>
            </w:tcBorders>
            <w:vAlign w:val="center"/>
          </w:tcPr>
          <w:p>
            <w:pPr>
              <w:spacing w:line="240" w:lineRule="auto"/>
              <w:ind w:firstLine="0" w:firstLineChars="0"/>
              <w:jc w:val="center"/>
              <w:rPr>
                <w:color w:val="auto"/>
                <w:kern w:val="21"/>
                <w:sz w:val="18"/>
                <w:szCs w:val="18"/>
              </w:rPr>
            </w:pPr>
            <w:r>
              <w:rPr>
                <w:color w:val="auto"/>
                <w:kern w:val="21"/>
                <w:sz w:val="18"/>
                <w:szCs w:val="18"/>
              </w:rPr>
              <w:t>防治措施</w:t>
            </w:r>
          </w:p>
        </w:tc>
        <w:tc>
          <w:tcPr>
            <w:tcW w:w="3084" w:type="dxa"/>
            <w:tcBorders>
              <w:bottom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环保措施</w:t>
            </w:r>
          </w:p>
        </w:tc>
        <w:tc>
          <w:tcPr>
            <w:tcW w:w="10324" w:type="dxa"/>
            <w:gridSpan w:val="11"/>
            <w:tcBorders>
              <w:bottom w:val="single" w:color="000000" w:sz="8" w:space="0"/>
            </w:tcBorders>
            <w:vAlign w:val="center"/>
          </w:tcPr>
          <w:p>
            <w:pPr>
              <w:widowControl/>
              <w:spacing w:line="240" w:lineRule="auto"/>
              <w:ind w:firstLine="360"/>
              <w:rPr>
                <w:color w:val="auto"/>
                <w:kern w:val="21"/>
                <w:sz w:val="18"/>
                <w:szCs w:val="18"/>
              </w:rPr>
            </w:pPr>
            <w:r>
              <w:rPr>
                <w:color w:val="auto"/>
                <w:kern w:val="21"/>
                <w:sz w:val="18"/>
                <w:szCs w:val="18"/>
              </w:rPr>
              <w:t>污水处理设施</w:t>
            </w:r>
            <w:r>
              <w:rPr>
                <w:color w:val="auto"/>
                <w:kern w:val="21"/>
                <w:sz w:val="21"/>
                <w:szCs w:val="21"/>
              </w:rPr>
              <w:sym w:font="Wingdings 2" w:char="0052"/>
            </w:r>
            <w:r>
              <w:rPr>
                <w:color w:val="auto"/>
                <w:kern w:val="21"/>
                <w:sz w:val="18"/>
                <w:szCs w:val="18"/>
              </w:rPr>
              <w:t>；水文减缓设施口；生态流量保障设施口；:区域削减口；依托其他工程措施</w:t>
            </w:r>
            <w:r>
              <w:rPr>
                <w:color w:val="auto"/>
                <w:kern w:val="21"/>
                <w:sz w:val="21"/>
                <w:szCs w:val="21"/>
              </w:rPr>
              <w:sym w:font="Wingdings 2" w:char="00A3"/>
            </w:r>
            <w:r>
              <w:rPr>
                <w:color w:val="auto"/>
                <w:kern w:val="21"/>
                <w:sz w:val="18"/>
                <w:szCs w:val="18"/>
              </w:rPr>
              <w:t>；其他</w:t>
            </w:r>
            <w:r>
              <w:rPr>
                <w:color w:val="auto"/>
                <w:kern w:val="21"/>
                <w:sz w:val="21"/>
                <w:szCs w:val="21"/>
              </w:rPr>
              <w:sym w:font="Wingdings 2" w:char="00A3"/>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2" w:hRule="atLeast"/>
        </w:trPr>
        <w:tc>
          <w:tcPr>
            <w:tcW w:w="1070" w:type="dxa"/>
            <w:gridSpan w:val="2"/>
            <w:vMerge w:val="continue"/>
            <w:tcBorders>
              <w:bottom w:val="single" w:color="000000" w:sz="8" w:space="0"/>
            </w:tcBorders>
            <w:vAlign w:val="center"/>
          </w:tcPr>
          <w:p>
            <w:pPr>
              <w:spacing w:line="240" w:lineRule="auto"/>
              <w:ind w:firstLine="360"/>
              <w:rPr>
                <w:color w:val="auto"/>
                <w:kern w:val="21"/>
                <w:sz w:val="18"/>
                <w:szCs w:val="18"/>
              </w:rPr>
            </w:pPr>
          </w:p>
        </w:tc>
        <w:tc>
          <w:tcPr>
            <w:tcW w:w="3084" w:type="dxa"/>
            <w:vMerge w:val="restart"/>
            <w:tcBorders>
              <w:bottom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监测计划</w:t>
            </w:r>
          </w:p>
        </w:tc>
        <w:tc>
          <w:tcPr>
            <w:tcW w:w="1890" w:type="dxa"/>
            <w:tcBorders>
              <w:bottom w:val="single" w:color="000000" w:sz="8" w:space="0"/>
            </w:tcBorders>
            <w:vAlign w:val="center"/>
          </w:tcPr>
          <w:p>
            <w:pPr>
              <w:widowControl/>
              <w:spacing w:line="240" w:lineRule="auto"/>
              <w:ind w:firstLine="360"/>
              <w:rPr>
                <w:color w:val="auto"/>
                <w:kern w:val="21"/>
                <w:sz w:val="18"/>
                <w:szCs w:val="18"/>
              </w:rPr>
            </w:pPr>
          </w:p>
        </w:tc>
        <w:tc>
          <w:tcPr>
            <w:tcW w:w="4116" w:type="dxa"/>
            <w:gridSpan w:val="5"/>
            <w:tcBorders>
              <w:bottom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环境质量</w:t>
            </w:r>
          </w:p>
        </w:tc>
        <w:tc>
          <w:tcPr>
            <w:tcW w:w="4318" w:type="dxa"/>
            <w:gridSpan w:val="5"/>
            <w:tcBorders>
              <w:bottom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污染源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9" w:hRule="atLeast"/>
        </w:trPr>
        <w:tc>
          <w:tcPr>
            <w:tcW w:w="1070" w:type="dxa"/>
            <w:gridSpan w:val="2"/>
            <w:vMerge w:val="continue"/>
            <w:vAlign w:val="center"/>
          </w:tcPr>
          <w:p>
            <w:pPr>
              <w:spacing w:line="240" w:lineRule="auto"/>
              <w:ind w:firstLine="360"/>
              <w:rPr>
                <w:color w:val="auto"/>
                <w:kern w:val="21"/>
                <w:sz w:val="18"/>
                <w:szCs w:val="18"/>
              </w:rPr>
            </w:pPr>
          </w:p>
        </w:tc>
        <w:tc>
          <w:tcPr>
            <w:tcW w:w="3084"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p>
        </w:tc>
        <w:tc>
          <w:tcPr>
            <w:tcW w:w="18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监测方案</w:t>
            </w:r>
          </w:p>
        </w:tc>
        <w:tc>
          <w:tcPr>
            <w:tcW w:w="4116" w:type="dxa"/>
            <w:gridSpan w:val="5"/>
            <w:vAlign w:val="center"/>
          </w:tcPr>
          <w:p>
            <w:pPr>
              <w:widowControl/>
              <w:spacing w:line="240" w:lineRule="auto"/>
              <w:ind w:firstLine="0" w:firstLineChars="0"/>
              <w:rPr>
                <w:color w:val="auto"/>
                <w:kern w:val="21"/>
                <w:sz w:val="18"/>
                <w:szCs w:val="18"/>
              </w:rPr>
            </w:pPr>
            <w:r>
              <w:rPr>
                <w:color w:val="auto"/>
                <w:kern w:val="21"/>
                <w:sz w:val="18"/>
                <w:szCs w:val="18"/>
              </w:rPr>
              <w:t>手动</w:t>
            </w:r>
            <w:r>
              <w:rPr>
                <w:color w:val="auto"/>
                <w:kern w:val="21"/>
                <w:sz w:val="21"/>
                <w:szCs w:val="21"/>
              </w:rPr>
              <w:sym w:font="Wingdings 2" w:char="0052"/>
            </w:r>
            <w:r>
              <w:rPr>
                <w:color w:val="auto"/>
                <w:kern w:val="21"/>
                <w:sz w:val="18"/>
                <w:szCs w:val="18"/>
              </w:rPr>
              <w:t>；自动</w:t>
            </w:r>
            <w:r>
              <w:rPr>
                <w:color w:val="auto"/>
                <w:kern w:val="21"/>
                <w:sz w:val="21"/>
                <w:szCs w:val="21"/>
              </w:rPr>
              <w:sym w:font="Wingdings 2" w:char="00A3"/>
            </w:r>
            <w:r>
              <w:rPr>
                <w:color w:val="auto"/>
                <w:kern w:val="21"/>
                <w:sz w:val="18"/>
                <w:szCs w:val="18"/>
              </w:rPr>
              <w:t>；无监测</w:t>
            </w:r>
            <w:r>
              <w:rPr>
                <w:color w:val="auto"/>
                <w:kern w:val="21"/>
                <w:sz w:val="21"/>
                <w:szCs w:val="21"/>
              </w:rPr>
              <w:sym w:font="Wingdings 2" w:char="00A3"/>
            </w:r>
          </w:p>
        </w:tc>
        <w:tc>
          <w:tcPr>
            <w:tcW w:w="4318" w:type="dxa"/>
            <w:gridSpan w:val="5"/>
            <w:vAlign w:val="center"/>
          </w:tcPr>
          <w:p>
            <w:pPr>
              <w:widowControl/>
              <w:spacing w:line="240" w:lineRule="auto"/>
              <w:ind w:firstLine="360"/>
              <w:rPr>
                <w:color w:val="auto"/>
                <w:kern w:val="21"/>
                <w:sz w:val="18"/>
                <w:szCs w:val="18"/>
              </w:rPr>
            </w:pPr>
            <w:r>
              <w:rPr>
                <w:color w:val="auto"/>
                <w:kern w:val="21"/>
                <w:sz w:val="18"/>
                <w:szCs w:val="18"/>
              </w:rPr>
              <w:t>手动</w:t>
            </w:r>
            <w:r>
              <w:rPr>
                <w:color w:val="auto"/>
                <w:kern w:val="21"/>
                <w:sz w:val="21"/>
                <w:szCs w:val="21"/>
              </w:rPr>
              <w:sym w:font="Wingdings 2" w:char="0052"/>
            </w:r>
            <w:r>
              <w:rPr>
                <w:color w:val="auto"/>
                <w:kern w:val="21"/>
                <w:sz w:val="18"/>
                <w:szCs w:val="18"/>
              </w:rPr>
              <w:t>；自动</w:t>
            </w:r>
            <w:r>
              <w:rPr>
                <w:color w:val="auto"/>
                <w:kern w:val="21"/>
                <w:sz w:val="21"/>
                <w:szCs w:val="21"/>
              </w:rPr>
              <w:sym w:font="Wingdings 2" w:char="0052"/>
            </w:r>
            <w:r>
              <w:rPr>
                <w:color w:val="auto"/>
                <w:kern w:val="21"/>
                <w:sz w:val="18"/>
                <w:szCs w:val="18"/>
              </w:rPr>
              <w:t>；无监测</w:t>
            </w:r>
            <w:r>
              <w:rPr>
                <w:color w:val="auto"/>
                <w:kern w:val="21"/>
                <w:sz w:val="21"/>
                <w:szCs w:val="21"/>
              </w:rPr>
              <w:sym w:font="Wingdings 2" w:char="00A3"/>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0" w:hRule="atLeast"/>
        </w:trPr>
        <w:tc>
          <w:tcPr>
            <w:tcW w:w="1070" w:type="dxa"/>
            <w:gridSpan w:val="2"/>
            <w:vMerge w:val="continue"/>
            <w:vAlign w:val="center"/>
          </w:tcPr>
          <w:p>
            <w:pPr>
              <w:spacing w:line="240" w:lineRule="auto"/>
              <w:ind w:firstLine="360"/>
              <w:rPr>
                <w:color w:val="auto"/>
                <w:kern w:val="21"/>
                <w:sz w:val="18"/>
                <w:szCs w:val="18"/>
              </w:rPr>
            </w:pPr>
          </w:p>
        </w:tc>
        <w:tc>
          <w:tcPr>
            <w:tcW w:w="3084"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p>
        </w:tc>
        <w:tc>
          <w:tcPr>
            <w:tcW w:w="18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监测点位</w:t>
            </w:r>
          </w:p>
        </w:tc>
        <w:tc>
          <w:tcPr>
            <w:tcW w:w="4116" w:type="dxa"/>
            <w:gridSpan w:val="5"/>
            <w:vAlign w:val="center"/>
          </w:tcPr>
          <w:p>
            <w:pPr>
              <w:widowControl/>
              <w:spacing w:line="240" w:lineRule="auto"/>
              <w:ind w:firstLine="0" w:firstLineChars="0"/>
              <w:rPr>
                <w:color w:val="auto"/>
                <w:kern w:val="21"/>
                <w:sz w:val="18"/>
                <w:szCs w:val="18"/>
              </w:rPr>
            </w:pPr>
            <w:r>
              <w:rPr>
                <w:color w:val="auto"/>
                <w:kern w:val="21"/>
                <w:sz w:val="18"/>
                <w:szCs w:val="18"/>
              </w:rPr>
              <w:t>（</w:t>
            </w:r>
            <w:r>
              <w:rPr>
                <w:rFonts w:hint="eastAsia"/>
                <w:color w:val="auto"/>
                <w:kern w:val="21"/>
                <w:sz w:val="18"/>
                <w:szCs w:val="18"/>
              </w:rPr>
              <w:t>排污口入青龙河上游500m、阳光桥断面、青龙河入龙川江断面</w:t>
            </w:r>
            <w:r>
              <w:rPr>
                <w:color w:val="auto"/>
                <w:kern w:val="21"/>
                <w:sz w:val="18"/>
                <w:szCs w:val="18"/>
              </w:rPr>
              <w:t>）</w:t>
            </w:r>
          </w:p>
        </w:tc>
        <w:tc>
          <w:tcPr>
            <w:tcW w:w="4318" w:type="dxa"/>
            <w:gridSpan w:val="5"/>
            <w:vAlign w:val="center"/>
          </w:tcPr>
          <w:p>
            <w:pPr>
              <w:widowControl/>
              <w:spacing w:line="240" w:lineRule="auto"/>
              <w:ind w:firstLine="360"/>
              <w:rPr>
                <w:color w:val="auto"/>
                <w:kern w:val="21"/>
                <w:sz w:val="18"/>
                <w:szCs w:val="18"/>
              </w:rPr>
            </w:pPr>
            <w:r>
              <w:rPr>
                <w:color w:val="auto"/>
                <w:kern w:val="21"/>
                <w:sz w:val="18"/>
                <w:szCs w:val="18"/>
              </w:rPr>
              <w:t>（项目废水进口、出口）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8" w:hRule="atLeast"/>
        </w:trPr>
        <w:tc>
          <w:tcPr>
            <w:tcW w:w="1070" w:type="dxa"/>
            <w:gridSpan w:val="2"/>
            <w:vMerge w:val="continue"/>
          </w:tcPr>
          <w:p>
            <w:pPr>
              <w:spacing w:line="240" w:lineRule="auto"/>
              <w:ind w:firstLine="360"/>
              <w:rPr>
                <w:color w:val="auto"/>
                <w:kern w:val="21"/>
                <w:sz w:val="18"/>
                <w:szCs w:val="18"/>
              </w:rPr>
            </w:pPr>
          </w:p>
        </w:tc>
        <w:tc>
          <w:tcPr>
            <w:tcW w:w="3084" w:type="dxa"/>
            <w:vMerge w:val="continue"/>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p>
        </w:tc>
        <w:tc>
          <w:tcPr>
            <w:tcW w:w="18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监测因子</w:t>
            </w:r>
          </w:p>
        </w:tc>
        <w:tc>
          <w:tcPr>
            <w:tcW w:w="4116" w:type="dxa"/>
            <w:gridSpan w:val="5"/>
            <w:vAlign w:val="center"/>
          </w:tcPr>
          <w:p>
            <w:pPr>
              <w:widowControl/>
              <w:spacing w:line="240" w:lineRule="auto"/>
              <w:ind w:firstLine="0" w:firstLineChars="0"/>
              <w:rPr>
                <w:color w:val="auto"/>
                <w:kern w:val="21"/>
                <w:sz w:val="18"/>
                <w:szCs w:val="18"/>
              </w:rPr>
            </w:pPr>
            <w:r>
              <w:rPr>
                <w:color w:val="auto"/>
                <w:kern w:val="21"/>
                <w:sz w:val="18"/>
                <w:szCs w:val="18"/>
              </w:rPr>
              <w:t>pH、COD、BOD</w:t>
            </w:r>
            <w:r>
              <w:rPr>
                <w:color w:val="auto"/>
                <w:kern w:val="21"/>
                <w:sz w:val="18"/>
                <w:szCs w:val="18"/>
                <w:vertAlign w:val="subscript"/>
              </w:rPr>
              <w:t>5</w:t>
            </w:r>
            <w:r>
              <w:rPr>
                <w:color w:val="auto"/>
                <w:kern w:val="21"/>
                <w:sz w:val="18"/>
                <w:szCs w:val="18"/>
              </w:rPr>
              <w:t>、SS、NH</w:t>
            </w:r>
            <w:r>
              <w:rPr>
                <w:color w:val="auto"/>
                <w:kern w:val="21"/>
                <w:sz w:val="18"/>
                <w:szCs w:val="18"/>
                <w:vertAlign w:val="subscript"/>
              </w:rPr>
              <w:t>3-</w:t>
            </w:r>
            <w:r>
              <w:rPr>
                <w:color w:val="auto"/>
                <w:kern w:val="21"/>
                <w:sz w:val="18"/>
                <w:szCs w:val="18"/>
              </w:rPr>
              <w:t>N、TP、氟化物</w:t>
            </w:r>
            <w:r>
              <w:rPr>
                <w:rFonts w:hint="eastAsia"/>
                <w:color w:val="auto"/>
                <w:kern w:val="21"/>
                <w:sz w:val="18"/>
                <w:szCs w:val="18"/>
              </w:rPr>
              <w:t>等</w:t>
            </w:r>
          </w:p>
        </w:tc>
        <w:tc>
          <w:tcPr>
            <w:tcW w:w="4318" w:type="dxa"/>
            <w:gridSpan w:val="5"/>
            <w:vAlign w:val="center"/>
          </w:tcPr>
          <w:p>
            <w:pPr>
              <w:widowControl/>
              <w:spacing w:line="240" w:lineRule="auto"/>
              <w:ind w:firstLine="0" w:firstLineChars="0"/>
              <w:rPr>
                <w:color w:val="auto"/>
                <w:kern w:val="21"/>
                <w:sz w:val="18"/>
                <w:szCs w:val="18"/>
              </w:rPr>
            </w:pPr>
            <w:r>
              <w:rPr>
                <w:color w:val="auto"/>
                <w:kern w:val="21"/>
                <w:sz w:val="18"/>
                <w:szCs w:val="18"/>
              </w:rPr>
              <w:t>流量、pH、COD、BOD</w:t>
            </w:r>
            <w:r>
              <w:rPr>
                <w:color w:val="auto"/>
                <w:kern w:val="21"/>
                <w:sz w:val="18"/>
                <w:szCs w:val="18"/>
                <w:vertAlign w:val="subscript"/>
              </w:rPr>
              <w:t>5</w:t>
            </w:r>
            <w:r>
              <w:rPr>
                <w:color w:val="auto"/>
                <w:kern w:val="21"/>
                <w:sz w:val="18"/>
                <w:szCs w:val="18"/>
              </w:rPr>
              <w:t>、SS、NH</w:t>
            </w:r>
            <w:r>
              <w:rPr>
                <w:color w:val="auto"/>
                <w:kern w:val="21"/>
                <w:sz w:val="18"/>
                <w:szCs w:val="18"/>
                <w:vertAlign w:val="subscript"/>
              </w:rPr>
              <w:t>3-</w:t>
            </w:r>
            <w:r>
              <w:rPr>
                <w:color w:val="auto"/>
                <w:kern w:val="21"/>
                <w:sz w:val="18"/>
                <w:szCs w:val="18"/>
              </w:rPr>
              <w:t>N、TP、氟化物</w:t>
            </w:r>
            <w:r>
              <w:rPr>
                <w:rFonts w:hint="eastAsia"/>
                <w:color w:val="auto"/>
                <w:kern w:val="21"/>
                <w:sz w:val="18"/>
                <w:szCs w:val="18"/>
              </w:rPr>
              <w:t>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8" w:hRule="atLeast"/>
        </w:trPr>
        <w:tc>
          <w:tcPr>
            <w:tcW w:w="1070" w:type="dxa"/>
            <w:gridSpan w:val="2"/>
            <w:vMerge w:val="continue"/>
          </w:tcPr>
          <w:p>
            <w:pPr>
              <w:widowControl/>
              <w:spacing w:line="240" w:lineRule="auto"/>
              <w:ind w:firstLine="360"/>
              <w:rPr>
                <w:color w:val="auto"/>
                <w:kern w:val="21"/>
                <w:sz w:val="18"/>
                <w:szCs w:val="18"/>
              </w:rPr>
            </w:pPr>
          </w:p>
        </w:tc>
        <w:tc>
          <w:tcPr>
            <w:tcW w:w="30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污染物排放清单</w:t>
            </w:r>
          </w:p>
        </w:tc>
        <w:tc>
          <w:tcPr>
            <w:tcW w:w="10324" w:type="dxa"/>
            <w:gridSpan w:val="11"/>
            <w:vAlign w:val="center"/>
          </w:tcPr>
          <w:p>
            <w:pPr>
              <w:widowControl/>
              <w:spacing w:line="240" w:lineRule="auto"/>
              <w:ind w:firstLine="420"/>
              <w:rPr>
                <w:color w:val="auto"/>
                <w:kern w:val="21"/>
                <w:sz w:val="18"/>
                <w:szCs w:val="18"/>
              </w:rPr>
            </w:pPr>
            <w:r>
              <w:rPr>
                <w:color w:val="auto"/>
                <w:kern w:val="21"/>
                <w:sz w:val="21"/>
                <w:szCs w:val="21"/>
              </w:rPr>
              <w:sym w:font="Wingdings 2" w:char="0052"/>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6" w:hRule="atLeast"/>
        </w:trPr>
        <w:tc>
          <w:tcPr>
            <w:tcW w:w="4154"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21"/>
                <w:sz w:val="18"/>
                <w:szCs w:val="18"/>
              </w:rPr>
            </w:pPr>
            <w:r>
              <w:rPr>
                <w:color w:val="auto"/>
                <w:kern w:val="21"/>
                <w:sz w:val="18"/>
                <w:szCs w:val="18"/>
              </w:rPr>
              <w:t>评价结论</w:t>
            </w:r>
          </w:p>
        </w:tc>
        <w:tc>
          <w:tcPr>
            <w:tcW w:w="10324" w:type="dxa"/>
            <w:gridSpan w:val="11"/>
            <w:vAlign w:val="center"/>
          </w:tcPr>
          <w:p>
            <w:pPr>
              <w:widowControl/>
              <w:spacing w:line="240" w:lineRule="auto"/>
              <w:ind w:firstLine="360"/>
              <w:rPr>
                <w:color w:val="auto"/>
                <w:kern w:val="21"/>
                <w:sz w:val="18"/>
                <w:szCs w:val="18"/>
              </w:rPr>
            </w:pPr>
            <w:r>
              <w:rPr>
                <w:color w:val="auto"/>
                <w:kern w:val="21"/>
                <w:sz w:val="18"/>
                <w:szCs w:val="18"/>
              </w:rPr>
              <w:t>可以接受</w:t>
            </w:r>
            <w:r>
              <w:rPr>
                <w:color w:val="auto"/>
                <w:kern w:val="21"/>
                <w:sz w:val="21"/>
                <w:szCs w:val="21"/>
              </w:rPr>
              <w:sym w:font="Wingdings 2" w:char="0052"/>
            </w:r>
            <w:r>
              <w:rPr>
                <w:color w:val="auto"/>
                <w:kern w:val="21"/>
                <w:sz w:val="18"/>
                <w:szCs w:val="18"/>
              </w:rPr>
              <w:t>，不可以接受。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4478" w:type="dxa"/>
            <w:gridSpan w:val="14"/>
            <w:vAlign w:val="center"/>
          </w:tcPr>
          <w:p>
            <w:pPr>
              <w:widowControl/>
              <w:spacing w:line="240" w:lineRule="auto"/>
              <w:ind w:firstLine="360"/>
              <w:jc w:val="center"/>
              <w:rPr>
                <w:color w:val="auto"/>
                <w:kern w:val="21"/>
                <w:szCs w:val="21"/>
              </w:rPr>
            </w:pPr>
            <w:r>
              <w:rPr>
                <w:color w:val="auto"/>
                <w:kern w:val="21"/>
                <w:sz w:val="18"/>
                <w:szCs w:val="18"/>
              </w:rPr>
              <w:t>注："</w:t>
            </w:r>
            <w:r>
              <w:rPr>
                <w:color w:val="auto"/>
                <w:kern w:val="21"/>
                <w:sz w:val="21"/>
                <w:szCs w:val="21"/>
              </w:rPr>
              <w:sym w:font="Wingdings 2" w:char="00A3"/>
            </w:r>
            <w:r>
              <w:rPr>
                <w:color w:val="auto"/>
                <w:kern w:val="21"/>
                <w:sz w:val="18"/>
                <w:szCs w:val="18"/>
              </w:rPr>
              <w:t>"为勾选项；可√；"</w:t>
            </w:r>
            <w:r>
              <w:rPr>
                <w:rFonts w:hint="eastAsia"/>
                <w:color w:val="auto"/>
                <w:kern w:val="21"/>
                <w:sz w:val="18"/>
                <w:szCs w:val="18"/>
              </w:rPr>
              <w:t>（）</w:t>
            </w:r>
            <w:r>
              <w:rPr>
                <w:color w:val="auto"/>
                <w:kern w:val="21"/>
                <w:sz w:val="18"/>
                <w:szCs w:val="18"/>
              </w:rPr>
              <w:t>"为内容填写项，"备注"为其他补充内容。</w:t>
            </w:r>
          </w:p>
        </w:tc>
      </w:tr>
    </w:tbl>
    <w:p>
      <w:pPr>
        <w:pStyle w:val="23"/>
        <w:ind w:left="480" w:firstLine="480"/>
        <w:rPr>
          <w:color w:val="auto"/>
          <w:kern w:val="21"/>
          <w:lang w:bidi="ar"/>
        </w:rPr>
      </w:pPr>
    </w:p>
    <w:p>
      <w:pPr>
        <w:pStyle w:val="23"/>
        <w:ind w:left="480" w:firstLine="480"/>
        <w:rPr>
          <w:color w:val="auto"/>
          <w:kern w:val="21"/>
          <w:lang w:bidi="ar"/>
        </w:rPr>
        <w:sectPr>
          <w:pgSz w:w="16783" w:h="11850" w:orient="landscape"/>
          <w:pgMar w:top="1418" w:right="1418" w:bottom="1134" w:left="1134" w:header="851" w:footer="992" w:gutter="0"/>
          <w:cols w:space="720" w:num="1"/>
          <w:docGrid w:type="lines" w:linePitch="312" w:charSpace="0"/>
        </w:sectPr>
      </w:pPr>
    </w:p>
    <w:p>
      <w:pPr>
        <w:pStyle w:val="6"/>
        <w:spacing w:after="0"/>
        <w:rPr>
          <w:rFonts w:eastAsia="宋体"/>
          <w:color w:val="auto"/>
          <w:kern w:val="21"/>
        </w:rPr>
      </w:pPr>
      <w:bookmarkStart w:id="247" w:name="_Toc6958"/>
      <w:r>
        <w:rPr>
          <w:rFonts w:eastAsia="宋体"/>
          <w:color w:val="auto"/>
          <w:kern w:val="21"/>
        </w:rPr>
        <w:t>5.2.2地下水环境影响评价</w:t>
      </w:r>
      <w:bookmarkEnd w:id="247"/>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5.2.</w:t>
      </w:r>
      <w:r>
        <w:rPr>
          <w:rFonts w:hint="eastAsia" w:ascii="Times New Roman" w:hAnsi="Times New Roman" w:eastAsia="宋体"/>
          <w:color w:val="auto"/>
          <w:kern w:val="21"/>
          <w:sz w:val="24"/>
          <w:szCs w:val="24"/>
        </w:rPr>
        <w:t>2.1</w:t>
      </w:r>
      <w:r>
        <w:rPr>
          <w:rFonts w:ascii="Times New Roman" w:hAnsi="Times New Roman" w:eastAsia="宋体"/>
          <w:color w:val="auto"/>
          <w:kern w:val="21"/>
          <w:sz w:val="24"/>
          <w:szCs w:val="24"/>
        </w:rPr>
        <w:t>岩土层结构</w:t>
      </w:r>
    </w:p>
    <w:p>
      <w:pPr>
        <w:widowControl/>
        <w:ind w:firstLine="480"/>
        <w:jc w:val="left"/>
        <w:rPr>
          <w:color w:val="auto"/>
          <w:kern w:val="21"/>
        </w:rPr>
      </w:pPr>
      <w:r>
        <w:rPr>
          <w:color w:val="auto"/>
          <w:kern w:val="21"/>
          <w:lang w:bidi="ar"/>
        </w:rPr>
        <w:t>根据《</w:t>
      </w:r>
      <w:r>
        <w:rPr>
          <w:color w:val="auto"/>
          <w:kern w:val="21"/>
          <w:szCs w:val="21"/>
        </w:rPr>
        <w:t>楚雄市富民工业园区污水处理厂（一期）项目场地岩土工程勘察报告</w:t>
      </w:r>
      <w:r>
        <w:rPr>
          <w:color w:val="auto"/>
          <w:kern w:val="21"/>
          <w:lang w:bidi="ar"/>
        </w:rPr>
        <w:t>》，拟建场地大的地层结构为：地表为第四系全新统填土层（</w:t>
      </w:r>
      <w:r>
        <w:rPr>
          <w:rFonts w:eastAsia="TimesNewRomanPSMT"/>
          <w:color w:val="auto"/>
          <w:kern w:val="21"/>
          <w:lang w:bidi="ar"/>
        </w:rPr>
        <w:t>Q</w:t>
      </w:r>
      <w:r>
        <w:rPr>
          <w:rFonts w:eastAsia="TimesNewRomanPSMT"/>
          <w:color w:val="auto"/>
          <w:kern w:val="21"/>
          <w:sz w:val="16"/>
          <w:szCs w:val="16"/>
          <w:lang w:bidi="ar"/>
        </w:rPr>
        <w:t>4ml</w:t>
      </w:r>
      <w:r>
        <w:rPr>
          <w:color w:val="auto"/>
          <w:kern w:val="21"/>
          <w:lang w:bidi="ar"/>
        </w:rPr>
        <w:t>），其下为第四系全新统冲洪积层</w:t>
      </w:r>
      <w:r>
        <w:rPr>
          <w:rFonts w:hint="eastAsia" w:eastAsia="TimesNewRomanPSMT"/>
          <w:color w:val="auto"/>
          <w:kern w:val="21"/>
          <w:lang w:bidi="ar"/>
        </w:rPr>
        <w:t>（</w:t>
      </w:r>
      <w:r>
        <w:rPr>
          <w:rFonts w:eastAsia="TimesNewRomanPSMT"/>
          <w:color w:val="auto"/>
          <w:kern w:val="21"/>
          <w:lang w:bidi="ar"/>
        </w:rPr>
        <w:t>Q</w:t>
      </w:r>
      <w:r>
        <w:rPr>
          <w:rFonts w:eastAsia="TimesNewRomanPSMT"/>
          <w:color w:val="auto"/>
          <w:kern w:val="21"/>
          <w:sz w:val="16"/>
          <w:szCs w:val="16"/>
          <w:lang w:bidi="ar"/>
        </w:rPr>
        <w:t>4al+pl</w:t>
      </w:r>
      <w:r>
        <w:rPr>
          <w:rFonts w:hint="eastAsia" w:eastAsia="TimesNewRomanPSMT"/>
          <w:color w:val="auto"/>
          <w:kern w:val="21"/>
          <w:lang w:bidi="ar"/>
        </w:rPr>
        <w:t>）</w:t>
      </w:r>
      <w:r>
        <w:rPr>
          <w:color w:val="auto"/>
          <w:kern w:val="21"/>
          <w:lang w:bidi="ar"/>
        </w:rPr>
        <w:t>，下伏基岩为中生界白垩系下统普昌河组</w:t>
      </w:r>
      <w:r>
        <w:rPr>
          <w:rFonts w:hint="eastAsia" w:eastAsia="TimesNewRomanPSMT"/>
          <w:color w:val="auto"/>
          <w:kern w:val="21"/>
          <w:lang w:bidi="ar"/>
        </w:rPr>
        <w:t>（</w:t>
      </w:r>
      <w:r>
        <w:rPr>
          <w:rFonts w:eastAsia="TimesNewRomanPSMT"/>
          <w:color w:val="auto"/>
          <w:kern w:val="21"/>
          <w:lang w:bidi="ar"/>
        </w:rPr>
        <w:t>K</w:t>
      </w:r>
      <w:r>
        <w:rPr>
          <w:rFonts w:eastAsia="TimesNewRomanPSMT"/>
          <w:color w:val="auto"/>
          <w:kern w:val="21"/>
          <w:sz w:val="16"/>
          <w:szCs w:val="16"/>
          <w:lang w:bidi="ar"/>
        </w:rPr>
        <w:t>1</w:t>
      </w:r>
      <w:r>
        <w:rPr>
          <w:rFonts w:eastAsia="TimesNewRomanPSMT"/>
          <w:color w:val="auto"/>
          <w:kern w:val="21"/>
          <w:lang w:bidi="ar"/>
        </w:rPr>
        <w:t>p</w:t>
      </w:r>
      <w:r>
        <w:rPr>
          <w:rFonts w:hint="eastAsia" w:eastAsia="TimesNewRomanPSMT"/>
          <w:color w:val="auto"/>
          <w:kern w:val="21"/>
          <w:lang w:bidi="ar"/>
        </w:rPr>
        <w:t>）</w:t>
      </w:r>
      <w:r>
        <w:rPr>
          <w:color w:val="auto"/>
          <w:kern w:val="21"/>
          <w:lang w:bidi="ar"/>
        </w:rPr>
        <w:t>泥岩。在勘察深度内，根据岩土层自上而下的揭露顺序及其物理力学性质的差异，将场地勘探深度范围内的岩土体划分为</w:t>
      </w:r>
      <w:r>
        <w:rPr>
          <w:rFonts w:eastAsia="TimesNewRomanPSMT"/>
          <w:color w:val="auto"/>
          <w:kern w:val="21"/>
          <w:lang w:bidi="ar"/>
        </w:rPr>
        <w:t>7</w:t>
      </w:r>
      <w:r>
        <w:rPr>
          <w:color w:val="auto"/>
          <w:kern w:val="21"/>
          <w:lang w:bidi="ar"/>
        </w:rPr>
        <w:t>个主要的工程地质岩土层及相应的亚层分别进行叙述。</w:t>
      </w:r>
    </w:p>
    <w:p>
      <w:pPr>
        <w:widowControl/>
        <w:ind w:firstLine="480"/>
        <w:jc w:val="left"/>
        <w:rPr>
          <w:color w:val="auto"/>
          <w:kern w:val="21"/>
        </w:rPr>
      </w:pPr>
      <w:r>
        <w:rPr>
          <w:rFonts w:eastAsia="TimesNewRomanPSMT"/>
          <w:color w:val="auto"/>
          <w:kern w:val="21"/>
          <w:lang w:bidi="ar"/>
        </w:rPr>
        <w:t>1</w:t>
      </w:r>
      <w:r>
        <w:rPr>
          <w:color w:val="auto"/>
          <w:kern w:val="21"/>
          <w:lang w:bidi="ar"/>
        </w:rPr>
        <w:t>、第四系填土层</w:t>
      </w:r>
      <w:r>
        <w:rPr>
          <w:rFonts w:hint="eastAsia" w:eastAsia="TimesNewRomanPS-BoldMT"/>
          <w:color w:val="auto"/>
          <w:kern w:val="21"/>
          <w:lang w:bidi="ar"/>
        </w:rPr>
        <w:t>（</w:t>
      </w:r>
      <w:r>
        <w:rPr>
          <w:rFonts w:eastAsia="TimesNewRomanPS-BoldMT"/>
          <w:color w:val="auto"/>
          <w:kern w:val="21"/>
          <w:lang w:bidi="ar"/>
        </w:rPr>
        <w:t>Q</w:t>
      </w:r>
      <w:r>
        <w:rPr>
          <w:rFonts w:eastAsia="TimesNewRomanPS-BoldMT"/>
          <w:color w:val="auto"/>
          <w:kern w:val="21"/>
          <w:sz w:val="16"/>
          <w:szCs w:val="16"/>
          <w:lang w:bidi="ar"/>
        </w:rPr>
        <w:t>4ml</w:t>
      </w:r>
      <w:r>
        <w:rPr>
          <w:rFonts w:hint="eastAsia" w:eastAsia="TimesNewRomanPS-BoldMT"/>
          <w:color w:val="auto"/>
          <w:kern w:val="21"/>
          <w:lang w:bidi="ar"/>
        </w:rPr>
        <w:t>）</w:t>
      </w:r>
    </w:p>
    <w:p>
      <w:pPr>
        <w:widowControl/>
        <w:ind w:firstLine="480"/>
        <w:jc w:val="left"/>
        <w:rPr>
          <w:rFonts w:eastAsia="TimesNewRomanPSMT"/>
          <w:color w:val="auto"/>
          <w:kern w:val="21"/>
          <w:lang w:bidi="ar"/>
        </w:rPr>
      </w:pPr>
      <w:r>
        <w:rPr>
          <w:rFonts w:eastAsia="新宋体"/>
          <w:color w:val="auto"/>
          <w:kern w:val="21"/>
          <w:lang w:bidi="ar"/>
        </w:rPr>
        <w:t>①</w:t>
      </w:r>
      <w:r>
        <w:rPr>
          <w:color w:val="auto"/>
          <w:kern w:val="21"/>
          <w:lang w:bidi="ar"/>
        </w:rPr>
        <w:t>素填土：褐、褐黄色夹浅黄灰色及灰白色、灰褐色、褐红色、紫红色等，颜色较杂，稍湿～饱和，稍密，欠固结土。主要成分为可塑</w:t>
      </w:r>
      <w:r>
        <w:rPr>
          <w:rFonts w:eastAsia="TimesNewRomanPSMT"/>
          <w:color w:val="auto"/>
          <w:kern w:val="21"/>
          <w:lang w:bidi="ar"/>
        </w:rPr>
        <w:t>-</w:t>
      </w:r>
      <w:r>
        <w:rPr>
          <w:color w:val="auto"/>
          <w:kern w:val="21"/>
          <w:lang w:bidi="ar"/>
        </w:rPr>
        <w:t>硬塑状黏性土、粉土，局部呈软塑状，少量全、强风化泥岩、砂岩，含少量角砾碎石、块石及生活垃圾。物质组成较复杂，均匀性差。未经压实，回填时间</w:t>
      </w:r>
      <w:r>
        <w:rPr>
          <w:rFonts w:eastAsia="TimesNewRomanPSMT"/>
          <w:color w:val="auto"/>
          <w:kern w:val="21"/>
          <w:lang w:bidi="ar"/>
        </w:rPr>
        <w:t>5</w:t>
      </w:r>
      <w:r>
        <w:rPr>
          <w:color w:val="auto"/>
          <w:kern w:val="21"/>
          <w:lang w:bidi="ar"/>
        </w:rPr>
        <w:t>～</w:t>
      </w:r>
      <w:r>
        <w:rPr>
          <w:rFonts w:eastAsia="TimesNewRomanPSMT"/>
          <w:color w:val="auto"/>
          <w:kern w:val="21"/>
          <w:lang w:bidi="ar"/>
        </w:rPr>
        <w:t>10</w:t>
      </w:r>
      <w:r>
        <w:rPr>
          <w:color w:val="auto"/>
          <w:kern w:val="21"/>
          <w:lang w:bidi="ar"/>
        </w:rPr>
        <w:t>年。该层在场地内均有分布，局部厚度变化较大。场地内第四系填土层厚度</w:t>
      </w:r>
      <w:r>
        <w:rPr>
          <w:rFonts w:eastAsia="TimesNewRomanPSMT"/>
          <w:color w:val="auto"/>
          <w:kern w:val="21"/>
          <w:lang w:bidi="ar"/>
        </w:rPr>
        <w:t>5.50</w:t>
      </w:r>
      <w:r>
        <w:rPr>
          <w:color w:val="auto"/>
          <w:kern w:val="21"/>
          <w:lang w:bidi="ar"/>
        </w:rPr>
        <w:t>～</w:t>
      </w:r>
      <w:r>
        <w:rPr>
          <w:rFonts w:eastAsia="TimesNewRomanPSMT"/>
          <w:color w:val="auto"/>
          <w:kern w:val="21"/>
          <w:lang w:bidi="ar"/>
        </w:rPr>
        <w:t>14.50m</w:t>
      </w:r>
      <w:r>
        <w:rPr>
          <w:color w:val="auto"/>
          <w:kern w:val="21"/>
          <w:lang w:bidi="ar"/>
        </w:rPr>
        <w:t>，平均厚</w:t>
      </w:r>
      <w:r>
        <w:rPr>
          <w:rFonts w:eastAsia="TimesNewRomanPSMT"/>
          <w:color w:val="auto"/>
          <w:kern w:val="21"/>
          <w:lang w:bidi="ar"/>
        </w:rPr>
        <w:t>8.55m</w:t>
      </w:r>
      <w:r>
        <w:rPr>
          <w:color w:val="auto"/>
          <w:kern w:val="21"/>
          <w:lang w:bidi="ar"/>
        </w:rPr>
        <w:t>，顶板高程</w:t>
      </w:r>
      <w:r>
        <w:rPr>
          <w:rFonts w:eastAsia="TimesNewRomanPSMT"/>
          <w:color w:val="auto"/>
          <w:kern w:val="21"/>
          <w:lang w:bidi="ar"/>
        </w:rPr>
        <w:t>1824.31</w:t>
      </w:r>
      <w:r>
        <w:rPr>
          <w:color w:val="auto"/>
          <w:kern w:val="21"/>
          <w:lang w:bidi="ar"/>
        </w:rPr>
        <w:t>～</w:t>
      </w:r>
      <w:r>
        <w:rPr>
          <w:rFonts w:eastAsia="TimesNewRomanPSMT"/>
          <w:color w:val="auto"/>
          <w:kern w:val="21"/>
          <w:lang w:bidi="ar"/>
        </w:rPr>
        <w:t>1819.08m</w:t>
      </w:r>
      <w:r>
        <w:rPr>
          <w:color w:val="auto"/>
          <w:kern w:val="21"/>
          <w:lang w:bidi="ar"/>
        </w:rPr>
        <w:t>，底板埋深</w:t>
      </w:r>
      <w:r>
        <w:rPr>
          <w:rFonts w:eastAsia="TimesNewRomanPSMT"/>
          <w:color w:val="auto"/>
          <w:kern w:val="21"/>
          <w:lang w:bidi="ar"/>
        </w:rPr>
        <w:t>5.50</w:t>
      </w:r>
      <w:r>
        <w:rPr>
          <w:color w:val="auto"/>
          <w:kern w:val="21"/>
          <w:lang w:bidi="ar"/>
        </w:rPr>
        <w:t>～</w:t>
      </w:r>
      <w:r>
        <w:rPr>
          <w:rFonts w:eastAsia="TimesNewRomanPSMT"/>
          <w:color w:val="auto"/>
          <w:kern w:val="21"/>
          <w:lang w:bidi="ar"/>
        </w:rPr>
        <w:t>14.50m</w:t>
      </w:r>
      <w:r>
        <w:rPr>
          <w:color w:val="auto"/>
          <w:kern w:val="21"/>
          <w:lang w:bidi="ar"/>
        </w:rPr>
        <w:t>，底板高程</w:t>
      </w:r>
      <w:r>
        <w:rPr>
          <w:rFonts w:eastAsia="TimesNewRomanPSMT"/>
          <w:color w:val="auto"/>
          <w:kern w:val="21"/>
          <w:lang w:bidi="ar"/>
        </w:rPr>
        <w:t>1814.90</w:t>
      </w:r>
      <w:r>
        <w:rPr>
          <w:color w:val="auto"/>
          <w:kern w:val="21"/>
          <w:lang w:bidi="ar"/>
        </w:rPr>
        <w:t>～</w:t>
      </w:r>
      <w:r>
        <w:rPr>
          <w:rFonts w:eastAsia="TimesNewRomanPSMT"/>
          <w:color w:val="auto"/>
          <w:kern w:val="21"/>
          <w:lang w:bidi="ar"/>
        </w:rPr>
        <w:t>1806.93m。</w:t>
      </w:r>
    </w:p>
    <w:p>
      <w:pPr>
        <w:widowControl/>
        <w:ind w:firstLine="480"/>
        <w:jc w:val="left"/>
        <w:rPr>
          <w:color w:val="auto"/>
          <w:kern w:val="21"/>
        </w:rPr>
      </w:pPr>
      <w:r>
        <w:rPr>
          <w:color w:val="auto"/>
          <w:kern w:val="21"/>
        </w:rPr>
        <w:t>2、第四系全新统冲洪积层</w:t>
      </w:r>
      <w:r>
        <w:rPr>
          <w:rFonts w:hint="eastAsia"/>
          <w:color w:val="auto"/>
          <w:kern w:val="21"/>
        </w:rPr>
        <w:t>（</w:t>
      </w:r>
      <w:r>
        <w:rPr>
          <w:color w:val="auto"/>
          <w:kern w:val="21"/>
        </w:rPr>
        <w:t>Q4al+pl</w:t>
      </w:r>
      <w:r>
        <w:rPr>
          <w:rFonts w:hint="eastAsia"/>
          <w:color w:val="auto"/>
          <w:kern w:val="21"/>
        </w:rPr>
        <w:t>）</w:t>
      </w:r>
    </w:p>
    <w:p>
      <w:pPr>
        <w:widowControl/>
        <w:ind w:firstLine="480"/>
        <w:rPr>
          <w:color w:val="auto"/>
          <w:kern w:val="21"/>
        </w:rPr>
      </w:pPr>
      <w:r>
        <w:rPr>
          <w:color w:val="auto"/>
          <w:kern w:val="21"/>
        </w:rPr>
        <w:t>②粉质黏土：褐、褐黄色、灰褐色及浅黄绿色，饱和，硬塑状，局部夹粉土薄层，分布不均匀。场地内第四系全新统冲洪积层厚度0.50～2.90m，平均厚1.51m，顶板埋深5.50～8.40m，顶板标高1814.90～1811.69m，底板埋深7.50～10.40m，底板标高1813.40～1809.89m。</w:t>
      </w:r>
    </w:p>
    <w:p>
      <w:pPr>
        <w:widowControl/>
        <w:ind w:firstLine="480"/>
        <w:jc w:val="left"/>
        <w:rPr>
          <w:color w:val="auto"/>
          <w:kern w:val="21"/>
        </w:rPr>
      </w:pPr>
      <w:r>
        <w:rPr>
          <w:color w:val="auto"/>
          <w:kern w:val="21"/>
        </w:rPr>
        <w:t>②1粉质黏土：褐、灰褐色、褐黄色，饱和，可塑状，局部软塑，夹薄层粉土，分布不均匀，揭露厚度0.70～3.00m，平均厚1.58m，顶板埋深7.80～9.20m，顶板标高1813.40～1810.50m，底板埋深9.40～11.00m，底板标高1811.56～1809.02m。</w:t>
      </w:r>
    </w:p>
    <w:p>
      <w:pPr>
        <w:widowControl/>
        <w:ind w:firstLine="480"/>
        <w:jc w:val="left"/>
        <w:rPr>
          <w:color w:val="auto"/>
          <w:kern w:val="21"/>
        </w:rPr>
      </w:pPr>
      <w:r>
        <w:rPr>
          <w:color w:val="auto"/>
          <w:kern w:val="21"/>
        </w:rPr>
        <w:t>③粉砂：棕红色、灰褐色、浅灰白色，饱和，松散～稍密。黏粒含量5～8%，呈透镜状分布，厚度0.50～2.20m，平均厚1.22m。顶板埋深8.40～11.00m，顶板标高1812.41～1809.02m，底板埋深9.40～12.60m，底板标高1811.41～1807.33m。</w:t>
      </w:r>
    </w:p>
    <w:p>
      <w:pPr>
        <w:widowControl/>
        <w:ind w:firstLine="480"/>
        <w:jc w:val="left"/>
        <w:rPr>
          <w:color w:val="auto"/>
          <w:kern w:val="21"/>
        </w:rPr>
      </w:pPr>
      <w:r>
        <w:rPr>
          <w:rFonts w:eastAsia="新宋体"/>
          <w:color w:val="auto"/>
          <w:kern w:val="21"/>
          <w:lang w:bidi="ar"/>
        </w:rPr>
        <w:t>③</w:t>
      </w:r>
      <w:r>
        <w:rPr>
          <w:rFonts w:eastAsia="TimesNewRomanPSMT"/>
          <w:color w:val="auto"/>
          <w:kern w:val="21"/>
          <w:sz w:val="16"/>
          <w:szCs w:val="16"/>
          <w:lang w:bidi="ar"/>
        </w:rPr>
        <w:t>1</w:t>
      </w:r>
      <w:r>
        <w:rPr>
          <w:color w:val="auto"/>
          <w:kern w:val="21"/>
          <w:lang w:bidi="ar"/>
        </w:rPr>
        <w:t>粉土：褐、灰褐色、褐红色，棕褐色，饱和，稍密，可塑，偶含少量砾石。局部黏粒含量高，呈粉质黏土状，局部砂粒含量较高，呈粉砂。呈透镜状分布，规律性差，分布不均匀，连续性差，厚度变化大。场地内揭露厚度</w:t>
      </w:r>
      <w:r>
        <w:rPr>
          <w:rFonts w:eastAsia="TimesNewRomanPSMT"/>
          <w:color w:val="auto"/>
          <w:kern w:val="21"/>
          <w:lang w:bidi="ar"/>
        </w:rPr>
        <w:t>0.60</w:t>
      </w:r>
      <w:r>
        <w:rPr>
          <w:color w:val="auto"/>
          <w:kern w:val="21"/>
          <w:lang w:bidi="ar"/>
        </w:rPr>
        <w:t>～</w:t>
      </w:r>
      <w:r>
        <w:rPr>
          <w:rFonts w:eastAsia="TimesNewRomanPSMT"/>
          <w:color w:val="auto"/>
          <w:kern w:val="21"/>
          <w:lang w:bidi="ar"/>
        </w:rPr>
        <w:t>1.70m</w:t>
      </w:r>
      <w:r>
        <w:rPr>
          <w:color w:val="auto"/>
          <w:kern w:val="21"/>
          <w:lang w:bidi="ar"/>
        </w:rPr>
        <w:t>。顶板埋深</w:t>
      </w:r>
      <w:r>
        <w:rPr>
          <w:rFonts w:eastAsia="TimesNewRomanPSMT"/>
          <w:color w:val="auto"/>
          <w:kern w:val="21"/>
          <w:lang w:bidi="ar"/>
        </w:rPr>
        <w:t>6.10</w:t>
      </w:r>
      <w:r>
        <w:rPr>
          <w:color w:val="auto"/>
          <w:kern w:val="21"/>
          <w:lang w:bidi="ar"/>
        </w:rPr>
        <w:t>～</w:t>
      </w:r>
      <w:r>
        <w:rPr>
          <w:rFonts w:eastAsia="TimesNewRomanPSMT"/>
          <w:color w:val="auto"/>
          <w:kern w:val="21"/>
          <w:lang w:bidi="ar"/>
        </w:rPr>
        <w:t>11.30m</w:t>
      </w:r>
      <w:r>
        <w:rPr>
          <w:color w:val="auto"/>
          <w:kern w:val="21"/>
          <w:lang w:bidi="ar"/>
        </w:rPr>
        <w:t>，顶板高程</w:t>
      </w:r>
      <w:r>
        <w:rPr>
          <w:rFonts w:eastAsia="TimesNewRomanPSMT"/>
          <w:color w:val="auto"/>
          <w:kern w:val="21"/>
          <w:lang w:bidi="ar"/>
        </w:rPr>
        <w:t>1813.70</w:t>
      </w:r>
      <w:r>
        <w:rPr>
          <w:color w:val="auto"/>
          <w:kern w:val="21"/>
          <w:lang w:bidi="ar"/>
        </w:rPr>
        <w:t>～</w:t>
      </w:r>
      <w:r>
        <w:rPr>
          <w:rFonts w:eastAsia="TimesNewRomanPSMT"/>
          <w:color w:val="auto"/>
          <w:kern w:val="21"/>
          <w:lang w:bidi="ar"/>
        </w:rPr>
        <w:t>1808.68m</w:t>
      </w:r>
      <w:r>
        <w:rPr>
          <w:color w:val="auto"/>
          <w:kern w:val="21"/>
          <w:lang w:bidi="ar"/>
        </w:rPr>
        <w:t>；底板埋深</w:t>
      </w:r>
      <w:r>
        <w:rPr>
          <w:rFonts w:eastAsia="TimesNewRomanPSMT"/>
          <w:color w:val="auto"/>
          <w:kern w:val="21"/>
          <w:lang w:bidi="ar"/>
        </w:rPr>
        <w:t>7.30</w:t>
      </w:r>
      <w:r>
        <w:rPr>
          <w:color w:val="auto"/>
          <w:kern w:val="21"/>
          <w:lang w:bidi="ar"/>
        </w:rPr>
        <w:t>～</w:t>
      </w:r>
      <w:r>
        <w:rPr>
          <w:rFonts w:eastAsia="TimesNewRomanPSMT"/>
          <w:color w:val="auto"/>
          <w:kern w:val="21"/>
          <w:lang w:bidi="ar"/>
        </w:rPr>
        <w:t>12.40m</w:t>
      </w:r>
      <w:r>
        <w:rPr>
          <w:color w:val="auto"/>
          <w:kern w:val="21"/>
          <w:lang w:bidi="ar"/>
        </w:rPr>
        <w:t>，底板高程</w:t>
      </w:r>
      <w:r>
        <w:rPr>
          <w:rFonts w:eastAsia="TimesNewRomanPSMT"/>
          <w:color w:val="auto"/>
          <w:kern w:val="21"/>
          <w:lang w:bidi="ar"/>
        </w:rPr>
        <w:t>1812.54</w:t>
      </w:r>
      <w:r>
        <w:rPr>
          <w:color w:val="auto"/>
          <w:kern w:val="21"/>
          <w:lang w:bidi="ar"/>
        </w:rPr>
        <w:t>～</w:t>
      </w:r>
      <w:r>
        <w:rPr>
          <w:rFonts w:eastAsia="TimesNewRomanPSMT"/>
          <w:color w:val="auto"/>
          <w:kern w:val="21"/>
          <w:lang w:bidi="ar"/>
        </w:rPr>
        <w:t>1807.64m</w:t>
      </w:r>
      <w:r>
        <w:rPr>
          <w:color w:val="auto"/>
          <w:kern w:val="21"/>
          <w:lang w:bidi="ar"/>
        </w:rPr>
        <w:t>。</w:t>
      </w:r>
    </w:p>
    <w:p>
      <w:pPr>
        <w:widowControl/>
        <w:ind w:firstLine="480"/>
        <w:jc w:val="left"/>
        <w:rPr>
          <w:color w:val="auto"/>
          <w:kern w:val="21"/>
        </w:rPr>
      </w:pPr>
      <w:r>
        <w:rPr>
          <w:rFonts w:eastAsia="新宋体"/>
          <w:color w:val="auto"/>
          <w:kern w:val="21"/>
          <w:lang w:bidi="ar"/>
        </w:rPr>
        <w:t>④</w:t>
      </w:r>
      <w:r>
        <w:rPr>
          <w:color w:val="auto"/>
          <w:kern w:val="21"/>
          <w:lang w:bidi="ar"/>
        </w:rPr>
        <w:t>圆砾：褐黄色、浅黄灰色及灰褐色、灰色，饱和，稍密～中密，局部松散。砾石母岩主要为强、中风化砂岩，呈亚圆形，部分次棱角状，分选性差。主要为粉细砂充填，局部黏粒充填，胶结差。呈透镜状分布，规律性差，分布不均匀，连续性差，厚度变化大。场地内揭露厚度</w:t>
      </w:r>
      <w:r>
        <w:rPr>
          <w:rFonts w:eastAsia="TimesNewRomanPSMT"/>
          <w:color w:val="auto"/>
          <w:kern w:val="21"/>
          <w:lang w:bidi="ar"/>
        </w:rPr>
        <w:t>0.50</w:t>
      </w:r>
      <w:r>
        <w:rPr>
          <w:color w:val="auto"/>
          <w:kern w:val="21"/>
          <w:lang w:bidi="ar"/>
        </w:rPr>
        <w:t>～</w:t>
      </w:r>
      <w:r>
        <w:rPr>
          <w:rFonts w:eastAsia="TimesNewRomanPSMT"/>
          <w:color w:val="auto"/>
          <w:kern w:val="21"/>
          <w:lang w:bidi="ar"/>
        </w:rPr>
        <w:t>2.80m</w:t>
      </w:r>
      <w:r>
        <w:rPr>
          <w:color w:val="auto"/>
          <w:kern w:val="21"/>
          <w:lang w:bidi="ar"/>
        </w:rPr>
        <w:t>。顶板埋深</w:t>
      </w:r>
      <w:r>
        <w:rPr>
          <w:rFonts w:eastAsia="TimesNewRomanPSMT"/>
          <w:color w:val="auto"/>
          <w:kern w:val="21"/>
          <w:lang w:bidi="ar"/>
        </w:rPr>
        <w:t>7.30</w:t>
      </w:r>
      <w:r>
        <w:rPr>
          <w:color w:val="auto"/>
          <w:kern w:val="21"/>
          <w:lang w:bidi="ar"/>
        </w:rPr>
        <w:t>～</w:t>
      </w:r>
      <w:r>
        <w:rPr>
          <w:rFonts w:eastAsia="TimesNewRomanPSMT"/>
          <w:color w:val="auto"/>
          <w:kern w:val="21"/>
          <w:lang w:bidi="ar"/>
        </w:rPr>
        <w:t>14.50m</w:t>
      </w:r>
      <w:r>
        <w:rPr>
          <w:color w:val="auto"/>
          <w:kern w:val="21"/>
          <w:lang w:bidi="ar"/>
        </w:rPr>
        <w:t>，顶板高程</w:t>
      </w:r>
      <w:r>
        <w:rPr>
          <w:rFonts w:eastAsia="TimesNewRomanPSMT"/>
          <w:color w:val="auto"/>
          <w:kern w:val="21"/>
          <w:lang w:bidi="ar"/>
        </w:rPr>
        <w:t>1813.75</w:t>
      </w:r>
      <w:r>
        <w:rPr>
          <w:color w:val="auto"/>
          <w:kern w:val="21"/>
          <w:lang w:bidi="ar"/>
        </w:rPr>
        <w:t>～</w:t>
      </w:r>
      <w:r>
        <w:rPr>
          <w:rFonts w:eastAsia="TimesNewRomanPSMT"/>
          <w:color w:val="auto"/>
          <w:kern w:val="21"/>
          <w:lang w:bidi="ar"/>
        </w:rPr>
        <w:t>1809.16m</w:t>
      </w:r>
      <w:r>
        <w:rPr>
          <w:color w:val="auto"/>
          <w:kern w:val="21"/>
          <w:lang w:bidi="ar"/>
        </w:rPr>
        <w:t>；底板埋深</w:t>
      </w:r>
      <w:r>
        <w:rPr>
          <w:rFonts w:eastAsia="TimesNewRomanPSMT"/>
          <w:color w:val="auto"/>
          <w:kern w:val="21"/>
          <w:lang w:bidi="ar"/>
        </w:rPr>
        <w:t>8.30</w:t>
      </w:r>
      <w:r>
        <w:rPr>
          <w:color w:val="auto"/>
          <w:kern w:val="21"/>
          <w:lang w:bidi="ar"/>
        </w:rPr>
        <w:t>～</w:t>
      </w:r>
      <w:r>
        <w:rPr>
          <w:rFonts w:eastAsia="TimesNewRomanPSMT"/>
          <w:color w:val="auto"/>
          <w:kern w:val="21"/>
          <w:lang w:bidi="ar"/>
        </w:rPr>
        <w:t>15.20m</w:t>
      </w:r>
      <w:r>
        <w:rPr>
          <w:color w:val="auto"/>
          <w:kern w:val="21"/>
          <w:lang w:bidi="ar"/>
        </w:rPr>
        <w:t>，底板高程</w:t>
      </w:r>
      <w:r>
        <w:rPr>
          <w:rFonts w:eastAsia="TimesNewRomanPSMT"/>
          <w:color w:val="auto"/>
          <w:kern w:val="21"/>
          <w:lang w:bidi="ar"/>
        </w:rPr>
        <w:t>1813.05</w:t>
      </w:r>
      <w:r>
        <w:rPr>
          <w:color w:val="auto"/>
          <w:kern w:val="21"/>
          <w:lang w:bidi="ar"/>
        </w:rPr>
        <w:t>～</w:t>
      </w:r>
      <w:r>
        <w:rPr>
          <w:rFonts w:eastAsia="TimesNewRomanPSMT"/>
          <w:color w:val="auto"/>
          <w:kern w:val="21"/>
          <w:lang w:bidi="ar"/>
        </w:rPr>
        <w:t>1807.86m</w:t>
      </w:r>
      <w:r>
        <w:rPr>
          <w:color w:val="auto"/>
          <w:kern w:val="21"/>
          <w:lang w:bidi="ar"/>
        </w:rPr>
        <w:t>。</w:t>
      </w:r>
    </w:p>
    <w:p>
      <w:pPr>
        <w:widowControl/>
        <w:ind w:firstLine="480"/>
        <w:jc w:val="left"/>
        <w:rPr>
          <w:bCs/>
          <w:color w:val="auto"/>
          <w:kern w:val="21"/>
        </w:rPr>
      </w:pPr>
      <w:r>
        <w:rPr>
          <w:rFonts w:eastAsia="TimesNewRomanPS-BoldMT"/>
          <w:bCs/>
          <w:color w:val="auto"/>
          <w:kern w:val="21"/>
          <w:lang w:bidi="ar"/>
        </w:rPr>
        <w:t>3</w:t>
      </w:r>
      <w:r>
        <w:rPr>
          <w:bCs/>
          <w:color w:val="auto"/>
          <w:kern w:val="21"/>
          <w:lang w:bidi="ar"/>
        </w:rPr>
        <w:t>、中生界白垩系下统普昌河组</w:t>
      </w:r>
      <w:r>
        <w:rPr>
          <w:rFonts w:hint="eastAsia" w:eastAsia="TimesNewRomanPS-BoldMT"/>
          <w:bCs/>
          <w:color w:val="auto"/>
          <w:kern w:val="21"/>
          <w:lang w:bidi="ar"/>
        </w:rPr>
        <w:t>（</w:t>
      </w:r>
      <w:r>
        <w:rPr>
          <w:rFonts w:eastAsia="TimesNewRomanPS-BoldMT"/>
          <w:bCs/>
          <w:color w:val="auto"/>
          <w:kern w:val="21"/>
          <w:lang w:bidi="ar"/>
        </w:rPr>
        <w:t>K</w:t>
      </w:r>
      <w:r>
        <w:rPr>
          <w:rFonts w:eastAsia="TimesNewRomanPS-BoldMT"/>
          <w:bCs/>
          <w:color w:val="auto"/>
          <w:kern w:val="21"/>
          <w:sz w:val="16"/>
          <w:szCs w:val="16"/>
          <w:lang w:bidi="ar"/>
        </w:rPr>
        <w:t>1</w:t>
      </w:r>
      <w:r>
        <w:rPr>
          <w:rFonts w:eastAsia="TimesNewRomanPS-BoldMT"/>
          <w:bCs/>
          <w:color w:val="auto"/>
          <w:kern w:val="21"/>
          <w:lang w:bidi="ar"/>
        </w:rPr>
        <w:t>p</w:t>
      </w:r>
      <w:r>
        <w:rPr>
          <w:rFonts w:hint="eastAsia" w:eastAsia="TimesNewRomanPS-BoldMT"/>
          <w:bCs/>
          <w:color w:val="auto"/>
          <w:kern w:val="21"/>
          <w:lang w:bidi="ar"/>
        </w:rPr>
        <w:t>）</w:t>
      </w:r>
    </w:p>
    <w:p>
      <w:pPr>
        <w:widowControl/>
        <w:ind w:firstLine="480"/>
        <w:jc w:val="left"/>
        <w:rPr>
          <w:color w:val="auto"/>
          <w:kern w:val="21"/>
        </w:rPr>
      </w:pPr>
      <w:r>
        <w:rPr>
          <w:color w:val="auto"/>
          <w:kern w:val="21"/>
          <w:lang w:bidi="ar"/>
        </w:rPr>
        <w:t>为场地内基岩，岩性为紫红色泥岩。分布较稳定，区域地层厚度大。勘探深度内按其风化程度及物理力学性质差异分为全、强、中风化层并分别叙述：</w:t>
      </w:r>
    </w:p>
    <w:p>
      <w:pPr>
        <w:widowControl/>
        <w:ind w:firstLine="480"/>
        <w:jc w:val="left"/>
        <w:rPr>
          <w:color w:val="auto"/>
          <w:kern w:val="21"/>
        </w:rPr>
      </w:pPr>
      <w:r>
        <w:rPr>
          <w:rFonts w:eastAsia="新宋体"/>
          <w:color w:val="auto"/>
          <w:kern w:val="21"/>
          <w:lang w:bidi="ar"/>
        </w:rPr>
        <w:t>⑤</w:t>
      </w:r>
      <w:r>
        <w:rPr>
          <w:color w:val="auto"/>
          <w:kern w:val="21"/>
          <w:lang w:bidi="ar"/>
        </w:rPr>
        <w:t>全风化泥岩：紫红色，岩芯呈硬塑状粉质黏土，局部含强风化泥岩角砾、碎石，刀切易碎。有</w:t>
      </w:r>
      <w:r>
        <w:rPr>
          <w:rFonts w:eastAsia="TimesNewRomanPSMT"/>
          <w:color w:val="auto"/>
          <w:kern w:val="21"/>
          <w:lang w:bidi="ar"/>
        </w:rPr>
        <w:t>53</w:t>
      </w:r>
      <w:r>
        <w:rPr>
          <w:color w:val="auto"/>
          <w:kern w:val="21"/>
          <w:lang w:bidi="ar"/>
        </w:rPr>
        <w:t>个钻孔揭露，厚度</w:t>
      </w:r>
      <w:r>
        <w:rPr>
          <w:rFonts w:eastAsia="TimesNewRomanPSMT"/>
          <w:color w:val="auto"/>
          <w:kern w:val="21"/>
          <w:lang w:bidi="ar"/>
        </w:rPr>
        <w:t>0.30</w:t>
      </w:r>
      <w:r>
        <w:rPr>
          <w:color w:val="auto"/>
          <w:kern w:val="21"/>
          <w:lang w:bidi="ar"/>
        </w:rPr>
        <w:t>～</w:t>
      </w:r>
      <w:r>
        <w:rPr>
          <w:rFonts w:eastAsia="TimesNewRomanPSMT"/>
          <w:color w:val="auto"/>
          <w:kern w:val="21"/>
          <w:lang w:bidi="ar"/>
        </w:rPr>
        <w:t>1.70m</w:t>
      </w:r>
      <w:r>
        <w:rPr>
          <w:color w:val="auto"/>
          <w:kern w:val="21"/>
          <w:lang w:bidi="ar"/>
        </w:rPr>
        <w:t>，平均厚</w:t>
      </w:r>
      <w:r>
        <w:rPr>
          <w:rFonts w:eastAsia="TimesNewRomanPSMT"/>
          <w:color w:val="auto"/>
          <w:kern w:val="21"/>
          <w:lang w:bidi="ar"/>
        </w:rPr>
        <w:t>0.70m</w:t>
      </w:r>
      <w:r>
        <w:rPr>
          <w:color w:val="auto"/>
          <w:kern w:val="21"/>
          <w:lang w:bidi="ar"/>
        </w:rPr>
        <w:t>，顶板埋深</w:t>
      </w:r>
      <w:r>
        <w:rPr>
          <w:rFonts w:eastAsia="TimesNewRomanPSMT"/>
          <w:color w:val="auto"/>
          <w:kern w:val="21"/>
          <w:lang w:bidi="ar"/>
        </w:rPr>
        <w:t>8.30</w:t>
      </w:r>
      <w:r>
        <w:rPr>
          <w:color w:val="auto"/>
          <w:kern w:val="21"/>
          <w:lang w:bidi="ar"/>
        </w:rPr>
        <w:t>～</w:t>
      </w:r>
      <w:r>
        <w:rPr>
          <w:rFonts w:eastAsia="TimesNewRomanPSMT"/>
          <w:color w:val="auto"/>
          <w:kern w:val="21"/>
          <w:lang w:bidi="ar"/>
        </w:rPr>
        <w:t>12.700m</w:t>
      </w:r>
      <w:r>
        <w:rPr>
          <w:color w:val="auto"/>
          <w:kern w:val="21"/>
          <w:lang w:bidi="ar"/>
        </w:rPr>
        <w:t>，顶板标高</w:t>
      </w:r>
      <w:r>
        <w:rPr>
          <w:rFonts w:eastAsia="TimesNewRomanPSMT"/>
          <w:color w:val="auto"/>
          <w:kern w:val="21"/>
          <w:lang w:bidi="ar"/>
        </w:rPr>
        <w:t>1813.05</w:t>
      </w:r>
      <w:r>
        <w:rPr>
          <w:color w:val="auto"/>
          <w:kern w:val="21"/>
          <w:lang w:bidi="ar"/>
        </w:rPr>
        <w:t>～</w:t>
      </w:r>
      <w:r>
        <w:rPr>
          <w:rFonts w:eastAsia="TimesNewRomanPSMT"/>
          <w:color w:val="auto"/>
          <w:kern w:val="21"/>
          <w:lang w:bidi="ar"/>
        </w:rPr>
        <w:t>1807.62m</w:t>
      </w:r>
      <w:r>
        <w:rPr>
          <w:color w:val="auto"/>
          <w:kern w:val="21"/>
          <w:lang w:bidi="ar"/>
        </w:rPr>
        <w:t>，底板埋深</w:t>
      </w:r>
      <w:r>
        <w:rPr>
          <w:rFonts w:eastAsia="TimesNewRomanPSMT"/>
          <w:color w:val="auto"/>
          <w:kern w:val="21"/>
          <w:lang w:bidi="ar"/>
        </w:rPr>
        <w:t>9.10</w:t>
      </w:r>
      <w:r>
        <w:rPr>
          <w:color w:val="auto"/>
          <w:kern w:val="21"/>
          <w:lang w:bidi="ar"/>
        </w:rPr>
        <w:t>～</w:t>
      </w:r>
      <w:r>
        <w:rPr>
          <w:rFonts w:eastAsia="TimesNewRomanPSMT"/>
          <w:color w:val="auto"/>
          <w:kern w:val="21"/>
          <w:lang w:bidi="ar"/>
        </w:rPr>
        <w:t>13.30m</w:t>
      </w:r>
      <w:r>
        <w:rPr>
          <w:color w:val="auto"/>
          <w:kern w:val="21"/>
          <w:lang w:bidi="ar"/>
        </w:rPr>
        <w:t>，底板标高</w:t>
      </w:r>
      <w:r>
        <w:rPr>
          <w:rFonts w:eastAsia="TimesNewRomanPSMT"/>
          <w:color w:val="auto"/>
          <w:kern w:val="21"/>
          <w:lang w:bidi="ar"/>
        </w:rPr>
        <w:t>1811.60</w:t>
      </w:r>
      <w:r>
        <w:rPr>
          <w:color w:val="auto"/>
          <w:kern w:val="21"/>
          <w:lang w:bidi="ar"/>
        </w:rPr>
        <w:t>～</w:t>
      </w:r>
      <w:r>
        <w:rPr>
          <w:rFonts w:eastAsia="TimesNewRomanPSMT"/>
          <w:color w:val="auto"/>
          <w:kern w:val="21"/>
          <w:lang w:bidi="ar"/>
        </w:rPr>
        <w:t>1807.12m</w:t>
      </w:r>
      <w:r>
        <w:rPr>
          <w:color w:val="auto"/>
          <w:kern w:val="21"/>
          <w:lang w:bidi="ar"/>
        </w:rPr>
        <w:t>。</w:t>
      </w:r>
    </w:p>
    <w:p>
      <w:pPr>
        <w:widowControl/>
        <w:ind w:firstLine="480"/>
        <w:jc w:val="left"/>
        <w:rPr>
          <w:color w:val="auto"/>
          <w:kern w:val="21"/>
        </w:rPr>
      </w:pPr>
      <w:r>
        <w:rPr>
          <w:rFonts w:eastAsia="新宋体"/>
          <w:color w:val="auto"/>
          <w:kern w:val="21"/>
          <w:lang w:bidi="ar"/>
        </w:rPr>
        <w:t>⑥</w:t>
      </w:r>
      <w:r>
        <w:rPr>
          <w:color w:val="auto"/>
          <w:kern w:val="21"/>
          <w:lang w:bidi="ar"/>
        </w:rPr>
        <w:t>强风化泥岩：紫红色，泥质结构。岩体破碎，岩芯呈角砾碎石状，具碎裂结构。场地内大面积分布，场地内钻孔揭露厚度</w:t>
      </w:r>
      <w:r>
        <w:rPr>
          <w:rFonts w:eastAsia="TimesNewRomanPSMT"/>
          <w:color w:val="auto"/>
          <w:kern w:val="21"/>
          <w:lang w:bidi="ar"/>
        </w:rPr>
        <w:t>0.50</w:t>
      </w:r>
      <w:r>
        <w:rPr>
          <w:color w:val="auto"/>
          <w:kern w:val="21"/>
          <w:lang w:bidi="ar"/>
        </w:rPr>
        <w:t>～</w:t>
      </w:r>
      <w:r>
        <w:rPr>
          <w:rFonts w:eastAsia="TimesNewRomanPSMT"/>
          <w:color w:val="auto"/>
          <w:kern w:val="21"/>
          <w:lang w:bidi="ar"/>
        </w:rPr>
        <w:t>4.00m</w:t>
      </w:r>
      <w:r>
        <w:rPr>
          <w:color w:val="auto"/>
          <w:kern w:val="21"/>
          <w:lang w:bidi="ar"/>
        </w:rPr>
        <w:t>。顶板埋深</w:t>
      </w:r>
      <w:r>
        <w:rPr>
          <w:rFonts w:eastAsia="TimesNewRomanPSMT"/>
          <w:color w:val="auto"/>
          <w:kern w:val="21"/>
          <w:lang w:bidi="ar"/>
        </w:rPr>
        <w:t>7.40</w:t>
      </w:r>
      <w:r>
        <w:rPr>
          <w:color w:val="auto"/>
          <w:kern w:val="21"/>
          <w:lang w:bidi="ar"/>
        </w:rPr>
        <w:t>～</w:t>
      </w:r>
      <w:r>
        <w:rPr>
          <w:rFonts w:eastAsia="TimesNewRomanPSMT"/>
          <w:color w:val="auto"/>
          <w:kern w:val="21"/>
          <w:lang w:bidi="ar"/>
        </w:rPr>
        <w:t>15.20m</w:t>
      </w:r>
      <w:r>
        <w:rPr>
          <w:color w:val="auto"/>
          <w:kern w:val="21"/>
          <w:lang w:bidi="ar"/>
        </w:rPr>
        <w:t>，顶板标高</w:t>
      </w:r>
      <w:r>
        <w:rPr>
          <w:rFonts w:eastAsia="TimesNewRomanPSMT"/>
          <w:color w:val="auto"/>
          <w:kern w:val="21"/>
          <w:lang w:bidi="ar"/>
        </w:rPr>
        <w:t>1814.05</w:t>
      </w:r>
      <w:r>
        <w:rPr>
          <w:color w:val="auto"/>
          <w:kern w:val="21"/>
          <w:lang w:bidi="ar"/>
        </w:rPr>
        <w:t>～</w:t>
      </w:r>
      <w:r>
        <w:rPr>
          <w:rFonts w:eastAsia="TimesNewRomanPSMT"/>
          <w:color w:val="auto"/>
          <w:kern w:val="21"/>
          <w:lang w:bidi="ar"/>
        </w:rPr>
        <w:t>1806.93m</w:t>
      </w:r>
      <w:r>
        <w:rPr>
          <w:color w:val="auto"/>
          <w:kern w:val="21"/>
          <w:lang w:bidi="ar"/>
        </w:rPr>
        <w:t>；底板埋深</w:t>
      </w:r>
      <w:r>
        <w:rPr>
          <w:rFonts w:eastAsia="TimesNewRomanPSMT"/>
          <w:color w:val="auto"/>
          <w:kern w:val="21"/>
          <w:lang w:bidi="ar"/>
        </w:rPr>
        <w:t>10.10</w:t>
      </w:r>
      <w:r>
        <w:rPr>
          <w:color w:val="auto"/>
          <w:kern w:val="21"/>
          <w:lang w:bidi="ar"/>
        </w:rPr>
        <w:t>～</w:t>
      </w:r>
      <w:r>
        <w:rPr>
          <w:rFonts w:eastAsia="TimesNewRomanPSMT"/>
          <w:color w:val="auto"/>
          <w:kern w:val="21"/>
          <w:lang w:bidi="ar"/>
        </w:rPr>
        <w:t>17.60m</w:t>
      </w:r>
      <w:r>
        <w:rPr>
          <w:color w:val="auto"/>
          <w:kern w:val="21"/>
          <w:lang w:bidi="ar"/>
        </w:rPr>
        <w:t>，底板标高</w:t>
      </w:r>
      <w:r>
        <w:rPr>
          <w:rFonts w:eastAsia="TimesNewRomanPSMT"/>
          <w:color w:val="auto"/>
          <w:kern w:val="21"/>
          <w:lang w:bidi="ar"/>
        </w:rPr>
        <w:t>1811.35</w:t>
      </w:r>
      <w:r>
        <w:rPr>
          <w:color w:val="auto"/>
          <w:kern w:val="21"/>
          <w:lang w:bidi="ar"/>
        </w:rPr>
        <w:t>～</w:t>
      </w:r>
      <w:r>
        <w:rPr>
          <w:rFonts w:eastAsia="TimesNewRomanPSMT"/>
          <w:color w:val="auto"/>
          <w:kern w:val="21"/>
          <w:lang w:bidi="ar"/>
        </w:rPr>
        <w:t>1804.11m</w:t>
      </w:r>
      <w:r>
        <w:rPr>
          <w:color w:val="auto"/>
          <w:kern w:val="21"/>
          <w:lang w:bidi="ar"/>
        </w:rPr>
        <w:t>。岩石节理、风化裂隙发育，大多铁锰质薄膜浸染，少数钙质充填，结合差。局部溶孔较发育，多无充填或钙质充填，连通性差，分布不连续。岩石坚硬程度为极软岩，结构面结合差，完整程度为破碎，呈碎裂结构，局部呈碎屑结构，岩体基本质量等级为</w:t>
      </w:r>
      <w:r>
        <w:rPr>
          <w:rFonts w:eastAsia="新宋体"/>
          <w:color w:val="auto"/>
          <w:kern w:val="21"/>
          <w:lang w:bidi="ar"/>
        </w:rPr>
        <w:t>Ⅴ</w:t>
      </w:r>
      <w:r>
        <w:rPr>
          <w:color w:val="auto"/>
          <w:kern w:val="21"/>
          <w:lang w:bidi="ar"/>
        </w:rPr>
        <w:t>类。</w:t>
      </w:r>
    </w:p>
    <w:p>
      <w:pPr>
        <w:widowControl/>
        <w:ind w:firstLine="480"/>
        <w:jc w:val="left"/>
        <w:rPr>
          <w:color w:val="auto"/>
          <w:kern w:val="21"/>
        </w:rPr>
      </w:pPr>
      <w:r>
        <w:rPr>
          <w:rFonts w:eastAsia="新宋体"/>
          <w:color w:val="auto"/>
          <w:kern w:val="21"/>
          <w:lang w:bidi="ar"/>
        </w:rPr>
        <w:t>⑦</w:t>
      </w:r>
      <w:r>
        <w:rPr>
          <w:color w:val="auto"/>
          <w:kern w:val="21"/>
          <w:lang w:bidi="ar"/>
        </w:rPr>
        <w:t>中风化泥岩：紫红色，泥质结构，薄～中厚层状构造，岩体较破碎，岩芯以短柱状、碎石柱状为主，少量长柱状状。分布稳定，厚度大。场地内揭露厚度1.20～14.20m，均未揭穿。顶板埋深10.10～17.60m，顶板标高1811.35～1804.11m。节理裂隙较发育，一般钙质、铁锰质充填，结构面结合差。局部溶孔发育，分布不均匀，孔径一般2～40mm，溶蚀率3～10%，多数钙质充填，部分无充填，连通性差。岩石坚硬程度为软岩，完整程度为较破碎，岩体基本质量等级为Ⅴ类。</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5.2.</w:t>
      </w:r>
      <w:r>
        <w:rPr>
          <w:rFonts w:hint="eastAsia" w:ascii="Times New Roman" w:hAnsi="Times New Roman" w:eastAsia="宋体"/>
          <w:color w:val="auto"/>
          <w:kern w:val="21"/>
          <w:sz w:val="24"/>
          <w:szCs w:val="24"/>
        </w:rPr>
        <w:t>2.2</w:t>
      </w:r>
      <w:r>
        <w:rPr>
          <w:rFonts w:ascii="Times New Roman" w:hAnsi="Times New Roman" w:eastAsia="宋体"/>
          <w:color w:val="auto"/>
          <w:kern w:val="21"/>
          <w:sz w:val="24"/>
          <w:szCs w:val="24"/>
        </w:rPr>
        <w:t>场地水文地质条件</w:t>
      </w:r>
    </w:p>
    <w:p>
      <w:pPr>
        <w:widowControl/>
        <w:ind w:firstLine="480"/>
        <w:jc w:val="left"/>
        <w:rPr>
          <w:color w:val="auto"/>
          <w:kern w:val="21"/>
        </w:rPr>
      </w:pPr>
      <w:r>
        <w:rPr>
          <w:color w:val="auto"/>
          <w:kern w:val="21"/>
          <w:lang w:bidi="ar"/>
        </w:rPr>
        <w:t>根据《</w:t>
      </w:r>
      <w:r>
        <w:rPr>
          <w:color w:val="auto"/>
          <w:kern w:val="21"/>
          <w:szCs w:val="21"/>
        </w:rPr>
        <w:t>楚雄市富民工业园区污水处理厂（一期）项目场地岩土工程勘察报告</w:t>
      </w:r>
      <w:r>
        <w:rPr>
          <w:color w:val="auto"/>
          <w:kern w:val="21"/>
          <w:lang w:bidi="ar"/>
        </w:rPr>
        <w:t>》，项目区地表主要为上层为第四系填土层，其下为第四系冲洪层</w:t>
      </w:r>
      <w:r>
        <w:rPr>
          <w:rFonts w:hint="eastAsia" w:eastAsia="TimesNewRomanPSMT"/>
          <w:color w:val="auto"/>
          <w:kern w:val="21"/>
          <w:lang w:bidi="ar"/>
        </w:rPr>
        <w:t>（</w:t>
      </w:r>
      <w:r>
        <w:rPr>
          <w:rFonts w:eastAsia="TimesNewRomanPSMT"/>
          <w:color w:val="auto"/>
          <w:kern w:val="21"/>
          <w:lang w:bidi="ar"/>
        </w:rPr>
        <w:t>Q</w:t>
      </w:r>
      <w:r>
        <w:rPr>
          <w:rFonts w:eastAsia="TimesNewRomanPSMT"/>
          <w:color w:val="auto"/>
          <w:kern w:val="21"/>
          <w:sz w:val="16"/>
          <w:szCs w:val="16"/>
          <w:lang w:bidi="ar"/>
        </w:rPr>
        <w:t>4al+pl</w:t>
      </w:r>
      <w:r>
        <w:rPr>
          <w:rFonts w:hint="eastAsia" w:eastAsia="TimesNewRomanPSMT"/>
          <w:color w:val="auto"/>
          <w:kern w:val="21"/>
          <w:lang w:bidi="ar"/>
        </w:rPr>
        <w:t>）</w:t>
      </w:r>
      <w:r>
        <w:rPr>
          <w:color w:val="auto"/>
          <w:kern w:val="21"/>
          <w:lang w:bidi="ar"/>
        </w:rPr>
        <w:t>粘性土、粉土、粉砂及圆砾层，下伏基岩为白垩系下统普昌河组（</w:t>
      </w:r>
      <w:r>
        <w:rPr>
          <w:rFonts w:eastAsia="TimesNewRomanPSMT"/>
          <w:color w:val="auto"/>
          <w:kern w:val="21"/>
          <w:lang w:bidi="ar"/>
        </w:rPr>
        <w:t>K</w:t>
      </w:r>
      <w:r>
        <w:rPr>
          <w:rFonts w:eastAsia="TimesNewRomanPSMT"/>
          <w:color w:val="auto"/>
          <w:kern w:val="21"/>
          <w:sz w:val="16"/>
          <w:szCs w:val="16"/>
          <w:lang w:bidi="ar"/>
        </w:rPr>
        <w:t>1</w:t>
      </w:r>
      <w:r>
        <w:rPr>
          <w:rFonts w:eastAsia="TimesNewRomanPSMT"/>
          <w:color w:val="auto"/>
          <w:kern w:val="21"/>
          <w:lang w:bidi="ar"/>
        </w:rPr>
        <w:t>p</w:t>
      </w:r>
      <w:r>
        <w:rPr>
          <w:color w:val="auto"/>
          <w:kern w:val="21"/>
          <w:lang w:bidi="ar"/>
        </w:rPr>
        <w:t>）泥岩。区内水文地质条件主要受地层岩性、地质构造和地形地貌等因素控制。勘察区含水层（组）均与区外紧密相连，未构成独立的水文地质单元。根据场地内地下水的赋存条件、水动力特征，结合含水介质的组合状况，将区内地下水类型划分为松散岩类孔隙潜水和碎屑岩裂隙潜水两种类型：</w:t>
      </w:r>
    </w:p>
    <w:p>
      <w:pPr>
        <w:widowControl/>
        <w:ind w:firstLine="480"/>
        <w:jc w:val="left"/>
        <w:rPr>
          <w:color w:val="auto"/>
          <w:kern w:val="21"/>
          <w:lang w:bidi="ar"/>
        </w:rPr>
      </w:pPr>
      <w:r>
        <w:rPr>
          <w:rFonts w:eastAsia="新宋体"/>
          <w:color w:val="auto"/>
          <w:kern w:val="21"/>
          <w:lang w:bidi="ar"/>
        </w:rPr>
        <w:t>①</w:t>
      </w:r>
      <w:r>
        <w:rPr>
          <w:color w:val="auto"/>
          <w:kern w:val="21"/>
          <w:lang w:bidi="ar"/>
        </w:rPr>
        <w:t>松散岩类孔隙潜水：主要分布在第四系冲洪积层，主要含水介质为</w:t>
      </w:r>
      <w:r>
        <w:rPr>
          <w:rFonts w:eastAsia="新宋体"/>
          <w:color w:val="auto"/>
          <w:kern w:val="21"/>
          <w:lang w:bidi="ar"/>
        </w:rPr>
        <w:t>③</w:t>
      </w:r>
      <w:r>
        <w:rPr>
          <w:color w:val="auto"/>
          <w:kern w:val="21"/>
          <w:lang w:bidi="ar"/>
        </w:rPr>
        <w:t>粉砂、</w:t>
      </w:r>
      <w:r>
        <w:rPr>
          <w:rFonts w:eastAsia="新宋体"/>
          <w:color w:val="auto"/>
          <w:kern w:val="21"/>
          <w:lang w:bidi="ar"/>
        </w:rPr>
        <w:t>③</w:t>
      </w:r>
      <w:r>
        <w:rPr>
          <w:rFonts w:eastAsia="TimesNewRomanPSMT"/>
          <w:color w:val="auto"/>
          <w:kern w:val="21"/>
          <w:sz w:val="16"/>
          <w:szCs w:val="16"/>
          <w:lang w:bidi="ar"/>
        </w:rPr>
        <w:t>1</w:t>
      </w:r>
      <w:r>
        <w:rPr>
          <w:color w:val="auto"/>
          <w:kern w:val="21"/>
          <w:lang w:bidi="ar"/>
        </w:rPr>
        <w:t>粉土</w:t>
      </w:r>
      <w:r>
        <w:rPr>
          <w:rFonts w:eastAsia="新宋体"/>
          <w:color w:val="auto"/>
          <w:kern w:val="21"/>
          <w:lang w:bidi="ar"/>
        </w:rPr>
        <w:t>④</w:t>
      </w:r>
      <w:r>
        <w:rPr>
          <w:color w:val="auto"/>
          <w:kern w:val="21"/>
          <w:lang w:bidi="ar"/>
        </w:rPr>
        <w:t>圆砾，场地内含水层均为透镜状，分布不连续，总体富水性弱～中等，水量贫乏～中等，透水中等。场地内回填土较厚，疏松多孔，透水但不含水，与第四系孔隙水水力联系密切。</w:t>
      </w:r>
    </w:p>
    <w:p>
      <w:pPr>
        <w:widowControl/>
        <w:ind w:firstLine="480"/>
        <w:jc w:val="left"/>
        <w:rPr>
          <w:color w:val="auto"/>
          <w:kern w:val="21"/>
          <w:lang w:bidi="ar"/>
        </w:rPr>
      </w:pPr>
      <w:r>
        <w:rPr>
          <w:rFonts w:eastAsia="新宋体"/>
          <w:color w:val="auto"/>
          <w:kern w:val="21"/>
          <w:lang w:bidi="ar"/>
        </w:rPr>
        <w:t>②</w:t>
      </w:r>
      <w:r>
        <w:rPr>
          <w:color w:val="auto"/>
          <w:kern w:val="21"/>
          <w:lang w:bidi="ar"/>
        </w:rPr>
        <w:t>碎屑岩裂隙潜水：赋存于白垩系下统普昌河组（</w:t>
      </w:r>
      <w:r>
        <w:rPr>
          <w:rFonts w:eastAsia="TimesNewRomanPSMT"/>
          <w:color w:val="auto"/>
          <w:kern w:val="21"/>
          <w:lang w:bidi="ar"/>
        </w:rPr>
        <w:t>K</w:t>
      </w:r>
      <w:r>
        <w:rPr>
          <w:rFonts w:eastAsia="TimesNewRomanPSMT"/>
          <w:color w:val="auto"/>
          <w:kern w:val="21"/>
          <w:sz w:val="16"/>
          <w:szCs w:val="16"/>
          <w:lang w:bidi="ar"/>
        </w:rPr>
        <w:t>1</w:t>
      </w:r>
      <w:r>
        <w:rPr>
          <w:rFonts w:eastAsia="TimesNewRomanPSMT"/>
          <w:color w:val="auto"/>
          <w:kern w:val="21"/>
          <w:lang w:bidi="ar"/>
        </w:rPr>
        <w:t>p</w:t>
      </w:r>
      <w:r>
        <w:rPr>
          <w:color w:val="auto"/>
          <w:kern w:val="21"/>
          <w:lang w:bidi="ar"/>
        </w:rPr>
        <w:t>）泥岩的风化裂隙及部分溶蚀孔隙中，含水层主要为强～中风化泥岩，富水性弱，总体水量贫乏，溶孔发育地段水量中等。局部具微承压性，据勘察期间量测，其承压水头低于松散岩类孔隙水，故可不考虑其承压水头影响。经过实地勘察，场地内旱季地下水位处于较低水位，稳定水位埋深</w:t>
      </w:r>
      <w:r>
        <w:rPr>
          <w:rFonts w:eastAsia="TimesNewRomanPSMT"/>
          <w:color w:val="auto"/>
          <w:kern w:val="21"/>
          <w:lang w:bidi="ar"/>
        </w:rPr>
        <w:t>5.30</w:t>
      </w:r>
      <w:r>
        <w:rPr>
          <w:color w:val="auto"/>
          <w:kern w:val="21"/>
          <w:lang w:bidi="ar"/>
        </w:rPr>
        <w:t>～</w:t>
      </w:r>
      <w:r>
        <w:rPr>
          <w:rFonts w:eastAsia="TimesNewRomanPSMT"/>
          <w:color w:val="auto"/>
          <w:kern w:val="21"/>
          <w:lang w:bidi="ar"/>
        </w:rPr>
        <w:t>10.20m</w:t>
      </w:r>
      <w:r>
        <w:rPr>
          <w:color w:val="auto"/>
          <w:kern w:val="21"/>
          <w:lang w:bidi="ar"/>
        </w:rPr>
        <w:t>，地下水位</w:t>
      </w:r>
      <w:r>
        <w:rPr>
          <w:rFonts w:eastAsia="TimesNewRomanPSMT"/>
          <w:color w:val="auto"/>
          <w:kern w:val="21"/>
          <w:lang w:bidi="ar"/>
        </w:rPr>
        <w:t>1814.94</w:t>
      </w:r>
      <w:r>
        <w:rPr>
          <w:color w:val="auto"/>
          <w:kern w:val="21"/>
          <w:lang w:bidi="ar"/>
        </w:rPr>
        <w:t>～</w:t>
      </w:r>
      <w:r>
        <w:rPr>
          <w:rFonts w:eastAsia="TimesNewRomanPSMT"/>
          <w:color w:val="auto"/>
          <w:kern w:val="21"/>
          <w:lang w:bidi="ar"/>
        </w:rPr>
        <w:t>1812.14m</w:t>
      </w:r>
      <w:r>
        <w:rPr>
          <w:color w:val="auto"/>
          <w:kern w:val="21"/>
          <w:lang w:bidi="ar"/>
        </w:rPr>
        <w:t>。动态随季节变化明显，旱雨季水位变化幅度一般</w:t>
      </w:r>
      <w:r>
        <w:rPr>
          <w:rFonts w:eastAsia="TimesNewRomanPSMT"/>
          <w:color w:val="auto"/>
          <w:kern w:val="21"/>
          <w:lang w:bidi="ar"/>
        </w:rPr>
        <w:t>1</w:t>
      </w:r>
      <w:r>
        <w:rPr>
          <w:color w:val="auto"/>
          <w:kern w:val="21"/>
          <w:lang w:bidi="ar"/>
        </w:rPr>
        <w:t>～</w:t>
      </w:r>
      <w:r>
        <w:rPr>
          <w:rFonts w:eastAsia="TimesNewRomanPSMT"/>
          <w:color w:val="auto"/>
          <w:kern w:val="21"/>
          <w:lang w:bidi="ar"/>
        </w:rPr>
        <w:t>2m</w:t>
      </w:r>
      <w:r>
        <w:rPr>
          <w:color w:val="auto"/>
          <w:kern w:val="21"/>
          <w:lang w:bidi="ar"/>
        </w:rPr>
        <w:t>。场地内岩土层埋深变化较大，水文地质结构较复杂，地下水类型相对单一，含水层数量较少，但含水层性质差异较大，富水性及透水性差异较大，水文地质条件复杂程度中等。</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5.2.</w:t>
      </w:r>
      <w:r>
        <w:rPr>
          <w:rFonts w:hint="eastAsia" w:ascii="Times New Roman" w:hAnsi="Times New Roman" w:eastAsia="宋体"/>
          <w:color w:val="auto"/>
          <w:kern w:val="21"/>
          <w:sz w:val="24"/>
          <w:szCs w:val="24"/>
        </w:rPr>
        <w:t>2.3</w:t>
      </w:r>
      <w:r>
        <w:rPr>
          <w:rFonts w:ascii="Times New Roman" w:hAnsi="Times New Roman" w:eastAsia="宋体"/>
          <w:color w:val="auto"/>
          <w:kern w:val="21"/>
          <w:sz w:val="24"/>
          <w:szCs w:val="24"/>
        </w:rPr>
        <w:t>地下水补、径、排条件</w:t>
      </w:r>
    </w:p>
    <w:p>
      <w:pPr>
        <w:ind w:firstLine="480"/>
        <w:rPr>
          <w:color w:val="auto"/>
        </w:rPr>
      </w:pPr>
      <w:r>
        <w:rPr>
          <w:rFonts w:hint="eastAsia" w:ascii="宋体" w:hAnsi="宋体"/>
          <w:color w:val="auto"/>
        </w:rPr>
        <w:t>区内含水层主要接受大气降水的补给，其次是第四系孔隙水的补给。第四系孔隙水补给强度受大气降水的影响，降雨强度大、时间长时，向下补给量就多，反之则少；简而言之，区内地下水主要通过大气降水的下渗直接或间接补给高丰寺组（</w:t>
      </w:r>
      <w:r>
        <w:rPr>
          <w:rFonts w:ascii="宋体" w:hAnsi="宋体"/>
          <w:color w:val="auto"/>
        </w:rPr>
        <w:t>K</w:t>
      </w:r>
      <w:r>
        <w:rPr>
          <w:rFonts w:ascii="宋体" w:hAnsi="宋体"/>
          <w:color w:val="auto"/>
          <w:vertAlign w:val="subscript"/>
        </w:rPr>
        <w:t>1</w:t>
      </w:r>
      <w:r>
        <w:rPr>
          <w:rFonts w:ascii="宋体" w:hAnsi="宋体"/>
          <w:color w:val="auto"/>
        </w:rPr>
        <w:t>g</w:t>
      </w:r>
      <w:r>
        <w:rPr>
          <w:rFonts w:hint="eastAsia" w:ascii="宋体" w:hAnsi="宋体"/>
          <w:color w:val="auto"/>
        </w:rPr>
        <w:t>）基岩裂隙水，沿基岩裂隙处、岩层倾向方向，地下水先自北东往南西方向径流，遇普昌河组（</w:t>
      </w:r>
      <w:r>
        <w:rPr>
          <w:rFonts w:ascii="宋体" w:hAnsi="宋体"/>
          <w:color w:val="auto"/>
        </w:rPr>
        <w:t>K</w:t>
      </w:r>
      <w:r>
        <w:rPr>
          <w:rFonts w:ascii="宋体" w:hAnsi="宋体"/>
          <w:color w:val="auto"/>
          <w:vertAlign w:val="subscript"/>
        </w:rPr>
        <w:t>1</w:t>
      </w:r>
      <w:r>
        <w:rPr>
          <w:rFonts w:ascii="宋体" w:hAnsi="宋体"/>
          <w:color w:val="auto"/>
        </w:rPr>
        <w:t>p</w:t>
      </w:r>
      <w:r>
        <w:rPr>
          <w:rFonts w:hint="eastAsia" w:ascii="宋体" w:hAnsi="宋体"/>
          <w:color w:val="auto"/>
        </w:rPr>
        <w:t>）属泥岩隔水层阻挡后，浅部地下水通过泉点的形式排泄；中部以浅的地下水在隔水层附近集聚，受地形控制，自南东往北西方向径流，沿途以泉点或者</w:t>
      </w:r>
      <w:r>
        <w:rPr>
          <w:rFonts w:hint="eastAsia" w:ascii="宋体" w:hAnsi="宋体"/>
          <w:color w:val="auto"/>
          <w:spacing w:val="-3"/>
        </w:rPr>
        <w:t>片状散流排泄于地表，最终向龙川江排泄；深部地下水先自东向西径流，汇集于楚雄向斜轴部，受地形影响，后</w:t>
      </w:r>
      <w:r>
        <w:rPr>
          <w:rFonts w:hint="eastAsia" w:ascii="宋体" w:hAnsi="宋体"/>
          <w:color w:val="auto"/>
        </w:rPr>
        <w:t>自南东往北西方向径流，排泄于低洼处的河流之中。综上所述，区内地下水补给、径流及排泄条件较为清楚。</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5.2.</w:t>
      </w:r>
      <w:r>
        <w:rPr>
          <w:rFonts w:hint="eastAsia" w:ascii="Times New Roman" w:hAnsi="Times New Roman" w:eastAsia="宋体"/>
          <w:color w:val="auto"/>
          <w:kern w:val="21"/>
          <w:sz w:val="24"/>
          <w:szCs w:val="24"/>
        </w:rPr>
        <w:t>2.4项目区及周边水井和居民饮用水情况调查</w:t>
      </w:r>
    </w:p>
    <w:p>
      <w:pPr>
        <w:ind w:firstLine="480"/>
        <w:rPr>
          <w:rFonts w:ascii="Times New Roman"/>
          <w:color w:val="auto"/>
          <w:sz w:val="24"/>
        </w:rPr>
      </w:pPr>
      <w:r>
        <w:rPr>
          <w:rFonts w:ascii="Times New Roman"/>
          <w:color w:val="auto"/>
          <w:sz w:val="24"/>
        </w:rPr>
        <w:t>根据项目区域水文地质资料可知，</w:t>
      </w:r>
      <w:r>
        <w:rPr>
          <w:rFonts w:hint="eastAsia" w:ascii="Times New Roman"/>
          <w:color w:val="auto"/>
          <w:sz w:val="24"/>
          <w:lang w:eastAsia="zh-CN"/>
        </w:rPr>
        <w:t>评价</w:t>
      </w:r>
      <w:r>
        <w:rPr>
          <w:rFonts w:ascii="Times New Roman"/>
          <w:color w:val="auto"/>
          <w:sz w:val="24"/>
        </w:rPr>
        <w:t>区域地下水水文地质条件简单。根据现场调查及走访调查得知，</w:t>
      </w:r>
      <w:r>
        <w:rPr>
          <w:rFonts w:hint="eastAsia"/>
          <w:color w:val="auto"/>
          <w:kern w:val="21"/>
        </w:rPr>
        <w:t>评价区内地下水开发利用现状较为简单，没有集中式地下水饮用水源，</w:t>
      </w:r>
      <w:r>
        <w:rPr>
          <w:color w:val="auto"/>
          <w:kern w:val="21"/>
        </w:rPr>
        <w:t>项目区范围内现状无泉点出露。</w:t>
      </w:r>
      <w:r>
        <w:rPr>
          <w:rFonts w:hint="eastAsia"/>
          <w:color w:val="auto"/>
          <w:kern w:val="21"/>
          <w:lang w:eastAsia="zh-CN"/>
        </w:rPr>
        <w:t>项目区周边原有村庄</w:t>
      </w:r>
      <w:r>
        <w:rPr>
          <w:color w:val="auto"/>
          <w:kern w:val="21"/>
        </w:rPr>
        <w:t>外周、迤周、迤干、外干、王家小屯</w:t>
      </w:r>
      <w:r>
        <w:rPr>
          <w:rFonts w:hint="eastAsia"/>
          <w:color w:val="auto"/>
          <w:kern w:val="21"/>
          <w:lang w:eastAsia="zh-CN"/>
        </w:rPr>
        <w:t>等</w:t>
      </w:r>
      <w:r>
        <w:rPr>
          <w:rFonts w:hint="eastAsia"/>
          <w:color w:val="auto"/>
          <w:kern w:val="21"/>
        </w:rPr>
        <w:t>已全部</w:t>
      </w:r>
      <w:r>
        <w:rPr>
          <w:rFonts w:hint="eastAsia"/>
          <w:color w:val="auto"/>
          <w:kern w:val="21"/>
          <w:lang w:eastAsia="zh-CN"/>
        </w:rPr>
        <w:t>移民安置并</w:t>
      </w:r>
      <w:r>
        <w:rPr>
          <w:rFonts w:hint="eastAsia"/>
          <w:color w:val="auto"/>
          <w:kern w:val="21"/>
        </w:rPr>
        <w:t>拆除</w:t>
      </w:r>
      <w:r>
        <w:rPr>
          <w:rFonts w:hint="eastAsia"/>
          <w:color w:val="auto"/>
          <w:kern w:val="21"/>
          <w:lang w:eastAsia="zh-CN"/>
        </w:rPr>
        <w:t>，原有水井已无人使用；而</w:t>
      </w:r>
      <w:r>
        <w:rPr>
          <w:rFonts w:hint="eastAsia"/>
          <w:color w:val="auto"/>
          <w:kern w:val="21"/>
        </w:rPr>
        <w:t>其他距离本项目较远的</w:t>
      </w:r>
      <w:r>
        <w:rPr>
          <w:color w:val="auto"/>
          <w:kern w:val="21"/>
        </w:rPr>
        <w:t>沙溪冲、</w:t>
      </w:r>
      <w:r>
        <w:rPr>
          <w:rFonts w:hint="eastAsia"/>
          <w:color w:val="auto"/>
          <w:kern w:val="21"/>
          <w:lang w:eastAsia="zh-CN"/>
        </w:rPr>
        <w:t>大东村</w:t>
      </w:r>
      <w:r>
        <w:rPr>
          <w:color w:val="auto"/>
          <w:kern w:val="21"/>
        </w:rPr>
        <w:t>等</w:t>
      </w:r>
      <w:r>
        <w:rPr>
          <w:rFonts w:hint="eastAsia"/>
          <w:color w:val="auto"/>
          <w:kern w:val="21"/>
        </w:rPr>
        <w:t>村庄</w:t>
      </w:r>
      <w:r>
        <w:rPr>
          <w:rFonts w:hint="eastAsia"/>
          <w:color w:val="auto"/>
          <w:kern w:val="21"/>
          <w:lang w:eastAsia="zh-CN"/>
        </w:rPr>
        <w:t>在</w:t>
      </w:r>
      <w:r>
        <w:rPr>
          <w:rFonts w:hint="eastAsia"/>
          <w:color w:val="auto"/>
          <w:kern w:val="21"/>
        </w:rPr>
        <w:t>国家实施农村“千吨万人”饮用水源工程后</w:t>
      </w:r>
      <w:r>
        <w:rPr>
          <w:rFonts w:hint="eastAsia"/>
          <w:color w:val="auto"/>
          <w:kern w:val="21"/>
          <w:lang w:eastAsia="zh-CN"/>
        </w:rPr>
        <w:t>已</w:t>
      </w:r>
      <w:r>
        <w:rPr>
          <w:rFonts w:hint="eastAsia"/>
          <w:color w:val="auto"/>
          <w:kern w:val="21"/>
        </w:rPr>
        <w:t>覆盖自来水管网，村民饮用水全部使用市政自来水</w:t>
      </w:r>
      <w:r>
        <w:rPr>
          <w:rFonts w:hint="eastAsia"/>
          <w:color w:val="auto"/>
          <w:kern w:val="21"/>
          <w:lang w:eastAsia="zh-CN"/>
        </w:rPr>
        <w:t>，原有水井利用作为灌溉井，</w:t>
      </w:r>
      <w:r>
        <w:rPr>
          <w:rFonts w:ascii="Times New Roman"/>
          <w:color w:val="auto"/>
          <w:sz w:val="24"/>
        </w:rPr>
        <w:t>区域地下水开发程度较低。</w:t>
      </w:r>
    </w:p>
    <w:p>
      <w:pPr>
        <w:pStyle w:val="2"/>
        <w:rPr>
          <w:rFonts w:hint="eastAsia"/>
          <w:color w:val="auto"/>
        </w:rPr>
      </w:pPr>
    </w:p>
    <w:p>
      <w:pPr>
        <w:numPr>
          <w:ilvl w:val="0"/>
          <w:numId w:val="11"/>
        </w:numPr>
        <w:tabs>
          <w:tab w:val="left" w:pos="3395"/>
          <w:tab w:val="clear" w:pos="0"/>
        </w:tabs>
        <w:ind w:left="0" w:leftChars="0" w:firstLine="0" w:firstLineChars="0"/>
        <w:jc w:val="center"/>
        <w:rPr>
          <w:rFonts w:ascii="宋体" w:hAnsi="宋体" w:cs="宋体"/>
          <w:b/>
          <w:bCs/>
          <w:color w:val="auto"/>
        </w:rPr>
      </w:pPr>
      <w:r>
        <w:rPr>
          <w:rFonts w:ascii="宋体" w:hAnsi="宋体" w:cs="宋体"/>
          <w:b/>
          <w:bCs/>
          <w:color w:val="auto"/>
          <w:spacing w:val="-1"/>
        </w:rPr>
        <w:t>项目区及周边泉点和水井调查情况信息表</w:t>
      </w:r>
    </w:p>
    <w:tbl>
      <w:tblPr>
        <w:tblStyle w:val="51"/>
        <w:tblW w:w="950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0"/>
        <w:gridCol w:w="887"/>
        <w:gridCol w:w="1090"/>
        <w:gridCol w:w="1179"/>
        <w:gridCol w:w="877"/>
        <w:gridCol w:w="866"/>
        <w:gridCol w:w="634"/>
        <w:gridCol w:w="740"/>
        <w:gridCol w:w="1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1580" w:type="dxa"/>
            <w:vMerge w:val="restart"/>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12"/>
                <w:sz w:val="21"/>
                <w:szCs w:val="21"/>
              </w:rPr>
              <w:t>保</w:t>
            </w:r>
            <w:r>
              <w:rPr>
                <w:color w:val="auto"/>
                <w:spacing w:val="8"/>
                <w:sz w:val="21"/>
                <w:szCs w:val="21"/>
              </w:rPr>
              <w:t>护目标名称</w:t>
            </w:r>
          </w:p>
        </w:tc>
        <w:tc>
          <w:tcPr>
            <w:tcW w:w="1977" w:type="dxa"/>
            <w:gridSpan w:val="2"/>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6"/>
                <w:sz w:val="21"/>
                <w:szCs w:val="21"/>
              </w:rPr>
              <w:t>坐标</w:t>
            </w:r>
          </w:p>
        </w:tc>
        <w:tc>
          <w:tcPr>
            <w:tcW w:w="1179" w:type="dxa"/>
            <w:vMerge w:val="restart"/>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5"/>
                <w:sz w:val="21"/>
                <w:szCs w:val="21"/>
              </w:rPr>
              <w:t>与</w:t>
            </w:r>
            <w:r>
              <w:rPr>
                <w:color w:val="auto"/>
                <w:spacing w:val="4"/>
                <w:sz w:val="21"/>
                <w:szCs w:val="21"/>
              </w:rPr>
              <w:t>厂</w:t>
            </w:r>
            <w:r>
              <w:rPr>
                <w:color w:val="auto"/>
                <w:spacing w:val="6"/>
                <w:sz w:val="21"/>
                <w:szCs w:val="21"/>
              </w:rPr>
              <w:t>址方</w:t>
            </w:r>
            <w:r>
              <w:rPr>
                <w:color w:val="auto"/>
                <w:spacing w:val="2"/>
                <w:sz w:val="21"/>
                <w:szCs w:val="21"/>
              </w:rPr>
              <w:t>位</w:t>
            </w:r>
          </w:p>
        </w:tc>
        <w:tc>
          <w:tcPr>
            <w:tcW w:w="877" w:type="dxa"/>
            <w:vMerge w:val="restart"/>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5"/>
                <w:position w:val="3"/>
                <w:sz w:val="21"/>
                <w:szCs w:val="21"/>
              </w:rPr>
              <w:t>距离厂界（</w:t>
            </w:r>
            <w:r>
              <w:rPr>
                <w:color w:val="auto"/>
                <w:position w:val="3"/>
                <w:sz w:val="21"/>
                <w:szCs w:val="21"/>
              </w:rPr>
              <w:t>km</w:t>
            </w:r>
            <w:r>
              <w:rPr>
                <w:color w:val="auto"/>
                <w:spacing w:val="5"/>
                <w:position w:val="3"/>
                <w:sz w:val="21"/>
                <w:szCs w:val="21"/>
              </w:rPr>
              <w:t>）</w:t>
            </w:r>
          </w:p>
        </w:tc>
        <w:tc>
          <w:tcPr>
            <w:tcW w:w="866" w:type="dxa"/>
            <w:vMerge w:val="restart"/>
            <w:vAlign w:val="center"/>
          </w:tcPr>
          <w:p>
            <w:pPr>
              <w:widowControl/>
              <w:kinsoku w:val="0"/>
              <w:autoSpaceDE w:val="0"/>
              <w:autoSpaceDN w:val="0"/>
              <w:adjustRightInd w:val="0"/>
              <w:snapToGrid w:val="0"/>
              <w:spacing w:line="240" w:lineRule="auto"/>
              <w:ind w:firstLine="0" w:firstLineChars="0"/>
              <w:jc w:val="center"/>
              <w:textAlignment w:val="baseline"/>
              <w:rPr>
                <w:color w:val="auto"/>
                <w:spacing w:val="5"/>
                <w:position w:val="3"/>
                <w:sz w:val="21"/>
                <w:szCs w:val="21"/>
              </w:rPr>
            </w:pPr>
            <w:r>
              <w:rPr>
                <w:color w:val="auto"/>
                <w:spacing w:val="5"/>
                <w:position w:val="3"/>
                <w:sz w:val="21"/>
                <w:szCs w:val="21"/>
              </w:rPr>
              <w:t>地下水类型</w:t>
            </w:r>
          </w:p>
        </w:tc>
        <w:tc>
          <w:tcPr>
            <w:tcW w:w="634" w:type="dxa"/>
            <w:vMerge w:val="restart"/>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6"/>
                <w:sz w:val="21"/>
                <w:szCs w:val="21"/>
              </w:rPr>
              <w:t>井深</w:t>
            </w:r>
          </w:p>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3"/>
                <w:position w:val="3"/>
                <w:sz w:val="21"/>
                <w:szCs w:val="21"/>
              </w:rPr>
              <w:t>（</w:t>
            </w:r>
            <w:r>
              <w:rPr>
                <w:color w:val="auto"/>
                <w:position w:val="3"/>
                <w:sz w:val="21"/>
                <w:szCs w:val="21"/>
              </w:rPr>
              <w:t>m</w:t>
            </w:r>
            <w:r>
              <w:rPr>
                <w:color w:val="auto"/>
                <w:spacing w:val="3"/>
                <w:position w:val="3"/>
                <w:sz w:val="21"/>
                <w:szCs w:val="21"/>
              </w:rPr>
              <w:t>）</w:t>
            </w:r>
          </w:p>
        </w:tc>
        <w:tc>
          <w:tcPr>
            <w:tcW w:w="740" w:type="dxa"/>
            <w:vMerge w:val="restart"/>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9"/>
                <w:sz w:val="21"/>
                <w:szCs w:val="21"/>
              </w:rPr>
              <w:t>水</w:t>
            </w:r>
            <w:r>
              <w:rPr>
                <w:color w:val="auto"/>
                <w:spacing w:val="7"/>
                <w:sz w:val="21"/>
                <w:szCs w:val="21"/>
              </w:rPr>
              <w:t>位高程</w:t>
            </w:r>
          </w:p>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3"/>
                <w:position w:val="3"/>
                <w:sz w:val="21"/>
                <w:szCs w:val="21"/>
              </w:rPr>
              <w:t>（</w:t>
            </w:r>
            <w:r>
              <w:rPr>
                <w:color w:val="auto"/>
                <w:position w:val="3"/>
                <w:sz w:val="21"/>
                <w:szCs w:val="21"/>
              </w:rPr>
              <w:t>m</w:t>
            </w:r>
            <w:r>
              <w:rPr>
                <w:color w:val="auto"/>
                <w:spacing w:val="3"/>
                <w:position w:val="3"/>
                <w:sz w:val="21"/>
                <w:szCs w:val="21"/>
              </w:rPr>
              <w:t>）</w:t>
            </w:r>
          </w:p>
        </w:tc>
        <w:tc>
          <w:tcPr>
            <w:tcW w:w="1656" w:type="dxa"/>
            <w:vMerge w:val="restart"/>
            <w:vAlign w:val="center"/>
          </w:tcPr>
          <w:p>
            <w:pPr>
              <w:widowControl/>
              <w:kinsoku w:val="0"/>
              <w:autoSpaceDE w:val="0"/>
              <w:autoSpaceDN w:val="0"/>
              <w:adjustRightInd w:val="0"/>
              <w:snapToGrid w:val="0"/>
              <w:spacing w:line="240" w:lineRule="auto"/>
              <w:ind w:firstLine="0" w:firstLineChars="0"/>
              <w:jc w:val="center"/>
              <w:textAlignment w:val="baseline"/>
              <w:rPr>
                <w:color w:val="auto"/>
                <w:spacing w:val="3"/>
                <w:position w:val="3"/>
                <w:sz w:val="21"/>
                <w:szCs w:val="21"/>
              </w:rPr>
            </w:pPr>
            <w:r>
              <w:rPr>
                <w:color w:val="auto"/>
                <w:spacing w:val="3"/>
                <w:position w:val="3"/>
                <w:sz w:val="21"/>
                <w:szCs w:val="21"/>
              </w:rPr>
              <w:t>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1580" w:type="dxa"/>
            <w:vMerge w:val="continue"/>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p>
        </w:tc>
        <w:tc>
          <w:tcPr>
            <w:tcW w:w="88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5"/>
                <w:sz w:val="21"/>
                <w:szCs w:val="21"/>
              </w:rPr>
              <w:t>北纬</w:t>
            </w:r>
          </w:p>
        </w:tc>
        <w:tc>
          <w:tcPr>
            <w:tcW w:w="10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3"/>
                <w:sz w:val="21"/>
                <w:szCs w:val="21"/>
              </w:rPr>
              <w:t>东经</w:t>
            </w:r>
          </w:p>
        </w:tc>
        <w:tc>
          <w:tcPr>
            <w:tcW w:w="1179" w:type="dxa"/>
            <w:vMerge w:val="continue"/>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p>
        </w:tc>
        <w:tc>
          <w:tcPr>
            <w:tcW w:w="877" w:type="dxa"/>
            <w:vMerge w:val="continue"/>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p>
        </w:tc>
        <w:tc>
          <w:tcPr>
            <w:tcW w:w="866" w:type="dxa"/>
            <w:vMerge w:val="continue"/>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p>
        </w:tc>
        <w:tc>
          <w:tcPr>
            <w:tcW w:w="634" w:type="dxa"/>
            <w:vMerge w:val="continue"/>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p>
        </w:tc>
        <w:tc>
          <w:tcPr>
            <w:tcW w:w="740" w:type="dxa"/>
            <w:vMerge w:val="continue"/>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p>
        </w:tc>
        <w:tc>
          <w:tcPr>
            <w:tcW w:w="1656" w:type="dxa"/>
            <w:vMerge w:val="continue"/>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158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11"/>
                <w:sz w:val="21"/>
                <w:szCs w:val="21"/>
              </w:rPr>
              <w:t>上平凹屯泉点</w:t>
            </w:r>
          </w:p>
        </w:tc>
        <w:tc>
          <w:tcPr>
            <w:tcW w:w="88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25°2′17″</w:t>
            </w:r>
          </w:p>
        </w:tc>
        <w:tc>
          <w:tcPr>
            <w:tcW w:w="10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101°34′45″</w:t>
            </w:r>
          </w:p>
        </w:tc>
        <w:tc>
          <w:tcPr>
            <w:tcW w:w="1179" w:type="dxa"/>
            <w:vAlign w:val="center"/>
          </w:tcPr>
          <w:p>
            <w:pPr>
              <w:widowControl/>
              <w:kinsoku w:val="0"/>
              <w:autoSpaceDE w:val="0"/>
              <w:autoSpaceDN w:val="0"/>
              <w:adjustRightInd w:val="0"/>
              <w:snapToGrid w:val="0"/>
              <w:spacing w:line="240" w:lineRule="auto"/>
              <w:ind w:firstLine="0" w:firstLineChars="0"/>
              <w:jc w:val="center"/>
              <w:textAlignment w:val="baseline"/>
              <w:rPr>
                <w:rFonts w:hint="eastAsia" w:eastAsia="宋体"/>
                <w:color w:val="auto"/>
                <w:sz w:val="21"/>
                <w:szCs w:val="21"/>
                <w:lang w:eastAsia="zh-CN"/>
              </w:rPr>
            </w:pPr>
            <w:r>
              <w:rPr>
                <w:color w:val="auto"/>
                <w:sz w:val="21"/>
                <w:szCs w:val="21"/>
              </w:rPr>
              <w:t>北</w:t>
            </w:r>
            <w:r>
              <w:rPr>
                <w:rFonts w:hint="eastAsia"/>
                <w:color w:val="auto"/>
                <w:sz w:val="21"/>
                <w:szCs w:val="21"/>
                <w:lang w:eastAsia="zh-CN"/>
              </w:rPr>
              <w:t>（下游）</w:t>
            </w:r>
          </w:p>
        </w:tc>
        <w:tc>
          <w:tcPr>
            <w:tcW w:w="87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4"/>
                <w:sz w:val="21"/>
                <w:szCs w:val="21"/>
              </w:rPr>
              <w:t>2.7</w:t>
            </w:r>
          </w:p>
        </w:tc>
        <w:tc>
          <w:tcPr>
            <w:tcW w:w="866" w:type="dxa"/>
            <w:vAlign w:val="center"/>
          </w:tcPr>
          <w:p>
            <w:pPr>
              <w:adjustRightInd w:val="0"/>
              <w:snapToGrid w:val="0"/>
              <w:spacing w:line="240" w:lineRule="auto"/>
              <w:ind w:firstLine="0" w:firstLineChars="0"/>
              <w:jc w:val="center"/>
              <w:rPr>
                <w:color w:val="auto"/>
                <w:spacing w:val="-4"/>
                <w:sz w:val="21"/>
                <w:szCs w:val="21"/>
              </w:rPr>
            </w:pPr>
            <w:r>
              <w:rPr>
                <w:rFonts w:hint="eastAsia"/>
                <w:color w:val="auto"/>
                <w:spacing w:val="-2"/>
                <w:sz w:val="21"/>
                <w:szCs w:val="21"/>
              </w:rPr>
              <w:t>裂隙水</w:t>
            </w:r>
          </w:p>
        </w:tc>
        <w:tc>
          <w:tcPr>
            <w:tcW w:w="634"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5"/>
                <w:sz w:val="21"/>
                <w:szCs w:val="21"/>
              </w:rPr>
              <w:t>/</w:t>
            </w:r>
          </w:p>
        </w:tc>
        <w:tc>
          <w:tcPr>
            <w:tcW w:w="74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2"/>
                <w:sz w:val="21"/>
                <w:szCs w:val="21"/>
              </w:rPr>
              <w:t>1804</w:t>
            </w:r>
          </w:p>
        </w:tc>
        <w:tc>
          <w:tcPr>
            <w:tcW w:w="16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pacing w:val="-2"/>
                <w:sz w:val="21"/>
                <w:szCs w:val="21"/>
              </w:rPr>
            </w:pPr>
            <w:r>
              <w:rPr>
                <w:color w:val="auto"/>
                <w:spacing w:val="-2"/>
                <w:sz w:val="21"/>
                <w:szCs w:val="21"/>
              </w:rPr>
              <w:t>农业灌溉用水，现因征地拆迁，该井已闲置，无人使用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jc w:val="center"/>
        </w:trPr>
        <w:tc>
          <w:tcPr>
            <w:tcW w:w="158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7"/>
                <w:sz w:val="21"/>
                <w:szCs w:val="21"/>
              </w:rPr>
              <w:t>罗刀凹泉点</w:t>
            </w:r>
          </w:p>
        </w:tc>
        <w:tc>
          <w:tcPr>
            <w:tcW w:w="88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25°2′49″</w:t>
            </w:r>
          </w:p>
        </w:tc>
        <w:tc>
          <w:tcPr>
            <w:tcW w:w="10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101°36′23″</w:t>
            </w:r>
          </w:p>
        </w:tc>
        <w:tc>
          <w:tcPr>
            <w:tcW w:w="1179" w:type="dxa"/>
            <w:vAlign w:val="center"/>
          </w:tcPr>
          <w:p>
            <w:pPr>
              <w:widowControl/>
              <w:kinsoku w:val="0"/>
              <w:autoSpaceDE w:val="0"/>
              <w:autoSpaceDN w:val="0"/>
              <w:adjustRightInd w:val="0"/>
              <w:snapToGrid w:val="0"/>
              <w:spacing w:line="240" w:lineRule="auto"/>
              <w:ind w:firstLine="0" w:firstLineChars="0"/>
              <w:jc w:val="center"/>
              <w:textAlignment w:val="baseline"/>
              <w:rPr>
                <w:rFonts w:hint="eastAsia" w:eastAsia="宋体"/>
                <w:color w:val="auto"/>
                <w:sz w:val="21"/>
                <w:szCs w:val="21"/>
                <w:lang w:eastAsia="zh-CN"/>
              </w:rPr>
            </w:pPr>
            <w:r>
              <w:rPr>
                <w:color w:val="auto"/>
                <w:sz w:val="21"/>
                <w:szCs w:val="21"/>
              </w:rPr>
              <w:t>东北</w:t>
            </w:r>
            <w:r>
              <w:rPr>
                <w:rFonts w:hint="eastAsia"/>
                <w:color w:val="auto"/>
                <w:sz w:val="21"/>
                <w:szCs w:val="21"/>
                <w:lang w:eastAsia="zh-CN"/>
              </w:rPr>
              <w:t>（下游）</w:t>
            </w:r>
          </w:p>
        </w:tc>
        <w:tc>
          <w:tcPr>
            <w:tcW w:w="87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4"/>
                <w:sz w:val="21"/>
                <w:szCs w:val="21"/>
              </w:rPr>
              <w:t>2.5</w:t>
            </w:r>
          </w:p>
        </w:tc>
        <w:tc>
          <w:tcPr>
            <w:tcW w:w="866" w:type="dxa"/>
            <w:vAlign w:val="center"/>
          </w:tcPr>
          <w:p>
            <w:pPr>
              <w:adjustRightInd w:val="0"/>
              <w:snapToGrid w:val="0"/>
              <w:spacing w:line="240" w:lineRule="auto"/>
              <w:ind w:firstLine="0" w:firstLineChars="0"/>
              <w:jc w:val="center"/>
              <w:rPr>
                <w:color w:val="auto"/>
                <w:spacing w:val="-4"/>
                <w:sz w:val="21"/>
                <w:szCs w:val="21"/>
              </w:rPr>
            </w:pPr>
            <w:r>
              <w:rPr>
                <w:rFonts w:hint="eastAsia"/>
                <w:color w:val="auto"/>
                <w:spacing w:val="-2"/>
                <w:sz w:val="21"/>
                <w:szCs w:val="21"/>
              </w:rPr>
              <w:t>裂隙水</w:t>
            </w:r>
          </w:p>
        </w:tc>
        <w:tc>
          <w:tcPr>
            <w:tcW w:w="634"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5"/>
                <w:sz w:val="21"/>
                <w:szCs w:val="21"/>
              </w:rPr>
              <w:t>/</w:t>
            </w:r>
          </w:p>
        </w:tc>
        <w:tc>
          <w:tcPr>
            <w:tcW w:w="74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2"/>
                <w:sz w:val="21"/>
                <w:szCs w:val="21"/>
              </w:rPr>
              <w:t>1804.6</w:t>
            </w:r>
          </w:p>
        </w:tc>
        <w:tc>
          <w:tcPr>
            <w:tcW w:w="16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pacing w:val="-2"/>
                <w:sz w:val="21"/>
                <w:szCs w:val="21"/>
              </w:rPr>
            </w:pPr>
            <w:r>
              <w:rPr>
                <w:color w:val="auto"/>
                <w:spacing w:val="11"/>
                <w:sz w:val="21"/>
                <w:szCs w:val="21"/>
              </w:rPr>
              <w:t>农业灌溉用水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58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沙溪冲水井</w:t>
            </w:r>
          </w:p>
        </w:tc>
        <w:tc>
          <w:tcPr>
            <w:tcW w:w="88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25°2′32″</w:t>
            </w:r>
          </w:p>
        </w:tc>
        <w:tc>
          <w:tcPr>
            <w:tcW w:w="10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101°35′56″</w:t>
            </w:r>
          </w:p>
        </w:tc>
        <w:tc>
          <w:tcPr>
            <w:tcW w:w="1179" w:type="dxa"/>
            <w:vAlign w:val="center"/>
          </w:tcPr>
          <w:p>
            <w:pPr>
              <w:widowControl/>
              <w:kinsoku w:val="0"/>
              <w:autoSpaceDE w:val="0"/>
              <w:autoSpaceDN w:val="0"/>
              <w:adjustRightInd w:val="0"/>
              <w:snapToGrid w:val="0"/>
              <w:spacing w:line="240" w:lineRule="auto"/>
              <w:ind w:firstLine="0" w:firstLineChars="0"/>
              <w:jc w:val="center"/>
              <w:textAlignment w:val="baseline"/>
              <w:rPr>
                <w:rFonts w:hint="eastAsia" w:eastAsia="宋体"/>
                <w:color w:val="auto"/>
                <w:sz w:val="21"/>
                <w:szCs w:val="21"/>
                <w:lang w:eastAsia="zh-CN"/>
              </w:rPr>
            </w:pPr>
            <w:r>
              <w:rPr>
                <w:color w:val="auto"/>
                <w:sz w:val="21"/>
                <w:szCs w:val="21"/>
              </w:rPr>
              <w:t>东北</w:t>
            </w:r>
            <w:r>
              <w:rPr>
                <w:rFonts w:hint="eastAsia"/>
                <w:color w:val="auto"/>
                <w:sz w:val="21"/>
                <w:szCs w:val="21"/>
                <w:lang w:eastAsia="zh-CN"/>
              </w:rPr>
              <w:t>（下游）</w:t>
            </w:r>
          </w:p>
        </w:tc>
        <w:tc>
          <w:tcPr>
            <w:tcW w:w="87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4"/>
                <w:sz w:val="21"/>
                <w:szCs w:val="21"/>
              </w:rPr>
              <w:t>1</w:t>
            </w:r>
            <w:r>
              <w:rPr>
                <w:color w:val="auto"/>
                <w:spacing w:val="-3"/>
                <w:sz w:val="21"/>
                <w:szCs w:val="21"/>
              </w:rPr>
              <w:t>.9</w:t>
            </w:r>
          </w:p>
        </w:tc>
        <w:tc>
          <w:tcPr>
            <w:tcW w:w="866" w:type="dxa"/>
            <w:vAlign w:val="center"/>
          </w:tcPr>
          <w:p>
            <w:pPr>
              <w:adjustRightInd w:val="0"/>
              <w:snapToGrid w:val="0"/>
              <w:spacing w:line="240" w:lineRule="auto"/>
              <w:ind w:firstLine="0" w:firstLineChars="0"/>
              <w:jc w:val="center"/>
              <w:rPr>
                <w:color w:val="auto"/>
                <w:spacing w:val="-4"/>
                <w:sz w:val="21"/>
                <w:szCs w:val="21"/>
              </w:rPr>
            </w:pPr>
            <w:r>
              <w:rPr>
                <w:rFonts w:hint="eastAsia"/>
                <w:color w:val="auto"/>
                <w:spacing w:val="-2"/>
                <w:sz w:val="21"/>
                <w:szCs w:val="21"/>
              </w:rPr>
              <w:t>裂隙水</w:t>
            </w:r>
          </w:p>
        </w:tc>
        <w:tc>
          <w:tcPr>
            <w:tcW w:w="634"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5"/>
                <w:sz w:val="21"/>
                <w:szCs w:val="21"/>
              </w:rPr>
              <w:t>/</w:t>
            </w:r>
          </w:p>
        </w:tc>
        <w:tc>
          <w:tcPr>
            <w:tcW w:w="74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5"/>
                <w:sz w:val="21"/>
                <w:szCs w:val="21"/>
              </w:rPr>
              <w:t>/</w:t>
            </w:r>
          </w:p>
        </w:tc>
        <w:tc>
          <w:tcPr>
            <w:tcW w:w="16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pacing w:val="5"/>
                <w:sz w:val="21"/>
                <w:szCs w:val="21"/>
              </w:rPr>
            </w:pPr>
            <w:r>
              <w:rPr>
                <w:color w:val="auto"/>
                <w:spacing w:val="11"/>
                <w:sz w:val="21"/>
                <w:szCs w:val="21"/>
              </w:rPr>
              <w:t>农业灌溉用水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58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王家小屯水井</w:t>
            </w:r>
          </w:p>
        </w:tc>
        <w:tc>
          <w:tcPr>
            <w:tcW w:w="88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25°1′5″</w:t>
            </w:r>
          </w:p>
        </w:tc>
        <w:tc>
          <w:tcPr>
            <w:tcW w:w="10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101°36′32″</w:t>
            </w:r>
          </w:p>
        </w:tc>
        <w:tc>
          <w:tcPr>
            <w:tcW w:w="1179" w:type="dxa"/>
            <w:vAlign w:val="center"/>
          </w:tcPr>
          <w:p>
            <w:pPr>
              <w:widowControl/>
              <w:kinsoku w:val="0"/>
              <w:autoSpaceDE w:val="0"/>
              <w:autoSpaceDN w:val="0"/>
              <w:adjustRightInd w:val="0"/>
              <w:snapToGrid w:val="0"/>
              <w:spacing w:line="240" w:lineRule="auto"/>
              <w:ind w:firstLine="0" w:firstLineChars="0"/>
              <w:jc w:val="center"/>
              <w:textAlignment w:val="baseline"/>
              <w:rPr>
                <w:rFonts w:hint="eastAsia" w:eastAsia="宋体"/>
                <w:color w:val="auto"/>
                <w:sz w:val="21"/>
                <w:szCs w:val="21"/>
                <w:lang w:eastAsia="zh-CN"/>
              </w:rPr>
            </w:pPr>
            <w:r>
              <w:rPr>
                <w:color w:val="auto"/>
                <w:sz w:val="21"/>
                <w:szCs w:val="21"/>
              </w:rPr>
              <w:t>东南</w:t>
            </w:r>
            <w:r>
              <w:rPr>
                <w:rFonts w:hint="eastAsia"/>
                <w:color w:val="auto"/>
                <w:sz w:val="21"/>
                <w:szCs w:val="21"/>
                <w:lang w:eastAsia="zh-CN"/>
              </w:rPr>
              <w:t>（侧面）</w:t>
            </w:r>
          </w:p>
        </w:tc>
        <w:tc>
          <w:tcPr>
            <w:tcW w:w="87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4"/>
                <w:sz w:val="21"/>
                <w:szCs w:val="21"/>
              </w:rPr>
              <w:t>0.4</w:t>
            </w:r>
          </w:p>
        </w:tc>
        <w:tc>
          <w:tcPr>
            <w:tcW w:w="866" w:type="dxa"/>
            <w:vAlign w:val="center"/>
          </w:tcPr>
          <w:p>
            <w:pPr>
              <w:adjustRightInd w:val="0"/>
              <w:snapToGrid w:val="0"/>
              <w:spacing w:line="240" w:lineRule="auto"/>
              <w:ind w:firstLine="0" w:firstLineChars="0"/>
              <w:jc w:val="center"/>
              <w:rPr>
                <w:color w:val="auto"/>
                <w:spacing w:val="-4"/>
                <w:sz w:val="21"/>
                <w:szCs w:val="21"/>
              </w:rPr>
            </w:pPr>
            <w:r>
              <w:rPr>
                <w:rFonts w:hint="eastAsia"/>
                <w:color w:val="auto"/>
                <w:spacing w:val="-2"/>
                <w:sz w:val="21"/>
                <w:szCs w:val="21"/>
              </w:rPr>
              <w:t>裂隙水</w:t>
            </w:r>
          </w:p>
        </w:tc>
        <w:tc>
          <w:tcPr>
            <w:tcW w:w="634"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4"/>
                <w:sz w:val="21"/>
                <w:szCs w:val="21"/>
              </w:rPr>
              <w:t>20</w:t>
            </w:r>
          </w:p>
        </w:tc>
        <w:tc>
          <w:tcPr>
            <w:tcW w:w="74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1820.61</w:t>
            </w:r>
          </w:p>
        </w:tc>
        <w:tc>
          <w:tcPr>
            <w:tcW w:w="16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11"/>
                <w:sz w:val="21"/>
                <w:szCs w:val="21"/>
              </w:rPr>
              <w:t>农业灌溉用水，现因村民搬迁，该井已闲置，无人使用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58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大东村水井</w:t>
            </w:r>
          </w:p>
        </w:tc>
        <w:tc>
          <w:tcPr>
            <w:tcW w:w="88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24°59′51″</w:t>
            </w:r>
          </w:p>
        </w:tc>
        <w:tc>
          <w:tcPr>
            <w:tcW w:w="10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z w:val="21"/>
                <w:szCs w:val="21"/>
              </w:rPr>
              <w:t>101°36′39″</w:t>
            </w:r>
          </w:p>
        </w:tc>
        <w:tc>
          <w:tcPr>
            <w:tcW w:w="1179" w:type="dxa"/>
            <w:vAlign w:val="center"/>
          </w:tcPr>
          <w:p>
            <w:pPr>
              <w:widowControl/>
              <w:kinsoku w:val="0"/>
              <w:autoSpaceDE w:val="0"/>
              <w:autoSpaceDN w:val="0"/>
              <w:adjustRightInd w:val="0"/>
              <w:snapToGrid w:val="0"/>
              <w:spacing w:line="240" w:lineRule="auto"/>
              <w:ind w:firstLine="0" w:firstLineChars="0"/>
              <w:jc w:val="center"/>
              <w:textAlignment w:val="baseline"/>
              <w:rPr>
                <w:rFonts w:hint="eastAsia" w:eastAsia="宋体"/>
                <w:color w:val="auto"/>
                <w:sz w:val="21"/>
                <w:szCs w:val="21"/>
                <w:lang w:eastAsia="zh-CN"/>
              </w:rPr>
            </w:pPr>
            <w:r>
              <w:rPr>
                <w:color w:val="auto"/>
                <w:sz w:val="21"/>
                <w:szCs w:val="21"/>
              </w:rPr>
              <w:t>西南</w:t>
            </w:r>
            <w:r>
              <w:rPr>
                <w:rFonts w:hint="eastAsia"/>
                <w:color w:val="auto"/>
                <w:sz w:val="21"/>
                <w:szCs w:val="21"/>
                <w:lang w:eastAsia="zh-CN"/>
              </w:rPr>
              <w:t>（上游）</w:t>
            </w:r>
          </w:p>
        </w:tc>
        <w:tc>
          <w:tcPr>
            <w:tcW w:w="877"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4"/>
                <w:sz w:val="21"/>
                <w:szCs w:val="21"/>
              </w:rPr>
              <w:t>2.3</w:t>
            </w:r>
          </w:p>
        </w:tc>
        <w:tc>
          <w:tcPr>
            <w:tcW w:w="866" w:type="dxa"/>
            <w:vAlign w:val="center"/>
          </w:tcPr>
          <w:p>
            <w:pPr>
              <w:adjustRightInd w:val="0"/>
              <w:snapToGrid w:val="0"/>
              <w:spacing w:line="240" w:lineRule="auto"/>
              <w:ind w:firstLine="0" w:firstLineChars="0"/>
              <w:jc w:val="center"/>
              <w:rPr>
                <w:color w:val="auto"/>
                <w:spacing w:val="-4"/>
                <w:sz w:val="21"/>
                <w:szCs w:val="21"/>
              </w:rPr>
            </w:pPr>
            <w:r>
              <w:rPr>
                <w:rFonts w:hint="eastAsia"/>
                <w:color w:val="auto"/>
                <w:spacing w:val="-2"/>
                <w:sz w:val="21"/>
                <w:szCs w:val="21"/>
              </w:rPr>
              <w:t>裂隙水</w:t>
            </w:r>
          </w:p>
        </w:tc>
        <w:tc>
          <w:tcPr>
            <w:tcW w:w="634"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5"/>
                <w:sz w:val="21"/>
                <w:szCs w:val="21"/>
              </w:rPr>
              <w:t>60</w:t>
            </w:r>
          </w:p>
        </w:tc>
        <w:tc>
          <w:tcPr>
            <w:tcW w:w="74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color w:val="auto"/>
                <w:spacing w:val="5"/>
                <w:sz w:val="21"/>
                <w:szCs w:val="21"/>
              </w:rPr>
              <w:t>/</w:t>
            </w:r>
          </w:p>
        </w:tc>
        <w:tc>
          <w:tcPr>
            <w:tcW w:w="165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spacing w:val="5"/>
                <w:sz w:val="21"/>
                <w:szCs w:val="21"/>
              </w:rPr>
            </w:pPr>
            <w:r>
              <w:rPr>
                <w:color w:val="auto"/>
                <w:spacing w:val="11"/>
                <w:sz w:val="21"/>
                <w:szCs w:val="21"/>
              </w:rPr>
              <w:t>农业灌溉用水</w:t>
            </w:r>
          </w:p>
        </w:tc>
      </w:tr>
    </w:tbl>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5.2.</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5项目污染源分析</w:t>
      </w:r>
    </w:p>
    <w:p>
      <w:pPr>
        <w:widowControl/>
        <w:ind w:firstLine="480"/>
        <w:jc w:val="left"/>
        <w:rPr>
          <w:color w:val="auto"/>
          <w:kern w:val="21"/>
        </w:rPr>
      </w:pPr>
      <w:r>
        <w:rPr>
          <w:color w:val="auto"/>
          <w:kern w:val="21"/>
          <w:lang w:bidi="ar"/>
        </w:rPr>
        <w:t>（1）污废水及固废产生情况</w:t>
      </w:r>
    </w:p>
    <w:p>
      <w:pPr>
        <w:widowControl/>
        <w:ind w:firstLine="480"/>
        <w:jc w:val="left"/>
        <w:rPr>
          <w:color w:val="auto"/>
          <w:kern w:val="21"/>
        </w:rPr>
      </w:pPr>
      <w:r>
        <w:rPr>
          <w:color w:val="auto"/>
          <w:kern w:val="21"/>
          <w:lang w:bidi="ar"/>
        </w:rPr>
        <w:t>拟建项目为楚雄市富民工业园区污水处理厂项目，为工业污水集中区，污水量大，污废水中主要含有COD、BOD</w:t>
      </w:r>
      <w:r>
        <w:rPr>
          <w:color w:val="auto"/>
          <w:kern w:val="21"/>
          <w:sz w:val="15"/>
          <w:szCs w:val="15"/>
          <w:lang w:bidi="ar"/>
        </w:rPr>
        <w:t>5</w:t>
      </w:r>
      <w:r>
        <w:rPr>
          <w:color w:val="auto"/>
          <w:kern w:val="21"/>
          <w:lang w:bidi="ar"/>
        </w:rPr>
        <w:t>、SS、TP、NH</w:t>
      </w:r>
      <w:r>
        <w:rPr>
          <w:color w:val="auto"/>
          <w:kern w:val="21"/>
          <w:sz w:val="15"/>
          <w:szCs w:val="15"/>
          <w:lang w:bidi="ar"/>
        </w:rPr>
        <w:t>3</w:t>
      </w:r>
      <w:r>
        <w:rPr>
          <w:color w:val="auto"/>
          <w:kern w:val="21"/>
          <w:lang w:bidi="ar"/>
        </w:rPr>
        <w:t>-N</w:t>
      </w:r>
      <w:r>
        <w:rPr>
          <w:rFonts w:hint="eastAsia"/>
          <w:color w:val="auto"/>
          <w:kern w:val="21"/>
          <w:lang w:eastAsia="zh-CN" w:bidi="ar"/>
        </w:rPr>
        <w:t>、氟化物</w:t>
      </w:r>
      <w:r>
        <w:rPr>
          <w:color w:val="auto"/>
          <w:kern w:val="21"/>
          <w:lang w:bidi="ar"/>
        </w:rPr>
        <w:t>等污染物，其浓度相对较高，对地下水环境存在一定的污染风险。</w:t>
      </w:r>
    </w:p>
    <w:p>
      <w:pPr>
        <w:widowControl/>
        <w:ind w:firstLine="480"/>
        <w:jc w:val="left"/>
        <w:rPr>
          <w:color w:val="auto"/>
          <w:kern w:val="21"/>
          <w:lang w:bidi="ar"/>
        </w:rPr>
      </w:pPr>
      <w:r>
        <w:rPr>
          <w:color w:val="auto"/>
          <w:kern w:val="21"/>
          <w:lang w:bidi="ar"/>
        </w:rPr>
        <w:t>根据项目运行期对工业污水的处理，以及固体废物产生、收集和处理情况等可知，项目运行过程中对地下水环境存在潜在污染风险的区域主要有粗格栅及进水泵房、细格栅及调节池、混凝沉淀池、水解酸化池、</w:t>
      </w:r>
      <w:r>
        <w:rPr>
          <w:rFonts w:hint="eastAsia"/>
          <w:color w:val="auto"/>
          <w:kern w:val="21"/>
          <w:lang w:bidi="ar"/>
        </w:rPr>
        <w:t>A</w:t>
      </w:r>
      <w:r>
        <w:rPr>
          <w:rFonts w:hint="eastAsia"/>
          <w:color w:val="auto"/>
          <w:kern w:val="21"/>
          <w:vertAlign w:val="superscript"/>
          <w:lang w:bidi="ar"/>
        </w:rPr>
        <w:t>2</w:t>
      </w:r>
      <w:r>
        <w:rPr>
          <w:rFonts w:hint="eastAsia"/>
          <w:color w:val="auto"/>
          <w:kern w:val="21"/>
          <w:lang w:bidi="ar"/>
        </w:rPr>
        <w:t>/O</w:t>
      </w:r>
      <w:r>
        <w:rPr>
          <w:color w:val="auto"/>
          <w:kern w:val="21"/>
          <w:lang w:bidi="ar"/>
        </w:rPr>
        <w:t>生化池、MBR膜池、储罐区、紫外线消毒渠、巴氏计量槽、污泥脱水车间、储泥池等设施。</w:t>
      </w:r>
    </w:p>
    <w:p>
      <w:pPr>
        <w:widowControl/>
        <w:ind w:firstLine="480"/>
        <w:jc w:val="left"/>
        <w:rPr>
          <w:color w:val="auto"/>
          <w:kern w:val="21"/>
        </w:rPr>
      </w:pPr>
      <w:r>
        <w:rPr>
          <w:color w:val="auto"/>
          <w:kern w:val="21"/>
          <w:lang w:bidi="ar"/>
        </w:rPr>
        <w:t>（2）地下水污染途径</w:t>
      </w:r>
    </w:p>
    <w:p>
      <w:pPr>
        <w:widowControl/>
        <w:ind w:firstLine="480"/>
        <w:jc w:val="left"/>
        <w:rPr>
          <w:color w:val="auto"/>
          <w:kern w:val="21"/>
        </w:rPr>
      </w:pPr>
      <w:r>
        <w:rPr>
          <w:color w:val="auto"/>
          <w:kern w:val="21"/>
          <w:lang w:bidi="ar"/>
        </w:rPr>
        <w:t>污染物从污染源进入地下水所经过的路径称为地下水污染途径，地下水污染途径是多种多样的。根据工程分析，项目可能对地下水造成污染的途径主要有：</w:t>
      </w:r>
    </w:p>
    <w:p>
      <w:pPr>
        <w:widowControl/>
        <w:ind w:firstLine="480"/>
        <w:jc w:val="left"/>
        <w:rPr>
          <w:color w:val="auto"/>
          <w:kern w:val="21"/>
        </w:rPr>
      </w:pPr>
      <w:r>
        <w:rPr>
          <w:color w:val="auto"/>
          <w:kern w:val="21"/>
          <w:lang w:bidi="ar"/>
        </w:rPr>
        <w:t>①若粗格栅及进水泵房、细格栅及调节池、混凝沉淀池、水解酸化池、</w:t>
      </w:r>
      <w:r>
        <w:rPr>
          <w:rFonts w:hint="eastAsia"/>
          <w:color w:val="auto"/>
          <w:kern w:val="21"/>
          <w:lang w:bidi="ar"/>
        </w:rPr>
        <w:t>A2/O</w:t>
      </w:r>
      <w:r>
        <w:rPr>
          <w:color w:val="auto"/>
          <w:kern w:val="21"/>
          <w:lang w:bidi="ar"/>
        </w:rPr>
        <w:t>生化池、MBR膜池、储罐区、紫外线消毒渠、巴氏计量槽、污泥脱水车间、储泥池等的底部及侧壁防渗层出现破损或破裂情况时，污废水会发生渗漏，存在对地下水造成污染的可能性；</w:t>
      </w:r>
    </w:p>
    <w:p>
      <w:pPr>
        <w:widowControl/>
        <w:ind w:firstLine="480"/>
        <w:jc w:val="left"/>
        <w:rPr>
          <w:color w:val="auto"/>
          <w:kern w:val="21"/>
        </w:rPr>
      </w:pPr>
      <w:r>
        <w:rPr>
          <w:color w:val="auto"/>
          <w:kern w:val="21"/>
          <w:lang w:bidi="ar"/>
        </w:rPr>
        <w:t>②若污泥脱水车间中的池子或地面的防渗层出现破损或破裂情况时，在污泥脱水过程中产生的污水会发生渗漏，存在对地下水造成污染的可能性。</w:t>
      </w:r>
    </w:p>
    <w:p>
      <w:pPr>
        <w:widowControl/>
        <w:ind w:firstLine="480"/>
        <w:jc w:val="left"/>
        <w:rPr>
          <w:color w:val="auto"/>
          <w:kern w:val="21"/>
        </w:rPr>
      </w:pPr>
      <w:r>
        <w:rPr>
          <w:color w:val="auto"/>
          <w:kern w:val="21"/>
          <w:lang w:bidi="ar"/>
        </w:rPr>
        <w:t>（3）主要评价因子</w:t>
      </w:r>
    </w:p>
    <w:p>
      <w:pPr>
        <w:widowControl/>
        <w:ind w:firstLine="480"/>
        <w:jc w:val="left"/>
        <w:rPr>
          <w:color w:val="auto"/>
          <w:kern w:val="21"/>
        </w:rPr>
      </w:pPr>
      <w:r>
        <w:rPr>
          <w:color w:val="auto"/>
          <w:kern w:val="21"/>
          <w:lang w:bidi="ar"/>
        </w:rPr>
        <w:t>本项目为工业园区污水处理厂，为工业废水集中区，暂存和处理的工业污水是厂区地下水的主要污染风险源。污水厂暂存和处理的工业污水中的污染物主要为COD、BOD</w:t>
      </w:r>
      <w:r>
        <w:rPr>
          <w:color w:val="auto"/>
          <w:kern w:val="21"/>
          <w:sz w:val="15"/>
          <w:szCs w:val="15"/>
          <w:lang w:bidi="ar"/>
        </w:rPr>
        <w:t>5</w:t>
      </w:r>
      <w:r>
        <w:rPr>
          <w:color w:val="auto"/>
          <w:kern w:val="21"/>
          <w:lang w:bidi="ar"/>
        </w:rPr>
        <w:t>、SS、TP、NH</w:t>
      </w:r>
      <w:r>
        <w:rPr>
          <w:color w:val="auto"/>
          <w:kern w:val="21"/>
          <w:sz w:val="15"/>
          <w:szCs w:val="15"/>
          <w:lang w:bidi="ar"/>
        </w:rPr>
        <w:t>3</w:t>
      </w:r>
      <w:r>
        <w:rPr>
          <w:color w:val="auto"/>
          <w:kern w:val="21"/>
          <w:lang w:bidi="ar"/>
        </w:rPr>
        <w:t>-N</w:t>
      </w:r>
      <w:r>
        <w:rPr>
          <w:rFonts w:hint="eastAsia"/>
          <w:color w:val="auto"/>
          <w:lang w:eastAsia="zh-CN"/>
        </w:rPr>
        <w:t>、氟化物</w:t>
      </w:r>
      <w:r>
        <w:rPr>
          <w:color w:val="auto"/>
          <w:kern w:val="21"/>
          <w:lang w:bidi="ar"/>
        </w:rPr>
        <w:t>。根据污染物种类、污染物性质和浓度的不同，选取氨氮</w:t>
      </w:r>
      <w:r>
        <w:rPr>
          <w:rFonts w:hint="eastAsia"/>
          <w:color w:val="auto"/>
          <w:kern w:val="21"/>
          <w:lang w:bidi="ar"/>
        </w:rPr>
        <w:t>和进水特征因子氟化物</w:t>
      </w:r>
      <w:r>
        <w:rPr>
          <w:color w:val="auto"/>
          <w:kern w:val="21"/>
          <w:lang w:bidi="ar"/>
        </w:rPr>
        <w:t>作为主要的评价因子，计算时氨氮浓度按最大值考虑，即为</w:t>
      </w:r>
      <w:r>
        <w:rPr>
          <w:rFonts w:hint="eastAsia"/>
          <w:color w:val="auto"/>
          <w:kern w:val="21"/>
          <w:lang w:val="en-US" w:eastAsia="zh-CN" w:bidi="ar"/>
        </w:rPr>
        <w:t>40.74</w:t>
      </w:r>
      <w:r>
        <w:rPr>
          <w:color w:val="auto"/>
          <w:kern w:val="21"/>
          <w:lang w:bidi="ar"/>
        </w:rPr>
        <w:t>mg/L</w:t>
      </w:r>
      <w:r>
        <w:rPr>
          <w:rFonts w:hint="eastAsia"/>
          <w:color w:val="auto"/>
          <w:kern w:val="21"/>
          <w:lang w:bidi="ar"/>
        </w:rPr>
        <w:t>，氟化物</w:t>
      </w:r>
      <w:r>
        <w:rPr>
          <w:rFonts w:hint="eastAsia"/>
          <w:color w:val="auto"/>
          <w:kern w:val="21"/>
          <w:lang w:val="en-US" w:eastAsia="zh-CN" w:bidi="ar"/>
        </w:rPr>
        <w:t>16.35</w:t>
      </w:r>
      <w:r>
        <w:rPr>
          <w:color w:val="auto"/>
          <w:kern w:val="21"/>
          <w:lang w:bidi="ar"/>
        </w:rPr>
        <w:t>mg/L。</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5.2.2.</w:t>
      </w:r>
      <w:r>
        <w:rPr>
          <w:rFonts w:hint="eastAsia" w:ascii="Times New Roman" w:hAnsi="Times New Roman" w:eastAsia="宋体"/>
          <w:color w:val="auto"/>
          <w:kern w:val="21"/>
          <w:sz w:val="24"/>
          <w:szCs w:val="24"/>
          <w:lang w:val="en-US" w:eastAsia="zh-CN"/>
        </w:rPr>
        <w:t>6</w:t>
      </w:r>
      <w:r>
        <w:rPr>
          <w:rFonts w:ascii="Times New Roman" w:hAnsi="Times New Roman" w:eastAsia="宋体"/>
          <w:color w:val="auto"/>
          <w:kern w:val="21"/>
          <w:sz w:val="24"/>
          <w:szCs w:val="24"/>
        </w:rPr>
        <w:t>地下水污染防控措施</w:t>
      </w:r>
    </w:p>
    <w:p>
      <w:pPr>
        <w:widowControl/>
        <w:ind w:firstLine="480"/>
        <w:jc w:val="left"/>
        <w:rPr>
          <w:color w:val="auto"/>
          <w:kern w:val="21"/>
          <w:lang w:bidi="ar"/>
        </w:rPr>
      </w:pPr>
      <w:r>
        <w:rPr>
          <w:color w:val="auto"/>
          <w:kern w:val="21"/>
          <w:lang w:bidi="ar"/>
        </w:rPr>
        <w:t>本项目为楚雄市富民工业园区污水处理项目，可有效削减园区内工业污水污染物的排放量，降低地表水污染负荷和受污染的风险，但在项目建设过程中，需做好厂区的污染防渗措施，污废水处理过程中，需加强污染管理，注重污染管控，避免对地下水环境产生污染。在项目建设及运行过程中，避免对地下水环境产生污染</w:t>
      </w:r>
      <w:r>
        <w:rPr>
          <w:rFonts w:hint="eastAsia"/>
          <w:color w:val="auto"/>
          <w:kern w:val="21"/>
          <w:lang w:bidi="ar"/>
        </w:rPr>
        <w:t>已采取的</w:t>
      </w:r>
      <w:r>
        <w:rPr>
          <w:color w:val="auto"/>
          <w:kern w:val="21"/>
          <w:lang w:bidi="ar"/>
        </w:rPr>
        <w:t>防治措施主要有：</w:t>
      </w:r>
    </w:p>
    <w:p>
      <w:pPr>
        <w:pStyle w:val="23"/>
        <w:spacing w:after="0" w:line="360" w:lineRule="auto"/>
        <w:ind w:left="0" w:leftChars="0" w:firstLine="482"/>
        <w:rPr>
          <w:b/>
          <w:bCs/>
          <w:color w:val="auto"/>
          <w:kern w:val="21"/>
          <w:lang w:bidi="ar"/>
        </w:rPr>
      </w:pPr>
      <w:r>
        <w:rPr>
          <w:rFonts w:hint="eastAsia"/>
          <w:b/>
          <w:bCs/>
          <w:color w:val="auto"/>
          <w:kern w:val="21"/>
          <w:lang w:bidi="ar"/>
        </w:rPr>
        <w:t>1、厂区污水管网防渗措施</w:t>
      </w:r>
    </w:p>
    <w:p>
      <w:pPr>
        <w:pStyle w:val="23"/>
        <w:spacing w:after="0" w:line="360" w:lineRule="auto"/>
        <w:ind w:left="0" w:leftChars="0" w:firstLine="480"/>
        <w:rPr>
          <w:color w:val="auto"/>
          <w:kern w:val="21"/>
          <w:lang w:bidi="ar"/>
        </w:rPr>
      </w:pPr>
      <w:r>
        <w:rPr>
          <w:rFonts w:hint="eastAsia"/>
          <w:color w:val="auto"/>
          <w:kern w:val="21"/>
          <w:lang w:bidi="ar"/>
        </w:rPr>
        <w:t>材料：管材全部采用HDPE钢带增强聚乙烯螺旋波纹管，环刚度≥12.5KN/m</w:t>
      </w:r>
      <w:r>
        <w:rPr>
          <w:rFonts w:hint="eastAsia"/>
          <w:color w:val="auto"/>
          <w:kern w:val="21"/>
          <w:vertAlign w:val="superscript"/>
          <w:lang w:bidi="ar"/>
        </w:rPr>
        <w:t>2</w:t>
      </w:r>
      <w:r>
        <w:rPr>
          <w:rFonts w:hint="eastAsia"/>
          <w:color w:val="auto"/>
          <w:kern w:val="21"/>
          <w:lang w:bidi="ar"/>
        </w:rPr>
        <w:t>，该管材抗压性能高，抗冲、耐热性能好，耐酸碱，采用热收缩带连接，不会锈蚀，防渗性能优良。污水检查井采用钢筋砼污水检查井，C25混凝土（商混），抗渗等级为P6。</w:t>
      </w:r>
    </w:p>
    <w:p>
      <w:pPr>
        <w:pStyle w:val="23"/>
        <w:spacing w:after="0" w:line="360" w:lineRule="auto"/>
        <w:ind w:left="0" w:leftChars="0" w:firstLine="480"/>
        <w:rPr>
          <w:color w:val="auto"/>
          <w:kern w:val="21"/>
          <w:lang w:bidi="ar"/>
        </w:rPr>
      </w:pPr>
      <w:r>
        <w:rPr>
          <w:rFonts w:hint="eastAsia"/>
          <w:color w:val="auto"/>
          <w:kern w:val="21"/>
          <w:lang w:bidi="ar"/>
        </w:rPr>
        <w:t>质量控制：所有管材均采用大厂合格产品，管材进场须附出厂检验证明材料，并报监理验收确认方可使用；施工过程严格实行现场监理，每一道工序报验合格才能进入下一道工序；污水管网施工完毕后进行闭水试验，试验合格方可进入道路施工。</w:t>
      </w:r>
    </w:p>
    <w:p>
      <w:pPr>
        <w:pStyle w:val="23"/>
        <w:spacing w:after="0" w:line="360" w:lineRule="auto"/>
        <w:ind w:left="0" w:leftChars="0" w:firstLine="482"/>
        <w:rPr>
          <w:b/>
          <w:bCs/>
          <w:color w:val="auto"/>
          <w:kern w:val="21"/>
          <w:lang w:bidi="ar"/>
        </w:rPr>
      </w:pPr>
      <w:r>
        <w:rPr>
          <w:rFonts w:hint="eastAsia"/>
          <w:b/>
          <w:bCs/>
          <w:color w:val="auto"/>
          <w:kern w:val="21"/>
          <w:lang w:bidi="ar"/>
        </w:rPr>
        <w:t>2、厂区构筑物防渗措施</w:t>
      </w:r>
    </w:p>
    <w:p>
      <w:pPr>
        <w:pStyle w:val="23"/>
        <w:spacing w:after="0" w:line="360" w:lineRule="auto"/>
        <w:ind w:left="0" w:leftChars="0" w:firstLine="480"/>
        <w:rPr>
          <w:color w:val="auto"/>
          <w:kern w:val="21"/>
          <w:lang w:bidi="ar"/>
        </w:rPr>
      </w:pPr>
      <w:r>
        <w:rPr>
          <w:rFonts w:hint="eastAsia"/>
          <w:color w:val="auto"/>
          <w:kern w:val="21"/>
          <w:lang w:bidi="ar"/>
        </w:rPr>
        <w:t>材料：本项目全部采用商品混凝土，混凝土抗渗等级为P6。采用补偿收缩混凝土，混凝土内掺入高效抗裂剂。设计要求抗裂剂掺量应在符合混凝土强度、抗渗等级以及膨胀率的前提下通过试验确定，微膨胀剂按GB50119-2013《混凝土外加剂应用技术规范》的规定施工。所有管道与构筑物的连接部位均设置防水套管。构筑物施工缝按规范设置钢板止水带。</w:t>
      </w:r>
    </w:p>
    <w:p>
      <w:pPr>
        <w:pStyle w:val="23"/>
        <w:spacing w:after="0" w:line="360" w:lineRule="auto"/>
        <w:ind w:left="0" w:leftChars="0" w:firstLine="480"/>
        <w:rPr>
          <w:color w:val="auto"/>
          <w:kern w:val="21"/>
          <w:lang w:bidi="ar"/>
        </w:rPr>
      </w:pPr>
      <w:r>
        <w:rPr>
          <w:rFonts w:hint="eastAsia"/>
          <w:color w:val="auto"/>
          <w:kern w:val="21"/>
          <w:lang w:bidi="ar"/>
        </w:rPr>
        <w:t>防水防腐：构筑物的防水等级为Ⅱ级，构筑物的内外表面、中隔墙、底板上表面、顶板下表面，迎水面等采用高分子防水防腐涂料刷厚1.0mm（每平米约2kg）。参考参数：延伸率不小于120%，抗拉强度不小于1.6MPa，耐10%常规酸（盐酸、硫酸），耐10%氢氧化钠，耐1%次氯酸钠，耐3%聚合氯化铝。</w:t>
      </w:r>
    </w:p>
    <w:p>
      <w:pPr>
        <w:pStyle w:val="23"/>
        <w:spacing w:after="0" w:line="360" w:lineRule="auto"/>
        <w:ind w:left="0" w:leftChars="0" w:firstLine="480"/>
        <w:rPr>
          <w:color w:val="auto"/>
          <w:kern w:val="21"/>
          <w:lang w:bidi="ar"/>
        </w:rPr>
      </w:pPr>
      <w:r>
        <w:rPr>
          <w:rFonts w:hint="eastAsia"/>
          <w:color w:val="auto"/>
          <w:kern w:val="21"/>
          <w:lang w:bidi="ar"/>
        </w:rPr>
        <w:t>质量控制：所有材料均采用大厂合格产品，材料进场须附出厂检验证明材料，并报监理验收确认方可使用；施工过程严格实行现场监理，每一道工序报验合格才能进入下一道工序；抗渗混凝土按要求附具出厂检测报告、现场取样混凝土检测报告。</w:t>
      </w:r>
    </w:p>
    <w:p>
      <w:pPr>
        <w:pStyle w:val="23"/>
        <w:spacing w:after="0" w:line="360" w:lineRule="auto"/>
        <w:ind w:left="0" w:leftChars="0" w:firstLine="480"/>
        <w:rPr>
          <w:color w:val="auto"/>
          <w:kern w:val="21"/>
          <w:lang w:bidi="ar"/>
        </w:rPr>
      </w:pPr>
      <w:r>
        <w:rPr>
          <w:rFonts w:hint="eastAsia"/>
          <w:color w:val="auto"/>
          <w:kern w:val="21"/>
          <w:lang w:bidi="ar"/>
        </w:rPr>
        <w:t>满水试验：所有容纳污水的构筑物，都必须进行满水试验。满水试验的方法与要求应严格按照GB50141-2008《给水排水构筑物工程施工及验收规范》中第9.1～9.2条的规定执行。满水试验必须在池壁及中隔墙的砼强度达到100%以后方可进行。试水合格以后，立即进行内外防水防腐涂刷和回填土工作，不得继续曝露；回填土时，池内应保持一定的水位以平衡地下土地压力。</w:t>
      </w:r>
    </w:p>
    <w:p>
      <w:pPr>
        <w:pStyle w:val="23"/>
        <w:spacing w:after="0" w:line="360" w:lineRule="auto"/>
        <w:ind w:left="0" w:leftChars="0" w:firstLine="482"/>
        <w:rPr>
          <w:b/>
          <w:bCs/>
          <w:color w:val="auto"/>
          <w:kern w:val="21"/>
          <w:lang w:bidi="ar"/>
        </w:rPr>
      </w:pPr>
      <w:r>
        <w:rPr>
          <w:rFonts w:hint="eastAsia"/>
          <w:b/>
          <w:bCs/>
          <w:color w:val="auto"/>
          <w:kern w:val="21"/>
          <w:lang w:bidi="ar"/>
        </w:rPr>
        <w:t>3、工艺管道防腐</w:t>
      </w:r>
    </w:p>
    <w:p>
      <w:pPr>
        <w:pStyle w:val="23"/>
        <w:spacing w:after="0" w:line="360" w:lineRule="auto"/>
        <w:ind w:left="0" w:leftChars="0" w:firstLine="480"/>
        <w:rPr>
          <w:color w:val="auto"/>
          <w:kern w:val="21"/>
          <w:lang w:bidi="ar"/>
        </w:rPr>
      </w:pPr>
      <w:r>
        <w:rPr>
          <w:rFonts w:hint="eastAsia"/>
          <w:color w:val="auto"/>
          <w:kern w:val="21"/>
          <w:lang w:bidi="ar"/>
        </w:rPr>
        <w:t>管道内壁防腐（出厂前完成）：本工程管道内壁防腐采用无溶剂饮水舱防腐涂料，该涂料以无溶剂纯树脂为主要原料，配以填料、进口固化剂等组成。该涂料具有优异的耐水、耐海水、耐油及耐高压水等防腐性能。该涂料不含溶剂无气味，漆膜坚韧无毒，防腐蚀耐久性效果好。具体步骤如下：首先进行表面处理：钢材表面抛丸除锈至Sa2.5级，表面粗糙度等级规定中等50-75微米，再进行防腐涂料喷涂。钢管出厂前内壁防腐喷涂方法：无溶剂饮水舱防腐涂料（白色）加热至65℃成流态后，与固化剂前端混合（无溶剂饮水舱防腐涂料：固化剂的质量比6:1），使用管路具有保温功能的高压无气喷涂设备进行自动喷涂，一次成膜厚度500um。</w:t>
      </w:r>
    </w:p>
    <w:p>
      <w:pPr>
        <w:pStyle w:val="23"/>
        <w:spacing w:after="0" w:line="360" w:lineRule="auto"/>
        <w:ind w:left="0" w:leftChars="0" w:firstLine="480"/>
        <w:rPr>
          <w:color w:val="auto"/>
          <w:kern w:val="21"/>
          <w:lang w:bidi="ar"/>
        </w:rPr>
      </w:pPr>
      <w:r>
        <w:rPr>
          <w:rFonts w:hint="eastAsia"/>
          <w:color w:val="auto"/>
          <w:kern w:val="21"/>
          <w:lang w:bidi="ar"/>
        </w:rPr>
        <w:t>管道外壁防腐（一底一布三油）：本工程管道外壁防腐采用IPN8710系列聚氨酯聚乙烯涂料，该涂料附着力强，防锈性能好，耐酸、碱、盐等腐蚀介质，具有较好的耐候性、装饰性和防腐性。具体步骤如下：首先进行表面处理：钢材表面抛丸除锈至Sa2.5级，表面粗糙度等级规定中等50-75微米，再进行防腐涂料喷涂。先刷IPN8710-1G底漆一道，涂IPN8710-3H面漆一道，缠绕玻璃纤维布一层，再涂IPN8710-3H面漆一道。金属除锈后应立即涂上底漆，底漆表干后可涂面漆。玻璃纤维布应选用中碱或无碱脱脂方格平纹布，厚度0.15mm。工地焊缝两侧各留100mm不衬涂，待安装完毕后，再按要求进行涂装。</w:t>
      </w:r>
    </w:p>
    <w:p>
      <w:pPr>
        <w:ind w:firstLine="480"/>
        <w:rPr>
          <w:rFonts w:ascii="Times New Roman" w:hAnsi="Times New Roman" w:eastAsia="宋体"/>
          <w:color w:val="auto"/>
          <w:kern w:val="21"/>
          <w:sz w:val="24"/>
          <w:szCs w:val="24"/>
        </w:rPr>
      </w:pPr>
      <w:r>
        <w:rPr>
          <w:rFonts w:hint="eastAsia"/>
          <w:color w:val="auto"/>
          <w:kern w:val="21"/>
          <w:lang w:bidi="ar"/>
        </w:rPr>
        <w:t>本项目采用的混凝土抗渗监测及见证报告见附件。</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5.2.</w:t>
      </w:r>
      <w:r>
        <w:rPr>
          <w:rFonts w:hint="eastAsia" w:ascii="Times New Roman" w:hAnsi="Times New Roman" w:eastAsia="宋体"/>
          <w:color w:val="auto"/>
          <w:kern w:val="21"/>
          <w:sz w:val="24"/>
          <w:szCs w:val="24"/>
        </w:rPr>
        <w:t>2.</w:t>
      </w:r>
      <w:r>
        <w:rPr>
          <w:rFonts w:hint="eastAsia" w:ascii="Times New Roman" w:hAnsi="Times New Roman" w:eastAsia="宋体"/>
          <w:color w:val="auto"/>
          <w:kern w:val="21"/>
          <w:sz w:val="24"/>
          <w:szCs w:val="24"/>
          <w:lang w:val="en-US" w:eastAsia="zh-CN"/>
        </w:rPr>
        <w:t>7</w:t>
      </w:r>
      <w:r>
        <w:rPr>
          <w:rFonts w:ascii="Times New Roman" w:hAnsi="Times New Roman" w:eastAsia="宋体"/>
          <w:color w:val="auto"/>
          <w:kern w:val="21"/>
          <w:sz w:val="24"/>
          <w:szCs w:val="24"/>
        </w:rPr>
        <w:t>拟建项目对地下水环境的影响分析</w:t>
      </w:r>
    </w:p>
    <w:p>
      <w:pPr>
        <w:ind w:firstLine="482"/>
        <w:rPr>
          <w:b/>
          <w:bCs/>
          <w:color w:val="auto"/>
          <w:kern w:val="21"/>
        </w:rPr>
      </w:pPr>
      <w:r>
        <w:rPr>
          <w:rFonts w:hint="eastAsia"/>
          <w:b/>
          <w:bCs/>
          <w:color w:val="auto"/>
          <w:kern w:val="21"/>
        </w:rPr>
        <w:t>1、</w:t>
      </w:r>
      <w:r>
        <w:rPr>
          <w:b/>
          <w:bCs/>
          <w:color w:val="auto"/>
          <w:kern w:val="21"/>
        </w:rPr>
        <w:t>正常运行状况下对地下水的影响分析</w:t>
      </w:r>
    </w:p>
    <w:p>
      <w:pPr>
        <w:widowControl/>
        <w:ind w:firstLine="480"/>
        <w:jc w:val="left"/>
        <w:rPr>
          <w:color w:val="auto"/>
          <w:kern w:val="21"/>
        </w:rPr>
      </w:pPr>
      <w:r>
        <w:rPr>
          <w:color w:val="auto"/>
          <w:kern w:val="21"/>
          <w:lang w:bidi="ar"/>
        </w:rPr>
        <w:t>在粗格栅及进水泵房、细格栅及调节池、混凝沉淀池、水解酸化池、A/AO生化池、MBR膜池、储罐区、巴氏计量槽、储泥池、污泥脱水车间等区域按照《环境影响评价技术导则-地下水环境》（HJ610-2016）中的防渗要求进行防渗设计，厂区采取防渗措施的情况下，项目正常运行过程中暂存和处理的工业污水，以及项目运行产生的污废水、固废等污染物发生渗漏或泄漏的可能性较小，</w:t>
      </w:r>
      <w:r>
        <w:rPr>
          <w:rFonts w:hint="eastAsia"/>
          <w:color w:val="auto"/>
          <w:kern w:val="21"/>
          <w:lang w:eastAsia="zh-CN" w:bidi="ar"/>
        </w:rPr>
        <w:t>项目已建成，并采取了地下水污染防治措施</w:t>
      </w:r>
      <w:r>
        <w:rPr>
          <w:color w:val="auto"/>
          <w:kern w:val="21"/>
          <w:lang w:bidi="ar"/>
        </w:rPr>
        <w:t>，</w:t>
      </w:r>
      <w:r>
        <w:rPr>
          <w:rFonts w:hint="eastAsia"/>
          <w:color w:val="auto"/>
          <w:kern w:val="21"/>
          <w:lang w:eastAsia="zh-CN" w:bidi="ar"/>
        </w:rPr>
        <w:t>因此，</w:t>
      </w:r>
      <w:r>
        <w:rPr>
          <w:color w:val="auto"/>
          <w:kern w:val="21"/>
          <w:lang w:bidi="ar"/>
        </w:rPr>
        <w:t>运行期加强维护和管理情况下，污废水、固废发生渗漏或泄漏穿过防渗层进入土壤并造成地下水污染的可能性较小，项目建设运营对地下水环境的影响是可控的。</w:t>
      </w:r>
    </w:p>
    <w:p>
      <w:pPr>
        <w:ind w:firstLine="482"/>
        <w:rPr>
          <w:b/>
          <w:bCs/>
          <w:color w:val="auto"/>
          <w:kern w:val="21"/>
        </w:rPr>
      </w:pPr>
      <w:r>
        <w:rPr>
          <w:rFonts w:hint="eastAsia"/>
          <w:b/>
          <w:bCs/>
          <w:color w:val="auto"/>
          <w:kern w:val="21"/>
        </w:rPr>
        <w:t>2、</w:t>
      </w:r>
      <w:r>
        <w:rPr>
          <w:b/>
          <w:bCs/>
          <w:color w:val="auto"/>
          <w:kern w:val="21"/>
        </w:rPr>
        <w:t>非正常状况下对地下水的影响分析</w:t>
      </w:r>
    </w:p>
    <w:p>
      <w:pPr>
        <w:widowControl/>
        <w:ind w:firstLine="480"/>
        <w:jc w:val="left"/>
        <w:rPr>
          <w:color w:val="auto"/>
          <w:kern w:val="21"/>
        </w:rPr>
      </w:pPr>
      <w:r>
        <w:rPr>
          <w:color w:val="auto"/>
          <w:kern w:val="21"/>
          <w:lang w:bidi="ar"/>
        </w:rPr>
        <w:t>（1）地下水数学模型</w:t>
      </w:r>
    </w:p>
    <w:p>
      <w:pPr>
        <w:widowControl/>
        <w:ind w:firstLine="480"/>
        <w:jc w:val="left"/>
        <w:rPr>
          <w:color w:val="auto"/>
          <w:kern w:val="21"/>
        </w:rPr>
      </w:pPr>
      <w:r>
        <w:rPr>
          <w:color w:val="auto"/>
          <w:kern w:val="21"/>
          <w:lang w:bidi="ar"/>
        </w:rPr>
        <w:t>根据区域水文地质资料，拟建项目区地下水类型主要为松散岩类孔隙潜水和碎屑岩裂隙潜水两种类型，含水层岩性主要为粉砂、粉土及白垩系下统普昌河组（</w:t>
      </w:r>
      <w:r>
        <w:rPr>
          <w:rFonts w:eastAsia="TimesNewRomanPSMT"/>
          <w:color w:val="auto"/>
          <w:kern w:val="21"/>
          <w:lang w:bidi="ar"/>
        </w:rPr>
        <w:t>K</w:t>
      </w:r>
      <w:r>
        <w:rPr>
          <w:rFonts w:eastAsia="TimesNewRomanPSMT"/>
          <w:color w:val="auto"/>
          <w:kern w:val="21"/>
          <w:sz w:val="16"/>
          <w:szCs w:val="16"/>
          <w:lang w:bidi="ar"/>
        </w:rPr>
        <w:t>1</w:t>
      </w:r>
      <w:r>
        <w:rPr>
          <w:rFonts w:eastAsia="TimesNewRomanPSMT"/>
          <w:color w:val="auto"/>
          <w:kern w:val="21"/>
          <w:lang w:bidi="ar"/>
        </w:rPr>
        <w:t>p</w:t>
      </w:r>
      <w:r>
        <w:rPr>
          <w:color w:val="auto"/>
          <w:kern w:val="21"/>
          <w:lang w:bidi="ar"/>
        </w:rPr>
        <w:t>）泥岩富水性弱～中等。采用解析法预测拟建项目的建设运营对地下水环境的影响，计算时不考虑水流的源汇项目，且对污染物在含水层中的吸附、挥发、生物化学反应等不作考虑，当作保守性污染物考虑，从而可简化地下水水流及水质模型。</w:t>
      </w:r>
    </w:p>
    <w:p>
      <w:pPr>
        <w:widowControl/>
        <w:ind w:firstLine="480"/>
        <w:rPr>
          <w:color w:val="auto"/>
          <w:kern w:val="21"/>
        </w:rPr>
      </w:pPr>
      <w:r>
        <w:rPr>
          <w:color w:val="auto"/>
          <w:kern w:val="21"/>
          <w:lang w:bidi="ar"/>
        </w:rPr>
        <w:t>根据拟建项目区污染源分布情况和污染物性质，主要考虑暂存或处理工业污水的池子的防渗层出现破损或破裂等非正常情况时生产废水发生渗漏对地下水环境可能造成的影响。因此将污染源视为连续稳定释放的点源，对非正常情况下的污染物进行正向推算，分别计算</w:t>
      </w:r>
      <w:r>
        <w:rPr>
          <w:rFonts w:hint="eastAsia"/>
          <w:color w:val="auto"/>
          <w:kern w:val="21"/>
        </w:rPr>
        <w:t>100</w:t>
      </w:r>
      <w:r>
        <w:rPr>
          <w:rFonts w:hint="eastAsia"/>
          <w:color w:val="auto"/>
          <w:kern w:val="21"/>
          <w:lang w:bidi="ar"/>
        </w:rPr>
        <w:t>天、1年</w:t>
      </w:r>
      <w:r>
        <w:rPr>
          <w:color w:val="auto"/>
          <w:kern w:val="21"/>
          <w:lang w:bidi="ar"/>
        </w:rPr>
        <w:t>、1</w:t>
      </w:r>
      <w:r>
        <w:rPr>
          <w:rFonts w:hint="eastAsia"/>
          <w:color w:val="auto"/>
          <w:kern w:val="21"/>
          <w:lang w:bidi="ar"/>
        </w:rPr>
        <w:t>000天</w:t>
      </w:r>
      <w:r>
        <w:rPr>
          <w:color w:val="auto"/>
          <w:kern w:val="21"/>
          <w:lang w:bidi="ar"/>
        </w:rPr>
        <w:t>、</w:t>
      </w:r>
      <w:r>
        <w:rPr>
          <w:rFonts w:hint="eastAsia"/>
          <w:color w:val="auto"/>
          <w:kern w:val="21"/>
          <w:lang w:bidi="ar"/>
        </w:rPr>
        <w:t>5年、10年和20年后</w:t>
      </w:r>
      <w:r>
        <w:rPr>
          <w:color w:val="auto"/>
          <w:kern w:val="21"/>
          <w:lang w:bidi="ar"/>
        </w:rPr>
        <w:t>的污染物的超标扩散距离和最大迁移距离。拟建项目对地下水环境的影响预测分析采用《环境影响评价技术导则-地下水环境》（HJ610-2016）推荐的一维稳定流动一维水动力弥散问题中的计算公式进行估算，概化条件为一维半无限长多孔介质柱体，一端为定浓度边界，且不考虑水流的源汇项目，对污染物在含水层中的吸附、挥发、生物化学反应等不作考虑，当作保守性污染物考虑，其一维连续污染物运移预测方程如下：</w:t>
      </w:r>
    </w:p>
    <w:p>
      <w:pPr>
        <w:ind w:firstLine="480"/>
        <w:jc w:val="center"/>
        <w:rPr>
          <w:b/>
          <w:color w:val="auto"/>
          <w:kern w:val="21"/>
        </w:rPr>
      </w:pPr>
      <w:r>
        <w:rPr>
          <w:color w:val="auto"/>
          <w:kern w:val="21"/>
        </w:rPr>
        <w:drawing>
          <wp:inline distT="0" distB="0" distL="0" distR="0">
            <wp:extent cx="3153410" cy="591185"/>
            <wp:effectExtent l="0" t="0" r="0" b="0"/>
            <wp:docPr id="21"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153410" cy="591185"/>
                    </a:xfrm>
                    <a:prstGeom prst="rect">
                      <a:avLst/>
                    </a:prstGeom>
                    <a:noFill/>
                    <a:ln>
                      <a:noFill/>
                    </a:ln>
                    <a:effectLst/>
                  </pic:spPr>
                </pic:pic>
              </a:graphicData>
            </a:graphic>
          </wp:inline>
        </w:drawing>
      </w:r>
    </w:p>
    <w:p>
      <w:pPr>
        <w:ind w:firstLine="480"/>
        <w:jc w:val="center"/>
        <w:rPr>
          <w:b/>
          <w:color w:val="auto"/>
          <w:kern w:val="21"/>
        </w:rPr>
      </w:pPr>
      <w:r>
        <w:rPr>
          <w:color w:val="auto"/>
          <w:kern w:val="21"/>
        </w:rPr>
        <w:drawing>
          <wp:inline distT="0" distB="0" distL="0" distR="0">
            <wp:extent cx="1678940" cy="267970"/>
            <wp:effectExtent l="0" t="0" r="0" b="0"/>
            <wp:docPr id="22"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678940" cy="267970"/>
                    </a:xfrm>
                    <a:prstGeom prst="rect">
                      <a:avLst/>
                    </a:prstGeom>
                    <a:noFill/>
                    <a:ln>
                      <a:noFill/>
                    </a:ln>
                  </pic:spPr>
                </pic:pic>
              </a:graphicData>
            </a:graphic>
          </wp:inline>
        </w:drawing>
      </w:r>
    </w:p>
    <w:p>
      <w:pPr>
        <w:ind w:firstLine="480"/>
        <w:rPr>
          <w:color w:val="auto"/>
          <w:kern w:val="21"/>
        </w:rPr>
      </w:pPr>
      <w:r>
        <w:rPr>
          <w:color w:val="auto"/>
          <w:kern w:val="21"/>
        </w:rPr>
        <w:t>式中：x—预测点距污染源的距离；m；</w:t>
      </w:r>
    </w:p>
    <w:p>
      <w:pPr>
        <w:ind w:firstLine="1200" w:firstLineChars="500"/>
        <w:rPr>
          <w:color w:val="auto"/>
          <w:kern w:val="21"/>
        </w:rPr>
      </w:pPr>
      <w:r>
        <w:rPr>
          <w:color w:val="auto"/>
          <w:kern w:val="21"/>
        </w:rPr>
        <w:t>t—预测时间，d；</w:t>
      </w:r>
    </w:p>
    <w:p>
      <w:pPr>
        <w:ind w:firstLine="1200" w:firstLineChars="500"/>
        <w:rPr>
          <w:color w:val="auto"/>
          <w:kern w:val="21"/>
        </w:rPr>
      </w:pPr>
      <w:r>
        <w:rPr>
          <w:color w:val="auto"/>
          <w:kern w:val="21"/>
        </w:rPr>
        <w:t>C—t时刻x处的污染物浓度，mg/L；</w:t>
      </w:r>
    </w:p>
    <w:p>
      <w:pPr>
        <w:ind w:firstLine="1200" w:firstLineChars="500"/>
        <w:rPr>
          <w:color w:val="auto"/>
          <w:kern w:val="21"/>
        </w:rPr>
      </w:pPr>
      <w:r>
        <w:rPr>
          <w:color w:val="auto"/>
          <w:kern w:val="21"/>
        </w:rPr>
        <w:t>C</w:t>
      </w:r>
      <w:r>
        <w:rPr>
          <w:color w:val="auto"/>
          <w:kern w:val="21"/>
          <w:vertAlign w:val="subscript"/>
        </w:rPr>
        <w:t>0</w:t>
      </w:r>
      <w:r>
        <w:rPr>
          <w:color w:val="auto"/>
          <w:kern w:val="21"/>
        </w:rPr>
        <w:t>—</w:t>
      </w:r>
      <w:r>
        <w:rPr>
          <w:color w:val="auto"/>
          <w:kern w:val="21"/>
          <w:lang w:bidi="ar"/>
        </w:rPr>
        <w:t>地下水污染源强浓度</w:t>
      </w:r>
      <w:r>
        <w:rPr>
          <w:rFonts w:hint="eastAsia"/>
          <w:color w:val="auto"/>
          <w:kern w:val="21"/>
          <w:lang w:bidi="ar"/>
        </w:rPr>
        <w:t>（</w:t>
      </w:r>
      <w:r>
        <w:rPr>
          <w:color w:val="auto"/>
          <w:kern w:val="21"/>
          <w:lang w:bidi="ar"/>
        </w:rPr>
        <w:t>mg/L</w:t>
      </w:r>
      <w:r>
        <w:rPr>
          <w:rFonts w:hint="eastAsia"/>
          <w:color w:val="auto"/>
          <w:kern w:val="21"/>
          <w:lang w:bidi="ar"/>
        </w:rPr>
        <w:t>）</w:t>
      </w:r>
      <w:r>
        <w:rPr>
          <w:color w:val="auto"/>
          <w:kern w:val="21"/>
        </w:rPr>
        <w:t>，mg/L；</w:t>
      </w:r>
    </w:p>
    <w:p>
      <w:pPr>
        <w:ind w:firstLine="1200" w:firstLineChars="500"/>
        <w:rPr>
          <w:color w:val="auto"/>
          <w:kern w:val="21"/>
        </w:rPr>
      </w:pPr>
      <w:r>
        <w:rPr>
          <w:color w:val="auto"/>
          <w:kern w:val="21"/>
        </w:rPr>
        <w:t>u—水流速度，m/d；</w:t>
      </w:r>
    </w:p>
    <w:p>
      <w:pPr>
        <w:ind w:firstLine="1200" w:firstLineChars="500"/>
        <w:rPr>
          <w:color w:val="auto"/>
          <w:kern w:val="21"/>
        </w:rPr>
      </w:pPr>
      <w:r>
        <w:rPr>
          <w:color w:val="auto"/>
          <w:kern w:val="21"/>
        </w:rPr>
        <w:t>D</w:t>
      </w:r>
      <w:r>
        <w:rPr>
          <w:color w:val="auto"/>
          <w:kern w:val="21"/>
          <w:vertAlign w:val="subscript"/>
        </w:rPr>
        <w:t>L</w:t>
      </w:r>
      <w:r>
        <w:rPr>
          <w:color w:val="auto"/>
          <w:kern w:val="21"/>
        </w:rPr>
        <w:t>—纵向弥散系数，m</w:t>
      </w:r>
      <w:r>
        <w:rPr>
          <w:color w:val="auto"/>
          <w:kern w:val="21"/>
          <w:vertAlign w:val="superscript"/>
        </w:rPr>
        <w:t>2</w:t>
      </w:r>
      <w:r>
        <w:rPr>
          <w:color w:val="auto"/>
          <w:kern w:val="21"/>
        </w:rPr>
        <w:t>/d；erfc</w:t>
      </w:r>
      <w:r>
        <w:rPr>
          <w:rFonts w:hint="eastAsia"/>
          <w:color w:val="auto"/>
          <w:kern w:val="21"/>
        </w:rPr>
        <w:t>（）</w:t>
      </w:r>
      <w:r>
        <w:rPr>
          <w:color w:val="auto"/>
          <w:kern w:val="21"/>
        </w:rPr>
        <w:t>—余误差函数（可查《水文地质手册》获得）。</w:t>
      </w:r>
    </w:p>
    <w:p>
      <w:pPr>
        <w:widowControl/>
        <w:ind w:firstLine="480"/>
        <w:jc w:val="left"/>
        <w:rPr>
          <w:color w:val="auto"/>
          <w:kern w:val="21"/>
        </w:rPr>
      </w:pPr>
      <w:r>
        <w:rPr>
          <w:color w:val="auto"/>
          <w:kern w:val="21"/>
          <w:lang w:bidi="ar"/>
        </w:rPr>
        <w:t>（2）水文地质参数设置</w:t>
      </w:r>
    </w:p>
    <w:p>
      <w:pPr>
        <w:widowControl/>
        <w:ind w:firstLine="480"/>
        <w:jc w:val="left"/>
        <w:rPr>
          <w:color w:val="auto"/>
          <w:kern w:val="21"/>
        </w:rPr>
      </w:pPr>
      <w:r>
        <w:rPr>
          <w:color w:val="auto"/>
          <w:kern w:val="21"/>
          <w:lang w:bidi="ar"/>
        </w:rPr>
        <w:t>①渗透系数</w:t>
      </w:r>
    </w:p>
    <w:p>
      <w:pPr>
        <w:widowControl/>
        <w:ind w:firstLine="480"/>
        <w:jc w:val="left"/>
        <w:rPr>
          <w:color w:val="auto"/>
          <w:kern w:val="21"/>
          <w:highlight w:val="yellow"/>
        </w:rPr>
      </w:pPr>
      <w:r>
        <w:rPr>
          <w:color w:val="auto"/>
          <w:kern w:val="21"/>
          <w:lang w:bidi="ar"/>
        </w:rPr>
        <w:t>根据区域水文地质资料，拟建项目区地下水类型主要为松散岩类孔隙潜水和碎屑岩裂隙潜水两种类型，</w:t>
      </w:r>
      <w:r>
        <w:rPr>
          <w:rFonts w:hint="eastAsia"/>
          <w:color w:val="auto"/>
        </w:rPr>
        <w:t>含水层为第四系冲洪积层(Q</w:t>
      </w:r>
      <w:r>
        <w:rPr>
          <w:rFonts w:hint="eastAsia"/>
          <w:color w:val="auto"/>
          <w:vertAlign w:val="subscript"/>
        </w:rPr>
        <w:t>4</w:t>
      </w:r>
      <w:r>
        <w:rPr>
          <w:rFonts w:hint="eastAsia"/>
          <w:color w:val="auto"/>
          <w:vertAlign w:val="superscript"/>
        </w:rPr>
        <w:t>al+pl</w:t>
      </w:r>
      <w:r>
        <w:rPr>
          <w:rFonts w:hint="eastAsia"/>
          <w:color w:val="auto"/>
        </w:rPr>
        <w:t>)，主要含水层为</w:t>
      </w:r>
      <w:r>
        <w:rPr>
          <w:rFonts w:hint="eastAsia"/>
          <w:color w:val="auto"/>
          <w:lang w:eastAsia="zh-CN"/>
        </w:rPr>
        <w:t>粉砂、粉土</w:t>
      </w:r>
      <w:r>
        <w:rPr>
          <w:rFonts w:hint="eastAsia"/>
          <w:snapToGrid w:val="0"/>
          <w:color w:val="auto"/>
        </w:rPr>
        <w:t>。参照</w:t>
      </w:r>
      <w:r>
        <w:rPr>
          <w:color w:val="auto"/>
        </w:rPr>
        <w:t>《环境影响评价技术导则-地下水环境》（HJ610-2016）</w:t>
      </w:r>
      <w:r>
        <w:rPr>
          <w:rFonts w:hint="eastAsia"/>
          <w:color w:val="auto"/>
        </w:rPr>
        <w:t>附录B水文地质参数经验值，</w:t>
      </w:r>
      <w:r>
        <w:rPr>
          <w:rFonts w:hint="eastAsia"/>
          <w:color w:val="auto"/>
          <w:lang w:eastAsia="zh-CN"/>
        </w:rPr>
        <w:t>粉</w:t>
      </w:r>
      <w:r>
        <w:rPr>
          <w:rFonts w:hint="eastAsia"/>
          <w:color w:val="auto"/>
        </w:rPr>
        <w:t>砂</w:t>
      </w:r>
      <w:r>
        <w:rPr>
          <w:rFonts w:hint="eastAsia" w:ascii="宋体" w:hAnsi="宋体"/>
          <w:color w:val="auto"/>
        </w:rPr>
        <w:t>渗透系数的经验值为</w:t>
      </w:r>
      <w:r>
        <w:rPr>
          <w:rFonts w:hint="eastAsia"/>
          <w:color w:val="auto"/>
          <w:lang w:val="en-US" w:eastAsia="zh-CN"/>
        </w:rPr>
        <w:t>1.0</w:t>
      </w:r>
      <w:r>
        <w:rPr>
          <w:rFonts w:ascii="宋体" w:hAnsi="宋体"/>
          <w:color w:val="auto"/>
        </w:rPr>
        <w:t>～</w:t>
      </w:r>
      <w:r>
        <w:rPr>
          <w:rFonts w:hint="eastAsia"/>
          <w:color w:val="auto"/>
          <w:lang w:val="en-US" w:eastAsia="zh-CN"/>
        </w:rPr>
        <w:t>1.5</w:t>
      </w:r>
      <w:r>
        <w:rPr>
          <w:color w:val="auto"/>
        </w:rPr>
        <w:t>m/d</w:t>
      </w:r>
      <w:r>
        <w:rPr>
          <w:rFonts w:hint="eastAsia"/>
          <w:color w:val="auto"/>
        </w:rPr>
        <w:t>，按风险最大化原则考虑，本项目</w:t>
      </w:r>
      <w:r>
        <w:rPr>
          <w:rFonts w:hint="eastAsia" w:ascii="宋体" w:hAnsi="宋体"/>
          <w:color w:val="auto"/>
        </w:rPr>
        <w:t>渗透系数取为</w:t>
      </w:r>
      <w:r>
        <w:rPr>
          <w:rFonts w:hint="eastAsia"/>
          <w:color w:val="auto"/>
          <w:lang w:val="en-US" w:eastAsia="zh-CN"/>
        </w:rPr>
        <w:t>1.5</w:t>
      </w:r>
      <w:r>
        <w:rPr>
          <w:rFonts w:hint="eastAsia" w:hAnsi="宋体"/>
          <w:color w:val="auto"/>
        </w:rPr>
        <w:t>m/d</w:t>
      </w:r>
      <w:r>
        <w:rPr>
          <w:rFonts w:hint="eastAsia" w:ascii="宋体" w:hAnsi="宋体"/>
          <w:color w:val="auto"/>
        </w:rPr>
        <w:t>。</w:t>
      </w:r>
    </w:p>
    <w:p>
      <w:pPr>
        <w:widowControl/>
        <w:ind w:firstLine="480"/>
        <w:jc w:val="left"/>
        <w:rPr>
          <w:color w:val="auto"/>
          <w:kern w:val="21"/>
          <w:lang w:bidi="ar"/>
        </w:rPr>
      </w:pPr>
      <w:r>
        <w:rPr>
          <w:color w:val="auto"/>
          <w:kern w:val="21"/>
          <w:lang w:bidi="ar"/>
        </w:rPr>
        <w:t>②水力坡度及水流速度</w:t>
      </w:r>
    </w:p>
    <w:p>
      <w:pPr>
        <w:widowControl/>
        <w:ind w:firstLine="480"/>
        <w:jc w:val="left"/>
        <w:rPr>
          <w:color w:val="auto"/>
          <w:kern w:val="21"/>
          <w:lang w:bidi="ar"/>
        </w:rPr>
      </w:pPr>
      <w:r>
        <w:rPr>
          <w:color w:val="auto"/>
          <w:kern w:val="21"/>
          <w:lang w:bidi="ar"/>
        </w:rPr>
        <w:t>根据《</w:t>
      </w:r>
      <w:r>
        <w:rPr>
          <w:color w:val="auto"/>
          <w:kern w:val="21"/>
        </w:rPr>
        <w:t>楚雄市富民工业园区污水处理厂（一期）项目场地岩土工程勘察报告</w:t>
      </w:r>
      <w:r>
        <w:rPr>
          <w:color w:val="auto"/>
          <w:kern w:val="21"/>
          <w:lang w:bidi="ar"/>
        </w:rPr>
        <w:t>》，项目区地表主要为上层为第四系填土层，其下为第四系冲洪层</w:t>
      </w:r>
      <w:r>
        <w:rPr>
          <w:rFonts w:hint="eastAsia" w:eastAsia="TimesNewRomanPSMT"/>
          <w:color w:val="auto"/>
          <w:kern w:val="21"/>
          <w:lang w:bidi="ar"/>
        </w:rPr>
        <w:t>（</w:t>
      </w:r>
      <w:r>
        <w:rPr>
          <w:rFonts w:eastAsia="TimesNewRomanPSMT"/>
          <w:color w:val="auto"/>
          <w:kern w:val="21"/>
          <w:lang w:bidi="ar"/>
        </w:rPr>
        <w:t>Q4al+pl</w:t>
      </w:r>
      <w:r>
        <w:rPr>
          <w:rFonts w:hint="eastAsia" w:eastAsia="TimesNewRomanPSMT"/>
          <w:color w:val="auto"/>
          <w:kern w:val="21"/>
          <w:lang w:bidi="ar"/>
        </w:rPr>
        <w:t>）</w:t>
      </w:r>
      <w:r>
        <w:rPr>
          <w:color w:val="auto"/>
          <w:kern w:val="21"/>
          <w:lang w:bidi="ar"/>
        </w:rPr>
        <w:t>粘性土、粉土、粉砂及圆砾层，下伏基岩为白垩系下统普昌河组（</w:t>
      </w:r>
      <w:r>
        <w:rPr>
          <w:rFonts w:eastAsia="TimesNewRomanPSMT"/>
          <w:color w:val="auto"/>
          <w:kern w:val="21"/>
          <w:lang w:bidi="ar"/>
        </w:rPr>
        <w:t>K1p</w:t>
      </w:r>
      <w:r>
        <w:rPr>
          <w:color w:val="auto"/>
          <w:kern w:val="21"/>
          <w:lang w:bidi="ar"/>
        </w:rPr>
        <w:t>）泥岩。勘察单位（云南地质工程勘察院）在场地边界四周共设置钻孔</w:t>
      </w:r>
      <w:r>
        <w:rPr>
          <w:rFonts w:eastAsia="TimesNewRomanPSMT"/>
          <w:color w:val="auto"/>
          <w:kern w:val="21"/>
          <w:lang w:bidi="ar"/>
        </w:rPr>
        <w:t>100</w:t>
      </w:r>
      <w:r>
        <w:rPr>
          <w:color w:val="auto"/>
          <w:kern w:val="21"/>
          <w:lang w:bidi="ar"/>
        </w:rPr>
        <w:t>个，钻孔间距</w:t>
      </w:r>
      <w:r>
        <w:rPr>
          <w:rFonts w:eastAsia="TimesNewRomanPSMT"/>
          <w:color w:val="auto"/>
          <w:kern w:val="21"/>
          <w:lang w:bidi="ar"/>
        </w:rPr>
        <w:t>5</w:t>
      </w:r>
      <w:r>
        <w:rPr>
          <w:color w:val="auto"/>
          <w:kern w:val="21"/>
          <w:lang w:bidi="ar"/>
        </w:rPr>
        <w:t>～</w:t>
      </w:r>
      <w:r>
        <w:rPr>
          <w:rFonts w:eastAsia="TimesNewRomanPSMT"/>
          <w:color w:val="auto"/>
          <w:kern w:val="21"/>
          <w:lang w:bidi="ar"/>
        </w:rPr>
        <w:t>24m</w:t>
      </w:r>
      <w:r>
        <w:rPr>
          <w:color w:val="auto"/>
          <w:kern w:val="21"/>
          <w:lang w:bidi="ar"/>
        </w:rPr>
        <w:t>，根据两钻孔的高程差与钻孔间距计算得到的地下水水力坡度为0.010-0.0578，地下水水力坡度取0.0578，根据渗透系数及地下水水力坡度，可计算出项目区地下水流速u（u=k×i）约为0.0867m/d。</w:t>
      </w:r>
    </w:p>
    <w:p>
      <w:pPr>
        <w:widowControl/>
        <w:ind w:firstLine="480"/>
        <w:jc w:val="left"/>
        <w:rPr>
          <w:color w:val="auto"/>
          <w:kern w:val="21"/>
        </w:rPr>
      </w:pPr>
      <w:r>
        <w:rPr>
          <w:color w:val="auto"/>
          <w:kern w:val="21"/>
          <w:lang w:bidi="ar"/>
        </w:rPr>
        <w:t>③弥散度和弥散系数</w:t>
      </w:r>
    </w:p>
    <w:p>
      <w:pPr>
        <w:ind w:firstLine="480"/>
        <w:rPr>
          <w:color w:val="auto"/>
          <w:kern w:val="21"/>
          <w:szCs w:val="26"/>
        </w:rPr>
      </w:pPr>
      <w:r>
        <w:rPr>
          <w:color w:val="auto"/>
          <w:kern w:val="21"/>
          <w:szCs w:val="26"/>
        </w:rPr>
        <w:t>评价根据经验公式a</w:t>
      </w:r>
      <w:r>
        <w:rPr>
          <w:color w:val="auto"/>
          <w:kern w:val="21"/>
          <w:szCs w:val="26"/>
          <w:vertAlign w:val="subscript"/>
        </w:rPr>
        <w:t>L</w:t>
      </w:r>
      <w:r>
        <w:rPr>
          <w:color w:val="auto"/>
          <w:kern w:val="21"/>
          <w:szCs w:val="26"/>
        </w:rPr>
        <w:t>=0.83×（lgL）</w:t>
      </w:r>
      <w:r>
        <w:rPr>
          <w:color w:val="auto"/>
          <w:kern w:val="21"/>
          <w:szCs w:val="26"/>
          <w:vertAlign w:val="superscript"/>
        </w:rPr>
        <w:t>2.414</w:t>
      </w:r>
      <w:r>
        <w:rPr>
          <w:color w:val="auto"/>
          <w:kern w:val="21"/>
          <w:szCs w:val="26"/>
        </w:rPr>
        <w:t>确定纵向弥散系数，其中a</w:t>
      </w:r>
      <w:r>
        <w:rPr>
          <w:color w:val="auto"/>
          <w:kern w:val="21"/>
          <w:szCs w:val="26"/>
          <w:vertAlign w:val="subscript"/>
        </w:rPr>
        <w:t>L</w:t>
      </w:r>
      <w:r>
        <w:rPr>
          <w:color w:val="auto"/>
          <w:kern w:val="21"/>
          <w:szCs w:val="26"/>
        </w:rPr>
        <w:t>为纵向弥散度、L为污染物运移尺度或研究区的近似最大内径长度。</w:t>
      </w:r>
    </w:p>
    <w:p>
      <w:pPr>
        <w:ind w:firstLine="480"/>
        <w:rPr>
          <w:color w:val="auto"/>
          <w:kern w:val="21"/>
        </w:rPr>
      </w:pPr>
      <w:r>
        <w:rPr>
          <w:color w:val="auto"/>
          <w:kern w:val="21"/>
        </w:rPr>
        <w:t>L=α×K×I×T/ne=2×1.5×0.0</w:t>
      </w:r>
      <w:r>
        <w:rPr>
          <w:rFonts w:hint="eastAsia"/>
          <w:color w:val="auto"/>
          <w:kern w:val="21"/>
        </w:rPr>
        <w:t>578</w:t>
      </w:r>
      <w:r>
        <w:rPr>
          <w:color w:val="auto"/>
          <w:kern w:val="21"/>
        </w:rPr>
        <w:t>×5000/0.4=</w:t>
      </w:r>
      <w:r>
        <w:rPr>
          <w:rFonts w:hint="eastAsia"/>
          <w:color w:val="auto"/>
          <w:kern w:val="21"/>
        </w:rPr>
        <w:t>2167.5</w:t>
      </w:r>
      <w:r>
        <w:rPr>
          <w:color w:val="auto"/>
          <w:kern w:val="21"/>
        </w:rPr>
        <w:t>m</w:t>
      </w:r>
    </w:p>
    <w:p>
      <w:pPr>
        <w:ind w:firstLine="480"/>
        <w:rPr>
          <w:color w:val="auto"/>
          <w:kern w:val="21"/>
        </w:rPr>
      </w:pPr>
      <w:r>
        <w:rPr>
          <w:color w:val="auto"/>
          <w:kern w:val="21"/>
        </w:rPr>
        <w:t>α—变化系数，一般取2；K—渗透系数，m/d；I—水力坡度，</w:t>
      </w:r>
      <w:r>
        <w:rPr>
          <w:color w:val="auto"/>
          <w:kern w:val="21"/>
          <w:lang w:bidi="ar"/>
        </w:rPr>
        <w:t>取0.0578</w:t>
      </w:r>
      <w:r>
        <w:rPr>
          <w:color w:val="auto"/>
          <w:kern w:val="21"/>
        </w:rPr>
        <w:t>；T—质点迁移天数，取5000d，ne—有效孔隙度。根据</w:t>
      </w:r>
      <w:r>
        <w:rPr>
          <w:color w:val="auto"/>
          <w:kern w:val="21"/>
          <w:szCs w:val="26"/>
        </w:rPr>
        <w:t>经验公式a</w:t>
      </w:r>
      <w:r>
        <w:rPr>
          <w:color w:val="auto"/>
          <w:kern w:val="21"/>
          <w:szCs w:val="26"/>
          <w:vertAlign w:val="subscript"/>
        </w:rPr>
        <w:t>L</w:t>
      </w:r>
      <w:r>
        <w:rPr>
          <w:color w:val="auto"/>
          <w:kern w:val="21"/>
          <w:szCs w:val="26"/>
        </w:rPr>
        <w:t>=0.83×（lgL）</w:t>
      </w:r>
      <w:r>
        <w:rPr>
          <w:color w:val="auto"/>
          <w:kern w:val="21"/>
          <w:szCs w:val="26"/>
          <w:vertAlign w:val="superscript"/>
        </w:rPr>
        <w:t>2.414</w:t>
      </w:r>
      <w:r>
        <w:rPr>
          <w:color w:val="auto"/>
          <w:kern w:val="21"/>
          <w:szCs w:val="26"/>
        </w:rPr>
        <w:t>，计算得到弥散度a</w:t>
      </w:r>
      <w:r>
        <w:rPr>
          <w:color w:val="auto"/>
          <w:kern w:val="21"/>
          <w:szCs w:val="26"/>
          <w:vertAlign w:val="subscript"/>
        </w:rPr>
        <w:t>L</w:t>
      </w:r>
      <w:r>
        <w:rPr>
          <w:color w:val="auto"/>
          <w:kern w:val="21"/>
          <w:szCs w:val="26"/>
        </w:rPr>
        <w:t>为</w:t>
      </w:r>
      <w:r>
        <w:rPr>
          <w:rFonts w:hint="eastAsia"/>
          <w:color w:val="auto"/>
          <w:kern w:val="21"/>
          <w:szCs w:val="26"/>
        </w:rPr>
        <w:t>15.21</w:t>
      </w:r>
      <w:r>
        <w:rPr>
          <w:color w:val="auto"/>
          <w:kern w:val="21"/>
        </w:rPr>
        <w:t>m。根据D</w:t>
      </w:r>
      <w:r>
        <w:rPr>
          <w:color w:val="auto"/>
          <w:kern w:val="21"/>
          <w:vertAlign w:val="subscript"/>
        </w:rPr>
        <w:t>L</w:t>
      </w:r>
      <w:r>
        <w:rPr>
          <w:color w:val="auto"/>
          <w:kern w:val="21"/>
        </w:rPr>
        <w:t>=a</w:t>
      </w:r>
      <w:r>
        <w:rPr>
          <w:color w:val="auto"/>
          <w:kern w:val="21"/>
          <w:vertAlign w:val="subscript"/>
        </w:rPr>
        <w:t>L</w:t>
      </w:r>
      <w:r>
        <w:rPr>
          <w:color w:val="auto"/>
          <w:kern w:val="21"/>
        </w:rPr>
        <w:t>×u，得出DL为</w:t>
      </w:r>
      <w:r>
        <w:rPr>
          <w:rFonts w:hint="eastAsia"/>
          <w:color w:val="auto"/>
          <w:kern w:val="21"/>
        </w:rPr>
        <w:t>1.319</w:t>
      </w:r>
      <w:r>
        <w:rPr>
          <w:color w:val="auto"/>
          <w:kern w:val="21"/>
        </w:rPr>
        <w:t>m</w:t>
      </w:r>
      <w:r>
        <w:rPr>
          <w:color w:val="auto"/>
          <w:kern w:val="21"/>
          <w:vertAlign w:val="superscript"/>
        </w:rPr>
        <w:t>2</w:t>
      </w:r>
      <w:r>
        <w:rPr>
          <w:color w:val="auto"/>
          <w:kern w:val="21"/>
        </w:rPr>
        <w:t>/d。</w:t>
      </w:r>
    </w:p>
    <w:p>
      <w:pPr>
        <w:widowControl/>
        <w:ind w:firstLine="480"/>
        <w:jc w:val="left"/>
        <w:rPr>
          <w:color w:val="auto"/>
          <w:kern w:val="21"/>
        </w:rPr>
      </w:pPr>
      <w:r>
        <w:rPr>
          <w:color w:val="auto"/>
          <w:kern w:val="21"/>
          <w:lang w:bidi="ar"/>
        </w:rPr>
        <w:t>④计算时参数取值统计</w:t>
      </w:r>
    </w:p>
    <w:p>
      <w:pPr>
        <w:widowControl/>
        <w:ind w:firstLine="480"/>
        <w:jc w:val="left"/>
        <w:rPr>
          <w:color w:val="auto"/>
          <w:kern w:val="21"/>
        </w:rPr>
      </w:pPr>
      <w:r>
        <w:rPr>
          <w:color w:val="auto"/>
          <w:kern w:val="21"/>
          <w:lang w:bidi="ar"/>
        </w:rPr>
        <w:t>计算时渗透系数、水力坡度、水流速度、纵向弥散度、纵向弥散系数及污染源强统计见</w:t>
      </w:r>
      <w:r>
        <w:rPr>
          <w:rFonts w:hint="eastAsia"/>
          <w:color w:val="auto"/>
          <w:kern w:val="21"/>
          <w:lang w:eastAsia="zh-CN" w:bidi="ar"/>
        </w:rPr>
        <w:t>下表</w:t>
      </w:r>
      <w:r>
        <w:rPr>
          <w:color w:val="auto"/>
          <w:kern w:val="21"/>
          <w:lang w:bidi="ar"/>
        </w:rPr>
        <w:t>。</w:t>
      </w:r>
    </w:p>
    <w:p>
      <w:pPr>
        <w:numPr>
          <w:ilvl w:val="0"/>
          <w:numId w:val="11"/>
        </w:numPr>
        <w:tabs>
          <w:tab w:val="left" w:pos="3395"/>
          <w:tab w:val="clear" w:pos="0"/>
        </w:tabs>
        <w:ind w:left="0" w:leftChars="0" w:firstLine="0" w:firstLineChars="0"/>
        <w:jc w:val="center"/>
        <w:rPr>
          <w:b/>
          <w:bCs/>
          <w:color w:val="auto"/>
          <w:kern w:val="21"/>
          <w:lang w:bidi="ar"/>
        </w:rPr>
      </w:pPr>
      <w:r>
        <w:rPr>
          <w:b/>
          <w:bCs/>
          <w:color w:val="auto"/>
          <w:kern w:val="21"/>
          <w:lang w:bidi="ar"/>
        </w:rPr>
        <w:t>计算参数一览表</w:t>
      </w:r>
    </w:p>
    <w:tbl>
      <w:tblPr>
        <w:tblStyle w:val="51"/>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185"/>
        <w:gridCol w:w="1131"/>
        <w:gridCol w:w="1104"/>
        <w:gridCol w:w="1105"/>
        <w:gridCol w:w="1255"/>
        <w:gridCol w:w="1022"/>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189"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渗透系数K（m/d）</w:t>
            </w:r>
          </w:p>
        </w:tc>
        <w:tc>
          <w:tcPr>
            <w:tcW w:w="1185"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水力坡度i</w:t>
            </w:r>
          </w:p>
        </w:tc>
        <w:tc>
          <w:tcPr>
            <w:tcW w:w="1131"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纵向弥散度aL</w:t>
            </w:r>
          </w:p>
        </w:tc>
        <w:tc>
          <w:tcPr>
            <w:tcW w:w="1104"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有效孔隙度</w:t>
            </w:r>
            <w:r>
              <w:rPr>
                <w:rFonts w:hint="eastAsia"/>
                <w:color w:val="auto"/>
                <w:kern w:val="21"/>
                <w:sz w:val="21"/>
                <w:szCs w:val="21"/>
              </w:rPr>
              <w:t>ne</w:t>
            </w:r>
          </w:p>
        </w:tc>
        <w:tc>
          <w:tcPr>
            <w:tcW w:w="1105"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水流速度（m/d）</w:t>
            </w:r>
          </w:p>
        </w:tc>
        <w:tc>
          <w:tcPr>
            <w:tcW w:w="1255"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纵向弥散系数D</w:t>
            </w:r>
            <w:r>
              <w:rPr>
                <w:color w:val="auto"/>
                <w:kern w:val="21"/>
                <w:sz w:val="21"/>
                <w:szCs w:val="21"/>
                <w:vertAlign w:val="subscript"/>
              </w:rPr>
              <w:t>L</w:t>
            </w:r>
            <w:r>
              <w:rPr>
                <w:color w:val="auto"/>
                <w:kern w:val="21"/>
                <w:sz w:val="21"/>
                <w:szCs w:val="21"/>
              </w:rPr>
              <w:t>（m</w:t>
            </w:r>
            <w:r>
              <w:rPr>
                <w:color w:val="auto"/>
                <w:kern w:val="21"/>
                <w:sz w:val="21"/>
                <w:szCs w:val="21"/>
                <w:vertAlign w:val="superscript"/>
              </w:rPr>
              <w:t>2</w:t>
            </w:r>
            <w:r>
              <w:rPr>
                <w:color w:val="auto"/>
                <w:kern w:val="21"/>
                <w:sz w:val="21"/>
                <w:szCs w:val="21"/>
              </w:rPr>
              <w:t>/d）</w:t>
            </w:r>
          </w:p>
        </w:tc>
        <w:tc>
          <w:tcPr>
            <w:tcW w:w="2044" w:type="dxa"/>
            <w:gridSpan w:val="2"/>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污染源强C</w:t>
            </w:r>
            <w:r>
              <w:rPr>
                <w:color w:val="auto"/>
                <w:kern w:val="21"/>
                <w:sz w:val="21"/>
                <w:szCs w:val="21"/>
                <w:vertAlign w:val="subscript"/>
              </w:rPr>
              <w:t>0</w:t>
            </w:r>
            <w:r>
              <w:rPr>
                <w:color w:val="auto"/>
                <w:kern w:val="21"/>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9" w:type="dxa"/>
            <w:vMerge w:val="continue"/>
            <w:vAlign w:val="center"/>
          </w:tcPr>
          <w:p>
            <w:pPr>
              <w:pStyle w:val="23"/>
              <w:spacing w:after="0" w:line="240" w:lineRule="auto"/>
              <w:ind w:left="0" w:leftChars="0" w:firstLine="0" w:firstLineChars="0"/>
              <w:jc w:val="center"/>
              <w:rPr>
                <w:color w:val="auto"/>
                <w:kern w:val="21"/>
              </w:rPr>
            </w:pPr>
          </w:p>
        </w:tc>
        <w:tc>
          <w:tcPr>
            <w:tcW w:w="1185" w:type="dxa"/>
            <w:vMerge w:val="continue"/>
            <w:vAlign w:val="center"/>
          </w:tcPr>
          <w:p>
            <w:pPr>
              <w:pStyle w:val="23"/>
              <w:spacing w:after="0" w:line="240" w:lineRule="auto"/>
              <w:ind w:left="0" w:leftChars="0" w:firstLine="0" w:firstLineChars="0"/>
              <w:jc w:val="center"/>
              <w:rPr>
                <w:color w:val="auto"/>
                <w:kern w:val="21"/>
              </w:rPr>
            </w:pPr>
          </w:p>
        </w:tc>
        <w:tc>
          <w:tcPr>
            <w:tcW w:w="1131" w:type="dxa"/>
            <w:vMerge w:val="continue"/>
            <w:vAlign w:val="center"/>
          </w:tcPr>
          <w:p>
            <w:pPr>
              <w:pStyle w:val="23"/>
              <w:spacing w:after="0" w:line="240" w:lineRule="auto"/>
              <w:ind w:left="0" w:leftChars="0" w:firstLine="0" w:firstLineChars="0"/>
              <w:jc w:val="center"/>
              <w:rPr>
                <w:color w:val="auto"/>
                <w:kern w:val="21"/>
              </w:rPr>
            </w:pPr>
          </w:p>
        </w:tc>
        <w:tc>
          <w:tcPr>
            <w:tcW w:w="1104" w:type="dxa"/>
            <w:vMerge w:val="continue"/>
            <w:vAlign w:val="center"/>
          </w:tcPr>
          <w:p>
            <w:pPr>
              <w:pStyle w:val="23"/>
              <w:spacing w:after="0" w:line="240" w:lineRule="auto"/>
              <w:ind w:left="0" w:leftChars="0" w:firstLine="0" w:firstLineChars="0"/>
              <w:jc w:val="center"/>
              <w:rPr>
                <w:color w:val="auto"/>
                <w:kern w:val="21"/>
              </w:rPr>
            </w:pPr>
          </w:p>
        </w:tc>
        <w:tc>
          <w:tcPr>
            <w:tcW w:w="1105" w:type="dxa"/>
            <w:vMerge w:val="continue"/>
            <w:vAlign w:val="center"/>
          </w:tcPr>
          <w:p>
            <w:pPr>
              <w:pStyle w:val="23"/>
              <w:spacing w:after="0" w:line="240" w:lineRule="auto"/>
              <w:ind w:left="0" w:leftChars="0" w:firstLine="0" w:firstLineChars="0"/>
              <w:jc w:val="center"/>
              <w:rPr>
                <w:color w:val="auto"/>
                <w:kern w:val="21"/>
              </w:rPr>
            </w:pPr>
          </w:p>
        </w:tc>
        <w:tc>
          <w:tcPr>
            <w:tcW w:w="1255" w:type="dxa"/>
            <w:vMerge w:val="continue"/>
            <w:vAlign w:val="center"/>
          </w:tcPr>
          <w:p>
            <w:pPr>
              <w:pStyle w:val="23"/>
              <w:spacing w:after="0" w:line="240" w:lineRule="auto"/>
              <w:ind w:left="0" w:leftChars="0" w:firstLine="0" w:firstLineChars="0"/>
              <w:jc w:val="center"/>
              <w:rPr>
                <w:color w:val="auto"/>
                <w:kern w:val="21"/>
              </w:rPr>
            </w:pPr>
          </w:p>
        </w:tc>
        <w:tc>
          <w:tcPr>
            <w:tcW w:w="1022"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氨氮</w:t>
            </w:r>
          </w:p>
        </w:tc>
        <w:tc>
          <w:tcPr>
            <w:tcW w:w="1022"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9"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1.5</w:t>
            </w:r>
          </w:p>
        </w:tc>
        <w:tc>
          <w:tcPr>
            <w:tcW w:w="1185"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0.0578</w:t>
            </w:r>
          </w:p>
        </w:tc>
        <w:tc>
          <w:tcPr>
            <w:tcW w:w="1131"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rPr>
              <w:t>15.21</w:t>
            </w:r>
          </w:p>
        </w:tc>
        <w:tc>
          <w:tcPr>
            <w:tcW w:w="1104"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rPr>
              <w:t>0.4</w:t>
            </w:r>
          </w:p>
        </w:tc>
        <w:tc>
          <w:tcPr>
            <w:tcW w:w="1105"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0.0867</w:t>
            </w:r>
          </w:p>
        </w:tc>
        <w:tc>
          <w:tcPr>
            <w:tcW w:w="1255" w:type="dxa"/>
            <w:vAlign w:val="center"/>
          </w:tcPr>
          <w:p>
            <w:pPr>
              <w:pStyle w:val="23"/>
              <w:spacing w:after="0" w:line="240" w:lineRule="auto"/>
              <w:ind w:left="0" w:leftChars="0" w:firstLine="0" w:firstLineChars="0"/>
              <w:jc w:val="center"/>
              <w:rPr>
                <w:color w:val="auto"/>
                <w:kern w:val="21"/>
                <w:sz w:val="21"/>
                <w:szCs w:val="21"/>
              </w:rPr>
            </w:pPr>
            <w:r>
              <w:rPr>
                <w:rFonts w:hint="eastAsia"/>
                <w:color w:val="auto"/>
                <w:kern w:val="21"/>
                <w:sz w:val="21"/>
                <w:szCs w:val="21"/>
              </w:rPr>
              <w:t>1.319</w:t>
            </w:r>
          </w:p>
        </w:tc>
        <w:tc>
          <w:tcPr>
            <w:tcW w:w="1022"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40.74</w:t>
            </w:r>
          </w:p>
        </w:tc>
        <w:tc>
          <w:tcPr>
            <w:tcW w:w="1022"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16.35</w:t>
            </w:r>
          </w:p>
        </w:tc>
      </w:tr>
    </w:tbl>
    <w:p>
      <w:pPr>
        <w:ind w:firstLine="480"/>
        <w:rPr>
          <w:color w:val="auto"/>
          <w:kern w:val="21"/>
        </w:rPr>
      </w:pPr>
      <w:r>
        <w:rPr>
          <w:color w:val="auto"/>
          <w:kern w:val="21"/>
        </w:rPr>
        <w:t>（</w:t>
      </w:r>
      <w:r>
        <w:rPr>
          <w:rFonts w:hint="eastAsia"/>
          <w:color w:val="auto"/>
          <w:kern w:val="21"/>
        </w:rPr>
        <w:t>3</w:t>
      </w:r>
      <w:r>
        <w:rPr>
          <w:color w:val="auto"/>
          <w:kern w:val="21"/>
        </w:rPr>
        <w:t>）污染物运移预测结果分析</w:t>
      </w:r>
    </w:p>
    <w:p>
      <w:pPr>
        <w:ind w:firstLine="480"/>
        <w:rPr>
          <w:color w:val="auto"/>
          <w:kern w:val="21"/>
        </w:rPr>
      </w:pPr>
      <w:r>
        <w:rPr>
          <w:color w:val="auto"/>
          <w:kern w:val="21"/>
        </w:rPr>
        <w:t>在暂存或处理工业污水</w:t>
      </w:r>
      <w:r>
        <w:rPr>
          <w:rFonts w:hint="eastAsia"/>
          <w:color w:val="auto"/>
          <w:kern w:val="21"/>
        </w:rPr>
        <w:t>过程中</w:t>
      </w:r>
      <w:r>
        <w:rPr>
          <w:color w:val="auto"/>
          <w:kern w:val="21"/>
        </w:rPr>
        <w:t>防渗层出现破损或破裂，工业污水发生渗漏的非正常状况下，工业污水持续发生渗漏</w:t>
      </w:r>
      <w:r>
        <w:rPr>
          <w:rFonts w:hint="eastAsia"/>
          <w:color w:val="auto"/>
          <w:kern w:val="21"/>
        </w:rPr>
        <w:t>100</w:t>
      </w:r>
      <w:r>
        <w:rPr>
          <w:rFonts w:hint="eastAsia"/>
          <w:color w:val="auto"/>
          <w:kern w:val="21"/>
          <w:lang w:bidi="ar"/>
        </w:rPr>
        <w:t>天、1年</w:t>
      </w:r>
      <w:r>
        <w:rPr>
          <w:color w:val="auto"/>
          <w:kern w:val="21"/>
          <w:lang w:bidi="ar"/>
        </w:rPr>
        <w:t>、1</w:t>
      </w:r>
      <w:r>
        <w:rPr>
          <w:rFonts w:hint="eastAsia"/>
          <w:color w:val="auto"/>
          <w:kern w:val="21"/>
          <w:lang w:bidi="ar"/>
        </w:rPr>
        <w:t>000天</w:t>
      </w:r>
      <w:r>
        <w:rPr>
          <w:color w:val="auto"/>
          <w:kern w:val="21"/>
          <w:lang w:bidi="ar"/>
        </w:rPr>
        <w:t>、</w:t>
      </w:r>
      <w:r>
        <w:rPr>
          <w:rFonts w:hint="eastAsia"/>
          <w:color w:val="auto"/>
          <w:kern w:val="21"/>
          <w:lang w:bidi="ar"/>
        </w:rPr>
        <w:t>5年、10年和20年</w:t>
      </w:r>
      <w:r>
        <w:rPr>
          <w:color w:val="auto"/>
          <w:kern w:val="21"/>
        </w:rPr>
        <w:t>后，氨氮在地下水环境中的最大迁移扩散距离估算结果见表5-</w:t>
      </w:r>
      <w:r>
        <w:rPr>
          <w:rFonts w:hint="eastAsia"/>
          <w:color w:val="auto"/>
          <w:kern w:val="21"/>
        </w:rPr>
        <w:t>13</w:t>
      </w:r>
      <w:r>
        <w:rPr>
          <w:color w:val="auto"/>
          <w:kern w:val="21"/>
        </w:rPr>
        <w:t>，地下水中氨氮浓度变化曲线图见图5-</w:t>
      </w:r>
      <w:r>
        <w:rPr>
          <w:rFonts w:hint="eastAsia"/>
          <w:color w:val="auto"/>
          <w:kern w:val="21"/>
        </w:rPr>
        <w:t>3</w:t>
      </w:r>
      <w:r>
        <w:rPr>
          <w:color w:val="auto"/>
          <w:kern w:val="21"/>
        </w:rPr>
        <w:t>，为污水处理厂建设设计、运行管理和非正常状况下的地下水污染风险管控提供一定的指导作用。</w:t>
      </w:r>
    </w:p>
    <w:p>
      <w:pPr>
        <w:pStyle w:val="2"/>
        <w:rPr>
          <w:color w:val="auto"/>
        </w:rPr>
      </w:pPr>
    </w:p>
    <w:p>
      <w:pPr>
        <w:numPr>
          <w:ilvl w:val="0"/>
          <w:numId w:val="11"/>
        </w:numPr>
        <w:tabs>
          <w:tab w:val="left" w:pos="3395"/>
          <w:tab w:val="clear" w:pos="0"/>
        </w:tabs>
        <w:ind w:left="0" w:leftChars="0" w:firstLine="0" w:firstLineChars="0"/>
        <w:jc w:val="center"/>
        <w:rPr>
          <w:b/>
          <w:bCs/>
          <w:color w:val="auto"/>
          <w:kern w:val="21"/>
        </w:rPr>
      </w:pPr>
      <w:r>
        <w:rPr>
          <w:b/>
          <w:bCs/>
          <w:color w:val="auto"/>
          <w:kern w:val="21"/>
        </w:rPr>
        <w:t>氨氮在</w:t>
      </w:r>
      <w:r>
        <w:rPr>
          <w:b/>
          <w:bCs/>
          <w:color w:val="auto"/>
          <w:kern w:val="21"/>
          <w:lang w:bidi="ar"/>
        </w:rPr>
        <w:t>不</w:t>
      </w:r>
      <w:r>
        <w:rPr>
          <w:rFonts w:hint="eastAsia"/>
          <w:b/>
          <w:bCs/>
          <w:color w:val="auto"/>
          <w:kern w:val="21"/>
          <w:lang w:bidi="ar"/>
        </w:rPr>
        <w:t>同</w:t>
      </w:r>
      <w:r>
        <w:rPr>
          <w:b/>
          <w:bCs/>
          <w:color w:val="auto"/>
          <w:kern w:val="21"/>
        </w:rPr>
        <w:t>预测时间下的运移浓度单位：mg/L</w:t>
      </w:r>
    </w:p>
    <w:tbl>
      <w:tblPr>
        <w:tblStyle w:val="51"/>
        <w:tblW w:w="84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7"/>
        <w:gridCol w:w="1191"/>
        <w:gridCol w:w="1347"/>
        <w:gridCol w:w="1216"/>
        <w:gridCol w:w="1281"/>
        <w:gridCol w:w="1275"/>
        <w:gridCol w:w="12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447" w:type="dxa"/>
            <w:gridSpan w:val="7"/>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氨氮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937" w:type="dxa"/>
            <w:tcBorders>
              <w:top w:val="single" w:color="auto" w:sz="4" w:space="0"/>
              <w:left w:val="single" w:color="auto" w:sz="4" w:space="0"/>
              <w:bottom w:val="single" w:color="auto" w:sz="4" w:space="0"/>
              <w:right w:val="single" w:color="auto" w:sz="4" w:space="0"/>
              <w:tl2br w:val="single" w:color="auto" w:sz="4" w:space="0"/>
            </w:tcBorders>
            <w:vAlign w:val="center"/>
          </w:tcPr>
          <w:p>
            <w:pPr>
              <w:widowControl/>
              <w:spacing w:before="9" w:beforeLines="3" w:after="9" w:afterLines="3" w:line="240" w:lineRule="auto"/>
              <w:ind w:firstLine="0" w:firstLineChars="0"/>
              <w:jc w:val="right"/>
              <w:rPr>
                <w:color w:val="auto"/>
                <w:kern w:val="21"/>
                <w:sz w:val="21"/>
                <w:szCs w:val="21"/>
                <w:lang w:bidi="ar"/>
              </w:rPr>
            </w:pPr>
            <w:r>
              <w:rPr>
                <w:color w:val="auto"/>
                <w:kern w:val="21"/>
                <w:sz w:val="21"/>
                <w:szCs w:val="21"/>
                <w:lang w:bidi="ar"/>
              </w:rPr>
              <w:t>天数</w:t>
            </w:r>
          </w:p>
          <w:p>
            <w:pPr>
              <w:widowControl/>
              <w:spacing w:before="9" w:beforeLines="3" w:after="9" w:afterLines="3" w:line="240" w:lineRule="auto"/>
              <w:ind w:firstLine="0" w:firstLineChars="0"/>
              <w:jc w:val="left"/>
              <w:rPr>
                <w:color w:val="auto"/>
                <w:kern w:val="21"/>
                <w:sz w:val="21"/>
                <w:szCs w:val="21"/>
                <w:lang w:bidi="ar"/>
              </w:rPr>
            </w:pPr>
            <w:r>
              <w:rPr>
                <w:color w:val="auto"/>
                <w:kern w:val="21"/>
                <w:sz w:val="21"/>
                <w:szCs w:val="21"/>
                <w:lang w:bidi="ar"/>
              </w:rPr>
              <w:t>距离</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color w:val="auto"/>
                <w:kern w:val="21"/>
                <w:sz w:val="21"/>
                <w:szCs w:val="21"/>
                <w:lang w:bidi="ar"/>
              </w:rPr>
            </w:pPr>
            <w:r>
              <w:rPr>
                <w:rFonts w:eastAsia="TimesNewRomanPSMT"/>
                <w:color w:val="auto"/>
                <w:kern w:val="21"/>
                <w:sz w:val="21"/>
                <w:szCs w:val="21"/>
                <w:lang w:bidi="ar"/>
              </w:rPr>
              <w:t>100</w:t>
            </w:r>
            <w:r>
              <w:rPr>
                <w:color w:val="auto"/>
                <w:kern w:val="21"/>
                <w:sz w:val="21"/>
                <w:szCs w:val="21"/>
                <w:lang w:bidi="ar"/>
              </w:rPr>
              <w:t>天</w:t>
            </w:r>
          </w:p>
        </w:tc>
        <w:tc>
          <w:tcPr>
            <w:tcW w:w="1347"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color w:val="auto"/>
                <w:kern w:val="21"/>
                <w:sz w:val="21"/>
                <w:szCs w:val="21"/>
                <w:lang w:bidi="ar"/>
              </w:rPr>
            </w:pPr>
            <w:r>
              <w:rPr>
                <w:color w:val="auto"/>
                <w:kern w:val="21"/>
                <w:sz w:val="21"/>
                <w:szCs w:val="21"/>
                <w:lang w:bidi="ar"/>
              </w:rPr>
              <w:t>1年</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rFonts w:eastAsia="TimesNewRomanPSMT"/>
                <w:color w:val="auto"/>
                <w:kern w:val="21"/>
                <w:sz w:val="21"/>
                <w:szCs w:val="21"/>
                <w:lang w:bidi="ar"/>
              </w:rPr>
            </w:pPr>
            <w:r>
              <w:rPr>
                <w:color w:val="auto"/>
                <w:kern w:val="21"/>
                <w:sz w:val="21"/>
                <w:szCs w:val="21"/>
                <w:lang w:bidi="ar"/>
              </w:rPr>
              <w:t>1000天</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color w:val="auto"/>
                <w:kern w:val="21"/>
                <w:sz w:val="21"/>
                <w:szCs w:val="21"/>
                <w:lang w:bidi="ar"/>
              </w:rPr>
            </w:pPr>
            <w:r>
              <w:rPr>
                <w:color w:val="auto"/>
                <w:kern w:val="21"/>
                <w:sz w:val="21"/>
                <w:szCs w:val="21"/>
                <w:lang w:bidi="ar"/>
              </w:rPr>
              <w:t>5年</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color w:val="auto"/>
                <w:kern w:val="21"/>
                <w:sz w:val="21"/>
                <w:szCs w:val="21"/>
                <w:lang w:bidi="ar"/>
              </w:rPr>
            </w:pPr>
            <w:r>
              <w:rPr>
                <w:color w:val="auto"/>
                <w:kern w:val="21"/>
                <w:sz w:val="21"/>
                <w:szCs w:val="21"/>
                <w:lang w:bidi="ar"/>
              </w:rPr>
              <w:t>10年</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20年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28.90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37.90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40.30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15.80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33.60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39.70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40.60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6.38</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28.10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38.60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40.40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1.87</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22.00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37.20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40.10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0.39</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15.90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35.30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39.80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10.70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33.00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39.30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6.55</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30.20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38.60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40.70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3.68</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27.10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37.80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40.60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1.89</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23.70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36.70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40.60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0.89</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20.30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35.50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40.50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0.38</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16.90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33.90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40.40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13.60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32.20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10.70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30.20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40.10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8.15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28.10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39.90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6.02</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25.80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39.70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4.30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23.40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39.40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2.98</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20.90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39.00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1.99</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18.40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38.60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190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38.00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0.81</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13.70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37.40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4.91</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32.80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25.60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0.17</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17.10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9.68</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4.41</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0.35</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750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850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950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1100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1300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1400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p>
        </w:tc>
      </w:tr>
    </w:tbl>
    <w:p>
      <w:pPr>
        <w:ind w:firstLine="0" w:firstLineChars="0"/>
        <w:jc w:val="center"/>
        <w:rPr>
          <w:color w:val="auto"/>
          <w:kern w:val="21"/>
        </w:rPr>
      </w:pPr>
      <w:r>
        <w:rPr>
          <w:color w:val="auto"/>
        </w:rPr>
        <w:drawing>
          <wp:inline distT="0" distB="0" distL="114300" distR="114300">
            <wp:extent cx="4572000" cy="2743200"/>
            <wp:effectExtent l="4445" t="4445" r="14605" b="14605"/>
            <wp:docPr id="30"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b/>
          <w:bCs/>
          <w:color w:val="auto"/>
          <w:kern w:val="21"/>
        </w:rPr>
      </w:pPr>
      <w:r>
        <w:rPr>
          <w:b/>
          <w:bCs/>
          <w:color w:val="auto"/>
          <w:kern w:val="21"/>
        </w:rPr>
        <w:t>项目区下游地下水中氨氮浓度变化曲线图</w:t>
      </w:r>
    </w:p>
    <w:p>
      <w:pPr>
        <w:ind w:firstLine="480"/>
        <w:rPr>
          <w:color w:val="auto"/>
          <w:kern w:val="21"/>
        </w:rPr>
      </w:pPr>
      <w:r>
        <w:rPr>
          <w:color w:val="auto"/>
          <w:kern w:val="21"/>
        </w:rPr>
        <w:t>从表5-</w:t>
      </w:r>
      <w:r>
        <w:rPr>
          <w:rFonts w:hint="eastAsia"/>
          <w:color w:val="auto"/>
          <w:kern w:val="21"/>
        </w:rPr>
        <w:t>13</w:t>
      </w:r>
      <w:r>
        <w:rPr>
          <w:color w:val="auto"/>
          <w:kern w:val="21"/>
        </w:rPr>
        <w:t>和图5-</w:t>
      </w:r>
      <w:r>
        <w:rPr>
          <w:rFonts w:hint="eastAsia"/>
          <w:color w:val="auto"/>
          <w:kern w:val="21"/>
        </w:rPr>
        <w:t>4</w:t>
      </w:r>
      <w:r>
        <w:rPr>
          <w:color w:val="auto"/>
          <w:kern w:val="21"/>
        </w:rPr>
        <w:t>中可看出，在暂存或处理工业污水的池子的防渗层出现破损或破裂，工业污水发生渗漏的非正常状况下，工业污水持续渗入含水层中运移100天后，氨氮在地下水环境中的</w:t>
      </w:r>
      <w:r>
        <w:rPr>
          <w:rFonts w:hint="eastAsia"/>
          <w:color w:val="auto"/>
          <w:kern w:val="21"/>
          <w:lang w:eastAsia="zh-CN"/>
        </w:rPr>
        <w:t>超标距离为</w:t>
      </w:r>
      <w:r>
        <w:rPr>
          <w:rFonts w:hint="eastAsia"/>
          <w:color w:val="auto"/>
          <w:kern w:val="21"/>
          <w:lang w:val="en-US" w:eastAsia="zh-CN"/>
        </w:rPr>
        <w:t>48m，最大影响距离为57m；</w:t>
      </w:r>
      <w:r>
        <w:rPr>
          <w:color w:val="auto"/>
          <w:kern w:val="21"/>
        </w:rPr>
        <w:t>运移1</w:t>
      </w:r>
      <w:r>
        <w:rPr>
          <w:rFonts w:hint="eastAsia"/>
          <w:color w:val="auto"/>
          <w:kern w:val="21"/>
          <w:lang w:eastAsia="zh-CN"/>
        </w:rPr>
        <w:t>年</w:t>
      </w:r>
      <w:r>
        <w:rPr>
          <w:color w:val="auto"/>
          <w:kern w:val="21"/>
        </w:rPr>
        <w:t>后，氨氮在地下水环境中的</w:t>
      </w:r>
      <w:r>
        <w:rPr>
          <w:rFonts w:hint="eastAsia"/>
          <w:color w:val="auto"/>
          <w:kern w:val="21"/>
          <w:lang w:eastAsia="zh-CN"/>
        </w:rPr>
        <w:t>超标距离为</w:t>
      </w:r>
      <w:r>
        <w:rPr>
          <w:rFonts w:hint="eastAsia"/>
          <w:color w:val="auto"/>
          <w:kern w:val="21"/>
          <w:lang w:val="en-US" w:eastAsia="zh-CN"/>
        </w:rPr>
        <w:t>106m，最大影响距离为123m；</w:t>
      </w:r>
      <w:r>
        <w:rPr>
          <w:color w:val="auto"/>
          <w:kern w:val="21"/>
        </w:rPr>
        <w:t>运移100</w:t>
      </w:r>
      <w:r>
        <w:rPr>
          <w:rFonts w:hint="eastAsia"/>
          <w:color w:val="auto"/>
          <w:kern w:val="21"/>
          <w:lang w:val="en-US" w:eastAsia="zh-CN"/>
        </w:rPr>
        <w:t>0</w:t>
      </w:r>
      <w:r>
        <w:rPr>
          <w:color w:val="auto"/>
          <w:kern w:val="21"/>
        </w:rPr>
        <w:t>天后，氨氮在地下水环境中的</w:t>
      </w:r>
      <w:r>
        <w:rPr>
          <w:rFonts w:hint="eastAsia"/>
          <w:color w:val="auto"/>
          <w:kern w:val="21"/>
          <w:lang w:eastAsia="zh-CN"/>
        </w:rPr>
        <w:t>超标距离为</w:t>
      </w:r>
      <w:r>
        <w:rPr>
          <w:rFonts w:hint="eastAsia"/>
          <w:color w:val="auto"/>
          <w:kern w:val="21"/>
          <w:lang w:val="en-US" w:eastAsia="zh-CN"/>
        </w:rPr>
        <w:t>209m，最大影响距离为237m；</w:t>
      </w:r>
      <w:r>
        <w:rPr>
          <w:color w:val="auto"/>
          <w:kern w:val="21"/>
        </w:rPr>
        <w:t>运移</w:t>
      </w:r>
      <w:r>
        <w:rPr>
          <w:rFonts w:hint="eastAsia"/>
          <w:color w:val="auto"/>
          <w:kern w:val="21"/>
          <w:lang w:val="en-US" w:eastAsia="zh-CN"/>
        </w:rPr>
        <w:t>5年</w:t>
      </w:r>
      <w:r>
        <w:rPr>
          <w:color w:val="auto"/>
          <w:kern w:val="21"/>
        </w:rPr>
        <w:t>后，氨氮在地下水环境中的</w:t>
      </w:r>
      <w:r>
        <w:rPr>
          <w:rFonts w:hint="eastAsia"/>
          <w:color w:val="auto"/>
          <w:kern w:val="21"/>
          <w:lang w:eastAsia="zh-CN"/>
        </w:rPr>
        <w:t>超标距离为</w:t>
      </w:r>
      <w:r>
        <w:rPr>
          <w:rFonts w:hint="eastAsia"/>
          <w:color w:val="auto"/>
          <w:kern w:val="21"/>
          <w:lang w:val="en-US" w:eastAsia="zh-CN"/>
        </w:rPr>
        <w:t>322m，最大影响距离为361m；</w:t>
      </w:r>
      <w:r>
        <w:rPr>
          <w:color w:val="auto"/>
          <w:kern w:val="21"/>
        </w:rPr>
        <w:t>运移</w:t>
      </w:r>
      <w:r>
        <w:rPr>
          <w:rFonts w:hint="eastAsia"/>
          <w:color w:val="auto"/>
          <w:kern w:val="21"/>
          <w:lang w:val="en-US" w:eastAsia="zh-CN"/>
        </w:rPr>
        <w:t>10年</w:t>
      </w:r>
      <w:r>
        <w:rPr>
          <w:color w:val="auto"/>
          <w:kern w:val="21"/>
        </w:rPr>
        <w:t>后，氨氮在地下水环境中的</w:t>
      </w:r>
      <w:r>
        <w:rPr>
          <w:rFonts w:hint="eastAsia"/>
          <w:color w:val="auto"/>
          <w:kern w:val="21"/>
          <w:lang w:eastAsia="zh-CN"/>
        </w:rPr>
        <w:t>超标距离为</w:t>
      </w:r>
      <w:r>
        <w:rPr>
          <w:rFonts w:hint="eastAsia"/>
          <w:color w:val="auto"/>
          <w:kern w:val="21"/>
          <w:lang w:val="en-US" w:eastAsia="zh-CN"/>
        </w:rPr>
        <w:t>537m，最大影响距离为592m；</w:t>
      </w:r>
      <w:r>
        <w:rPr>
          <w:color w:val="auto"/>
          <w:kern w:val="21"/>
        </w:rPr>
        <w:t>运移</w:t>
      </w:r>
      <w:r>
        <w:rPr>
          <w:rFonts w:hint="eastAsia"/>
          <w:color w:val="auto"/>
          <w:kern w:val="21"/>
          <w:lang w:val="en-US" w:eastAsia="zh-CN"/>
        </w:rPr>
        <w:t>20年</w:t>
      </w:r>
      <w:r>
        <w:rPr>
          <w:color w:val="auto"/>
          <w:kern w:val="21"/>
        </w:rPr>
        <w:t>后，氨氮在地下水环境中的</w:t>
      </w:r>
      <w:r>
        <w:rPr>
          <w:rFonts w:hint="eastAsia"/>
          <w:color w:val="auto"/>
          <w:kern w:val="21"/>
          <w:lang w:eastAsia="zh-CN"/>
        </w:rPr>
        <w:t>超标距离为</w:t>
      </w:r>
      <w:r>
        <w:rPr>
          <w:rFonts w:hint="eastAsia"/>
          <w:color w:val="auto"/>
          <w:kern w:val="21"/>
          <w:lang w:val="en-US" w:eastAsia="zh-CN"/>
        </w:rPr>
        <w:t>944m，最大影响距离为1023m。</w:t>
      </w:r>
      <w:r>
        <w:rPr>
          <w:rFonts w:hint="eastAsia"/>
          <w:color w:val="auto"/>
          <w:kern w:val="21"/>
        </w:rPr>
        <w:t>渗漏进入含水层中的污染物在短时间内难以自净恢复，随着时间的增加，污染物在含水层中的迁移扩散距离还会增大，会对项目区及其下游的地下水环境造成不同程度的污染</w:t>
      </w:r>
      <w:r>
        <w:rPr>
          <w:rFonts w:hint="eastAsia"/>
          <w:color w:val="auto"/>
          <w:kern w:val="21"/>
          <w:lang w:eastAsia="zh-CN"/>
        </w:rPr>
        <w:t>。</w:t>
      </w:r>
    </w:p>
    <w:p>
      <w:pPr>
        <w:numPr>
          <w:ilvl w:val="0"/>
          <w:numId w:val="11"/>
        </w:numPr>
        <w:tabs>
          <w:tab w:val="left" w:pos="3395"/>
          <w:tab w:val="clear" w:pos="0"/>
        </w:tabs>
        <w:ind w:left="0" w:leftChars="0" w:firstLine="0" w:firstLineChars="0"/>
        <w:jc w:val="center"/>
        <w:rPr>
          <w:b/>
          <w:bCs/>
          <w:color w:val="auto"/>
          <w:kern w:val="21"/>
        </w:rPr>
      </w:pPr>
      <w:r>
        <w:rPr>
          <w:rFonts w:hint="eastAsia"/>
          <w:b/>
          <w:bCs/>
          <w:color w:val="auto"/>
          <w:kern w:val="21"/>
        </w:rPr>
        <w:t>氟化物</w:t>
      </w:r>
      <w:r>
        <w:rPr>
          <w:b/>
          <w:bCs/>
          <w:color w:val="auto"/>
          <w:kern w:val="21"/>
        </w:rPr>
        <w:t>在不</w:t>
      </w:r>
      <w:r>
        <w:rPr>
          <w:rFonts w:hint="eastAsia"/>
          <w:b/>
          <w:bCs/>
          <w:color w:val="auto"/>
          <w:kern w:val="21"/>
        </w:rPr>
        <w:t>同</w:t>
      </w:r>
      <w:r>
        <w:rPr>
          <w:b/>
          <w:bCs/>
          <w:color w:val="auto"/>
          <w:kern w:val="21"/>
        </w:rPr>
        <w:t>预测时间下的运移浓度单位：mg/L</w:t>
      </w:r>
    </w:p>
    <w:tbl>
      <w:tblPr>
        <w:tblStyle w:val="51"/>
        <w:tblW w:w="84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7"/>
        <w:gridCol w:w="1191"/>
        <w:gridCol w:w="1347"/>
        <w:gridCol w:w="1216"/>
        <w:gridCol w:w="1281"/>
        <w:gridCol w:w="1275"/>
        <w:gridCol w:w="12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447" w:type="dxa"/>
            <w:gridSpan w:val="7"/>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氟化物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937" w:type="dxa"/>
            <w:tcBorders>
              <w:top w:val="single" w:color="auto" w:sz="4" w:space="0"/>
              <w:left w:val="single" w:color="auto" w:sz="4" w:space="0"/>
              <w:bottom w:val="single" w:color="auto" w:sz="4" w:space="0"/>
              <w:right w:val="single" w:color="auto" w:sz="4" w:space="0"/>
              <w:tl2br w:val="single" w:color="auto" w:sz="4" w:space="0"/>
            </w:tcBorders>
            <w:vAlign w:val="center"/>
          </w:tcPr>
          <w:p>
            <w:pPr>
              <w:widowControl/>
              <w:spacing w:before="9" w:beforeLines="3" w:after="9" w:afterLines="3" w:line="240" w:lineRule="auto"/>
              <w:ind w:firstLine="0" w:firstLineChars="0"/>
              <w:jc w:val="right"/>
              <w:rPr>
                <w:color w:val="auto"/>
                <w:kern w:val="21"/>
                <w:sz w:val="21"/>
                <w:szCs w:val="21"/>
                <w:lang w:bidi="ar"/>
              </w:rPr>
            </w:pPr>
            <w:r>
              <w:rPr>
                <w:color w:val="auto"/>
                <w:kern w:val="21"/>
                <w:sz w:val="21"/>
                <w:szCs w:val="21"/>
                <w:lang w:bidi="ar"/>
              </w:rPr>
              <w:t>天数</w:t>
            </w:r>
          </w:p>
          <w:p>
            <w:pPr>
              <w:widowControl/>
              <w:spacing w:before="9" w:beforeLines="3" w:after="9" w:afterLines="3" w:line="240" w:lineRule="auto"/>
              <w:ind w:firstLine="0" w:firstLineChars="0"/>
              <w:jc w:val="left"/>
              <w:rPr>
                <w:color w:val="auto"/>
                <w:kern w:val="21"/>
                <w:sz w:val="21"/>
                <w:szCs w:val="21"/>
                <w:lang w:bidi="ar"/>
              </w:rPr>
            </w:pPr>
            <w:r>
              <w:rPr>
                <w:color w:val="auto"/>
                <w:kern w:val="21"/>
                <w:sz w:val="21"/>
                <w:szCs w:val="21"/>
                <w:lang w:bidi="ar"/>
              </w:rPr>
              <w:t>距离</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color w:val="auto"/>
                <w:kern w:val="21"/>
                <w:sz w:val="21"/>
                <w:szCs w:val="21"/>
                <w:lang w:bidi="ar"/>
              </w:rPr>
            </w:pPr>
            <w:r>
              <w:rPr>
                <w:rFonts w:eastAsia="TimesNewRomanPSMT"/>
                <w:color w:val="auto"/>
                <w:kern w:val="21"/>
                <w:sz w:val="21"/>
                <w:szCs w:val="21"/>
                <w:lang w:bidi="ar"/>
              </w:rPr>
              <w:t>100</w:t>
            </w:r>
            <w:r>
              <w:rPr>
                <w:color w:val="auto"/>
                <w:kern w:val="21"/>
                <w:sz w:val="21"/>
                <w:szCs w:val="21"/>
                <w:lang w:bidi="ar"/>
              </w:rPr>
              <w:t>天</w:t>
            </w:r>
          </w:p>
        </w:tc>
        <w:tc>
          <w:tcPr>
            <w:tcW w:w="1347"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color w:val="auto"/>
                <w:kern w:val="21"/>
                <w:sz w:val="21"/>
                <w:szCs w:val="21"/>
                <w:lang w:bidi="ar"/>
              </w:rPr>
            </w:pPr>
            <w:r>
              <w:rPr>
                <w:color w:val="auto"/>
                <w:kern w:val="21"/>
                <w:sz w:val="21"/>
                <w:szCs w:val="21"/>
                <w:lang w:bidi="ar"/>
              </w:rPr>
              <w:t>1年</w:t>
            </w:r>
          </w:p>
        </w:tc>
        <w:tc>
          <w:tcPr>
            <w:tcW w:w="1216"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rFonts w:eastAsia="TimesNewRomanPSMT"/>
                <w:color w:val="auto"/>
                <w:kern w:val="21"/>
                <w:sz w:val="21"/>
                <w:szCs w:val="21"/>
                <w:lang w:bidi="ar"/>
              </w:rPr>
            </w:pPr>
            <w:r>
              <w:rPr>
                <w:color w:val="auto"/>
                <w:kern w:val="21"/>
                <w:sz w:val="21"/>
                <w:szCs w:val="21"/>
                <w:lang w:bidi="ar"/>
              </w:rPr>
              <w:t>1000天</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color w:val="auto"/>
                <w:kern w:val="21"/>
                <w:sz w:val="21"/>
                <w:szCs w:val="21"/>
                <w:lang w:bidi="ar"/>
              </w:rPr>
            </w:pPr>
            <w:r>
              <w:rPr>
                <w:color w:val="auto"/>
                <w:kern w:val="21"/>
                <w:sz w:val="21"/>
                <w:szCs w:val="21"/>
                <w:lang w:bidi="ar"/>
              </w:rPr>
              <w:t>5年</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color w:val="auto"/>
                <w:kern w:val="21"/>
                <w:sz w:val="21"/>
                <w:szCs w:val="21"/>
                <w:lang w:bidi="ar"/>
              </w:rPr>
            </w:pPr>
            <w:r>
              <w:rPr>
                <w:color w:val="auto"/>
                <w:kern w:val="21"/>
                <w:sz w:val="21"/>
                <w:szCs w:val="21"/>
                <w:lang w:bidi="ar"/>
              </w:rPr>
              <w:t>10年</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spacing w:before="9" w:beforeLines="3" w:after="9" w:afterLines="3" w:line="240" w:lineRule="auto"/>
              <w:ind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20年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16.40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16.40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16.40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16.40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16.40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11.60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15.20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16.20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6.33</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13.50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15.90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2.56</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11.30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15.50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16.20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0.75</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8.81</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14.90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16.10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6.39</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14.20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4.28</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13.20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15.80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2.63</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12.10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15.50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10.90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15.20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0.76</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9.52</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14.70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0.36</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8.13</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14.20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6.76</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13.60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16.20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5.47</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12.90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16.20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4.30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12.10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16.10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3.27</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11.30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16.00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10.30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15.90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1.73</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9.37</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15.80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15.70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0.80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7.39</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15.50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190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0.52</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6.42</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0.32</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5.49</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1.97</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13.20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10.30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6.88</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3.89</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1.77</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0.67</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750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850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950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1100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NewRomanPSMT" w:cs="Times New Roman"/>
                <w:color w:val="auto"/>
                <w:kern w:val="21"/>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1300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1400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21"/>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p>
        </w:tc>
      </w:tr>
    </w:tbl>
    <w:p>
      <w:pPr>
        <w:widowControl/>
        <w:ind w:firstLine="0" w:firstLineChars="0"/>
        <w:jc w:val="center"/>
        <w:rPr>
          <w:b/>
          <w:bCs/>
          <w:color w:val="auto"/>
          <w:kern w:val="21"/>
        </w:rPr>
      </w:pPr>
      <w:r>
        <w:rPr>
          <w:color w:val="auto"/>
        </w:rPr>
        <w:drawing>
          <wp:inline distT="0" distB="0" distL="114300" distR="114300">
            <wp:extent cx="4572000" cy="2743200"/>
            <wp:effectExtent l="4445" t="4445" r="14605" b="14605"/>
            <wp:docPr id="24"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rFonts w:ascii="宋体" w:hAnsi="宋体" w:cs="宋体"/>
          <w:color w:val="auto"/>
          <w:kern w:val="0"/>
          <w:lang w:bidi="ar"/>
        </w:rPr>
      </w:pPr>
      <w:r>
        <w:rPr>
          <w:b/>
          <w:bCs/>
          <w:color w:val="auto"/>
          <w:kern w:val="21"/>
        </w:rPr>
        <w:t>项目区下游地下水中</w:t>
      </w:r>
      <w:r>
        <w:rPr>
          <w:rFonts w:hint="eastAsia"/>
          <w:b/>
          <w:bCs/>
          <w:color w:val="auto"/>
          <w:kern w:val="21"/>
        </w:rPr>
        <w:t>氟化物</w:t>
      </w:r>
      <w:r>
        <w:rPr>
          <w:b/>
          <w:bCs/>
          <w:color w:val="auto"/>
          <w:kern w:val="21"/>
        </w:rPr>
        <w:t>浓度变化曲线图</w:t>
      </w:r>
    </w:p>
    <w:p>
      <w:pPr>
        <w:ind w:firstLine="480"/>
        <w:rPr>
          <w:rFonts w:ascii="宋体" w:hAnsi="宋体" w:cs="宋体"/>
          <w:color w:val="auto"/>
          <w:kern w:val="0"/>
          <w:lang w:bidi="ar"/>
        </w:rPr>
      </w:pPr>
      <w:r>
        <w:rPr>
          <w:color w:val="auto"/>
          <w:kern w:val="21"/>
        </w:rPr>
        <w:t>在暂存或处理工业污水的池子的防渗层出现破损或破裂，工业污水发生渗漏的非正常状况下，工业污水持续渗入含水层中运移100天后，</w:t>
      </w:r>
      <w:r>
        <w:rPr>
          <w:rFonts w:hint="eastAsia"/>
          <w:color w:val="auto"/>
          <w:kern w:val="21"/>
          <w:lang w:eastAsia="zh-CN"/>
        </w:rPr>
        <w:t>氟化物</w:t>
      </w:r>
      <w:r>
        <w:rPr>
          <w:color w:val="auto"/>
          <w:kern w:val="21"/>
        </w:rPr>
        <w:t>在地下水环境中的</w:t>
      </w:r>
      <w:r>
        <w:rPr>
          <w:rFonts w:hint="eastAsia"/>
          <w:color w:val="auto"/>
          <w:kern w:val="21"/>
          <w:lang w:eastAsia="zh-CN"/>
        </w:rPr>
        <w:t>超标距离为</w:t>
      </w:r>
      <w:r>
        <w:rPr>
          <w:rFonts w:hint="eastAsia"/>
          <w:color w:val="auto"/>
          <w:kern w:val="21"/>
          <w:lang w:val="en-US" w:eastAsia="zh-CN"/>
        </w:rPr>
        <w:t>37m，最大影响距离为52m；</w:t>
      </w:r>
      <w:r>
        <w:rPr>
          <w:color w:val="auto"/>
          <w:kern w:val="21"/>
        </w:rPr>
        <w:t>运移</w:t>
      </w:r>
      <w:r>
        <w:rPr>
          <w:rFonts w:hint="eastAsia"/>
          <w:color w:val="auto"/>
          <w:kern w:val="21"/>
          <w:lang w:val="en-US" w:eastAsia="zh-CN"/>
        </w:rPr>
        <w:t>1年</w:t>
      </w:r>
      <w:r>
        <w:rPr>
          <w:color w:val="auto"/>
          <w:kern w:val="21"/>
        </w:rPr>
        <w:t>后，</w:t>
      </w:r>
      <w:r>
        <w:rPr>
          <w:rFonts w:hint="eastAsia"/>
          <w:color w:val="auto"/>
          <w:kern w:val="21"/>
          <w:lang w:eastAsia="zh-CN"/>
        </w:rPr>
        <w:t>付阿虎无</w:t>
      </w:r>
      <w:r>
        <w:rPr>
          <w:color w:val="auto"/>
          <w:kern w:val="21"/>
        </w:rPr>
        <w:t>在地下水环境中的</w:t>
      </w:r>
      <w:r>
        <w:rPr>
          <w:rFonts w:hint="eastAsia"/>
          <w:color w:val="auto"/>
          <w:kern w:val="21"/>
          <w:lang w:eastAsia="zh-CN"/>
        </w:rPr>
        <w:t>超标距离为</w:t>
      </w:r>
      <w:r>
        <w:rPr>
          <w:rFonts w:hint="eastAsia"/>
          <w:color w:val="auto"/>
          <w:kern w:val="21"/>
          <w:lang w:val="en-US" w:eastAsia="zh-CN"/>
        </w:rPr>
        <w:t>86m，最大影响距离为114m；</w:t>
      </w:r>
      <w:r>
        <w:rPr>
          <w:color w:val="auto"/>
          <w:kern w:val="21"/>
        </w:rPr>
        <w:t>运移</w:t>
      </w:r>
      <w:r>
        <w:rPr>
          <w:rFonts w:hint="eastAsia"/>
          <w:color w:val="auto"/>
          <w:kern w:val="21"/>
          <w:lang w:val="en-US" w:eastAsia="zh-CN"/>
        </w:rPr>
        <w:t>1000天</w:t>
      </w:r>
      <w:r>
        <w:rPr>
          <w:color w:val="auto"/>
          <w:kern w:val="21"/>
        </w:rPr>
        <w:t>后，</w:t>
      </w:r>
      <w:r>
        <w:rPr>
          <w:rFonts w:hint="eastAsia"/>
          <w:color w:val="auto"/>
          <w:kern w:val="21"/>
          <w:lang w:eastAsia="zh-CN"/>
        </w:rPr>
        <w:t>氟化物</w:t>
      </w:r>
      <w:r>
        <w:rPr>
          <w:color w:val="auto"/>
          <w:kern w:val="21"/>
        </w:rPr>
        <w:t>在地下水环境中的</w:t>
      </w:r>
      <w:r>
        <w:rPr>
          <w:rFonts w:hint="eastAsia"/>
          <w:color w:val="auto"/>
          <w:kern w:val="21"/>
          <w:lang w:eastAsia="zh-CN"/>
        </w:rPr>
        <w:t>超标距离为</w:t>
      </w:r>
      <w:r>
        <w:rPr>
          <w:rFonts w:hint="eastAsia"/>
          <w:color w:val="auto"/>
          <w:kern w:val="21"/>
          <w:lang w:val="en-US" w:eastAsia="zh-CN"/>
        </w:rPr>
        <w:t>174m，最大影响距离为222m；</w:t>
      </w:r>
      <w:r>
        <w:rPr>
          <w:color w:val="auto"/>
          <w:kern w:val="21"/>
        </w:rPr>
        <w:t>运移</w:t>
      </w:r>
      <w:r>
        <w:rPr>
          <w:rFonts w:hint="eastAsia"/>
          <w:color w:val="auto"/>
          <w:kern w:val="21"/>
          <w:lang w:val="en-US" w:eastAsia="zh-CN"/>
        </w:rPr>
        <w:t>5年</w:t>
      </w:r>
      <w:r>
        <w:rPr>
          <w:color w:val="auto"/>
          <w:kern w:val="21"/>
        </w:rPr>
        <w:t>后，</w:t>
      </w:r>
      <w:r>
        <w:rPr>
          <w:rFonts w:hint="eastAsia"/>
          <w:color w:val="auto"/>
          <w:kern w:val="21"/>
          <w:lang w:eastAsia="zh-CN"/>
        </w:rPr>
        <w:t>氟化物</w:t>
      </w:r>
      <w:r>
        <w:rPr>
          <w:color w:val="auto"/>
          <w:kern w:val="21"/>
        </w:rPr>
        <w:t>在地下水环境中的</w:t>
      </w:r>
      <w:r>
        <w:rPr>
          <w:rFonts w:hint="eastAsia"/>
          <w:color w:val="auto"/>
          <w:kern w:val="21"/>
          <w:lang w:eastAsia="zh-CN"/>
        </w:rPr>
        <w:t>超标距离为</w:t>
      </w:r>
      <w:r>
        <w:rPr>
          <w:rFonts w:hint="eastAsia"/>
          <w:color w:val="auto"/>
          <w:kern w:val="21"/>
          <w:lang w:val="en-US" w:eastAsia="zh-CN"/>
        </w:rPr>
        <w:t>275m，最大影响距离为340m；</w:t>
      </w:r>
      <w:r>
        <w:rPr>
          <w:color w:val="auto"/>
          <w:kern w:val="21"/>
        </w:rPr>
        <w:t>运移</w:t>
      </w:r>
      <w:r>
        <w:rPr>
          <w:rFonts w:hint="eastAsia"/>
          <w:color w:val="auto"/>
          <w:kern w:val="21"/>
          <w:lang w:val="en-US" w:eastAsia="zh-CN"/>
        </w:rPr>
        <w:t>10年</w:t>
      </w:r>
      <w:r>
        <w:rPr>
          <w:color w:val="auto"/>
          <w:kern w:val="21"/>
        </w:rPr>
        <w:t>后，</w:t>
      </w:r>
      <w:r>
        <w:rPr>
          <w:rFonts w:hint="eastAsia"/>
          <w:color w:val="auto"/>
          <w:kern w:val="21"/>
          <w:lang w:eastAsia="zh-CN"/>
        </w:rPr>
        <w:t>氟化物</w:t>
      </w:r>
      <w:r>
        <w:rPr>
          <w:color w:val="auto"/>
          <w:kern w:val="21"/>
        </w:rPr>
        <w:t>在地下水环境中的</w:t>
      </w:r>
      <w:r>
        <w:rPr>
          <w:rFonts w:hint="eastAsia"/>
          <w:color w:val="auto"/>
          <w:kern w:val="21"/>
          <w:lang w:eastAsia="zh-CN"/>
        </w:rPr>
        <w:t>超标距离为</w:t>
      </w:r>
      <w:r>
        <w:rPr>
          <w:rFonts w:hint="eastAsia"/>
          <w:color w:val="auto"/>
          <w:kern w:val="21"/>
          <w:lang w:val="en-US" w:eastAsia="zh-CN"/>
        </w:rPr>
        <w:t>480m，最大影响距离为562m；</w:t>
      </w:r>
      <w:r>
        <w:rPr>
          <w:color w:val="auto"/>
          <w:kern w:val="21"/>
        </w:rPr>
        <w:t>运移</w:t>
      </w:r>
      <w:r>
        <w:rPr>
          <w:rFonts w:hint="eastAsia"/>
          <w:color w:val="auto"/>
          <w:kern w:val="21"/>
          <w:lang w:val="en-US" w:eastAsia="zh-CN"/>
        </w:rPr>
        <w:t>20年</w:t>
      </w:r>
      <w:r>
        <w:rPr>
          <w:color w:val="auto"/>
          <w:kern w:val="21"/>
        </w:rPr>
        <w:t>后，</w:t>
      </w:r>
      <w:r>
        <w:rPr>
          <w:rFonts w:hint="eastAsia"/>
          <w:color w:val="auto"/>
          <w:kern w:val="21"/>
          <w:lang w:eastAsia="zh-CN"/>
        </w:rPr>
        <w:t>氟化物</w:t>
      </w:r>
      <w:r>
        <w:rPr>
          <w:color w:val="auto"/>
          <w:kern w:val="21"/>
        </w:rPr>
        <w:t>在地下水环境中的</w:t>
      </w:r>
      <w:r>
        <w:rPr>
          <w:rFonts w:hint="eastAsia"/>
          <w:color w:val="auto"/>
          <w:kern w:val="21"/>
          <w:lang w:eastAsia="zh-CN"/>
        </w:rPr>
        <w:t>超标距离为</w:t>
      </w:r>
      <w:r>
        <w:rPr>
          <w:rFonts w:hint="eastAsia"/>
          <w:color w:val="auto"/>
          <w:kern w:val="21"/>
          <w:lang w:val="en-US" w:eastAsia="zh-CN"/>
        </w:rPr>
        <w:t>847m，最大影响距离为980m。</w:t>
      </w:r>
      <w:r>
        <w:rPr>
          <w:rFonts w:hint="eastAsia"/>
          <w:color w:val="auto"/>
          <w:kern w:val="21"/>
        </w:rPr>
        <w:t>渗漏进入含水层中的污染物在短时间内难以自净恢复，随着时间的增加，污染物在含水层中的迁移扩散距离还会增大，会对项目区及其下游的地下水环境造成不同程度的污染</w:t>
      </w:r>
      <w:r>
        <w:rPr>
          <w:rFonts w:hint="eastAsia"/>
          <w:color w:val="auto"/>
          <w:kern w:val="21"/>
          <w:lang w:eastAsia="zh-CN"/>
        </w:rPr>
        <w:t>。</w:t>
      </w:r>
    </w:p>
    <w:p>
      <w:pPr>
        <w:ind w:firstLine="480"/>
        <w:rPr>
          <w:color w:val="auto"/>
          <w:kern w:val="21"/>
        </w:rPr>
      </w:pPr>
      <w:r>
        <w:rPr>
          <w:color w:val="auto"/>
          <w:kern w:val="21"/>
        </w:rPr>
        <w:t>因此，在项目建设过程中须做好粗格栅及进水泵房、细格栅及调节池、水解酸化池、混凝沉淀池、</w:t>
      </w:r>
      <w:r>
        <w:rPr>
          <w:rFonts w:hint="eastAsia"/>
          <w:color w:val="auto"/>
          <w:kern w:val="21"/>
        </w:rPr>
        <w:t>A</w:t>
      </w:r>
      <w:r>
        <w:rPr>
          <w:rFonts w:hint="eastAsia"/>
          <w:color w:val="auto"/>
          <w:kern w:val="21"/>
          <w:vertAlign w:val="superscript"/>
        </w:rPr>
        <w:t>2</w:t>
      </w:r>
      <w:r>
        <w:rPr>
          <w:rFonts w:hint="eastAsia"/>
          <w:color w:val="auto"/>
          <w:kern w:val="21"/>
        </w:rPr>
        <w:t>/O</w:t>
      </w:r>
      <w:r>
        <w:rPr>
          <w:color w:val="auto"/>
          <w:kern w:val="21"/>
        </w:rPr>
        <w:t>生化池、MBR膜池、污泥脱水车间、储罐区、储泥池等的防渗措施，以及污废水收集、输送和暂存等区域的防腐、防渗措施，运行期须定期检查防渗层及管道的破损情况，若发现有破损部位须及时进行修复，防止对地下水造成污染。</w:t>
      </w:r>
    </w:p>
    <w:p>
      <w:pPr>
        <w:ind w:firstLine="480"/>
        <w:rPr>
          <w:color w:val="auto"/>
          <w:kern w:val="21"/>
        </w:rPr>
      </w:pPr>
      <w:r>
        <w:rPr>
          <w:color w:val="auto"/>
          <w:kern w:val="21"/>
        </w:rPr>
        <w:t>项目运行期间，需加强管理和监督检查，杜绝非正常情况的发生，避免污染物进入土壤及地下水含水层中。</w:t>
      </w:r>
    </w:p>
    <w:p>
      <w:pPr>
        <w:widowControl/>
        <w:ind w:firstLine="482"/>
        <w:jc w:val="left"/>
        <w:rPr>
          <w:color w:val="auto"/>
        </w:rPr>
      </w:pPr>
      <w:r>
        <w:rPr>
          <w:rFonts w:hint="eastAsia"/>
          <w:b/>
          <w:bCs/>
          <w:color w:val="auto"/>
          <w:kern w:val="0"/>
          <w:lang w:bidi="ar"/>
        </w:rPr>
        <w:t>3、</w:t>
      </w:r>
      <w:r>
        <w:rPr>
          <w:rFonts w:hint="eastAsia" w:ascii="宋体" w:hAnsi="宋体" w:cs="宋体"/>
          <w:b/>
          <w:bCs/>
          <w:color w:val="auto"/>
          <w:kern w:val="0"/>
          <w:lang w:bidi="ar"/>
        </w:rPr>
        <w:t xml:space="preserve">非正常状况下厂区地下水跟踪监测井中污染物变化趋势分析 </w:t>
      </w:r>
    </w:p>
    <w:p>
      <w:pPr>
        <w:widowControl/>
        <w:ind w:firstLine="480"/>
        <w:jc w:val="left"/>
        <w:rPr>
          <w:color w:val="auto"/>
          <w:kern w:val="0"/>
          <w:lang w:bidi="ar"/>
        </w:rPr>
      </w:pPr>
      <w:r>
        <w:rPr>
          <w:color w:val="auto"/>
          <w:kern w:val="0"/>
          <w:lang w:bidi="ar"/>
        </w:rPr>
        <w:t>污水处理厂拟在二期项目下游北厂界设置一口地下水</w:t>
      </w:r>
      <w:r>
        <w:rPr>
          <w:rFonts w:hint="eastAsia"/>
          <w:color w:val="auto"/>
          <w:kern w:val="0"/>
          <w:lang w:bidi="ar"/>
        </w:rPr>
        <w:t>跟踪</w:t>
      </w:r>
      <w:r>
        <w:rPr>
          <w:color w:val="auto"/>
          <w:kern w:val="0"/>
          <w:lang w:bidi="ar"/>
        </w:rPr>
        <w:t>监测井，假设本项目污水池等</w:t>
      </w:r>
      <w:r>
        <w:rPr>
          <w:rFonts w:hint="eastAsia"/>
          <w:color w:val="auto"/>
          <w:kern w:val="0"/>
          <w:lang w:bidi="ar"/>
        </w:rPr>
        <w:t>防渗</w:t>
      </w:r>
      <w:r>
        <w:rPr>
          <w:color w:val="auto"/>
          <w:kern w:val="0"/>
          <w:lang w:bidi="ar"/>
        </w:rPr>
        <w:t>层出现破损或破裂，污水发生渗漏的非正常状况下，距离该地下水监测井最近的污染源为细格栅及</w:t>
      </w:r>
      <w:r>
        <w:rPr>
          <w:rFonts w:hint="eastAsia"/>
          <w:color w:val="auto"/>
          <w:kern w:val="0"/>
          <w:lang w:eastAsia="zh-CN" w:bidi="ar"/>
        </w:rPr>
        <w:t>调节池</w:t>
      </w:r>
      <w:r>
        <w:rPr>
          <w:color w:val="auto"/>
          <w:kern w:val="0"/>
          <w:lang w:bidi="ar"/>
        </w:rPr>
        <w:t>，约154m</w:t>
      </w:r>
      <w:r>
        <w:rPr>
          <w:rFonts w:hint="eastAsia"/>
          <w:color w:val="auto"/>
          <w:kern w:val="0"/>
          <w:lang w:bidi="ar"/>
        </w:rPr>
        <w:t>。</w:t>
      </w:r>
      <w:r>
        <w:rPr>
          <w:color w:val="auto"/>
          <w:kern w:val="0"/>
          <w:lang w:bidi="ar"/>
        </w:rPr>
        <w:t>氨氮及氟化物对下游监测井的影响预测结果见表</w:t>
      </w:r>
      <w:r>
        <w:rPr>
          <w:rFonts w:hint="eastAsia"/>
          <w:color w:val="auto"/>
          <w:kern w:val="0"/>
          <w:lang w:bidi="ar"/>
        </w:rPr>
        <w:t>5</w:t>
      </w:r>
      <w:r>
        <w:rPr>
          <w:rFonts w:hint="eastAsia"/>
          <w:color w:val="auto"/>
          <w:kern w:val="0"/>
          <w:lang w:val="en-US" w:eastAsia="zh-CN" w:bidi="ar"/>
        </w:rPr>
        <w:t>-</w:t>
      </w:r>
      <w:r>
        <w:rPr>
          <w:rFonts w:hint="eastAsia"/>
          <w:color w:val="auto"/>
          <w:kern w:val="0"/>
          <w:lang w:bidi="ar"/>
        </w:rPr>
        <w:t>15</w:t>
      </w:r>
      <w:r>
        <w:rPr>
          <w:color w:val="auto"/>
          <w:kern w:val="0"/>
          <w:lang w:bidi="ar"/>
        </w:rPr>
        <w:t>，氨氮和氟化物在水井中的穿透曲线图见图</w:t>
      </w:r>
      <w:r>
        <w:rPr>
          <w:rFonts w:hint="eastAsia"/>
          <w:color w:val="auto"/>
          <w:kern w:val="0"/>
          <w:lang w:bidi="ar"/>
        </w:rPr>
        <w:t>5-5</w:t>
      </w:r>
      <w:r>
        <w:rPr>
          <w:color w:val="auto"/>
          <w:kern w:val="0"/>
          <w:lang w:bidi="ar"/>
        </w:rPr>
        <w:t>和图</w:t>
      </w:r>
      <w:r>
        <w:rPr>
          <w:rFonts w:hint="eastAsia"/>
          <w:color w:val="auto"/>
          <w:kern w:val="0"/>
          <w:lang w:bidi="ar"/>
        </w:rPr>
        <w:t>5</w:t>
      </w:r>
      <w:r>
        <w:rPr>
          <w:color w:val="auto"/>
          <w:kern w:val="0"/>
          <w:lang w:bidi="ar"/>
        </w:rPr>
        <w:t>-</w:t>
      </w:r>
      <w:r>
        <w:rPr>
          <w:rFonts w:hint="eastAsia"/>
          <w:color w:val="auto"/>
          <w:kern w:val="0"/>
          <w:lang w:bidi="ar"/>
        </w:rPr>
        <w:t>6</w:t>
      </w:r>
      <w:r>
        <w:rPr>
          <w:color w:val="auto"/>
          <w:kern w:val="0"/>
          <w:lang w:bidi="ar"/>
        </w:rPr>
        <w:t>，为项目运行过程中地下水污染监测管控提供一定的指导作用。</w:t>
      </w:r>
    </w:p>
    <w:p>
      <w:pPr>
        <w:numPr>
          <w:ilvl w:val="0"/>
          <w:numId w:val="11"/>
        </w:numPr>
        <w:tabs>
          <w:tab w:val="left" w:pos="3395"/>
          <w:tab w:val="clear" w:pos="0"/>
        </w:tabs>
        <w:ind w:left="0" w:leftChars="0" w:firstLine="0" w:firstLineChars="0"/>
        <w:jc w:val="center"/>
        <w:rPr>
          <w:b/>
          <w:bCs/>
          <w:color w:val="auto"/>
          <w:spacing w:val="2"/>
        </w:rPr>
      </w:pPr>
      <w:r>
        <w:rPr>
          <w:b/>
          <w:bCs/>
          <w:color w:val="auto"/>
          <w:spacing w:val="2"/>
        </w:rPr>
        <w:t>下游跟踪监测井中氨氮和氟化物浓度变化预测结果表</w:t>
      </w:r>
    </w:p>
    <w:p>
      <w:pPr>
        <w:spacing w:line="50" w:lineRule="exact"/>
        <w:ind w:firstLine="480"/>
        <w:jc w:val="left"/>
        <w:rPr>
          <w:color w:val="auto"/>
        </w:rPr>
      </w:pPr>
    </w:p>
    <w:tbl>
      <w:tblPr>
        <w:tblStyle w:val="51"/>
        <w:tblW w:w="85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1187"/>
        <w:gridCol w:w="2120"/>
        <w:gridCol w:w="2130"/>
        <w:gridCol w:w="2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 w:hRule="atLeast"/>
          <w:jc w:val="center"/>
        </w:trPr>
        <w:tc>
          <w:tcPr>
            <w:tcW w:w="8536" w:type="dxa"/>
            <w:gridSpan w:val="5"/>
            <w:vAlign w:val="center"/>
          </w:tcPr>
          <w:p>
            <w:pPr>
              <w:spacing w:line="240" w:lineRule="auto"/>
              <w:ind w:firstLine="0" w:firstLineChars="0"/>
              <w:jc w:val="center"/>
              <w:rPr>
                <w:rFonts w:ascii="宋体" w:hAnsi="宋体" w:cs="宋体"/>
                <w:color w:val="auto"/>
                <w:sz w:val="20"/>
                <w:szCs w:val="20"/>
              </w:rPr>
            </w:pPr>
            <w:r>
              <w:rPr>
                <w:rFonts w:hint="eastAsia" w:ascii="宋体" w:hAnsi="宋体" w:cs="宋体"/>
                <w:b/>
                <w:bCs/>
                <w:color w:val="auto"/>
                <w:spacing w:val="-4"/>
                <w:sz w:val="20"/>
                <w:szCs w:val="20"/>
              </w:rPr>
              <w:t>下游地下水跟踪监测井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center"/>
          </w:tcPr>
          <w:p>
            <w:pPr>
              <w:spacing w:line="240" w:lineRule="auto"/>
              <w:ind w:firstLine="0" w:firstLineChars="0"/>
              <w:jc w:val="center"/>
              <w:rPr>
                <w:rFonts w:eastAsia="Times New Roman"/>
                <w:color w:val="auto"/>
                <w:sz w:val="20"/>
                <w:szCs w:val="20"/>
              </w:rPr>
            </w:pPr>
            <w:r>
              <w:rPr>
                <w:rFonts w:ascii="宋体" w:hAnsi="宋体" w:cs="宋体"/>
                <w:color w:val="auto"/>
                <w:spacing w:val="-3"/>
                <w:sz w:val="20"/>
                <w:szCs w:val="20"/>
              </w:rPr>
              <w:t>时间</w:t>
            </w:r>
            <w:r>
              <w:rPr>
                <w:rFonts w:eastAsia="Times New Roman"/>
                <w:color w:val="auto"/>
                <w:spacing w:val="-3"/>
                <w:sz w:val="20"/>
                <w:szCs w:val="20"/>
              </w:rPr>
              <w:t>(d)</w:t>
            </w:r>
          </w:p>
        </w:tc>
        <w:tc>
          <w:tcPr>
            <w:tcW w:w="2120" w:type="dxa"/>
            <w:vAlign w:val="center"/>
          </w:tcPr>
          <w:p>
            <w:pPr>
              <w:spacing w:line="240" w:lineRule="auto"/>
              <w:ind w:firstLine="0" w:firstLineChars="0"/>
              <w:jc w:val="center"/>
              <w:rPr>
                <w:rFonts w:ascii="宋体" w:hAnsi="宋体" w:cs="宋体"/>
                <w:color w:val="auto"/>
                <w:sz w:val="20"/>
                <w:szCs w:val="20"/>
              </w:rPr>
            </w:pPr>
            <w:r>
              <w:rPr>
                <w:rFonts w:hint="eastAsia" w:ascii="宋体" w:hAnsi="宋体" w:cs="宋体"/>
                <w:color w:val="auto"/>
                <w:spacing w:val="-1"/>
                <w:sz w:val="20"/>
                <w:szCs w:val="20"/>
              </w:rPr>
              <w:t>氨氮</w:t>
            </w:r>
            <w:r>
              <w:rPr>
                <w:rFonts w:ascii="宋体" w:hAnsi="宋体" w:cs="宋体"/>
                <w:color w:val="auto"/>
                <w:spacing w:val="-1"/>
                <w:sz w:val="20"/>
                <w:szCs w:val="20"/>
              </w:rPr>
              <w:t>（</w:t>
            </w:r>
            <w:r>
              <w:rPr>
                <w:rFonts w:eastAsia="Times New Roman"/>
                <w:color w:val="auto"/>
                <w:spacing w:val="-1"/>
                <w:sz w:val="20"/>
                <w:szCs w:val="20"/>
              </w:rPr>
              <w:t>mg/L</w:t>
            </w:r>
            <w:r>
              <w:rPr>
                <w:rFonts w:ascii="宋体" w:hAnsi="宋体" w:cs="宋体"/>
                <w:color w:val="auto"/>
                <w:spacing w:val="-1"/>
                <w:sz w:val="20"/>
                <w:szCs w:val="20"/>
              </w:rPr>
              <w:t>）</w:t>
            </w:r>
          </w:p>
        </w:tc>
        <w:tc>
          <w:tcPr>
            <w:tcW w:w="2130" w:type="dxa"/>
            <w:vAlign w:val="center"/>
          </w:tcPr>
          <w:p>
            <w:pPr>
              <w:spacing w:line="240" w:lineRule="auto"/>
              <w:ind w:firstLine="0" w:firstLineChars="0"/>
              <w:jc w:val="center"/>
              <w:rPr>
                <w:rFonts w:eastAsia="Times New Roman"/>
                <w:color w:val="auto"/>
                <w:sz w:val="20"/>
                <w:szCs w:val="20"/>
              </w:rPr>
            </w:pPr>
            <w:r>
              <w:rPr>
                <w:rFonts w:ascii="宋体" w:hAnsi="宋体" w:cs="宋体"/>
                <w:color w:val="auto"/>
                <w:spacing w:val="-3"/>
                <w:sz w:val="20"/>
                <w:szCs w:val="20"/>
              </w:rPr>
              <w:t>时间</w:t>
            </w:r>
            <w:r>
              <w:rPr>
                <w:rFonts w:eastAsia="Times New Roman"/>
                <w:color w:val="auto"/>
                <w:spacing w:val="-3"/>
                <w:sz w:val="20"/>
                <w:szCs w:val="20"/>
              </w:rPr>
              <w:t>(d)</w:t>
            </w:r>
          </w:p>
        </w:tc>
        <w:tc>
          <w:tcPr>
            <w:tcW w:w="2138" w:type="dxa"/>
            <w:vAlign w:val="center"/>
          </w:tcPr>
          <w:p>
            <w:pPr>
              <w:spacing w:line="240" w:lineRule="auto"/>
              <w:ind w:firstLine="0" w:firstLineChars="0"/>
              <w:jc w:val="center"/>
              <w:rPr>
                <w:rFonts w:ascii="宋体" w:hAnsi="宋体" w:cs="宋体"/>
                <w:color w:val="auto"/>
                <w:sz w:val="20"/>
                <w:szCs w:val="20"/>
              </w:rPr>
            </w:pPr>
            <w:r>
              <w:rPr>
                <w:rFonts w:hint="eastAsia" w:ascii="宋体" w:hAnsi="宋体" w:cs="宋体"/>
                <w:color w:val="auto"/>
                <w:spacing w:val="-1"/>
                <w:sz w:val="20"/>
                <w:szCs w:val="20"/>
              </w:rPr>
              <w:t>氟化物</w:t>
            </w:r>
            <w:r>
              <w:rPr>
                <w:rFonts w:ascii="宋体" w:hAnsi="宋体" w:cs="宋体"/>
                <w:color w:val="auto"/>
                <w:spacing w:val="-1"/>
                <w:sz w:val="20"/>
                <w:szCs w:val="20"/>
              </w:rPr>
              <w:t>（</w:t>
            </w:r>
            <w:r>
              <w:rPr>
                <w:rFonts w:eastAsia="Times New Roman"/>
                <w:color w:val="auto"/>
                <w:spacing w:val="-1"/>
                <w:sz w:val="20"/>
                <w:szCs w:val="20"/>
              </w:rPr>
              <w:t>mg/L</w:t>
            </w:r>
            <w:r>
              <w:rPr>
                <w:rFonts w:ascii="宋体" w:hAnsi="宋体" w:cs="宋体"/>
                <w:color w:val="auto"/>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 w:hRule="atLeast"/>
          <w:jc w:val="center"/>
        </w:trPr>
        <w:tc>
          <w:tcPr>
            <w:tcW w:w="2148" w:type="dxa"/>
            <w:gridSpan w:val="2"/>
            <w:vAlign w:val="bottom"/>
          </w:tcPr>
          <w:p>
            <w:pPr>
              <w:spacing w:line="240" w:lineRule="auto"/>
              <w:ind w:firstLine="0" w:firstLineChars="0"/>
              <w:jc w:val="center"/>
              <w:rPr>
                <w:rFonts w:hint="default" w:eastAsia="Times New Roman"/>
                <w:color w:val="auto"/>
                <w:spacing w:val="-3"/>
                <w:sz w:val="20"/>
                <w:szCs w:val="20"/>
                <w:lang w:val="en-US" w:eastAsia="zh-CN"/>
              </w:rPr>
            </w:pPr>
            <w:r>
              <w:rPr>
                <w:rFonts w:hint="eastAsia" w:eastAsia="Times New Roman"/>
                <w:color w:val="auto"/>
                <w:spacing w:val="-3"/>
                <w:sz w:val="20"/>
                <w:szCs w:val="20"/>
                <w:lang w:val="en-US" w:eastAsia="zh-CN"/>
              </w:rPr>
              <w:t>0</w:t>
            </w:r>
          </w:p>
        </w:tc>
        <w:tc>
          <w:tcPr>
            <w:tcW w:w="2120" w:type="dxa"/>
            <w:vAlign w:val="bottom"/>
          </w:tcPr>
          <w:p>
            <w:pPr>
              <w:spacing w:line="240" w:lineRule="auto"/>
              <w:ind w:firstLine="0" w:firstLineChars="0"/>
              <w:jc w:val="center"/>
              <w:rPr>
                <w:rFonts w:eastAsia="Times New Roman"/>
                <w:color w:val="auto"/>
                <w:spacing w:val="-3"/>
                <w:sz w:val="20"/>
                <w:szCs w:val="20"/>
              </w:rPr>
            </w:pPr>
            <w:r>
              <w:rPr>
                <w:rFonts w:hint="eastAsia" w:eastAsia="Times New Roman"/>
                <w:color w:val="auto"/>
                <w:spacing w:val="-3"/>
                <w:sz w:val="20"/>
                <w:szCs w:val="20"/>
                <w:lang w:val="en-US" w:eastAsia="zh-CN"/>
              </w:rPr>
              <w:t xml:space="preserve">0.00 </w:t>
            </w:r>
          </w:p>
        </w:tc>
        <w:tc>
          <w:tcPr>
            <w:tcW w:w="213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0</w:t>
            </w:r>
          </w:p>
        </w:tc>
        <w:tc>
          <w:tcPr>
            <w:tcW w:w="2138"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 xml:space="preserve">0.00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 w:hRule="atLeast"/>
          <w:jc w:val="center"/>
        </w:trPr>
        <w:tc>
          <w:tcPr>
            <w:tcW w:w="2148" w:type="dxa"/>
            <w:gridSpan w:val="2"/>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115</w:t>
            </w:r>
          </w:p>
        </w:tc>
        <w:tc>
          <w:tcPr>
            <w:tcW w:w="212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2.26E-15</w:t>
            </w:r>
          </w:p>
        </w:tc>
        <w:tc>
          <w:tcPr>
            <w:tcW w:w="213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115</w:t>
            </w:r>
          </w:p>
        </w:tc>
        <w:tc>
          <w:tcPr>
            <w:tcW w:w="2138"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9.08E-16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150</w:t>
            </w:r>
          </w:p>
        </w:tc>
        <w:tc>
          <w:tcPr>
            <w:tcW w:w="212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3.01E-11</w:t>
            </w:r>
          </w:p>
        </w:tc>
        <w:tc>
          <w:tcPr>
            <w:tcW w:w="213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150</w:t>
            </w:r>
          </w:p>
        </w:tc>
        <w:tc>
          <w:tcPr>
            <w:tcW w:w="2138"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1.21E-11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200</w:t>
            </w:r>
          </w:p>
        </w:tc>
        <w:tc>
          <w:tcPr>
            <w:tcW w:w="212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1.02E-07</w:t>
            </w:r>
          </w:p>
        </w:tc>
        <w:tc>
          <w:tcPr>
            <w:tcW w:w="213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200</w:t>
            </w:r>
          </w:p>
        </w:tc>
        <w:tc>
          <w:tcPr>
            <w:tcW w:w="2138"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4.11E-08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250</w:t>
            </w:r>
          </w:p>
        </w:tc>
        <w:tc>
          <w:tcPr>
            <w:tcW w:w="212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9.26E-06</w:t>
            </w:r>
          </w:p>
        </w:tc>
        <w:tc>
          <w:tcPr>
            <w:tcW w:w="213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250</w:t>
            </w:r>
          </w:p>
        </w:tc>
        <w:tc>
          <w:tcPr>
            <w:tcW w:w="2138"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3.72E-06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300</w:t>
            </w:r>
          </w:p>
        </w:tc>
        <w:tc>
          <w:tcPr>
            <w:tcW w:w="212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 xml:space="preserve">0.0002 </w:t>
            </w:r>
          </w:p>
        </w:tc>
        <w:tc>
          <w:tcPr>
            <w:tcW w:w="213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300</w:t>
            </w:r>
          </w:p>
        </w:tc>
        <w:tc>
          <w:tcPr>
            <w:tcW w:w="2138"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7.60E-05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350</w:t>
            </w:r>
          </w:p>
        </w:tc>
        <w:tc>
          <w:tcPr>
            <w:tcW w:w="212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 xml:space="preserve">0.0016 </w:t>
            </w:r>
          </w:p>
        </w:tc>
        <w:tc>
          <w:tcPr>
            <w:tcW w:w="213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350</w:t>
            </w:r>
          </w:p>
        </w:tc>
        <w:tc>
          <w:tcPr>
            <w:tcW w:w="2138"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 xml:space="preserve">0.001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400</w:t>
            </w:r>
          </w:p>
        </w:tc>
        <w:tc>
          <w:tcPr>
            <w:tcW w:w="212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 xml:space="preserve">0.0081 </w:t>
            </w:r>
          </w:p>
        </w:tc>
        <w:tc>
          <w:tcPr>
            <w:tcW w:w="213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400</w:t>
            </w:r>
          </w:p>
        </w:tc>
        <w:tc>
          <w:tcPr>
            <w:tcW w:w="2138"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 xml:space="preserve">0.003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450</w:t>
            </w:r>
          </w:p>
        </w:tc>
        <w:tc>
          <w:tcPr>
            <w:tcW w:w="212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 xml:space="preserve">0.0280 </w:t>
            </w:r>
          </w:p>
        </w:tc>
        <w:tc>
          <w:tcPr>
            <w:tcW w:w="213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450</w:t>
            </w:r>
          </w:p>
        </w:tc>
        <w:tc>
          <w:tcPr>
            <w:tcW w:w="2138"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 xml:space="preserve">0.011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eastAsia="Times New Roman"/>
                <w:b/>
                <w:bCs/>
                <w:color w:val="auto"/>
                <w:spacing w:val="-3"/>
                <w:sz w:val="20"/>
                <w:szCs w:val="20"/>
              </w:rPr>
            </w:pPr>
            <w:r>
              <w:rPr>
                <w:rFonts w:hint="default" w:eastAsia="Times New Roman"/>
                <w:b/>
                <w:bCs/>
                <w:color w:val="auto"/>
                <w:spacing w:val="-3"/>
                <w:sz w:val="20"/>
                <w:szCs w:val="20"/>
                <w:lang w:val="en-US" w:eastAsia="zh-CN"/>
              </w:rPr>
              <w:t>479</w:t>
            </w:r>
          </w:p>
        </w:tc>
        <w:tc>
          <w:tcPr>
            <w:tcW w:w="2120" w:type="dxa"/>
            <w:vAlign w:val="bottom"/>
          </w:tcPr>
          <w:p>
            <w:pPr>
              <w:spacing w:line="240" w:lineRule="auto"/>
              <w:ind w:firstLine="0" w:firstLineChars="0"/>
              <w:jc w:val="center"/>
              <w:rPr>
                <w:rFonts w:eastAsia="Times New Roman"/>
                <w:b/>
                <w:bCs/>
                <w:color w:val="auto"/>
                <w:spacing w:val="-3"/>
                <w:sz w:val="20"/>
                <w:szCs w:val="20"/>
              </w:rPr>
            </w:pPr>
            <w:r>
              <w:rPr>
                <w:rFonts w:hint="default" w:eastAsia="Times New Roman"/>
                <w:b/>
                <w:bCs/>
                <w:color w:val="auto"/>
                <w:spacing w:val="-3"/>
                <w:sz w:val="20"/>
                <w:szCs w:val="20"/>
                <w:lang w:val="en-US" w:eastAsia="zh-CN"/>
              </w:rPr>
              <w:t xml:space="preserve">0.0500 </w:t>
            </w:r>
          </w:p>
        </w:tc>
        <w:tc>
          <w:tcPr>
            <w:tcW w:w="2130"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500</w:t>
            </w:r>
          </w:p>
        </w:tc>
        <w:tc>
          <w:tcPr>
            <w:tcW w:w="2138" w:type="dxa"/>
            <w:vAlign w:val="bottom"/>
          </w:tcPr>
          <w:p>
            <w:pPr>
              <w:spacing w:line="240" w:lineRule="auto"/>
              <w:ind w:firstLine="0" w:firstLineChars="0"/>
              <w:jc w:val="center"/>
              <w:rPr>
                <w:rFonts w:eastAsia="Times New Roman"/>
                <w:color w:val="auto"/>
                <w:spacing w:val="-3"/>
                <w:sz w:val="20"/>
                <w:szCs w:val="20"/>
              </w:rPr>
            </w:pPr>
            <w:r>
              <w:rPr>
                <w:rFonts w:hint="default" w:eastAsia="Times New Roman"/>
                <w:color w:val="auto"/>
                <w:spacing w:val="-3"/>
                <w:sz w:val="20"/>
                <w:szCs w:val="20"/>
                <w:lang w:val="en-US" w:eastAsia="zh-CN"/>
              </w:rPr>
              <w:t xml:space="preserve">0.030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485</w:t>
            </w:r>
          </w:p>
        </w:tc>
        <w:tc>
          <w:tcPr>
            <w:tcW w:w="212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0.0571 </w:t>
            </w:r>
          </w:p>
        </w:tc>
        <w:tc>
          <w:tcPr>
            <w:tcW w:w="213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550</w:t>
            </w:r>
          </w:p>
        </w:tc>
        <w:tc>
          <w:tcPr>
            <w:tcW w:w="2138"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0.067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490</w:t>
            </w:r>
          </w:p>
        </w:tc>
        <w:tc>
          <w:tcPr>
            <w:tcW w:w="212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0.0627 </w:t>
            </w:r>
          </w:p>
        </w:tc>
        <w:tc>
          <w:tcPr>
            <w:tcW w:w="213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600</w:t>
            </w:r>
          </w:p>
        </w:tc>
        <w:tc>
          <w:tcPr>
            <w:tcW w:w="2138"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0.130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495</w:t>
            </w:r>
          </w:p>
        </w:tc>
        <w:tc>
          <w:tcPr>
            <w:tcW w:w="212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0.0687 </w:t>
            </w:r>
          </w:p>
        </w:tc>
        <w:tc>
          <w:tcPr>
            <w:tcW w:w="213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650</w:t>
            </w:r>
          </w:p>
        </w:tc>
        <w:tc>
          <w:tcPr>
            <w:tcW w:w="2138"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0.23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500</w:t>
            </w:r>
          </w:p>
        </w:tc>
        <w:tc>
          <w:tcPr>
            <w:tcW w:w="212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0.0752 </w:t>
            </w:r>
          </w:p>
        </w:tc>
        <w:tc>
          <w:tcPr>
            <w:tcW w:w="213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700</w:t>
            </w:r>
          </w:p>
        </w:tc>
        <w:tc>
          <w:tcPr>
            <w:tcW w:w="2138"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0.36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p>
        </w:tc>
        <w:tc>
          <w:tcPr>
            <w:tcW w:w="2120" w:type="dxa"/>
            <w:vAlign w:val="bottom"/>
          </w:tcPr>
          <w:p>
            <w:pPr>
              <w:spacing w:line="240" w:lineRule="auto"/>
              <w:ind w:firstLine="0" w:firstLineChars="0"/>
              <w:jc w:val="center"/>
              <w:rPr>
                <w:rFonts w:hint="eastAsia" w:eastAsia="Times New Roman"/>
                <w:color w:val="auto"/>
                <w:spacing w:val="-3"/>
                <w:sz w:val="20"/>
                <w:szCs w:val="20"/>
              </w:rPr>
            </w:pPr>
          </w:p>
        </w:tc>
        <w:tc>
          <w:tcPr>
            <w:tcW w:w="213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750</w:t>
            </w:r>
          </w:p>
        </w:tc>
        <w:tc>
          <w:tcPr>
            <w:tcW w:w="2138"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0.54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p>
        </w:tc>
        <w:tc>
          <w:tcPr>
            <w:tcW w:w="2120" w:type="dxa"/>
            <w:vAlign w:val="bottom"/>
          </w:tcPr>
          <w:p>
            <w:pPr>
              <w:spacing w:line="240" w:lineRule="auto"/>
              <w:ind w:firstLine="0" w:firstLineChars="0"/>
              <w:jc w:val="center"/>
              <w:rPr>
                <w:rFonts w:hint="eastAsia" w:eastAsia="Times New Roman"/>
                <w:color w:val="auto"/>
                <w:spacing w:val="-3"/>
                <w:sz w:val="20"/>
                <w:szCs w:val="20"/>
              </w:rPr>
            </w:pPr>
          </w:p>
        </w:tc>
        <w:tc>
          <w:tcPr>
            <w:tcW w:w="213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800</w:t>
            </w:r>
          </w:p>
        </w:tc>
        <w:tc>
          <w:tcPr>
            <w:tcW w:w="2138"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0.77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p>
        </w:tc>
        <w:tc>
          <w:tcPr>
            <w:tcW w:w="2120" w:type="dxa"/>
            <w:vAlign w:val="bottom"/>
          </w:tcPr>
          <w:p>
            <w:pPr>
              <w:spacing w:line="240" w:lineRule="auto"/>
              <w:ind w:firstLine="0" w:firstLineChars="0"/>
              <w:jc w:val="center"/>
              <w:rPr>
                <w:rFonts w:hint="eastAsia" w:eastAsia="Times New Roman"/>
                <w:color w:val="auto"/>
                <w:spacing w:val="-3"/>
                <w:sz w:val="20"/>
                <w:szCs w:val="20"/>
              </w:rPr>
            </w:pPr>
          </w:p>
        </w:tc>
        <w:tc>
          <w:tcPr>
            <w:tcW w:w="2130" w:type="dxa"/>
            <w:vAlign w:val="bottom"/>
          </w:tcPr>
          <w:p>
            <w:pPr>
              <w:spacing w:line="240" w:lineRule="auto"/>
              <w:ind w:firstLine="0" w:firstLineChars="0"/>
              <w:jc w:val="center"/>
              <w:rPr>
                <w:rFonts w:hint="eastAsia" w:eastAsia="Times New Roman"/>
                <w:b/>
                <w:bCs/>
                <w:color w:val="auto"/>
                <w:spacing w:val="-3"/>
                <w:sz w:val="20"/>
                <w:szCs w:val="20"/>
              </w:rPr>
            </w:pPr>
            <w:r>
              <w:rPr>
                <w:rFonts w:hint="default" w:eastAsia="Times New Roman"/>
                <w:b/>
                <w:bCs/>
                <w:color w:val="auto"/>
                <w:spacing w:val="-3"/>
                <w:sz w:val="20"/>
                <w:szCs w:val="20"/>
                <w:lang w:val="en-US" w:eastAsia="zh-CN"/>
              </w:rPr>
              <w:t>843</w:t>
            </w:r>
          </w:p>
        </w:tc>
        <w:tc>
          <w:tcPr>
            <w:tcW w:w="2138" w:type="dxa"/>
            <w:vAlign w:val="bottom"/>
          </w:tcPr>
          <w:p>
            <w:pPr>
              <w:spacing w:line="240" w:lineRule="auto"/>
              <w:ind w:firstLine="0" w:firstLineChars="0"/>
              <w:jc w:val="center"/>
              <w:rPr>
                <w:rFonts w:hint="eastAsia" w:eastAsia="Times New Roman"/>
                <w:b/>
                <w:bCs/>
                <w:color w:val="auto"/>
                <w:spacing w:val="-3"/>
                <w:sz w:val="20"/>
                <w:szCs w:val="20"/>
              </w:rPr>
            </w:pPr>
            <w:r>
              <w:rPr>
                <w:rFonts w:hint="default" w:eastAsia="Times New Roman"/>
                <w:b/>
                <w:bCs/>
                <w:color w:val="auto"/>
                <w:spacing w:val="-3"/>
                <w:sz w:val="20"/>
                <w:szCs w:val="20"/>
                <w:lang w:val="en-US" w:eastAsia="zh-CN"/>
              </w:rPr>
              <w:t xml:space="preserve">1.00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p>
        </w:tc>
        <w:tc>
          <w:tcPr>
            <w:tcW w:w="2120" w:type="dxa"/>
            <w:vAlign w:val="bottom"/>
          </w:tcPr>
          <w:p>
            <w:pPr>
              <w:spacing w:line="240" w:lineRule="auto"/>
              <w:ind w:firstLine="0" w:firstLineChars="0"/>
              <w:jc w:val="center"/>
              <w:rPr>
                <w:rFonts w:hint="eastAsia" w:eastAsia="Times New Roman"/>
                <w:color w:val="auto"/>
                <w:spacing w:val="-3"/>
                <w:sz w:val="20"/>
                <w:szCs w:val="20"/>
              </w:rPr>
            </w:pPr>
          </w:p>
        </w:tc>
        <w:tc>
          <w:tcPr>
            <w:tcW w:w="213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850</w:t>
            </w:r>
          </w:p>
        </w:tc>
        <w:tc>
          <w:tcPr>
            <w:tcW w:w="2138"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1.05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p>
        </w:tc>
        <w:tc>
          <w:tcPr>
            <w:tcW w:w="2120" w:type="dxa"/>
            <w:vAlign w:val="bottom"/>
          </w:tcPr>
          <w:p>
            <w:pPr>
              <w:spacing w:line="240" w:lineRule="auto"/>
              <w:ind w:firstLine="0" w:firstLineChars="0"/>
              <w:jc w:val="center"/>
              <w:rPr>
                <w:rFonts w:hint="eastAsia" w:eastAsia="Times New Roman"/>
                <w:color w:val="auto"/>
                <w:spacing w:val="-3"/>
                <w:sz w:val="20"/>
                <w:szCs w:val="20"/>
              </w:rPr>
            </w:pPr>
          </w:p>
        </w:tc>
        <w:tc>
          <w:tcPr>
            <w:tcW w:w="213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900</w:t>
            </w:r>
          </w:p>
        </w:tc>
        <w:tc>
          <w:tcPr>
            <w:tcW w:w="2138"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1.36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p>
        </w:tc>
        <w:tc>
          <w:tcPr>
            <w:tcW w:w="2120" w:type="dxa"/>
            <w:vAlign w:val="bottom"/>
          </w:tcPr>
          <w:p>
            <w:pPr>
              <w:spacing w:line="240" w:lineRule="auto"/>
              <w:ind w:firstLine="0" w:firstLineChars="0"/>
              <w:jc w:val="center"/>
              <w:rPr>
                <w:rFonts w:hint="eastAsia" w:eastAsia="Times New Roman"/>
                <w:color w:val="auto"/>
                <w:spacing w:val="-3"/>
                <w:sz w:val="20"/>
                <w:szCs w:val="20"/>
              </w:rPr>
            </w:pPr>
          </w:p>
        </w:tc>
        <w:tc>
          <w:tcPr>
            <w:tcW w:w="213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950</w:t>
            </w:r>
          </w:p>
        </w:tc>
        <w:tc>
          <w:tcPr>
            <w:tcW w:w="2138"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1.72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2148" w:type="dxa"/>
            <w:gridSpan w:val="2"/>
            <w:vAlign w:val="bottom"/>
          </w:tcPr>
          <w:p>
            <w:pPr>
              <w:spacing w:line="240" w:lineRule="auto"/>
              <w:ind w:firstLine="0" w:firstLineChars="0"/>
              <w:jc w:val="center"/>
              <w:rPr>
                <w:rFonts w:hint="eastAsia" w:eastAsia="Times New Roman"/>
                <w:color w:val="auto"/>
                <w:spacing w:val="-3"/>
                <w:sz w:val="20"/>
                <w:szCs w:val="20"/>
              </w:rPr>
            </w:pPr>
          </w:p>
        </w:tc>
        <w:tc>
          <w:tcPr>
            <w:tcW w:w="2120" w:type="dxa"/>
            <w:vAlign w:val="bottom"/>
          </w:tcPr>
          <w:p>
            <w:pPr>
              <w:spacing w:line="240" w:lineRule="auto"/>
              <w:ind w:firstLine="0" w:firstLineChars="0"/>
              <w:jc w:val="center"/>
              <w:rPr>
                <w:rFonts w:hint="eastAsia" w:eastAsia="Times New Roman"/>
                <w:color w:val="auto"/>
                <w:spacing w:val="-3"/>
                <w:sz w:val="20"/>
                <w:szCs w:val="20"/>
              </w:rPr>
            </w:pPr>
          </w:p>
        </w:tc>
        <w:tc>
          <w:tcPr>
            <w:tcW w:w="2130"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1000</w:t>
            </w:r>
          </w:p>
        </w:tc>
        <w:tc>
          <w:tcPr>
            <w:tcW w:w="2138" w:type="dxa"/>
            <w:vAlign w:val="bottom"/>
          </w:tcPr>
          <w:p>
            <w:pPr>
              <w:spacing w:line="240" w:lineRule="auto"/>
              <w:ind w:firstLine="0" w:firstLineChars="0"/>
              <w:jc w:val="center"/>
              <w:rPr>
                <w:rFonts w:hint="eastAsia" w:eastAsia="Times New Roman"/>
                <w:color w:val="auto"/>
                <w:spacing w:val="-3"/>
                <w:sz w:val="20"/>
                <w:szCs w:val="20"/>
              </w:rPr>
            </w:pPr>
            <w:r>
              <w:rPr>
                <w:rFonts w:hint="default" w:eastAsia="Times New Roman"/>
                <w:color w:val="auto"/>
                <w:spacing w:val="-3"/>
                <w:sz w:val="20"/>
                <w:szCs w:val="20"/>
                <w:lang w:val="en-US" w:eastAsia="zh-CN"/>
              </w:rPr>
              <w:t xml:space="preserve">2.12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961" w:type="dxa"/>
            <w:vAlign w:val="center"/>
          </w:tcPr>
          <w:p>
            <w:pPr>
              <w:spacing w:line="240" w:lineRule="auto"/>
              <w:ind w:firstLine="0" w:firstLineChars="0"/>
              <w:jc w:val="center"/>
              <w:rPr>
                <w:rFonts w:ascii="宋体" w:hAnsi="宋体" w:cs="宋体"/>
                <w:color w:val="auto"/>
                <w:sz w:val="20"/>
                <w:szCs w:val="20"/>
              </w:rPr>
            </w:pPr>
            <w:r>
              <w:rPr>
                <w:rFonts w:ascii="宋体" w:hAnsi="宋体" w:cs="宋体"/>
                <w:color w:val="auto"/>
                <w:spacing w:val="-3"/>
                <w:sz w:val="20"/>
                <w:szCs w:val="20"/>
              </w:rPr>
              <w:t>备注</w:t>
            </w:r>
          </w:p>
        </w:tc>
        <w:tc>
          <w:tcPr>
            <w:tcW w:w="7575" w:type="dxa"/>
            <w:gridSpan w:val="4"/>
            <w:vAlign w:val="center"/>
          </w:tcPr>
          <w:p>
            <w:pPr>
              <w:spacing w:line="240" w:lineRule="auto"/>
              <w:ind w:firstLine="0" w:firstLineChars="0"/>
              <w:jc w:val="center"/>
              <w:rPr>
                <w:rFonts w:ascii="宋体" w:hAnsi="宋体" w:cs="宋体"/>
                <w:color w:val="auto"/>
                <w:sz w:val="20"/>
                <w:szCs w:val="20"/>
              </w:rPr>
            </w:pPr>
            <w:r>
              <w:rPr>
                <w:rFonts w:hint="eastAsia" w:ascii="宋体" w:hAnsi="宋体" w:cs="宋体"/>
                <w:color w:val="auto"/>
                <w:spacing w:val="-1"/>
                <w:sz w:val="20"/>
                <w:szCs w:val="20"/>
              </w:rPr>
              <w:t>氨氮和氟化物</w:t>
            </w:r>
            <w:r>
              <w:rPr>
                <w:rFonts w:ascii="宋体" w:hAnsi="宋体" w:cs="宋体"/>
                <w:color w:val="auto"/>
                <w:spacing w:val="-1"/>
                <w:sz w:val="20"/>
                <w:szCs w:val="20"/>
              </w:rPr>
              <w:t>采用地下水质量标准中的</w:t>
            </w:r>
            <w:r>
              <w:rPr>
                <w:rFonts w:eastAsia="Times New Roman"/>
                <w:color w:val="auto"/>
                <w:spacing w:val="-1"/>
                <w:sz w:val="20"/>
                <w:szCs w:val="20"/>
              </w:rPr>
              <w:t>Ⅲ</w:t>
            </w:r>
            <w:r>
              <w:rPr>
                <w:rFonts w:ascii="宋体" w:hAnsi="宋体" w:cs="宋体"/>
                <w:color w:val="auto"/>
                <w:spacing w:val="-1"/>
                <w:sz w:val="20"/>
                <w:szCs w:val="20"/>
              </w:rPr>
              <w:t>类标准值，其值为</w:t>
            </w:r>
            <w:r>
              <w:rPr>
                <w:rFonts w:ascii="宋体" w:hAnsi="宋体" w:cs="宋体"/>
                <w:color w:val="auto"/>
                <w:spacing w:val="-20"/>
                <w:sz w:val="20"/>
                <w:szCs w:val="20"/>
              </w:rPr>
              <w:t xml:space="preserve"> </w:t>
            </w:r>
            <w:r>
              <w:rPr>
                <w:rFonts w:eastAsia="Times New Roman"/>
                <w:color w:val="auto"/>
                <w:spacing w:val="-1"/>
                <w:sz w:val="20"/>
                <w:szCs w:val="20"/>
              </w:rPr>
              <w:t>0.0</w:t>
            </w:r>
            <w:r>
              <w:rPr>
                <w:rFonts w:hint="eastAsia"/>
                <w:color w:val="auto"/>
                <w:spacing w:val="-1"/>
                <w:sz w:val="20"/>
                <w:szCs w:val="20"/>
              </w:rPr>
              <w:t>5</w:t>
            </w:r>
            <w:r>
              <w:rPr>
                <w:rFonts w:eastAsia="Times New Roman"/>
                <w:color w:val="auto"/>
                <w:spacing w:val="-1"/>
                <w:sz w:val="20"/>
                <w:szCs w:val="20"/>
              </w:rPr>
              <w:t>mg/L</w:t>
            </w:r>
            <w:r>
              <w:rPr>
                <w:rFonts w:hint="eastAsia"/>
                <w:color w:val="auto"/>
                <w:spacing w:val="-1"/>
                <w:sz w:val="20"/>
                <w:szCs w:val="20"/>
              </w:rPr>
              <w:t>和1</w:t>
            </w:r>
            <w:r>
              <w:rPr>
                <w:rFonts w:eastAsia="Times New Roman"/>
                <w:color w:val="auto"/>
                <w:spacing w:val="-1"/>
                <w:sz w:val="20"/>
                <w:szCs w:val="20"/>
              </w:rPr>
              <w:t>mg/L</w:t>
            </w:r>
            <w:r>
              <w:rPr>
                <w:rFonts w:ascii="宋体" w:hAnsi="宋体" w:cs="宋体"/>
                <w:color w:val="auto"/>
                <w:spacing w:val="-1"/>
                <w:sz w:val="20"/>
                <w:szCs w:val="20"/>
              </w:rPr>
              <w:t>。</w:t>
            </w:r>
          </w:p>
        </w:tc>
      </w:tr>
    </w:tbl>
    <w:p>
      <w:pPr>
        <w:pStyle w:val="23"/>
        <w:spacing w:after="0" w:line="360" w:lineRule="auto"/>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899150" cy="3561080"/>
            <wp:effectExtent l="0" t="0" r="6350" b="1270"/>
            <wp:docPr id="17" name="图片 17" descr="微信截图_2022082219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20822194021"/>
                    <pic:cNvPicPr>
                      <a:picLocks noChangeAspect="1"/>
                    </pic:cNvPicPr>
                  </pic:nvPicPr>
                  <pic:blipFill>
                    <a:blip r:embed="rId52"/>
                    <a:stretch>
                      <a:fillRect/>
                    </a:stretch>
                  </pic:blipFill>
                  <pic:spPr>
                    <a:xfrm>
                      <a:off x="0" y="0"/>
                      <a:ext cx="5899150" cy="3561080"/>
                    </a:xfrm>
                    <a:prstGeom prst="rect">
                      <a:avLst/>
                    </a:prstGeom>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color w:val="auto"/>
        </w:rPr>
      </w:pPr>
      <w:r>
        <w:rPr>
          <w:b/>
          <w:bCs/>
          <w:color w:val="auto"/>
          <w:kern w:val="0"/>
          <w:lang w:bidi="ar"/>
        </w:rPr>
        <w:t>氨氮在地下水</w:t>
      </w:r>
      <w:r>
        <w:rPr>
          <w:rFonts w:hint="eastAsia"/>
          <w:b/>
          <w:bCs/>
          <w:color w:val="auto"/>
          <w:kern w:val="0"/>
          <w:lang w:bidi="ar"/>
        </w:rPr>
        <w:t>跟踪</w:t>
      </w:r>
      <w:r>
        <w:rPr>
          <w:b/>
          <w:bCs/>
          <w:color w:val="auto"/>
          <w:kern w:val="0"/>
          <w:lang w:bidi="ar"/>
        </w:rPr>
        <w:t>监测井中的穿透曲线图</w:t>
      </w:r>
    </w:p>
    <w:p>
      <w:pPr>
        <w:pStyle w:val="23"/>
        <w:spacing w:line="360" w:lineRule="auto"/>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897880" cy="3538855"/>
            <wp:effectExtent l="0" t="0" r="7620" b="4445"/>
            <wp:docPr id="25" name="图片 25" descr="微信截图_2022082219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截图_20220822194444"/>
                    <pic:cNvPicPr>
                      <a:picLocks noChangeAspect="1"/>
                    </pic:cNvPicPr>
                  </pic:nvPicPr>
                  <pic:blipFill>
                    <a:blip r:embed="rId53"/>
                    <a:stretch>
                      <a:fillRect/>
                    </a:stretch>
                  </pic:blipFill>
                  <pic:spPr>
                    <a:xfrm>
                      <a:off x="0" y="0"/>
                      <a:ext cx="5897880" cy="3538855"/>
                    </a:xfrm>
                    <a:prstGeom prst="rect">
                      <a:avLst/>
                    </a:prstGeom>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b/>
          <w:bCs/>
          <w:color w:val="auto"/>
          <w:kern w:val="0"/>
          <w:lang w:bidi="ar"/>
        </w:rPr>
      </w:pPr>
      <w:r>
        <w:rPr>
          <w:rFonts w:hint="eastAsia"/>
          <w:b/>
          <w:bCs/>
          <w:color w:val="auto"/>
          <w:kern w:val="0"/>
          <w:lang w:bidi="ar"/>
        </w:rPr>
        <w:t>氟化物</w:t>
      </w:r>
      <w:r>
        <w:rPr>
          <w:b/>
          <w:bCs/>
          <w:color w:val="auto"/>
          <w:kern w:val="0"/>
          <w:lang w:bidi="ar"/>
        </w:rPr>
        <w:t>在地下水</w:t>
      </w:r>
      <w:r>
        <w:rPr>
          <w:rFonts w:hint="eastAsia"/>
          <w:b/>
          <w:bCs/>
          <w:color w:val="auto"/>
          <w:kern w:val="0"/>
          <w:lang w:bidi="ar"/>
        </w:rPr>
        <w:t>跟踪</w:t>
      </w:r>
      <w:r>
        <w:rPr>
          <w:b/>
          <w:bCs/>
          <w:color w:val="auto"/>
          <w:kern w:val="0"/>
          <w:lang w:bidi="ar"/>
        </w:rPr>
        <w:t>监测井中的穿透曲线图</w:t>
      </w:r>
    </w:p>
    <w:p>
      <w:pPr>
        <w:ind w:firstLine="464"/>
        <w:jc w:val="left"/>
        <w:rPr>
          <w:rFonts w:ascii="宋体" w:hAnsi="宋体" w:cs="宋体"/>
          <w:color w:val="auto"/>
        </w:rPr>
      </w:pPr>
      <w:r>
        <w:rPr>
          <w:rFonts w:ascii="宋体" w:hAnsi="宋体" w:cs="宋体"/>
          <w:color w:val="auto"/>
          <w:spacing w:val="-4"/>
        </w:rPr>
        <w:t>从</w:t>
      </w:r>
      <w:r>
        <w:rPr>
          <w:rFonts w:hint="eastAsia" w:ascii="宋体" w:hAnsi="宋体" w:cs="宋体"/>
          <w:color w:val="auto"/>
          <w:spacing w:val="-4"/>
        </w:rPr>
        <w:t>上</w:t>
      </w:r>
      <w:r>
        <w:rPr>
          <w:rFonts w:ascii="宋体" w:hAnsi="宋体" w:cs="宋体"/>
          <w:color w:val="auto"/>
          <w:spacing w:val="-4"/>
        </w:rPr>
        <w:t>述图表中可看出，在污水处理站的防渗层出现破损或破裂，污</w:t>
      </w:r>
      <w:r>
        <w:rPr>
          <w:rFonts w:ascii="宋体" w:hAnsi="宋体" w:cs="宋体"/>
          <w:color w:val="auto"/>
          <w:spacing w:val="-75"/>
        </w:rPr>
        <w:t xml:space="preserve"> </w:t>
      </w:r>
      <w:r>
        <w:rPr>
          <w:rFonts w:ascii="宋体" w:hAnsi="宋体" w:cs="宋体"/>
          <w:color w:val="auto"/>
          <w:spacing w:val="-4"/>
        </w:rPr>
        <w:t>水发生渗漏的非正常状况下，污水中</w:t>
      </w:r>
      <w:r>
        <w:rPr>
          <w:rFonts w:hint="eastAsia" w:ascii="宋体" w:hAnsi="宋体" w:cs="宋体"/>
          <w:color w:val="auto"/>
          <w:spacing w:val="-4"/>
        </w:rPr>
        <w:t>氨氮、氟化物</w:t>
      </w:r>
      <w:r>
        <w:rPr>
          <w:rFonts w:ascii="宋体" w:hAnsi="宋体" w:cs="宋体"/>
          <w:color w:val="auto"/>
          <w:spacing w:val="-4"/>
        </w:rPr>
        <w:t>运移至</w:t>
      </w:r>
      <w:r>
        <w:rPr>
          <w:rFonts w:hint="eastAsia" w:ascii="宋体" w:hAnsi="宋体" w:cs="宋体"/>
          <w:color w:val="auto"/>
          <w:spacing w:val="-4"/>
        </w:rPr>
        <w:t>下游二期设置的地下水跟踪监测</w:t>
      </w:r>
      <w:r>
        <w:rPr>
          <w:rFonts w:ascii="宋体" w:hAnsi="宋体" w:cs="宋体"/>
          <w:color w:val="auto"/>
          <w:spacing w:val="-4"/>
        </w:rPr>
        <w:t>水</w:t>
      </w:r>
      <w:r>
        <w:rPr>
          <w:rFonts w:ascii="宋体" w:hAnsi="宋体" w:cs="宋体"/>
          <w:color w:val="auto"/>
          <w:spacing w:val="-100"/>
        </w:rPr>
        <w:t xml:space="preserve"> </w:t>
      </w:r>
      <w:r>
        <w:rPr>
          <w:rFonts w:ascii="宋体" w:hAnsi="宋体" w:cs="宋体"/>
          <w:color w:val="auto"/>
          <w:spacing w:val="-2"/>
        </w:rPr>
        <w:t>井并导致其水质出现超标的时间分别约为</w:t>
      </w:r>
      <w:r>
        <w:rPr>
          <w:rFonts w:ascii="宋体" w:hAnsi="宋体" w:cs="宋体"/>
          <w:color w:val="auto"/>
          <w:spacing w:val="-39"/>
        </w:rPr>
        <w:t xml:space="preserve"> </w:t>
      </w:r>
      <w:r>
        <w:rPr>
          <w:rFonts w:hint="eastAsia"/>
          <w:color w:val="auto"/>
          <w:spacing w:val="-2"/>
          <w:lang w:val="en-US" w:eastAsia="zh-CN"/>
        </w:rPr>
        <w:t>479</w:t>
      </w:r>
      <w:r>
        <w:rPr>
          <w:rFonts w:eastAsia="Times New Roman"/>
          <w:color w:val="auto"/>
          <w:spacing w:val="-2"/>
        </w:rPr>
        <w:t>d</w:t>
      </w:r>
      <w:r>
        <w:rPr>
          <w:rFonts w:eastAsia="Times New Roman"/>
          <w:color w:val="auto"/>
          <w:spacing w:val="-33"/>
        </w:rPr>
        <w:t xml:space="preserve"> </w:t>
      </w:r>
      <w:r>
        <w:rPr>
          <w:rFonts w:ascii="宋体" w:hAnsi="宋体" w:cs="宋体"/>
          <w:color w:val="auto"/>
          <w:spacing w:val="-2"/>
        </w:rPr>
        <w:t>、</w:t>
      </w:r>
      <w:r>
        <w:rPr>
          <w:rFonts w:eastAsia="Times New Roman"/>
          <w:color w:val="auto"/>
          <w:spacing w:val="-2"/>
        </w:rPr>
        <w:t>8</w:t>
      </w:r>
      <w:r>
        <w:rPr>
          <w:rFonts w:hint="eastAsia"/>
          <w:color w:val="auto"/>
          <w:spacing w:val="-2"/>
          <w:lang w:val="en-US" w:eastAsia="zh-CN"/>
        </w:rPr>
        <w:t>43</w:t>
      </w:r>
      <w:r>
        <w:rPr>
          <w:rFonts w:eastAsia="Times New Roman"/>
          <w:color w:val="auto"/>
          <w:spacing w:val="-2"/>
        </w:rPr>
        <w:t>d</w:t>
      </w:r>
      <w:r>
        <w:rPr>
          <w:rFonts w:eastAsia="Times New Roman"/>
          <w:color w:val="auto"/>
          <w:spacing w:val="-28"/>
        </w:rPr>
        <w:t xml:space="preserve"> </w:t>
      </w:r>
      <w:r>
        <w:rPr>
          <w:rFonts w:ascii="宋体" w:hAnsi="宋体" w:cs="宋体"/>
          <w:color w:val="auto"/>
          <w:spacing w:val="-2"/>
        </w:rPr>
        <w:t>。</w:t>
      </w:r>
    </w:p>
    <w:p>
      <w:pPr>
        <w:ind w:firstLine="464"/>
        <w:jc w:val="left"/>
        <w:rPr>
          <w:rFonts w:ascii="宋体" w:hAnsi="宋体" w:cs="宋体"/>
          <w:color w:val="auto"/>
        </w:rPr>
      </w:pPr>
      <w:r>
        <w:rPr>
          <w:rFonts w:ascii="宋体" w:hAnsi="宋体" w:cs="宋体"/>
          <w:color w:val="auto"/>
          <w:spacing w:val="-4"/>
        </w:rPr>
        <w:t>在项目运行期对地下水进行监控过程中，若发现</w:t>
      </w:r>
      <w:r>
        <w:rPr>
          <w:rFonts w:hint="eastAsia" w:ascii="宋体" w:hAnsi="宋体" w:cs="宋体"/>
          <w:color w:val="auto"/>
          <w:spacing w:val="-4"/>
        </w:rPr>
        <w:t>下游地下水跟踪监测</w:t>
      </w:r>
      <w:r>
        <w:rPr>
          <w:rFonts w:ascii="宋体" w:hAnsi="宋体" w:cs="宋体"/>
          <w:color w:val="auto"/>
          <w:spacing w:val="-2"/>
        </w:rPr>
        <w:t>井中的污染物出现较大变化时</w:t>
      </w:r>
      <w:r>
        <w:rPr>
          <w:rFonts w:ascii="宋体" w:hAnsi="宋体" w:cs="宋体"/>
          <w:color w:val="auto"/>
          <w:spacing w:val="-69"/>
        </w:rPr>
        <w:t xml:space="preserve"> </w:t>
      </w:r>
      <w:r>
        <w:rPr>
          <w:rFonts w:ascii="宋体" w:hAnsi="宋体" w:cs="宋体"/>
          <w:color w:val="auto"/>
          <w:spacing w:val="-2"/>
        </w:rPr>
        <w:t>，应立即检查厂区各区域防渗措施的破损情况</w:t>
      </w:r>
      <w:r>
        <w:rPr>
          <w:rFonts w:ascii="宋体" w:hAnsi="宋体" w:cs="宋体"/>
          <w:color w:val="auto"/>
          <w:spacing w:val="-91"/>
        </w:rPr>
        <w:t xml:space="preserve"> </w:t>
      </w:r>
      <w:r>
        <w:rPr>
          <w:rFonts w:ascii="宋体" w:hAnsi="宋体" w:cs="宋体"/>
          <w:color w:val="auto"/>
          <w:spacing w:val="-2"/>
        </w:rPr>
        <w:t>，</w:t>
      </w:r>
      <w:r>
        <w:rPr>
          <w:rFonts w:ascii="宋体" w:hAnsi="宋体" w:cs="宋体"/>
          <w:color w:val="auto"/>
          <w:spacing w:val="-100"/>
        </w:rPr>
        <w:t xml:space="preserve"> </w:t>
      </w:r>
      <w:r>
        <w:rPr>
          <w:rFonts w:ascii="宋体" w:hAnsi="宋体" w:cs="宋体"/>
          <w:color w:val="auto"/>
          <w:spacing w:val="-4"/>
        </w:rPr>
        <w:t>并增加</w:t>
      </w:r>
      <w:r>
        <w:rPr>
          <w:rFonts w:hint="eastAsia" w:ascii="宋体" w:hAnsi="宋体" w:cs="宋体"/>
          <w:color w:val="auto"/>
          <w:spacing w:val="-4"/>
        </w:rPr>
        <w:t>监测井</w:t>
      </w:r>
      <w:r>
        <w:rPr>
          <w:rFonts w:ascii="宋体" w:hAnsi="宋体" w:cs="宋体"/>
          <w:color w:val="auto"/>
          <w:spacing w:val="-4"/>
        </w:rPr>
        <w:t>水质的监测频率。在地下水出现较大污染时</w:t>
      </w:r>
      <w:r>
        <w:rPr>
          <w:rFonts w:ascii="宋体" w:hAnsi="宋体" w:cs="宋体"/>
          <w:color w:val="auto"/>
          <w:spacing w:val="-87"/>
        </w:rPr>
        <w:t xml:space="preserve"> </w:t>
      </w:r>
      <w:r>
        <w:rPr>
          <w:rFonts w:ascii="宋体" w:hAnsi="宋体" w:cs="宋体"/>
          <w:color w:val="auto"/>
          <w:spacing w:val="-4"/>
        </w:rPr>
        <w:t>，应采取地下水抽出处理、建设防渗墙或防渗帷幕等措施阻止污染物继续扩</w:t>
      </w:r>
      <w:r>
        <w:rPr>
          <w:rFonts w:ascii="宋体" w:hAnsi="宋体" w:cs="宋体"/>
          <w:color w:val="auto"/>
          <w:spacing w:val="-1"/>
        </w:rPr>
        <w:t>散，避免地下水受污染的范围扩大。</w:t>
      </w:r>
    </w:p>
    <w:p>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ascii="Times New Roman" w:hAnsi="Times New Roman" w:eastAsia="宋体"/>
          <w:b/>
          <w:bCs/>
          <w:color w:val="auto"/>
          <w:kern w:val="21"/>
          <w:sz w:val="24"/>
          <w:szCs w:val="24"/>
        </w:rPr>
      </w:pPr>
      <w:r>
        <w:rPr>
          <w:rFonts w:ascii="Times New Roman" w:hAnsi="Times New Roman" w:eastAsia="宋体"/>
          <w:b/>
          <w:bCs/>
          <w:color w:val="auto"/>
          <w:kern w:val="21"/>
          <w:sz w:val="24"/>
          <w:szCs w:val="24"/>
        </w:rPr>
        <w:t>5.2.</w:t>
      </w:r>
      <w:r>
        <w:rPr>
          <w:rFonts w:hint="eastAsia" w:ascii="Times New Roman" w:hAnsi="Times New Roman" w:eastAsia="宋体"/>
          <w:b/>
          <w:bCs/>
          <w:color w:val="auto"/>
          <w:kern w:val="21"/>
          <w:sz w:val="24"/>
          <w:szCs w:val="24"/>
        </w:rPr>
        <w:t>2.</w:t>
      </w:r>
      <w:r>
        <w:rPr>
          <w:rFonts w:hint="eastAsia"/>
          <w:b/>
          <w:bCs/>
          <w:color w:val="auto"/>
          <w:kern w:val="21"/>
          <w:sz w:val="24"/>
          <w:szCs w:val="24"/>
          <w:lang w:val="en-US" w:eastAsia="zh-CN"/>
        </w:rPr>
        <w:t>8</w:t>
      </w:r>
      <w:r>
        <w:rPr>
          <w:rFonts w:ascii="Times New Roman" w:hAnsi="Times New Roman" w:eastAsia="宋体"/>
          <w:b/>
          <w:bCs/>
          <w:color w:val="auto"/>
          <w:kern w:val="21"/>
          <w:sz w:val="24"/>
          <w:szCs w:val="24"/>
        </w:rPr>
        <w:t>地下水环境跟踪监测与信息公开</w:t>
      </w:r>
    </w:p>
    <w:p>
      <w:pPr>
        <w:widowControl/>
        <w:ind w:firstLine="480"/>
        <w:jc w:val="left"/>
        <w:rPr>
          <w:color w:val="auto"/>
          <w:kern w:val="21"/>
          <w:lang w:bidi="ar"/>
        </w:rPr>
      </w:pPr>
      <w:r>
        <w:rPr>
          <w:color w:val="auto"/>
          <w:kern w:val="21"/>
          <w:lang w:bidi="ar"/>
        </w:rPr>
        <w:t>建立项目区地下水环境监控体系，包括建立地下水监控制度和环境管理体系、制定监测计划、配备必要的检测仪器和设备，以便及时发现问题，及时采取措施。</w:t>
      </w:r>
    </w:p>
    <w:p>
      <w:pPr>
        <w:widowControl/>
        <w:ind w:firstLine="482"/>
        <w:jc w:val="left"/>
        <w:rPr>
          <w:b/>
          <w:bCs/>
          <w:color w:val="auto"/>
          <w:kern w:val="21"/>
          <w:lang w:bidi="ar"/>
        </w:rPr>
      </w:pPr>
      <w:r>
        <w:rPr>
          <w:b/>
          <w:bCs/>
          <w:color w:val="auto"/>
          <w:kern w:val="21"/>
          <w:lang w:bidi="ar"/>
        </w:rPr>
        <w:t>（1）地下水跟踪监测计划</w:t>
      </w:r>
    </w:p>
    <w:p>
      <w:pPr>
        <w:widowControl/>
        <w:ind w:firstLine="480"/>
        <w:jc w:val="left"/>
        <w:rPr>
          <w:color w:val="auto"/>
          <w:kern w:val="21"/>
          <w:lang w:bidi="ar"/>
        </w:rPr>
      </w:pPr>
      <w:r>
        <w:rPr>
          <w:color w:val="auto"/>
          <w:kern w:val="21"/>
          <w:lang w:bidi="ar"/>
        </w:rPr>
        <w:t>项目地下水跟踪监测计划内容如下：</w:t>
      </w:r>
    </w:p>
    <w:p>
      <w:pPr>
        <w:pStyle w:val="23"/>
        <w:spacing w:after="0" w:line="360" w:lineRule="auto"/>
        <w:ind w:left="0" w:leftChars="0" w:firstLine="480"/>
        <w:rPr>
          <w:color w:val="auto"/>
          <w:kern w:val="21"/>
          <w:lang w:bidi="ar"/>
        </w:rPr>
      </w:pPr>
      <w:r>
        <w:rPr>
          <w:color w:val="auto"/>
          <w:kern w:val="21"/>
          <w:lang w:bidi="ar"/>
        </w:rPr>
        <w:t>①监测点位：上游跟踪监测井设在综合楼</w:t>
      </w:r>
      <w:r>
        <w:rPr>
          <w:rFonts w:hint="eastAsia"/>
          <w:color w:val="auto"/>
          <w:kern w:val="21"/>
          <w:lang w:bidi="ar"/>
        </w:rPr>
        <w:t>南侧</w:t>
      </w:r>
      <w:r>
        <w:rPr>
          <w:color w:val="auto"/>
          <w:kern w:val="21"/>
          <w:lang w:bidi="ar"/>
        </w:rPr>
        <w:t>（1</w:t>
      </w:r>
      <w:r>
        <w:rPr>
          <w:color w:val="auto"/>
          <w:kern w:val="21"/>
          <w:vertAlign w:val="superscript"/>
          <w:lang w:bidi="ar"/>
        </w:rPr>
        <w:t>#</w:t>
      </w:r>
      <w:r>
        <w:rPr>
          <w:color w:val="auto"/>
          <w:kern w:val="21"/>
          <w:lang w:bidi="ar"/>
        </w:rPr>
        <w:t>监测点，坐标E：101°36′14.54″</w:t>
      </w:r>
      <w:r>
        <w:rPr>
          <w:color w:val="auto"/>
          <w:kern w:val="21"/>
        </w:rPr>
        <w:t>、N：25°1′15.08″</w:t>
      </w:r>
      <w:r>
        <w:rPr>
          <w:color w:val="auto"/>
          <w:kern w:val="21"/>
          <w:lang w:bidi="ar"/>
        </w:rPr>
        <w:t>），厂区跟踪监测井设在在线检测房北侧（2</w:t>
      </w:r>
      <w:r>
        <w:rPr>
          <w:color w:val="auto"/>
          <w:kern w:val="21"/>
          <w:vertAlign w:val="superscript"/>
          <w:lang w:bidi="ar"/>
        </w:rPr>
        <w:t>#</w:t>
      </w:r>
      <w:r>
        <w:rPr>
          <w:color w:val="auto"/>
          <w:kern w:val="21"/>
          <w:lang w:bidi="ar"/>
        </w:rPr>
        <w:t>监测点，坐标E：101°36′11.22″</w:t>
      </w:r>
      <w:r>
        <w:rPr>
          <w:color w:val="auto"/>
          <w:kern w:val="21"/>
        </w:rPr>
        <w:t>、N：25°1′18.69″</w:t>
      </w:r>
      <w:r>
        <w:rPr>
          <w:color w:val="auto"/>
          <w:kern w:val="21"/>
          <w:lang w:bidi="ar"/>
        </w:rPr>
        <w:t>），下游跟踪监测井设在二期北厂界（3#监测点，坐标E：101°36′5.54″</w:t>
      </w:r>
      <w:r>
        <w:rPr>
          <w:color w:val="auto"/>
          <w:kern w:val="21"/>
        </w:rPr>
        <w:t>、N：</w:t>
      </w:r>
      <w:r>
        <w:rPr>
          <w:color w:val="auto"/>
          <w:kern w:val="21"/>
          <w:szCs w:val="20"/>
        </w:rPr>
        <w:t>25°1′22.33″</w:t>
      </w:r>
      <w:r>
        <w:rPr>
          <w:color w:val="auto"/>
          <w:kern w:val="21"/>
          <w:lang w:bidi="ar"/>
        </w:rPr>
        <w:t>）</w:t>
      </w:r>
      <w:r>
        <w:rPr>
          <w:rFonts w:hint="eastAsia"/>
          <w:color w:val="auto"/>
          <w:kern w:val="21"/>
          <w:lang w:bidi="ar"/>
        </w:rPr>
        <w:t>。</w:t>
      </w:r>
    </w:p>
    <w:p>
      <w:pPr>
        <w:pStyle w:val="23"/>
        <w:spacing w:after="0" w:line="360" w:lineRule="auto"/>
        <w:ind w:left="0" w:leftChars="0" w:firstLine="480"/>
        <w:rPr>
          <w:color w:val="auto"/>
          <w:kern w:val="21"/>
          <w:lang w:bidi="ar"/>
        </w:rPr>
      </w:pPr>
      <w:r>
        <w:rPr>
          <w:rFonts w:hint="eastAsia"/>
          <w:color w:val="auto"/>
          <w:kern w:val="21"/>
          <w:lang w:bidi="ar"/>
        </w:rPr>
        <w:t>,</w:t>
      </w:r>
      <w:r>
        <w:rPr>
          <w:color w:val="auto"/>
          <w:kern w:val="21"/>
          <w:lang w:bidi="ar"/>
        </w:rPr>
        <w:t>②监测因子：</w:t>
      </w:r>
      <w:r>
        <w:rPr>
          <w:color w:val="auto"/>
          <w:kern w:val="21"/>
        </w:rPr>
        <w:t>pH、耗氧量、总硬度、溶解性固体总量、氯化物、硫酸盐、硝酸盐、亚硝酸盐、硫化物、氰化物、氟化物、氨氮、砷、镉、铅、铜、锌、铁、锰、汞、六价铬、总大肠菌群、细菌总数</w:t>
      </w:r>
      <w:r>
        <w:rPr>
          <w:rFonts w:hint="eastAsia"/>
          <w:color w:val="auto"/>
          <w:kern w:val="21"/>
        </w:rPr>
        <w:t>等</w:t>
      </w:r>
      <w:r>
        <w:rPr>
          <w:color w:val="auto"/>
          <w:kern w:val="21"/>
          <w:lang w:bidi="ar"/>
        </w:rPr>
        <w:t>。</w:t>
      </w:r>
    </w:p>
    <w:p>
      <w:pPr>
        <w:pStyle w:val="23"/>
        <w:spacing w:after="0" w:line="360" w:lineRule="auto"/>
        <w:ind w:left="0" w:leftChars="0" w:firstLine="480"/>
        <w:rPr>
          <w:color w:val="auto"/>
          <w:kern w:val="21"/>
          <w:lang w:bidi="ar"/>
        </w:rPr>
      </w:pPr>
      <w:r>
        <w:rPr>
          <w:color w:val="auto"/>
          <w:kern w:val="21"/>
          <w:lang w:bidi="ar"/>
        </w:rPr>
        <w:t>③</w:t>
      </w:r>
      <w:r>
        <w:rPr>
          <w:color w:val="auto"/>
          <w:kern w:val="21"/>
        </w:rPr>
        <w:t>监测频率：每年监测</w:t>
      </w:r>
      <w:r>
        <w:rPr>
          <w:rFonts w:hint="eastAsia"/>
          <w:color w:val="auto"/>
          <w:kern w:val="21"/>
        </w:rPr>
        <w:t>1</w:t>
      </w:r>
      <w:r>
        <w:rPr>
          <w:color w:val="auto"/>
          <w:kern w:val="21"/>
        </w:rPr>
        <w:t>次。</w:t>
      </w:r>
    </w:p>
    <w:p>
      <w:pPr>
        <w:widowControl/>
        <w:ind w:firstLine="482"/>
        <w:jc w:val="left"/>
        <w:rPr>
          <w:b/>
          <w:bCs/>
          <w:color w:val="auto"/>
          <w:kern w:val="21"/>
          <w:lang w:bidi="ar"/>
        </w:rPr>
      </w:pPr>
      <w:r>
        <w:rPr>
          <w:b/>
          <w:bCs/>
          <w:color w:val="auto"/>
          <w:kern w:val="21"/>
          <w:lang w:bidi="ar"/>
        </w:rPr>
        <w:t>（2）地下水环境公开信息</w:t>
      </w:r>
    </w:p>
    <w:p>
      <w:pPr>
        <w:widowControl/>
        <w:ind w:firstLine="480"/>
        <w:jc w:val="left"/>
        <w:rPr>
          <w:color w:val="auto"/>
          <w:kern w:val="21"/>
          <w:lang w:bidi="ar"/>
        </w:rPr>
      </w:pPr>
      <w:r>
        <w:rPr>
          <w:color w:val="auto"/>
          <w:kern w:val="21"/>
          <w:lang w:bidi="ar"/>
        </w:rPr>
        <w:t>地下水环境信息公开内容如下：</w:t>
      </w:r>
    </w:p>
    <w:p>
      <w:pPr>
        <w:pStyle w:val="23"/>
        <w:spacing w:after="0" w:line="360" w:lineRule="auto"/>
        <w:ind w:left="0" w:leftChars="0" w:firstLine="480"/>
        <w:rPr>
          <w:color w:val="auto"/>
          <w:kern w:val="21"/>
          <w:lang w:bidi="ar"/>
        </w:rPr>
      </w:pPr>
      <w:r>
        <w:rPr>
          <w:color w:val="auto"/>
          <w:kern w:val="21"/>
          <w:lang w:bidi="ar"/>
        </w:rPr>
        <w:t>①三</w:t>
      </w:r>
      <w:r>
        <w:rPr>
          <w:rFonts w:hint="eastAsia"/>
          <w:color w:val="auto"/>
          <w:kern w:val="21"/>
          <w:lang w:bidi="ar"/>
        </w:rPr>
        <w:t>个</w:t>
      </w:r>
      <w:r>
        <w:rPr>
          <w:color w:val="auto"/>
          <w:kern w:val="21"/>
          <w:lang w:bidi="ar"/>
        </w:rPr>
        <w:t>地下水环境跟踪监测</w:t>
      </w:r>
      <w:r>
        <w:rPr>
          <w:rFonts w:hint="eastAsia"/>
          <w:color w:val="auto"/>
          <w:kern w:val="21"/>
          <w:lang w:bidi="ar"/>
        </w:rPr>
        <w:t>点</w:t>
      </w:r>
      <w:r>
        <w:rPr>
          <w:color w:val="auto"/>
          <w:kern w:val="21"/>
          <w:lang w:bidi="ar"/>
        </w:rPr>
        <w:t>的监测数据，包括个监测因子的监测时间、频次、各监测因子的监测数据、监测单位等。</w:t>
      </w:r>
    </w:p>
    <w:p>
      <w:pPr>
        <w:pStyle w:val="23"/>
        <w:spacing w:after="0" w:line="360" w:lineRule="auto"/>
        <w:ind w:left="0" w:leftChars="0" w:firstLine="480"/>
        <w:rPr>
          <w:color w:val="auto"/>
          <w:kern w:val="21"/>
          <w:lang w:bidi="ar"/>
        </w:rPr>
      </w:pPr>
      <w:r>
        <w:rPr>
          <w:color w:val="auto"/>
          <w:kern w:val="21"/>
          <w:lang w:bidi="ar"/>
        </w:rPr>
        <w:t>②生产设备、管线、污水储存与处理设施、污泥储存等设施的运行状况、跑冒滴漏记录、维护记录。</w:t>
      </w:r>
    </w:p>
    <w:p>
      <w:pPr>
        <w:pStyle w:val="23"/>
        <w:spacing w:after="0" w:line="360" w:lineRule="auto"/>
        <w:ind w:left="0" w:leftChars="0" w:firstLine="480"/>
        <w:rPr>
          <w:color w:val="auto"/>
          <w:kern w:val="21"/>
          <w:lang w:bidi="ar"/>
        </w:rPr>
      </w:pPr>
      <w:r>
        <w:rPr>
          <w:color w:val="auto"/>
          <w:kern w:val="21"/>
          <w:lang w:bidi="ar"/>
        </w:rPr>
        <w:t>③环境信息公开频次：每半年至少公开一次。</w:t>
      </w:r>
    </w:p>
    <w:p>
      <w:pPr>
        <w:widowControl/>
        <w:ind w:firstLine="482"/>
        <w:jc w:val="left"/>
        <w:rPr>
          <w:color w:val="auto"/>
          <w:kern w:val="21"/>
        </w:rPr>
      </w:pPr>
      <w:r>
        <w:rPr>
          <w:b/>
          <w:color w:val="auto"/>
          <w:kern w:val="21"/>
          <w:lang w:bidi="ar"/>
        </w:rPr>
        <w:t>（3）应急处理措施</w:t>
      </w:r>
    </w:p>
    <w:p>
      <w:pPr>
        <w:widowControl/>
        <w:ind w:firstLine="480"/>
        <w:jc w:val="left"/>
        <w:rPr>
          <w:color w:val="auto"/>
          <w:kern w:val="21"/>
        </w:rPr>
      </w:pPr>
      <w:r>
        <w:rPr>
          <w:color w:val="auto"/>
          <w:kern w:val="21"/>
          <w:lang w:bidi="ar"/>
        </w:rPr>
        <w:t>①应急预案</w:t>
      </w:r>
    </w:p>
    <w:p>
      <w:pPr>
        <w:widowControl/>
        <w:ind w:firstLine="480"/>
        <w:jc w:val="left"/>
        <w:rPr>
          <w:color w:val="auto"/>
          <w:kern w:val="21"/>
        </w:rPr>
      </w:pPr>
      <w:r>
        <w:rPr>
          <w:color w:val="auto"/>
          <w:kern w:val="21"/>
          <w:lang w:bidi="ar"/>
        </w:rPr>
        <w:t>项目运行过程中，应按国家、地方及行业相关规范要求，制定地下水污染应急预案，并在发现污废水出现跑冒滴漏等情况时立刻启动应急预案，采取应急措施阻止污染扩散，降低地下水受污染程度。地下水污染应急预案应包括以下要点：如发现污废水出现跑冒滴漏等情况时，应立即向公司环保部门及行政管理部门报告，调查并确认污染源位置，采取有效措施及时阻断确认的污染源，防止污染物继续渗漏到地下，导致土壤和地下水受污染范围扩大；对泄漏至地面的污废水或固废及时进行清理；定期检查粗格栅及进水泵房、细格栅及调节池、混凝沉淀池、水解酸化池、</w:t>
      </w:r>
      <w:r>
        <w:rPr>
          <w:rFonts w:hint="eastAsia"/>
          <w:color w:val="auto"/>
          <w:kern w:val="21"/>
          <w:lang w:bidi="ar"/>
        </w:rPr>
        <w:t>A</w:t>
      </w:r>
      <w:r>
        <w:rPr>
          <w:rFonts w:hint="eastAsia"/>
          <w:color w:val="auto"/>
          <w:kern w:val="21"/>
          <w:vertAlign w:val="superscript"/>
          <w:lang w:bidi="ar"/>
        </w:rPr>
        <w:t>2</w:t>
      </w:r>
      <w:r>
        <w:rPr>
          <w:rFonts w:hint="eastAsia"/>
          <w:color w:val="auto"/>
          <w:kern w:val="21"/>
          <w:lang w:bidi="ar"/>
        </w:rPr>
        <w:t>/O</w:t>
      </w:r>
      <w:r>
        <w:rPr>
          <w:color w:val="auto"/>
          <w:kern w:val="21"/>
          <w:lang w:bidi="ar"/>
        </w:rPr>
        <w:t>生化池、MBR膜池及设备间（含储罐区）、污泥脱水车间、储泥池等防渗层的破损情况。</w:t>
      </w:r>
    </w:p>
    <w:p>
      <w:pPr>
        <w:widowControl/>
        <w:ind w:firstLine="480"/>
        <w:jc w:val="left"/>
        <w:rPr>
          <w:color w:val="auto"/>
          <w:kern w:val="21"/>
        </w:rPr>
      </w:pPr>
      <w:r>
        <w:rPr>
          <w:color w:val="auto"/>
          <w:kern w:val="21"/>
          <w:lang w:bidi="ar"/>
        </w:rPr>
        <w:t>②应急措施</w:t>
      </w:r>
    </w:p>
    <w:p>
      <w:pPr>
        <w:widowControl/>
        <w:ind w:firstLine="480"/>
        <w:jc w:val="left"/>
        <w:rPr>
          <w:color w:val="auto"/>
          <w:kern w:val="21"/>
        </w:rPr>
      </w:pPr>
      <w:r>
        <w:rPr>
          <w:color w:val="auto"/>
          <w:kern w:val="21"/>
          <w:lang w:bidi="ar"/>
        </w:rPr>
        <w:t>（a）粗格栅及进水泵房、细格栅及调节池、混凝沉淀池、水解酸化池、</w:t>
      </w:r>
      <w:r>
        <w:rPr>
          <w:rFonts w:hint="eastAsia"/>
          <w:color w:val="auto"/>
          <w:kern w:val="21"/>
          <w:lang w:bidi="ar"/>
        </w:rPr>
        <w:t>A2/O</w:t>
      </w:r>
      <w:r>
        <w:rPr>
          <w:color w:val="auto"/>
          <w:kern w:val="21"/>
          <w:lang w:bidi="ar"/>
        </w:rPr>
        <w:t>生化池、MBR膜池及设备间（含储罐区）、污泥脱水车间、储泥池等发生破损或破裂，导致污废水发生渗漏时，应将池中污水抽出并暂存于事故池中进行处理，对池中破损部位进行修补，杜绝形成持续的污染源；</w:t>
      </w:r>
    </w:p>
    <w:p>
      <w:pPr>
        <w:widowControl/>
        <w:ind w:firstLine="480"/>
        <w:jc w:val="left"/>
        <w:rPr>
          <w:color w:val="auto"/>
          <w:kern w:val="21"/>
        </w:rPr>
      </w:pPr>
      <w:r>
        <w:rPr>
          <w:color w:val="auto"/>
          <w:kern w:val="21"/>
          <w:lang w:bidi="ar"/>
        </w:rPr>
        <w:t>（b）对厂区内泄漏至地面的污废水或固废，须及时进行清理。</w:t>
      </w:r>
    </w:p>
    <w:p>
      <w:pPr>
        <w:widowControl/>
        <w:ind w:firstLine="480"/>
        <w:jc w:val="left"/>
        <w:rPr>
          <w:color w:val="auto"/>
          <w:kern w:val="21"/>
          <w:lang w:bidi="ar"/>
        </w:rPr>
      </w:pPr>
      <w:r>
        <w:rPr>
          <w:color w:val="auto"/>
          <w:kern w:val="21"/>
          <w:lang w:bidi="ar"/>
        </w:rPr>
        <w:t>（c）定期对地下水监测井进行水质监测，若发现水质有较大变化时，需适当增加监测频率，密切关注地下水受污染程度，并查找水质变化原因。</w:t>
      </w:r>
    </w:p>
    <w:p>
      <w:pPr>
        <w:widowControl/>
        <w:ind w:firstLine="480"/>
        <w:jc w:val="left"/>
        <w:rPr>
          <w:color w:val="auto"/>
          <w:kern w:val="21"/>
        </w:rPr>
      </w:pPr>
      <w:r>
        <w:rPr>
          <w:color w:val="auto"/>
          <w:kern w:val="21"/>
          <w:lang w:bidi="ar"/>
        </w:rPr>
        <w:t>（d）储罐区、污泥脱水车间、储泥池的防渗出现破损或破裂时，应及时对其进行修补；其应避免雨淋，屋顶出现破损须及时进行修补。</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5.2.2.</w:t>
      </w:r>
      <w:r>
        <w:rPr>
          <w:rFonts w:hint="eastAsia" w:ascii="Times New Roman" w:hAnsi="Times New Roman" w:eastAsia="宋体"/>
          <w:color w:val="auto"/>
          <w:kern w:val="21"/>
          <w:sz w:val="24"/>
          <w:szCs w:val="24"/>
          <w:lang w:val="en-US" w:eastAsia="zh-CN"/>
        </w:rPr>
        <w:t>9</w:t>
      </w:r>
      <w:r>
        <w:rPr>
          <w:rFonts w:ascii="Times New Roman" w:hAnsi="Times New Roman" w:eastAsia="宋体"/>
          <w:color w:val="auto"/>
          <w:kern w:val="21"/>
          <w:sz w:val="24"/>
          <w:szCs w:val="24"/>
        </w:rPr>
        <w:t>小结</w:t>
      </w:r>
    </w:p>
    <w:p>
      <w:pPr>
        <w:widowControl/>
        <w:kinsoku w:val="0"/>
        <w:autoSpaceDE w:val="0"/>
        <w:autoSpaceDN w:val="0"/>
        <w:ind w:firstLine="464"/>
        <w:jc w:val="left"/>
        <w:textAlignment w:val="baseline"/>
        <w:rPr>
          <w:color w:val="auto"/>
          <w:spacing w:val="0"/>
          <w:sz w:val="24"/>
        </w:rPr>
      </w:pPr>
      <w:r>
        <w:rPr>
          <w:color w:val="auto"/>
          <w:spacing w:val="0"/>
          <w:sz w:val="24"/>
        </w:rPr>
        <w:t>（1）项目区地下水类型主要为裂隙水，主要接受大气降雨补给。项目区处于地下水的补给径流区，项目区地下水总体上由东南向西北径流，沿裂隙、孔隙径流，最终向龙川江排泄。上平凹屯泉点、罗刀凹泉点、沙溪冲水井、王家小屯水井和大东村水井是项目区地下水的主要出露点。</w:t>
      </w:r>
    </w:p>
    <w:p>
      <w:pPr>
        <w:widowControl/>
        <w:kinsoku w:val="0"/>
        <w:autoSpaceDE w:val="0"/>
        <w:autoSpaceDN w:val="0"/>
        <w:ind w:firstLine="464"/>
        <w:jc w:val="left"/>
        <w:textAlignment w:val="baseline"/>
        <w:rPr>
          <w:color w:val="auto"/>
          <w:spacing w:val="0"/>
          <w:sz w:val="24"/>
        </w:rPr>
      </w:pPr>
      <w:r>
        <w:rPr>
          <w:color w:val="auto"/>
          <w:spacing w:val="0"/>
          <w:sz w:val="24"/>
        </w:rPr>
        <w:t>（2）项目生产运行过程中对地下水环境存在潜在污染风险的区域主要为污水处理厂中的各种储水池体。</w:t>
      </w:r>
    </w:p>
    <w:p>
      <w:pPr>
        <w:widowControl/>
        <w:kinsoku w:val="0"/>
        <w:autoSpaceDE w:val="0"/>
        <w:autoSpaceDN w:val="0"/>
        <w:ind w:firstLine="436"/>
        <w:jc w:val="left"/>
        <w:textAlignment w:val="baseline"/>
        <w:rPr>
          <w:color w:val="auto"/>
          <w:spacing w:val="0"/>
          <w:sz w:val="24"/>
        </w:rPr>
      </w:pPr>
      <w:r>
        <w:rPr>
          <w:color w:val="auto"/>
          <w:spacing w:val="0"/>
          <w:sz w:val="24"/>
        </w:rPr>
        <w:t>（3）根据预测结果分析可知，在污水处理站的防渗层出现破损或破裂，污水发生渗漏的非正常状况下，随着时间的增加，污水发生渗漏的量会逐渐增加，渗漏进入含水层中的污染物的迁移扩散距离越来越大。</w:t>
      </w:r>
    </w:p>
    <w:p>
      <w:pPr>
        <w:widowControl/>
        <w:kinsoku w:val="0"/>
        <w:autoSpaceDE w:val="0"/>
        <w:autoSpaceDN w:val="0"/>
        <w:ind w:firstLine="464"/>
        <w:jc w:val="left"/>
        <w:textAlignment w:val="baseline"/>
        <w:rPr>
          <w:color w:val="auto"/>
          <w:spacing w:val="0"/>
          <w:sz w:val="24"/>
        </w:rPr>
      </w:pPr>
      <w:r>
        <w:rPr>
          <w:color w:val="auto"/>
          <w:spacing w:val="0"/>
          <w:sz w:val="24"/>
        </w:rPr>
        <w:t>（4）建设单位已在建设施工期对各工业厂区的防渗工作严把质量关，保证防渗系统切实有效，并在防渗系统铺设完之后进行了检漏见证工作，后续运营中一旦发现防渗系统破裂，必须保证在最短时间内切除污染源，立即启动应急预案，不可使泄漏情况持续，并及时向当地环保部门汇报。</w:t>
      </w:r>
    </w:p>
    <w:p>
      <w:pPr>
        <w:widowControl/>
        <w:kinsoku w:val="0"/>
        <w:autoSpaceDE w:val="0"/>
        <w:autoSpaceDN w:val="0"/>
        <w:ind w:firstLine="464"/>
        <w:textAlignment w:val="baseline"/>
        <w:rPr>
          <w:color w:val="auto"/>
          <w:spacing w:val="0"/>
          <w:sz w:val="24"/>
        </w:rPr>
      </w:pPr>
      <w:r>
        <w:rPr>
          <w:color w:val="auto"/>
          <w:spacing w:val="0"/>
          <w:sz w:val="24"/>
        </w:rPr>
        <w:t>总体来说，本项目本身就是环保项目，项目场区地下水类型主要为裂隙水，主要接受大气降雨补给。项目区处于地下水的补给径流区，项目区地下水总体上由东南向西北径流，最终向龙川江排泄。厂区已采取了合理可靠的防渗措施，后期加强维护和管理的情况下，污废水、固废发生渗漏或泄漏的可能性较小，项目的建设运营对地下水环境的影响是可控的，对地下水环境的影响从环保</w:t>
      </w:r>
      <w:r>
        <w:rPr>
          <w:rFonts w:hint="eastAsia"/>
          <w:color w:val="auto"/>
          <w:spacing w:val="0"/>
          <w:sz w:val="24"/>
          <w:lang w:eastAsia="zh-CN"/>
        </w:rPr>
        <w:t>角度</w:t>
      </w:r>
      <w:r>
        <w:rPr>
          <w:color w:val="auto"/>
          <w:spacing w:val="0"/>
          <w:sz w:val="24"/>
        </w:rPr>
        <w:t>来说是可接受的。</w:t>
      </w:r>
    </w:p>
    <w:p>
      <w:pPr>
        <w:pStyle w:val="6"/>
        <w:spacing w:after="0"/>
        <w:rPr>
          <w:rFonts w:eastAsia="宋体"/>
          <w:color w:val="auto"/>
          <w:kern w:val="21"/>
        </w:rPr>
      </w:pPr>
      <w:bookmarkStart w:id="248" w:name="_Toc16582"/>
      <w:r>
        <w:rPr>
          <w:rFonts w:eastAsia="宋体"/>
          <w:color w:val="auto"/>
          <w:kern w:val="21"/>
        </w:rPr>
        <w:t>5.</w:t>
      </w:r>
      <w:r>
        <w:rPr>
          <w:rFonts w:hint="eastAsia" w:eastAsia="宋体"/>
          <w:color w:val="auto"/>
          <w:kern w:val="21"/>
        </w:rPr>
        <w:t>2</w:t>
      </w:r>
      <w:r>
        <w:rPr>
          <w:rFonts w:eastAsia="宋体"/>
          <w:color w:val="auto"/>
          <w:kern w:val="21"/>
        </w:rPr>
        <w:t>.</w:t>
      </w:r>
      <w:r>
        <w:rPr>
          <w:rFonts w:hint="eastAsia" w:eastAsia="宋体"/>
          <w:color w:val="auto"/>
          <w:kern w:val="21"/>
        </w:rPr>
        <w:t>3</w:t>
      </w:r>
      <w:r>
        <w:rPr>
          <w:rFonts w:eastAsia="宋体"/>
          <w:color w:val="auto"/>
          <w:kern w:val="21"/>
        </w:rPr>
        <w:t>运营期</w:t>
      </w:r>
      <w:r>
        <w:rPr>
          <w:rFonts w:hint="eastAsia" w:eastAsia="宋体"/>
          <w:color w:val="auto"/>
          <w:kern w:val="21"/>
        </w:rPr>
        <w:t>大气</w:t>
      </w:r>
      <w:r>
        <w:rPr>
          <w:rFonts w:eastAsia="宋体"/>
          <w:color w:val="auto"/>
          <w:kern w:val="21"/>
        </w:rPr>
        <w:t>环境影响分析</w:t>
      </w:r>
      <w:bookmarkEnd w:id="248"/>
    </w:p>
    <w:p>
      <w:pPr>
        <w:pStyle w:val="8"/>
        <w:spacing w:before="0" w:after="0" w:line="377" w:lineRule="auto"/>
        <w:ind w:firstLine="0" w:firstLineChars="0"/>
        <w:rPr>
          <w:rFonts w:hint="eastAsia" w:ascii="Times New Roman" w:hAnsi="Times New Roman" w:eastAsia="宋体"/>
          <w:color w:val="auto"/>
          <w:kern w:val="21"/>
          <w:sz w:val="24"/>
          <w:szCs w:val="24"/>
          <w:lang w:eastAsia="zh-CN"/>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3</w:t>
      </w:r>
      <w:r>
        <w:rPr>
          <w:rFonts w:ascii="Times New Roman" w:hAnsi="Times New Roman" w:eastAsia="宋体"/>
          <w:color w:val="auto"/>
          <w:kern w:val="21"/>
          <w:sz w:val="24"/>
          <w:szCs w:val="24"/>
        </w:rPr>
        <w:t>.1气象</w:t>
      </w:r>
      <w:r>
        <w:rPr>
          <w:rFonts w:hint="eastAsia" w:ascii="Times New Roman" w:hAnsi="Times New Roman" w:eastAsia="宋体"/>
          <w:color w:val="auto"/>
          <w:kern w:val="21"/>
          <w:sz w:val="24"/>
          <w:szCs w:val="24"/>
          <w:lang w:eastAsia="zh-CN"/>
        </w:rPr>
        <w:t>特征分析</w:t>
      </w:r>
    </w:p>
    <w:p>
      <w:pPr>
        <w:spacing w:line="360" w:lineRule="auto"/>
        <w:ind w:firstLine="480" w:firstLineChars="200"/>
        <w:rPr>
          <w:color w:val="auto"/>
        </w:rPr>
      </w:pPr>
      <w:r>
        <w:rPr>
          <w:rFonts w:hint="eastAsia"/>
          <w:color w:val="auto"/>
        </w:rPr>
        <w:t>1、气象数据来源</w:t>
      </w:r>
    </w:p>
    <w:p>
      <w:pPr>
        <w:spacing w:line="360" w:lineRule="auto"/>
        <w:ind w:firstLine="482"/>
        <w:rPr>
          <w:color w:val="auto"/>
        </w:rPr>
      </w:pPr>
      <w:r>
        <w:rPr>
          <w:rFonts w:hint="eastAsia"/>
          <w:color w:val="auto"/>
        </w:rPr>
        <w:t>根据《环境影响评价技术</w:t>
      </w:r>
      <w:r>
        <w:rPr>
          <w:rFonts w:hint="eastAsia"/>
          <w:color w:val="auto"/>
          <w:lang w:eastAsia="zh-CN"/>
        </w:rPr>
        <w:t>导则 大气环境</w:t>
      </w:r>
      <w:r>
        <w:rPr>
          <w:rFonts w:hint="eastAsia"/>
          <w:color w:val="auto"/>
        </w:rPr>
        <w:t>》（HJ2.2-2018）规定：依据评价所需环境空气质量现状、气象资料等数据的可获得性、数据质量、代表性等因素，选择近3年中数据相对完整的1个日历年作为评价基准年。</w:t>
      </w:r>
    </w:p>
    <w:p>
      <w:pPr>
        <w:spacing w:line="360" w:lineRule="auto"/>
        <w:ind w:firstLine="482"/>
        <w:rPr>
          <w:rFonts w:hAnsi="宋体"/>
          <w:color w:val="auto"/>
        </w:rPr>
      </w:pPr>
      <w:r>
        <w:rPr>
          <w:rFonts w:hint="eastAsia"/>
          <w:color w:val="auto"/>
        </w:rPr>
        <w:t>本次评价未进行常规气象要素的现场观测工作，项目区与楚雄市气象站直线距离为</w:t>
      </w:r>
      <w:r>
        <w:rPr>
          <w:rFonts w:hint="eastAsia"/>
          <w:color w:val="auto"/>
          <w:lang w:val="en-US" w:eastAsia="zh-CN"/>
        </w:rPr>
        <w:t>5</w:t>
      </w:r>
      <w:r>
        <w:rPr>
          <w:rFonts w:hint="eastAsia"/>
          <w:color w:val="auto"/>
        </w:rPr>
        <w:t>km，气象特征基本一致，因此</w:t>
      </w:r>
      <w:r>
        <w:rPr>
          <w:rFonts w:hint="eastAsia" w:hAnsi="宋体"/>
          <w:color w:val="auto"/>
        </w:rPr>
        <w:t>本次评价地面数据采用楚雄市气象局提供的2020年一个完整日历年的数据，</w:t>
      </w:r>
      <w:r>
        <w:rPr>
          <w:rFonts w:hint="eastAsia"/>
          <w:snapToGrid w:val="0"/>
          <w:color w:val="auto"/>
        </w:rPr>
        <w:t>站台编号为</w:t>
      </w:r>
      <w:r>
        <w:rPr>
          <w:snapToGrid w:val="0"/>
          <w:color w:val="auto"/>
        </w:rPr>
        <w:t>56</w:t>
      </w:r>
      <w:r>
        <w:rPr>
          <w:rFonts w:hint="eastAsia"/>
          <w:snapToGrid w:val="0"/>
          <w:color w:val="auto"/>
        </w:rPr>
        <w:t>768，观测场拔海高度为1824.1m，站点经纬度为北纬2</w:t>
      </w:r>
      <w:r>
        <w:rPr>
          <w:rFonts w:hint="default" w:ascii="Times New Roman" w:hAnsi="Times New Roman" w:cs="Times New Roman"/>
          <w:snapToGrid w:val="0"/>
          <w:color w:val="auto"/>
        </w:rPr>
        <w:t>5°02′、东经101°33′</w:t>
      </w:r>
      <w:r>
        <w:rPr>
          <w:rFonts w:hint="eastAsia"/>
          <w:snapToGrid w:val="0"/>
          <w:color w:val="auto"/>
        </w:rPr>
        <w:t>；高空气象数据采用国家气象信息中心提供的楚雄市高空模拟气象数据</w:t>
      </w:r>
      <w:r>
        <w:rPr>
          <w:rFonts w:hint="eastAsia" w:hAnsi="宋体"/>
          <w:color w:val="auto"/>
        </w:rPr>
        <w:t>。</w:t>
      </w:r>
    </w:p>
    <w:p>
      <w:pPr>
        <w:spacing w:line="360" w:lineRule="auto"/>
        <w:ind w:firstLine="482"/>
        <w:rPr>
          <w:rFonts w:hAnsi="宋体"/>
          <w:color w:val="auto"/>
        </w:rPr>
      </w:pPr>
      <w:r>
        <w:rPr>
          <w:rFonts w:hint="eastAsia" w:hAnsi="宋体"/>
          <w:color w:val="auto"/>
        </w:rPr>
        <w:t>2、气象数据统计</w:t>
      </w:r>
    </w:p>
    <w:p>
      <w:pPr>
        <w:adjustRightInd w:val="0"/>
        <w:snapToGrid w:val="0"/>
        <w:spacing w:line="360" w:lineRule="auto"/>
        <w:ind w:firstLine="480" w:firstLineChars="200"/>
        <w:rPr>
          <w:color w:val="auto"/>
          <w:szCs w:val="20"/>
        </w:rPr>
      </w:pPr>
      <w:r>
        <w:rPr>
          <w:color w:val="auto"/>
        </w:rPr>
        <w:t>（1）风向</w:t>
      </w:r>
      <w:r>
        <w:rPr>
          <w:rFonts w:hint="eastAsia"/>
          <w:color w:val="auto"/>
        </w:rPr>
        <w:t>、风频</w:t>
      </w:r>
    </w:p>
    <w:p>
      <w:pPr>
        <w:spacing w:line="360" w:lineRule="auto"/>
        <w:ind w:firstLine="480" w:firstLineChars="200"/>
        <w:rPr>
          <w:color w:val="auto"/>
        </w:rPr>
      </w:pPr>
      <w:r>
        <w:rPr>
          <w:color w:val="auto"/>
        </w:rPr>
        <w:t>根据</w:t>
      </w:r>
      <w:r>
        <w:rPr>
          <w:rFonts w:hint="eastAsia"/>
          <w:color w:val="auto"/>
        </w:rPr>
        <w:t>楚雄市</w:t>
      </w:r>
      <w:r>
        <w:rPr>
          <w:color w:val="auto"/>
        </w:rPr>
        <w:t>气象站2</w:t>
      </w:r>
      <w:r>
        <w:rPr>
          <w:rFonts w:hint="eastAsia"/>
          <w:color w:val="auto"/>
        </w:rPr>
        <w:t>020</w:t>
      </w:r>
      <w:r>
        <w:rPr>
          <w:color w:val="auto"/>
        </w:rPr>
        <w:t>年一月至十二月全年的地面气象观测资料按16个风</w:t>
      </w:r>
      <w:r>
        <w:rPr>
          <w:rFonts w:hint="eastAsia" w:hAnsi="宋体"/>
          <w:color w:val="auto"/>
        </w:rPr>
        <w:t>向方位进行地面风向频率统计，结果表明：</w:t>
      </w:r>
      <w:r>
        <w:rPr>
          <w:color w:val="auto"/>
        </w:rPr>
        <w:t>全年主导风向为</w:t>
      </w:r>
      <w:r>
        <w:rPr>
          <w:rFonts w:hint="eastAsia"/>
          <w:color w:val="auto"/>
        </w:rPr>
        <w:t>西南偏南</w:t>
      </w:r>
      <w:r>
        <w:rPr>
          <w:color w:val="auto"/>
        </w:rPr>
        <w:t>风（S</w:t>
      </w:r>
      <w:r>
        <w:rPr>
          <w:rFonts w:hint="eastAsia"/>
          <w:color w:val="auto"/>
        </w:rPr>
        <w:t>SW</w:t>
      </w:r>
      <w:r>
        <w:rPr>
          <w:color w:val="auto"/>
        </w:rPr>
        <w:t>），次主导风向为</w:t>
      </w:r>
      <w:r>
        <w:rPr>
          <w:rFonts w:hint="eastAsia"/>
          <w:color w:val="auto"/>
        </w:rPr>
        <w:t>南</w:t>
      </w:r>
      <w:r>
        <w:rPr>
          <w:color w:val="auto"/>
        </w:rPr>
        <w:t>风（</w:t>
      </w:r>
      <w:r>
        <w:rPr>
          <w:rFonts w:hint="eastAsia"/>
          <w:color w:val="auto"/>
        </w:rPr>
        <w:t>S</w:t>
      </w:r>
      <w:r>
        <w:rPr>
          <w:color w:val="auto"/>
        </w:rPr>
        <w:t>），风向频率</w:t>
      </w:r>
      <w:r>
        <w:rPr>
          <w:rFonts w:hint="eastAsia"/>
          <w:color w:val="auto"/>
        </w:rPr>
        <w:t>分别</w:t>
      </w:r>
      <w:r>
        <w:rPr>
          <w:color w:val="auto"/>
        </w:rPr>
        <w:t>为</w:t>
      </w:r>
      <w:r>
        <w:rPr>
          <w:rFonts w:hint="eastAsia"/>
          <w:color w:val="auto"/>
        </w:rPr>
        <w:t>14.</w:t>
      </w:r>
      <w:r>
        <w:rPr>
          <w:rFonts w:hint="eastAsia"/>
          <w:color w:val="auto"/>
          <w:lang w:val="en-US" w:eastAsia="zh-CN"/>
        </w:rPr>
        <w:t>84</w:t>
      </w:r>
      <w:r>
        <w:rPr>
          <w:color w:val="auto"/>
        </w:rPr>
        <w:t>%和</w:t>
      </w:r>
      <w:r>
        <w:rPr>
          <w:rFonts w:hint="eastAsia"/>
          <w:color w:val="auto"/>
        </w:rPr>
        <w:t>14.</w:t>
      </w:r>
      <w:r>
        <w:rPr>
          <w:rFonts w:hint="eastAsia"/>
          <w:color w:val="auto"/>
          <w:lang w:val="en-US" w:eastAsia="zh-CN"/>
        </w:rPr>
        <w:t>78</w:t>
      </w:r>
      <w:r>
        <w:rPr>
          <w:color w:val="auto"/>
        </w:rPr>
        <w:t>%，静风频率为</w:t>
      </w:r>
      <w:r>
        <w:rPr>
          <w:rFonts w:hint="eastAsia"/>
          <w:color w:val="auto"/>
          <w:lang w:val="en-US" w:eastAsia="zh-CN"/>
        </w:rPr>
        <w:t>3.76</w:t>
      </w:r>
      <w:r>
        <w:rPr>
          <w:color w:val="auto"/>
        </w:rPr>
        <w:t>%。地面风向频率统计结果</w:t>
      </w:r>
      <w:r>
        <w:rPr>
          <w:rFonts w:hint="eastAsia"/>
          <w:color w:val="auto"/>
        </w:rPr>
        <w:t>如下。</w:t>
      </w:r>
    </w:p>
    <w:p>
      <w:pPr>
        <w:rPr>
          <w:color w:val="auto"/>
        </w:rPr>
        <w:sectPr>
          <w:pgSz w:w="11850" w:h="16783"/>
          <w:pgMar w:top="1418" w:right="1134" w:bottom="1134" w:left="1418" w:header="851" w:footer="992" w:gutter="0"/>
          <w:cols w:space="720" w:num="1"/>
          <w:docGrid w:type="lines" w:linePitch="312" w:charSpace="0"/>
        </w:sectPr>
      </w:pPr>
    </w:p>
    <w:p>
      <w:pPr>
        <w:numPr>
          <w:ilvl w:val="0"/>
          <w:numId w:val="11"/>
        </w:numPr>
        <w:tabs>
          <w:tab w:val="left" w:pos="3395"/>
          <w:tab w:val="clear" w:pos="0"/>
        </w:tabs>
        <w:ind w:left="0" w:leftChars="0" w:firstLine="0" w:firstLineChars="0"/>
        <w:jc w:val="center"/>
        <w:rPr>
          <w:b/>
          <w:bCs/>
          <w:color w:val="auto"/>
        </w:rPr>
      </w:pPr>
      <w:r>
        <w:rPr>
          <w:rFonts w:hint="eastAsia"/>
          <w:b/>
          <w:bCs/>
          <w:color w:val="auto"/>
        </w:rPr>
        <w:t xml:space="preserve">2020年各风向月、季及年平均风向风频统计表   </w:t>
      </w:r>
      <w:r>
        <w:rPr>
          <w:b/>
          <w:bCs/>
          <w:color w:val="auto"/>
        </w:rPr>
        <w:t>单位：</w:t>
      </w:r>
      <w:r>
        <w:rPr>
          <w:rFonts w:hint="eastAsia"/>
          <w:b/>
          <w:bCs/>
          <w:color w:val="auto"/>
        </w:rPr>
        <w:t>%</w:t>
      </w:r>
    </w:p>
    <w:tbl>
      <w:tblPr>
        <w:tblStyle w:val="51"/>
        <w:tblW w:w="5000" w:type="pct"/>
        <w:tblInd w:w="0" w:type="dxa"/>
        <w:tblLayout w:type="autofit"/>
        <w:tblCellMar>
          <w:top w:w="0" w:type="dxa"/>
          <w:left w:w="108" w:type="dxa"/>
          <w:bottom w:w="0" w:type="dxa"/>
          <w:right w:w="108" w:type="dxa"/>
        </w:tblCellMar>
      </w:tblPr>
      <w:tblGrid>
        <w:gridCol w:w="866"/>
        <w:gridCol w:w="799"/>
        <w:gridCol w:w="799"/>
        <w:gridCol w:w="799"/>
        <w:gridCol w:w="799"/>
        <w:gridCol w:w="799"/>
        <w:gridCol w:w="799"/>
        <w:gridCol w:w="799"/>
        <w:gridCol w:w="799"/>
        <w:gridCol w:w="799"/>
        <w:gridCol w:w="799"/>
        <w:gridCol w:w="799"/>
        <w:gridCol w:w="802"/>
        <w:gridCol w:w="802"/>
        <w:gridCol w:w="802"/>
        <w:gridCol w:w="803"/>
        <w:gridCol w:w="803"/>
        <w:gridCol w:w="780"/>
      </w:tblGrid>
      <w:tr>
        <w:tblPrEx>
          <w:tblCellMar>
            <w:top w:w="0" w:type="dxa"/>
            <w:left w:w="108" w:type="dxa"/>
            <w:bottom w:w="0" w:type="dxa"/>
            <w:right w:w="108" w:type="dxa"/>
          </w:tblCellMar>
        </w:tblPrEx>
        <w:trPr>
          <w:trHeight w:val="397" w:hRule="atLeast"/>
        </w:trPr>
        <w:tc>
          <w:tcPr>
            <w:tcW w:w="299" w:type="pct"/>
            <w:tcBorders>
              <w:top w:val="single" w:color="auto" w:sz="4" w:space="0"/>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月份</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N</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NNE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NE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ENE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ESE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SE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SSE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S</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SSW</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SW</w:t>
            </w:r>
          </w:p>
        </w:tc>
        <w:tc>
          <w:tcPr>
            <w:tcW w:w="277"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WSW</w:t>
            </w:r>
          </w:p>
        </w:tc>
        <w:tc>
          <w:tcPr>
            <w:tcW w:w="277"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W</w:t>
            </w:r>
          </w:p>
        </w:tc>
        <w:tc>
          <w:tcPr>
            <w:tcW w:w="277"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WNW</w:t>
            </w:r>
          </w:p>
        </w:tc>
        <w:tc>
          <w:tcPr>
            <w:tcW w:w="277"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NW</w:t>
            </w:r>
          </w:p>
        </w:tc>
        <w:tc>
          <w:tcPr>
            <w:tcW w:w="277"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NNW</w:t>
            </w:r>
          </w:p>
        </w:tc>
        <w:tc>
          <w:tcPr>
            <w:tcW w:w="269"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静风</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一月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1.88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3.63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2.82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3.36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5.51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9.27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14.52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9.68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4.57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2.02</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6.85</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二月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3.16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2.87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6.32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12.64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13.94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13.07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13.65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10.34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3.45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2.16</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5.6</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三月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2.15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5.65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9.68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20.56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24.06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13.44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5.51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3.23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2.55</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3.76</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四月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2.22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3.06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4.58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3.89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4.44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8.33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12.08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17.22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16.39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9.58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4.03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3.06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2.08</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2.64</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五月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2.42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3.76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3.09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3.23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4.57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11.83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25.54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18.15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8.47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2.55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3.09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2.69</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1.34</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六月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1.67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1.67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3.06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7.08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17.78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23.33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19.72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11.81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5.69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0.28</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1.53</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七月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3.36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2.82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3.63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3.23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7.53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13.84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25.4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21.24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6.45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3.23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0.81</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1.88</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八月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4.17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5.51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6.85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5.78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11.83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13.84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18.95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11.96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5.38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3.23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2.96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2.15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0.67</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2.15</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九月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2.78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3.19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4.58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4.86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5.69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9.44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16.81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19.31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15.69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4.72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0.83</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3.61</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十月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0.54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5.11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6.05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10.89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15.73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14.78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18.95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11.56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3.76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1.34</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4.03</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十一月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2.22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1.67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3.75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4.86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3.47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6.25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10.14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15.69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13.33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7.08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6.11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9.31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4.86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1.53</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5.83</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十二月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0.28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1.66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2.36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2.36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4.85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9.85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20.94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11.37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4.16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6.24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3.47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1.53</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5.96</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春季</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2.13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2.22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2.36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2.76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1.81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2.54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3.03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6.16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11.19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21.15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19.57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10.51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4.03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3.13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2.45</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2.58</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夏季</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0.91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2.85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3.35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3.89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3.58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7.52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11.64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20.74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18.8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10.42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6.02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3.31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1.81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1.31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0.59</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1.86</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秋季</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1.92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1.65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4.49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5.27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6.73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10.53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13.92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17.99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13.51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5.17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2.79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3.62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2.66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1.83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1.24</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4.49</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冬季</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1.43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0.88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1.11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2.22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3.05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2.68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3.84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7.22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14.25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15.87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10.23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8.75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3.84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3.56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1.9</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6.15</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rFonts w:hint="eastAsia"/>
                <w:color w:val="auto"/>
                <w:szCs w:val="21"/>
              </w:rPr>
              <w:t>全年</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1.54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2.13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3.21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3.65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6.11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8.95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14.78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14.84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12.45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9.67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6.54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3.08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2.45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1.54</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3.76</w:t>
            </w:r>
          </w:p>
        </w:tc>
      </w:tr>
    </w:tbl>
    <w:p>
      <w:pPr>
        <w:pStyle w:val="8"/>
        <w:spacing w:before="0" w:after="0" w:line="377" w:lineRule="auto"/>
        <w:ind w:firstLine="0" w:firstLineChars="0"/>
        <w:rPr>
          <w:rFonts w:ascii="Times New Roman" w:hAnsi="Times New Roman" w:eastAsia="宋体"/>
          <w:color w:val="auto"/>
          <w:kern w:val="21"/>
          <w:sz w:val="24"/>
          <w:szCs w:val="24"/>
        </w:rPr>
        <w:sectPr>
          <w:pgSz w:w="16783" w:h="11850" w:orient="landscape"/>
          <w:pgMar w:top="1417" w:right="1418" w:bottom="1134" w:left="1134" w:header="851" w:footer="992" w:gutter="0"/>
          <w:cols w:space="0" w:num="1"/>
          <w:rtlGutter w:val="0"/>
          <w:docGrid w:type="lines" w:linePitch="33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rPr>
      </w:pPr>
      <w:r>
        <w:rPr>
          <w:color w:val="auto"/>
        </w:rPr>
        <w:drawing>
          <wp:inline distT="0" distB="0" distL="114300" distR="114300">
            <wp:extent cx="5723890" cy="7065645"/>
            <wp:effectExtent l="0" t="0" r="10160" b="190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54"/>
                    <a:stretch>
                      <a:fillRect/>
                    </a:stretch>
                  </pic:blipFill>
                  <pic:spPr>
                    <a:xfrm>
                      <a:off x="0" y="0"/>
                      <a:ext cx="5723890" cy="7065645"/>
                    </a:xfrm>
                    <a:prstGeom prst="rect">
                      <a:avLst/>
                    </a:prstGeom>
                    <a:noFill/>
                    <a:ln>
                      <a:noFill/>
                    </a:ln>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b/>
          <w:bCs/>
          <w:color w:val="auto"/>
          <w:szCs w:val="24"/>
        </w:rPr>
      </w:pPr>
      <w:r>
        <w:rPr>
          <w:rFonts w:hint="eastAsia"/>
          <w:b/>
          <w:bCs/>
          <w:color w:val="auto"/>
          <w:szCs w:val="24"/>
        </w:rPr>
        <w:t>楚雄市</w:t>
      </w:r>
      <w:r>
        <w:rPr>
          <w:rFonts w:hint="eastAsia"/>
          <w:b/>
          <w:bCs/>
          <w:color w:val="auto"/>
          <w:kern w:val="0"/>
          <w:lang w:bidi="ar"/>
        </w:rPr>
        <w:t>2020</w:t>
      </w:r>
      <w:r>
        <w:rPr>
          <w:b/>
          <w:bCs/>
          <w:color w:val="auto"/>
          <w:szCs w:val="24"/>
        </w:rPr>
        <w:t>年</w:t>
      </w:r>
      <w:r>
        <w:rPr>
          <w:rFonts w:hint="eastAsia"/>
          <w:b/>
          <w:bCs/>
          <w:color w:val="auto"/>
          <w:szCs w:val="24"/>
        </w:rPr>
        <w:t>各月、四季及全年</w:t>
      </w:r>
      <w:r>
        <w:rPr>
          <w:b/>
          <w:bCs/>
          <w:color w:val="auto"/>
          <w:szCs w:val="24"/>
        </w:rPr>
        <w:t>风频玫瑰图</w:t>
      </w:r>
    </w:p>
    <w:p>
      <w:pPr>
        <w:adjustRightInd w:val="0"/>
        <w:snapToGrid w:val="0"/>
        <w:spacing w:line="360" w:lineRule="auto"/>
        <w:ind w:firstLine="480" w:firstLineChars="200"/>
        <w:rPr>
          <w:rFonts w:ascii="宋体" w:hAnsi="宋体"/>
          <w:color w:val="auto"/>
          <w:szCs w:val="20"/>
        </w:rPr>
      </w:pPr>
      <w:r>
        <w:rPr>
          <w:rFonts w:hint="eastAsia" w:hAnsi="宋体"/>
          <w:color w:val="auto"/>
        </w:rPr>
        <w:t>（</w:t>
      </w:r>
      <w:r>
        <w:rPr>
          <w:rFonts w:hAnsi="宋体"/>
          <w:color w:val="auto"/>
        </w:rPr>
        <w:t>2</w:t>
      </w:r>
      <w:r>
        <w:rPr>
          <w:rFonts w:hint="eastAsia" w:hAnsi="宋体"/>
          <w:color w:val="auto"/>
        </w:rPr>
        <w:t>）风速</w:t>
      </w:r>
    </w:p>
    <w:p>
      <w:pPr>
        <w:adjustRightInd w:val="0"/>
        <w:snapToGrid w:val="0"/>
        <w:spacing w:line="360" w:lineRule="auto"/>
        <w:ind w:firstLine="480" w:firstLineChars="200"/>
        <w:rPr>
          <w:rFonts w:hint="eastAsia" w:hAnsi="宋体"/>
          <w:color w:val="auto"/>
        </w:rPr>
      </w:pPr>
      <w:r>
        <w:rPr>
          <w:rFonts w:hint="eastAsia" w:hAnsi="宋体"/>
          <w:color w:val="auto"/>
        </w:rPr>
        <w:t>根据楚雄市气象站2020年一月至十二月全年的地面气象观测资料按16个风向方位统计其有风条件下的平均风速及年平均风速，结果表明：该区域2020年年平均风速为2.14m/s，月平均风速最大为3.52m/s，月平均风速最小为0.92m/s。春季风速较大，季平均风速为2.69m/s，秋季季风速最小，风速为1.66m/s。具体如下表所示。</w:t>
      </w:r>
    </w:p>
    <w:p>
      <w:pPr>
        <w:pStyle w:val="8"/>
        <w:spacing w:before="0" w:after="0" w:line="377" w:lineRule="auto"/>
        <w:ind w:firstLine="0" w:firstLineChars="0"/>
        <w:rPr>
          <w:rFonts w:ascii="Times New Roman" w:hAnsi="Times New Roman" w:eastAsia="宋体"/>
          <w:color w:val="auto"/>
          <w:kern w:val="21"/>
          <w:sz w:val="24"/>
          <w:szCs w:val="24"/>
        </w:rPr>
        <w:sectPr>
          <w:pgSz w:w="11850" w:h="16783"/>
          <w:pgMar w:top="1418" w:right="1134" w:bottom="1134" w:left="1418" w:header="851" w:footer="992" w:gutter="0"/>
          <w:cols w:space="720" w:num="1"/>
          <w:docGrid w:type="lines" w:linePitch="312" w:charSpace="0"/>
        </w:sectPr>
      </w:pPr>
    </w:p>
    <w:p>
      <w:pPr>
        <w:numPr>
          <w:ilvl w:val="0"/>
          <w:numId w:val="11"/>
        </w:numPr>
        <w:tabs>
          <w:tab w:val="left" w:pos="3395"/>
          <w:tab w:val="clear" w:pos="0"/>
        </w:tabs>
        <w:ind w:left="0" w:leftChars="0" w:firstLine="0" w:firstLineChars="0"/>
        <w:jc w:val="center"/>
        <w:rPr>
          <w:b/>
          <w:bCs/>
          <w:color w:val="auto"/>
        </w:rPr>
      </w:pPr>
      <w:r>
        <w:rPr>
          <w:rFonts w:hint="eastAsia"/>
          <w:b/>
          <w:bCs/>
          <w:color w:val="auto"/>
        </w:rPr>
        <w:t xml:space="preserve">2020年季小时平均风速日变化统计表   </w:t>
      </w:r>
      <w:r>
        <w:rPr>
          <w:b/>
          <w:bCs/>
          <w:color w:val="auto"/>
        </w:rPr>
        <w:t>单位：</w:t>
      </w:r>
      <w:r>
        <w:rPr>
          <w:rFonts w:hint="eastAsia"/>
          <w:b/>
          <w:bCs/>
          <w:color w:val="auto"/>
        </w:rPr>
        <w:t>m/s</w:t>
      </w:r>
    </w:p>
    <w:tbl>
      <w:tblPr>
        <w:tblStyle w:val="51"/>
        <w:tblW w:w="5062"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613"/>
        <w:gridCol w:w="555"/>
        <w:gridCol w:w="541"/>
        <w:gridCol w:w="544"/>
        <w:gridCol w:w="585"/>
        <w:gridCol w:w="541"/>
        <w:gridCol w:w="555"/>
        <w:gridCol w:w="574"/>
        <w:gridCol w:w="585"/>
        <w:gridCol w:w="568"/>
        <w:gridCol w:w="585"/>
        <w:gridCol w:w="585"/>
        <w:gridCol w:w="555"/>
        <w:gridCol w:w="602"/>
        <w:gridCol w:w="602"/>
        <w:gridCol w:w="602"/>
        <w:gridCol w:w="602"/>
        <w:gridCol w:w="602"/>
        <w:gridCol w:w="602"/>
        <w:gridCol w:w="602"/>
        <w:gridCol w:w="602"/>
        <w:gridCol w:w="602"/>
        <w:gridCol w:w="602"/>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18"/>
                <w:szCs w:val="18"/>
              </w:rPr>
            </w:pPr>
            <w:r>
              <w:rPr>
                <w:rFonts w:hint="eastAsia"/>
                <w:color w:val="auto"/>
                <w:sz w:val="18"/>
                <w:szCs w:val="18"/>
              </w:rPr>
              <w:t>风速m/s</w:t>
            </w:r>
          </w:p>
        </w:tc>
        <w:tc>
          <w:tcPr>
            <w:tcW w:w="20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0时</w:t>
            </w:r>
          </w:p>
        </w:tc>
        <w:tc>
          <w:tcPr>
            <w:tcW w:w="1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1时</w:t>
            </w:r>
          </w:p>
        </w:tc>
        <w:tc>
          <w:tcPr>
            <w:tcW w:w="185"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2时</w:t>
            </w:r>
          </w:p>
        </w:tc>
        <w:tc>
          <w:tcPr>
            <w:tcW w:w="186"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3时</w:t>
            </w:r>
          </w:p>
        </w:tc>
        <w:tc>
          <w:tcPr>
            <w:tcW w:w="20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4时</w:t>
            </w:r>
          </w:p>
        </w:tc>
        <w:tc>
          <w:tcPr>
            <w:tcW w:w="185"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5时</w:t>
            </w:r>
          </w:p>
        </w:tc>
        <w:tc>
          <w:tcPr>
            <w:tcW w:w="1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6时</w:t>
            </w:r>
          </w:p>
        </w:tc>
        <w:tc>
          <w:tcPr>
            <w:tcW w:w="19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7时</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8时</w:t>
            </w:r>
          </w:p>
        </w:tc>
        <w:tc>
          <w:tcPr>
            <w:tcW w:w="194"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9时</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10时</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11时</w:t>
            </w:r>
          </w:p>
        </w:tc>
        <w:tc>
          <w:tcPr>
            <w:tcW w:w="19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12时</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13时</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14时</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15时</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16时</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17时</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18时</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19时</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20时</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21时</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22时</w:t>
            </w:r>
          </w:p>
        </w:tc>
        <w:tc>
          <w:tcPr>
            <w:tcW w:w="199"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23时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春季</w:t>
            </w:r>
          </w:p>
        </w:tc>
        <w:tc>
          <w:tcPr>
            <w:tcW w:w="20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2.06</w:t>
            </w:r>
          </w:p>
        </w:tc>
        <w:tc>
          <w:tcPr>
            <w:tcW w:w="1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1.68</w:t>
            </w:r>
          </w:p>
        </w:tc>
        <w:tc>
          <w:tcPr>
            <w:tcW w:w="185"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1.69</w:t>
            </w:r>
          </w:p>
        </w:tc>
        <w:tc>
          <w:tcPr>
            <w:tcW w:w="186"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1.58</w:t>
            </w:r>
          </w:p>
        </w:tc>
        <w:tc>
          <w:tcPr>
            <w:tcW w:w="20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1.45</w:t>
            </w:r>
          </w:p>
        </w:tc>
        <w:tc>
          <w:tcPr>
            <w:tcW w:w="185"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1.27</w:t>
            </w:r>
          </w:p>
        </w:tc>
        <w:tc>
          <w:tcPr>
            <w:tcW w:w="1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1.29</w:t>
            </w:r>
          </w:p>
        </w:tc>
        <w:tc>
          <w:tcPr>
            <w:tcW w:w="19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1.06</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0.9</w:t>
            </w:r>
          </w:p>
        </w:tc>
        <w:tc>
          <w:tcPr>
            <w:tcW w:w="194"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1.14</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2.04</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3.09</w:t>
            </w:r>
          </w:p>
        </w:tc>
        <w:tc>
          <w:tcPr>
            <w:tcW w:w="19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3.91</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4.16</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4.3</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4.71</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4.74</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4.6</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4.3</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3.93</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3.24</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2.82</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2.4</w:t>
            </w:r>
          </w:p>
        </w:tc>
        <w:tc>
          <w:tcPr>
            <w:tcW w:w="199"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夏季</w:t>
            </w:r>
          </w:p>
        </w:tc>
        <w:tc>
          <w:tcPr>
            <w:tcW w:w="20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1.51</w:t>
            </w:r>
          </w:p>
        </w:tc>
        <w:tc>
          <w:tcPr>
            <w:tcW w:w="1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1.37</w:t>
            </w:r>
          </w:p>
        </w:tc>
        <w:tc>
          <w:tcPr>
            <w:tcW w:w="185"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1.45</w:t>
            </w:r>
          </w:p>
        </w:tc>
        <w:tc>
          <w:tcPr>
            <w:tcW w:w="186"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1.44</w:t>
            </w:r>
          </w:p>
        </w:tc>
        <w:tc>
          <w:tcPr>
            <w:tcW w:w="20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1.4</w:t>
            </w:r>
          </w:p>
        </w:tc>
        <w:tc>
          <w:tcPr>
            <w:tcW w:w="185"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1.4</w:t>
            </w:r>
          </w:p>
        </w:tc>
        <w:tc>
          <w:tcPr>
            <w:tcW w:w="1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1.25</w:t>
            </w:r>
          </w:p>
        </w:tc>
        <w:tc>
          <w:tcPr>
            <w:tcW w:w="19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1.23</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1.26</w:t>
            </w:r>
          </w:p>
        </w:tc>
        <w:tc>
          <w:tcPr>
            <w:tcW w:w="194"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1.62</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2.16</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2.43</w:t>
            </w:r>
          </w:p>
        </w:tc>
        <w:tc>
          <w:tcPr>
            <w:tcW w:w="19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2.78</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2.91</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3.08</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3.14</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3.13</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3.13</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3.11</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2.78</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2.43</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2.05</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1.85</w:t>
            </w:r>
          </w:p>
        </w:tc>
        <w:tc>
          <w:tcPr>
            <w:tcW w:w="199"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秋季</w:t>
            </w:r>
          </w:p>
        </w:tc>
        <w:tc>
          <w:tcPr>
            <w:tcW w:w="20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1.11</w:t>
            </w:r>
          </w:p>
        </w:tc>
        <w:tc>
          <w:tcPr>
            <w:tcW w:w="1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1.05</w:t>
            </w:r>
          </w:p>
        </w:tc>
        <w:tc>
          <w:tcPr>
            <w:tcW w:w="185"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1.02</w:t>
            </w:r>
          </w:p>
        </w:tc>
        <w:tc>
          <w:tcPr>
            <w:tcW w:w="186"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1.01</w:t>
            </w:r>
          </w:p>
        </w:tc>
        <w:tc>
          <w:tcPr>
            <w:tcW w:w="20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0.97</w:t>
            </w:r>
          </w:p>
        </w:tc>
        <w:tc>
          <w:tcPr>
            <w:tcW w:w="185"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1.07</w:t>
            </w:r>
          </w:p>
        </w:tc>
        <w:tc>
          <w:tcPr>
            <w:tcW w:w="1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0.97</w:t>
            </w:r>
          </w:p>
        </w:tc>
        <w:tc>
          <w:tcPr>
            <w:tcW w:w="19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1.04</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1.12</w:t>
            </w:r>
          </w:p>
        </w:tc>
        <w:tc>
          <w:tcPr>
            <w:tcW w:w="194"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1.18</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1.36</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1.77</w:t>
            </w:r>
          </w:p>
        </w:tc>
        <w:tc>
          <w:tcPr>
            <w:tcW w:w="19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2.33</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2.61</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2.7</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2.76</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2.76</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2.72</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2.47</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2.2</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1.74</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1.45</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1.27</w:t>
            </w:r>
          </w:p>
        </w:tc>
        <w:tc>
          <w:tcPr>
            <w:tcW w:w="199"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冬季</w:t>
            </w:r>
          </w:p>
        </w:tc>
        <w:tc>
          <w:tcPr>
            <w:tcW w:w="20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1.3</w:t>
            </w:r>
          </w:p>
        </w:tc>
        <w:tc>
          <w:tcPr>
            <w:tcW w:w="1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1.21</w:t>
            </w:r>
          </w:p>
        </w:tc>
        <w:tc>
          <w:tcPr>
            <w:tcW w:w="185"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0.97</w:t>
            </w:r>
          </w:p>
        </w:tc>
        <w:tc>
          <w:tcPr>
            <w:tcW w:w="186"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1.06</w:t>
            </w:r>
          </w:p>
        </w:tc>
        <w:tc>
          <w:tcPr>
            <w:tcW w:w="20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0.96</w:t>
            </w:r>
          </w:p>
        </w:tc>
        <w:tc>
          <w:tcPr>
            <w:tcW w:w="185"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0.92</w:t>
            </w:r>
          </w:p>
        </w:tc>
        <w:tc>
          <w:tcPr>
            <w:tcW w:w="1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0.9</w:t>
            </w:r>
          </w:p>
        </w:tc>
        <w:tc>
          <w:tcPr>
            <w:tcW w:w="19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0.95</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0.94</w:t>
            </w:r>
          </w:p>
        </w:tc>
        <w:tc>
          <w:tcPr>
            <w:tcW w:w="194"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0.84</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1.05</w:t>
            </w:r>
          </w:p>
        </w:tc>
        <w:tc>
          <w:tcPr>
            <w:tcW w:w="20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1.61</w:t>
            </w:r>
          </w:p>
        </w:tc>
        <w:tc>
          <w:tcPr>
            <w:tcW w:w="190"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2.83</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3.57</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3.96</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4.28</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4.41</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4.38</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3.85</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3.06</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2.49</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2.03</w:t>
            </w:r>
          </w:p>
        </w:tc>
        <w:tc>
          <w:tcPr>
            <w:tcW w:w="206"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1.64</w:t>
            </w:r>
          </w:p>
        </w:tc>
        <w:tc>
          <w:tcPr>
            <w:tcW w:w="199"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18"/>
                <w:szCs w:val="18"/>
              </w:rPr>
            </w:pPr>
            <w:r>
              <w:rPr>
                <w:rFonts w:hint="eastAsia"/>
                <w:color w:val="auto"/>
                <w:sz w:val="18"/>
                <w:szCs w:val="18"/>
              </w:rPr>
              <w:t>1.5</w:t>
            </w:r>
          </w:p>
        </w:tc>
      </w:tr>
    </w:tbl>
    <w:p>
      <w:pPr>
        <w:pStyle w:val="8"/>
        <w:spacing w:before="0" w:after="0" w:line="377" w:lineRule="auto"/>
        <w:ind w:firstLine="0" w:firstLineChars="0"/>
        <w:jc w:val="center"/>
        <w:rPr>
          <w:rFonts w:hint="eastAsia"/>
          <w:color w:val="auto"/>
        </w:rPr>
      </w:pPr>
      <w:r>
        <w:rPr>
          <w:rFonts w:hint="eastAsia"/>
          <w:color w:val="auto"/>
        </w:rPr>
        <w:drawing>
          <wp:inline distT="0" distB="0" distL="0" distR="0">
            <wp:extent cx="8863330" cy="3624580"/>
            <wp:effectExtent l="0" t="0" r="13970" b="1397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55" cstate="print"/>
                    <a:srcRect/>
                    <a:stretch>
                      <a:fillRect/>
                    </a:stretch>
                  </pic:blipFill>
                  <pic:spPr>
                    <a:xfrm>
                      <a:off x="0" y="0"/>
                      <a:ext cx="8863330" cy="3624721"/>
                    </a:xfrm>
                    <a:prstGeom prst="rect">
                      <a:avLst/>
                    </a:prstGeom>
                    <a:noFill/>
                    <a:ln w="9525">
                      <a:noFill/>
                      <a:miter lim="800000"/>
                      <a:headEnd/>
                      <a:tailEnd/>
                    </a:ln>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b/>
          <w:bCs/>
          <w:color w:val="auto"/>
        </w:rPr>
      </w:pPr>
      <w:r>
        <w:rPr>
          <w:rStyle w:val="58"/>
          <w:rFonts w:hint="eastAsia"/>
          <w:b/>
          <w:bCs/>
          <w:color w:val="auto"/>
          <w:sz w:val="24"/>
          <w:szCs w:val="24"/>
        </w:rPr>
        <w:t>2020年季小时均风速的日变化图</w:t>
      </w:r>
    </w:p>
    <w:p>
      <w:pPr>
        <w:numPr>
          <w:ilvl w:val="0"/>
          <w:numId w:val="11"/>
        </w:numPr>
        <w:tabs>
          <w:tab w:val="left" w:pos="3395"/>
          <w:tab w:val="clear" w:pos="0"/>
        </w:tabs>
        <w:ind w:left="0" w:leftChars="0" w:firstLine="0" w:firstLineChars="0"/>
        <w:jc w:val="center"/>
        <w:rPr>
          <w:b/>
          <w:bCs/>
          <w:color w:val="auto"/>
        </w:rPr>
      </w:pPr>
      <w:r>
        <w:rPr>
          <w:rFonts w:hint="eastAsia"/>
          <w:b/>
          <w:bCs/>
          <w:color w:val="auto"/>
        </w:rPr>
        <w:t>2020年</w:t>
      </w:r>
      <w:r>
        <w:rPr>
          <w:b/>
          <w:bCs/>
          <w:color w:val="auto"/>
        </w:rPr>
        <w:t>各风向月</w:t>
      </w:r>
      <w:r>
        <w:rPr>
          <w:rFonts w:hint="eastAsia"/>
          <w:b/>
          <w:bCs/>
          <w:color w:val="auto"/>
        </w:rPr>
        <w:t>、季</w:t>
      </w:r>
      <w:r>
        <w:rPr>
          <w:b/>
          <w:bCs/>
          <w:color w:val="auto"/>
        </w:rPr>
        <w:t>及年平均风速分布统计</w:t>
      </w:r>
      <w:r>
        <w:rPr>
          <w:rFonts w:hint="eastAsia"/>
          <w:b/>
          <w:bCs/>
          <w:color w:val="auto"/>
        </w:rPr>
        <w:t xml:space="preserve">  </w:t>
      </w:r>
      <w:r>
        <w:rPr>
          <w:b/>
          <w:bCs/>
          <w:color w:val="auto"/>
        </w:rPr>
        <w:t>单位：m/s</w:t>
      </w:r>
    </w:p>
    <w:tbl>
      <w:tblPr>
        <w:tblStyle w:val="51"/>
        <w:tblW w:w="5000" w:type="pct"/>
        <w:tblInd w:w="0" w:type="dxa"/>
        <w:tblLayout w:type="autofit"/>
        <w:tblCellMar>
          <w:top w:w="0" w:type="dxa"/>
          <w:left w:w="108" w:type="dxa"/>
          <w:bottom w:w="0" w:type="dxa"/>
          <w:right w:w="108" w:type="dxa"/>
        </w:tblCellMar>
      </w:tblPr>
      <w:tblGrid>
        <w:gridCol w:w="866"/>
        <w:gridCol w:w="799"/>
        <w:gridCol w:w="799"/>
        <w:gridCol w:w="799"/>
        <w:gridCol w:w="799"/>
        <w:gridCol w:w="799"/>
        <w:gridCol w:w="799"/>
        <w:gridCol w:w="799"/>
        <w:gridCol w:w="799"/>
        <w:gridCol w:w="799"/>
        <w:gridCol w:w="799"/>
        <w:gridCol w:w="799"/>
        <w:gridCol w:w="802"/>
        <w:gridCol w:w="802"/>
        <w:gridCol w:w="802"/>
        <w:gridCol w:w="803"/>
        <w:gridCol w:w="803"/>
        <w:gridCol w:w="780"/>
      </w:tblGrid>
      <w:tr>
        <w:tblPrEx>
          <w:tblCellMar>
            <w:top w:w="0" w:type="dxa"/>
            <w:left w:w="108" w:type="dxa"/>
            <w:bottom w:w="0" w:type="dxa"/>
            <w:right w:w="108" w:type="dxa"/>
          </w:tblCellMar>
        </w:tblPrEx>
        <w:trPr>
          <w:trHeight w:val="397" w:hRule="atLeast"/>
        </w:trPr>
        <w:tc>
          <w:tcPr>
            <w:tcW w:w="299" w:type="pct"/>
            <w:tcBorders>
              <w:top w:val="single" w:color="auto" w:sz="4" w:space="0"/>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月份</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N</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NNE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NE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ENE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ESE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SE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SSE</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S</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SSW</w:t>
            </w:r>
          </w:p>
        </w:tc>
        <w:tc>
          <w:tcPr>
            <w:tcW w:w="276"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SW</w:t>
            </w:r>
          </w:p>
        </w:tc>
        <w:tc>
          <w:tcPr>
            <w:tcW w:w="277"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WSW</w:t>
            </w:r>
          </w:p>
        </w:tc>
        <w:tc>
          <w:tcPr>
            <w:tcW w:w="277"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W</w:t>
            </w:r>
          </w:p>
        </w:tc>
        <w:tc>
          <w:tcPr>
            <w:tcW w:w="277"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WNW</w:t>
            </w:r>
          </w:p>
        </w:tc>
        <w:tc>
          <w:tcPr>
            <w:tcW w:w="277"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NW</w:t>
            </w:r>
          </w:p>
        </w:tc>
        <w:tc>
          <w:tcPr>
            <w:tcW w:w="277"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NNW</w:t>
            </w:r>
          </w:p>
        </w:tc>
        <w:tc>
          <w:tcPr>
            <w:tcW w:w="269" w:type="pct"/>
            <w:tcBorders>
              <w:top w:val="single" w:color="auto" w:sz="4" w:space="0"/>
              <w:left w:val="nil"/>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平均</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一月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3.04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3.69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3.22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0.58</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2.07</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二月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0.57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2.83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3.05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3.54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2.72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0.56</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2.12</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三月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3.21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3.94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4.04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0.69</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2.89</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四月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1.64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1.83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2.38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4.21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3.07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1.08</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2.61</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五月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1.85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2.49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3.76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2.72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1.02</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2.56</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六月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2.17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2.33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3.43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3.82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3.34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2.7</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七月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1.86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2.97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1.38</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1.99</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八月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0.96</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1.65</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九月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2.18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2.46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0.68</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1.6</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十月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1.87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2.75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0.46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0.93</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1.66</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十一月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0.52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1.15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1.93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2.67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2.78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1.02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0.55</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1.72</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十二月</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0.57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1.45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0.96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1.22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2.03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3.01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3.93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1.55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0.85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0.78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0.64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0.53</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1"/>
                <w:szCs w:val="21"/>
              </w:rPr>
            </w:pPr>
            <w:r>
              <w:rPr>
                <w:rFonts w:hint="eastAsia"/>
                <w:color w:val="auto"/>
              </w:rPr>
              <w:t>2.15</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春季</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0.86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1.19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1.19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1.35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0.98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1.26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1.67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2.33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2.77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3.74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2.99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0.92</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2.69</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夏季</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1.13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1.22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1.31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1.25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1.71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1.84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2.16</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3.08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2.42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1.38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1.19</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2.11</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秋季</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0.68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0.79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1.34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1.37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1.21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1.41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1.77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2.27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2.65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2.43</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1.46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0.97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0.74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0.72</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1.66</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冬季</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0.65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0.85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0.92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1.05</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1.34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1.94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2.69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3.03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3.71</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2.78</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1.22</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0.87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0.64</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0.56</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2.11</w:t>
            </w:r>
          </w:p>
        </w:tc>
      </w:tr>
      <w:tr>
        <w:tblPrEx>
          <w:tblCellMar>
            <w:top w:w="0" w:type="dxa"/>
            <w:left w:w="108" w:type="dxa"/>
            <w:bottom w:w="0" w:type="dxa"/>
            <w:right w:w="108" w:type="dxa"/>
          </w:tblCellMar>
        </w:tblPrEx>
        <w:trPr>
          <w:trHeight w:val="397" w:hRule="atLeast"/>
        </w:trPr>
        <w:tc>
          <w:tcPr>
            <w:tcW w:w="299" w:type="pct"/>
            <w:tcBorders>
              <w:top w:val="nil"/>
              <w:left w:val="single" w:color="auto" w:sz="4" w:space="0"/>
              <w:bottom w:val="single" w:color="auto" w:sz="4" w:space="0"/>
              <w:right w:val="single" w:color="auto" w:sz="4" w:space="0"/>
            </w:tcBorders>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rPr>
            </w:pPr>
            <w:r>
              <w:rPr>
                <w:rFonts w:hint="eastAsia"/>
                <w:color w:val="auto"/>
              </w:rPr>
              <w:t>全年</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0.79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0.97</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1.21</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1.28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1.22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1.09</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1.48</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1.82</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2.34</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2.73</w:t>
            </w:r>
          </w:p>
        </w:tc>
        <w:tc>
          <w:tcPr>
            <w:tcW w:w="276"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3.46</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3.37</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2.05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1.09</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0.85</w:t>
            </w:r>
          </w:p>
        </w:tc>
        <w:tc>
          <w:tcPr>
            <w:tcW w:w="277"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0.8</w:t>
            </w:r>
          </w:p>
        </w:tc>
        <w:tc>
          <w:tcPr>
            <w:tcW w:w="2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auto"/>
                <w:kern w:val="2"/>
                <w:sz w:val="21"/>
                <w:szCs w:val="21"/>
                <w:lang w:val="en-US" w:eastAsia="zh-CN" w:bidi="ar-SA"/>
              </w:rPr>
            </w:pPr>
            <w:r>
              <w:rPr>
                <w:rFonts w:hint="eastAsia"/>
                <w:color w:val="auto"/>
              </w:rPr>
              <w:t>2.14</w:t>
            </w:r>
          </w:p>
        </w:tc>
      </w:tr>
    </w:tbl>
    <w:p>
      <w:pPr>
        <w:pStyle w:val="210"/>
        <w:keepNext w:val="0"/>
        <w:keepLines w:val="0"/>
        <w:pageBreakBefore w:val="0"/>
        <w:widowControl w:val="0"/>
        <w:numPr>
          <w:ilvl w:val="0"/>
          <w:numId w:val="0"/>
        </w:numPr>
        <w:tabs>
          <w:tab w:val="center" w:pos="1701"/>
          <w:tab w:val="clear" w:pos="4678"/>
        </w:tabs>
        <w:kinsoku/>
        <w:wordWrap/>
        <w:overflowPunct/>
        <w:topLinePunct w:val="0"/>
        <w:autoSpaceDE/>
        <w:autoSpaceDN/>
        <w:bidi w:val="0"/>
        <w:adjustRightInd/>
        <w:snapToGrid/>
        <w:spacing w:line="360" w:lineRule="auto"/>
        <w:jc w:val="center"/>
        <w:textAlignment w:val="auto"/>
        <w:outlineLvl w:val="9"/>
        <w:rPr>
          <w:rStyle w:val="58"/>
          <w:rFonts w:hint="eastAsia"/>
          <w:color w:val="auto"/>
          <w:sz w:val="24"/>
          <w:szCs w:val="24"/>
        </w:rPr>
      </w:pPr>
    </w:p>
    <w:p>
      <w:pPr>
        <w:pStyle w:val="210"/>
        <w:keepNext w:val="0"/>
        <w:keepLines w:val="0"/>
        <w:pageBreakBefore w:val="0"/>
        <w:widowControl w:val="0"/>
        <w:numPr>
          <w:ilvl w:val="0"/>
          <w:numId w:val="0"/>
        </w:numPr>
        <w:tabs>
          <w:tab w:val="center" w:pos="1701"/>
          <w:tab w:val="clear" w:pos="4678"/>
        </w:tabs>
        <w:kinsoku/>
        <w:wordWrap/>
        <w:overflowPunct/>
        <w:topLinePunct w:val="0"/>
        <w:autoSpaceDE/>
        <w:autoSpaceDN/>
        <w:bidi w:val="0"/>
        <w:adjustRightInd/>
        <w:snapToGrid/>
        <w:spacing w:line="360" w:lineRule="auto"/>
        <w:jc w:val="center"/>
        <w:textAlignment w:val="auto"/>
        <w:outlineLvl w:val="9"/>
        <w:rPr>
          <w:rStyle w:val="58"/>
          <w:rFonts w:hint="eastAsia"/>
          <w:color w:val="auto"/>
          <w:sz w:val="24"/>
          <w:szCs w:val="24"/>
        </w:rPr>
        <w:sectPr>
          <w:pgSz w:w="16783" w:h="11850" w:orient="landscape"/>
          <w:pgMar w:top="1417" w:right="1418" w:bottom="1134" w:left="1134" w:header="851" w:footer="992" w:gutter="0"/>
          <w:cols w:space="0" w:num="1"/>
          <w:rtlGutter w:val="0"/>
          <w:docGrid w:type="lines" w:linePitch="33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bCs/>
          <w:color w:val="auto"/>
        </w:rPr>
      </w:pPr>
      <w:r>
        <w:rPr>
          <w:b/>
          <w:bCs/>
          <w:color w:val="auto"/>
        </w:rPr>
        <w:drawing>
          <wp:inline distT="0" distB="0" distL="114300" distR="114300">
            <wp:extent cx="5871210" cy="3317875"/>
            <wp:effectExtent l="0" t="0" r="15240" b="1587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56"/>
                    <a:stretch>
                      <a:fillRect/>
                    </a:stretch>
                  </pic:blipFill>
                  <pic:spPr>
                    <a:xfrm>
                      <a:off x="0" y="0"/>
                      <a:ext cx="5871210" cy="3317875"/>
                    </a:xfrm>
                    <a:prstGeom prst="rect">
                      <a:avLst/>
                    </a:prstGeom>
                    <a:noFill/>
                    <a:ln>
                      <a:noFill/>
                    </a:ln>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rStyle w:val="58"/>
          <w:b/>
          <w:bCs/>
          <w:color w:val="auto"/>
          <w:sz w:val="24"/>
          <w:szCs w:val="24"/>
        </w:rPr>
      </w:pPr>
      <w:r>
        <w:rPr>
          <w:rStyle w:val="58"/>
          <w:rFonts w:hint="eastAsia"/>
          <w:b/>
          <w:bCs/>
          <w:color w:val="auto"/>
          <w:sz w:val="24"/>
          <w:szCs w:val="24"/>
        </w:rPr>
        <w:t>2020年均风速的月变化图</w:t>
      </w:r>
    </w:p>
    <w:p>
      <w:pPr>
        <w:pStyle w:val="152"/>
        <w:keepNext w:val="0"/>
        <w:keepLines w:val="0"/>
        <w:pageBreakBefore w:val="0"/>
        <w:widowControl w:val="0"/>
        <w:kinsoku/>
        <w:wordWrap/>
        <w:overflowPunct/>
        <w:topLinePunct w:val="0"/>
        <w:autoSpaceDE/>
        <w:autoSpaceDN/>
        <w:bidi w:val="0"/>
        <w:adjustRightInd/>
        <w:snapToGrid/>
        <w:spacing w:line="360" w:lineRule="auto"/>
        <w:ind w:left="0" w:firstLine="480"/>
        <w:textAlignment w:val="auto"/>
        <w:rPr>
          <w:color w:val="auto"/>
        </w:rPr>
      </w:pPr>
      <w:r>
        <w:rPr>
          <w:rFonts w:hint="eastAsia"/>
          <w:color w:val="auto"/>
        </w:rPr>
        <w:t>（3）气温</w:t>
      </w:r>
    </w:p>
    <w:p>
      <w:pPr>
        <w:pStyle w:val="152"/>
        <w:keepNext w:val="0"/>
        <w:keepLines w:val="0"/>
        <w:pageBreakBefore w:val="0"/>
        <w:widowControl w:val="0"/>
        <w:kinsoku/>
        <w:wordWrap/>
        <w:overflowPunct/>
        <w:topLinePunct w:val="0"/>
        <w:autoSpaceDE/>
        <w:autoSpaceDN/>
        <w:bidi w:val="0"/>
        <w:adjustRightInd/>
        <w:snapToGrid/>
        <w:spacing w:line="360" w:lineRule="auto"/>
        <w:ind w:left="0" w:firstLine="480"/>
        <w:jc w:val="left"/>
        <w:textAlignment w:val="auto"/>
        <w:rPr>
          <w:color w:val="auto"/>
        </w:rPr>
      </w:pPr>
      <w:r>
        <w:rPr>
          <w:color w:val="auto"/>
        </w:rPr>
        <w:t>从年平均气温月变化资料中可以看出</w:t>
      </w:r>
      <w:r>
        <w:rPr>
          <w:rFonts w:hint="eastAsia"/>
          <w:color w:val="auto"/>
        </w:rPr>
        <w:t>楚雄市6</w:t>
      </w:r>
      <w:r>
        <w:rPr>
          <w:color w:val="auto"/>
        </w:rPr>
        <w:t>月份平均气温最高（</w:t>
      </w:r>
      <w:r>
        <w:rPr>
          <w:rFonts w:hint="eastAsia"/>
          <w:color w:val="auto"/>
        </w:rPr>
        <w:t>24.07</w:t>
      </w:r>
      <w:r>
        <w:rPr>
          <w:color w:val="auto"/>
        </w:rPr>
        <w:t>ºC），</w:t>
      </w:r>
      <w:r>
        <w:rPr>
          <w:rFonts w:hint="eastAsia"/>
          <w:color w:val="auto"/>
        </w:rPr>
        <w:t>1</w:t>
      </w:r>
      <w:r>
        <w:rPr>
          <w:color w:val="auto"/>
        </w:rPr>
        <w:t>月份气温平均最低（</w:t>
      </w:r>
      <w:r>
        <w:rPr>
          <w:rFonts w:hint="eastAsia"/>
          <w:color w:val="auto"/>
        </w:rPr>
        <w:t>10.89</w:t>
      </w:r>
      <w:r>
        <w:rPr>
          <w:color w:val="auto"/>
        </w:rPr>
        <w:t>ºC）。</w:t>
      </w:r>
    </w:p>
    <w:p>
      <w:pPr>
        <w:numPr>
          <w:ilvl w:val="0"/>
          <w:numId w:val="11"/>
        </w:numPr>
        <w:tabs>
          <w:tab w:val="left" w:pos="3395"/>
          <w:tab w:val="clear" w:pos="0"/>
        </w:tabs>
        <w:ind w:left="0" w:leftChars="0" w:firstLine="0" w:firstLineChars="0"/>
        <w:jc w:val="center"/>
        <w:rPr>
          <w:b/>
          <w:bCs/>
          <w:color w:val="auto"/>
        </w:rPr>
      </w:pPr>
      <w:r>
        <w:rPr>
          <w:rFonts w:hint="eastAsia"/>
          <w:b/>
          <w:bCs/>
          <w:color w:val="auto"/>
        </w:rPr>
        <w:t>楚雄市</w:t>
      </w:r>
      <w:r>
        <w:rPr>
          <w:b/>
          <w:bCs/>
          <w:color w:val="auto"/>
        </w:rPr>
        <w:t>年平均气温</w:t>
      </w:r>
      <w:r>
        <w:rPr>
          <w:rFonts w:hint="eastAsia"/>
          <w:b/>
          <w:bCs/>
          <w:color w:val="auto"/>
        </w:rPr>
        <w:t>月变化统计表</w:t>
      </w:r>
    </w:p>
    <w:tbl>
      <w:tblPr>
        <w:tblStyle w:val="51"/>
        <w:tblW w:w="53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769"/>
        <w:gridCol w:w="769"/>
        <w:gridCol w:w="769"/>
        <w:gridCol w:w="769"/>
        <w:gridCol w:w="769"/>
        <w:gridCol w:w="769"/>
        <w:gridCol w:w="769"/>
        <w:gridCol w:w="769"/>
        <w:gridCol w:w="769"/>
        <w:gridCol w:w="769"/>
        <w:gridCol w:w="770"/>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月份</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1月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2月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3月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4月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5月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6月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7月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8月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9月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10月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11月</w:t>
            </w:r>
          </w:p>
        </w:tc>
        <w:tc>
          <w:tcPr>
            <w:tcW w:w="378"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noWrap/>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温度</w:t>
            </w:r>
            <w:r>
              <w:rPr>
                <w:rFonts w:hint="eastAsia" w:ascii="宋体" w:hAnsi="宋体"/>
                <w:color w:val="auto"/>
                <w:szCs w:val="21"/>
              </w:rPr>
              <w:t>℃</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10.89</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12.43</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17.73</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17.89</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21.92</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24.07</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21.83</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21.68</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20.71</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17.67</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14.64</w:t>
            </w:r>
          </w:p>
        </w:tc>
        <w:tc>
          <w:tcPr>
            <w:tcW w:w="378" w:type="pct"/>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11.77</w:t>
            </w:r>
          </w:p>
        </w:tc>
      </w:tr>
    </w:tbl>
    <w:p>
      <w:pPr>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rPr>
      </w:pPr>
      <w:r>
        <w:rPr>
          <w:b/>
          <w:bCs/>
          <w:color w:val="auto"/>
        </w:rPr>
        <w:drawing>
          <wp:inline distT="0" distB="0" distL="114300" distR="114300">
            <wp:extent cx="5923915" cy="3281045"/>
            <wp:effectExtent l="0" t="0" r="635" b="1460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57"/>
                    <a:stretch>
                      <a:fillRect/>
                    </a:stretch>
                  </pic:blipFill>
                  <pic:spPr>
                    <a:xfrm>
                      <a:off x="0" y="0"/>
                      <a:ext cx="5923915" cy="3281045"/>
                    </a:xfrm>
                    <a:prstGeom prst="rect">
                      <a:avLst/>
                    </a:prstGeom>
                    <a:noFill/>
                    <a:ln>
                      <a:noFill/>
                    </a:ln>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rStyle w:val="58"/>
          <w:rFonts w:hint="eastAsia"/>
          <w:b/>
          <w:bCs/>
          <w:color w:val="auto"/>
          <w:sz w:val="24"/>
          <w:szCs w:val="24"/>
        </w:rPr>
      </w:pPr>
      <w:r>
        <w:rPr>
          <w:rStyle w:val="58"/>
          <w:rFonts w:hint="eastAsia"/>
          <w:b/>
          <w:bCs/>
          <w:color w:val="auto"/>
          <w:sz w:val="24"/>
          <w:szCs w:val="24"/>
        </w:rPr>
        <w:t>2020年均温度的月变化图</w:t>
      </w:r>
    </w:p>
    <w:p>
      <w:pPr>
        <w:pStyle w:val="8"/>
        <w:spacing w:before="0" w:after="0" w:line="377" w:lineRule="auto"/>
        <w:ind w:firstLine="0" w:firstLineChars="0"/>
        <w:rPr>
          <w:rFonts w:hint="eastAsia" w:ascii="Times New Roman" w:hAnsi="Times New Roman" w:eastAsia="宋体"/>
          <w:color w:val="auto"/>
          <w:kern w:val="21"/>
          <w:sz w:val="24"/>
          <w:szCs w:val="24"/>
          <w:lang w:val="en-US" w:eastAsia="zh-CN"/>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3</w:t>
      </w:r>
      <w:r>
        <w:rPr>
          <w:rFonts w:ascii="Times New Roman" w:hAnsi="Times New Roman" w:eastAsia="宋体"/>
          <w:color w:val="auto"/>
          <w:kern w:val="21"/>
          <w:sz w:val="24"/>
          <w:szCs w:val="24"/>
        </w:rPr>
        <w:t>.2</w:t>
      </w:r>
      <w:r>
        <w:rPr>
          <w:rFonts w:hint="eastAsia" w:ascii="Times New Roman" w:hAnsi="Times New Roman" w:eastAsia="宋体"/>
          <w:color w:val="auto"/>
          <w:kern w:val="21"/>
          <w:sz w:val="24"/>
          <w:szCs w:val="24"/>
          <w:lang w:eastAsia="zh-CN"/>
        </w:rPr>
        <w:t>预测模型及评价内容</w:t>
      </w:r>
    </w:p>
    <w:p>
      <w:pPr>
        <w:spacing w:line="360" w:lineRule="auto"/>
        <w:ind w:firstLine="480" w:firstLineChars="200"/>
        <w:rPr>
          <w:color w:val="auto"/>
        </w:rPr>
      </w:pPr>
      <w:r>
        <w:rPr>
          <w:rFonts w:hint="eastAsia"/>
          <w:color w:val="auto"/>
        </w:rPr>
        <w:t>1、预测模型</w:t>
      </w:r>
    </w:p>
    <w:p>
      <w:pPr>
        <w:spacing w:line="360" w:lineRule="auto"/>
        <w:ind w:firstLine="480" w:firstLineChars="200"/>
        <w:rPr>
          <w:color w:val="auto"/>
        </w:rPr>
      </w:pPr>
      <w:r>
        <w:rPr>
          <w:rFonts w:hint="eastAsia"/>
          <w:color w:val="auto"/>
        </w:rPr>
        <w:t>本项目主要污染源为点源、面源，均为连续排放源，根据《环境影响评价技术导则》（HJ2.2-2018）推荐的估算模式AERSCREEN估算结果可知，本项目评价范围为边长5km，属局地尺度（≤50km）。</w:t>
      </w:r>
    </w:p>
    <w:p>
      <w:pPr>
        <w:spacing w:line="360" w:lineRule="auto"/>
        <w:ind w:firstLine="480" w:firstLineChars="200"/>
        <w:rPr>
          <w:color w:val="auto"/>
        </w:rPr>
      </w:pPr>
      <w:r>
        <w:rPr>
          <w:rFonts w:hint="eastAsia"/>
          <w:color w:val="auto"/>
        </w:rPr>
        <w:t>据楚雄市象站2001～2020年累计气象观测资料，多年静风频率为</w:t>
      </w:r>
      <w:r>
        <w:rPr>
          <w:rFonts w:hint="eastAsia"/>
          <w:color w:val="auto"/>
          <w:lang w:val="en-US" w:eastAsia="zh-CN"/>
        </w:rPr>
        <w:t>14.21</w:t>
      </w:r>
      <w:r>
        <w:rPr>
          <w:rFonts w:hint="eastAsia"/>
          <w:color w:val="auto"/>
        </w:rPr>
        <w:t>%＜35%，评价基准年（2020年）风速≤0.</w:t>
      </w:r>
      <w:r>
        <w:rPr>
          <w:rFonts w:hint="eastAsia"/>
          <w:color w:val="auto"/>
          <w:lang w:val="en-US" w:eastAsia="zh-CN"/>
        </w:rPr>
        <w:t>5</w:t>
      </w:r>
      <w:r>
        <w:rPr>
          <w:rFonts w:hint="eastAsia"/>
          <w:color w:val="auto"/>
        </w:rPr>
        <w:t>m/s的最大持续小时为9h（始于2020年10月26日09:00），持续时间低于72h。根据《环境影响评价技术导则》（HJ2.2-2018）表A.1推荐模型实用情况表，本项目进一步预测选取模型为AERMOD。</w:t>
      </w:r>
    </w:p>
    <w:p>
      <w:pPr>
        <w:spacing w:line="360" w:lineRule="auto"/>
        <w:ind w:firstLine="480" w:firstLineChars="200"/>
        <w:rPr>
          <w:color w:val="auto"/>
        </w:rPr>
      </w:pPr>
      <w:r>
        <w:rPr>
          <w:rFonts w:hint="eastAsia"/>
          <w:color w:val="auto"/>
        </w:rPr>
        <w:t>预测软件为由石家庄环安科技有限公司提供的AermodSystem4.</w:t>
      </w:r>
      <w:r>
        <w:rPr>
          <w:rFonts w:hint="eastAsia"/>
          <w:color w:val="auto"/>
          <w:lang w:val="en-US" w:eastAsia="zh-CN"/>
        </w:rPr>
        <w:t>6</w:t>
      </w:r>
      <w:r>
        <w:rPr>
          <w:rFonts w:hint="eastAsia"/>
          <w:color w:val="auto"/>
        </w:rPr>
        <w:t>，功能全面深入、符合新导则要求，预测评价基准年为2020年。</w:t>
      </w:r>
    </w:p>
    <w:p>
      <w:pPr>
        <w:spacing w:line="360" w:lineRule="auto"/>
        <w:ind w:firstLine="480" w:firstLineChars="200"/>
        <w:rPr>
          <w:b/>
          <w:bCs/>
          <w:color w:val="auto"/>
        </w:rPr>
      </w:pPr>
      <w:r>
        <w:rPr>
          <w:rFonts w:hint="eastAsia"/>
          <w:color w:val="auto"/>
        </w:rPr>
        <w:t>2、地形数据</w:t>
      </w:r>
    </w:p>
    <w:p>
      <w:pPr>
        <w:spacing w:line="360" w:lineRule="auto"/>
        <w:ind w:firstLine="480" w:firstLineChars="200"/>
        <w:rPr>
          <w:rFonts w:hint="eastAsia"/>
          <w:color w:val="auto"/>
        </w:rPr>
      </w:pPr>
      <w:r>
        <w:rPr>
          <w:rFonts w:hint="eastAsia"/>
          <w:color w:val="auto"/>
        </w:rPr>
        <w:t>该项目所在区域地形数据由AermodSystem4.</w:t>
      </w:r>
      <w:r>
        <w:rPr>
          <w:rFonts w:hint="eastAsia"/>
          <w:color w:val="auto"/>
          <w:lang w:val="en-US" w:eastAsia="zh-CN"/>
        </w:rPr>
        <w:t>6</w:t>
      </w:r>
      <w:r>
        <w:rPr>
          <w:rFonts w:hint="eastAsia"/>
          <w:color w:val="auto"/>
        </w:rPr>
        <w:t>系统自动导入。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rPr>
      </w:pPr>
      <w:r>
        <w:rPr>
          <w:color w:val="auto"/>
        </w:rPr>
        <w:drawing>
          <wp:inline distT="0" distB="0" distL="114300" distR="114300">
            <wp:extent cx="5166995" cy="4723765"/>
            <wp:effectExtent l="0" t="0" r="14605" b="63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58"/>
                    <a:stretch>
                      <a:fillRect/>
                    </a:stretch>
                  </pic:blipFill>
                  <pic:spPr>
                    <a:xfrm>
                      <a:off x="0" y="0"/>
                      <a:ext cx="5166995" cy="4723765"/>
                    </a:xfrm>
                    <a:prstGeom prst="rect">
                      <a:avLst/>
                    </a:prstGeom>
                    <a:noFill/>
                    <a:ln>
                      <a:noFill/>
                    </a:ln>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rStyle w:val="58"/>
          <w:b/>
          <w:bCs/>
          <w:color w:val="auto"/>
          <w:sz w:val="24"/>
          <w:szCs w:val="24"/>
        </w:rPr>
      </w:pPr>
      <w:r>
        <w:rPr>
          <w:rStyle w:val="58"/>
          <w:rFonts w:hint="eastAsia"/>
          <w:b/>
          <w:bCs/>
          <w:color w:val="auto"/>
          <w:sz w:val="24"/>
          <w:szCs w:val="24"/>
        </w:rPr>
        <w:t>项目区地形示意图</w:t>
      </w:r>
    </w:p>
    <w:p>
      <w:pPr>
        <w:spacing w:line="360" w:lineRule="auto"/>
        <w:ind w:firstLine="480" w:firstLineChars="200"/>
        <w:rPr>
          <w:b/>
          <w:bCs/>
          <w:color w:val="auto"/>
        </w:rPr>
      </w:pPr>
      <w:r>
        <w:rPr>
          <w:rFonts w:hint="eastAsia"/>
          <w:color w:val="auto"/>
        </w:rPr>
        <w:t>3、地面特征参数</w:t>
      </w:r>
    </w:p>
    <w:p>
      <w:pPr>
        <w:spacing w:line="360" w:lineRule="auto"/>
        <w:ind w:firstLine="482"/>
        <w:rPr>
          <w:color w:val="auto"/>
        </w:rPr>
      </w:pPr>
      <w:r>
        <w:rPr>
          <w:color w:val="auto"/>
        </w:rPr>
        <w:t>根据项目周边土地利用特征，本次评价范围划分为</w:t>
      </w:r>
      <w:r>
        <w:rPr>
          <w:rFonts w:hint="eastAsia"/>
          <w:color w:val="auto"/>
          <w:lang w:val="en-US" w:eastAsia="zh-CN"/>
        </w:rPr>
        <w:t>2</w:t>
      </w:r>
      <w:r>
        <w:rPr>
          <w:color w:val="auto"/>
        </w:rPr>
        <w:t>个分区</w:t>
      </w:r>
      <w:r>
        <w:rPr>
          <w:rFonts w:hint="eastAsia"/>
          <w:color w:val="auto"/>
        </w:rPr>
        <w:t>，</w:t>
      </w:r>
      <w:r>
        <w:rPr>
          <w:color w:val="auto"/>
        </w:rPr>
        <w:t>各分区地表参数设置见</w:t>
      </w:r>
      <w:r>
        <w:rPr>
          <w:rFonts w:hint="eastAsia"/>
          <w:color w:val="auto"/>
        </w:rPr>
        <w:t>下</w:t>
      </w:r>
      <w:r>
        <w:rPr>
          <w:color w:val="auto"/>
        </w:rPr>
        <w:t>表</w:t>
      </w:r>
      <w:r>
        <w:rPr>
          <w:rFonts w:hint="eastAsia"/>
          <w:color w:val="auto"/>
        </w:rPr>
        <w:t>。</w:t>
      </w:r>
    </w:p>
    <w:p>
      <w:pPr>
        <w:numPr>
          <w:ilvl w:val="0"/>
          <w:numId w:val="11"/>
        </w:numPr>
        <w:tabs>
          <w:tab w:val="left" w:pos="3395"/>
          <w:tab w:val="clear" w:pos="0"/>
        </w:tabs>
        <w:ind w:left="0" w:leftChars="0" w:firstLine="0" w:firstLineChars="0"/>
        <w:jc w:val="center"/>
        <w:rPr>
          <w:b/>
          <w:bCs/>
          <w:color w:val="auto"/>
        </w:rPr>
      </w:pPr>
      <w:r>
        <w:rPr>
          <w:rFonts w:hint="eastAsia"/>
          <w:b/>
          <w:bCs/>
          <w:color w:val="auto"/>
        </w:rPr>
        <w:t>地表参数设置情况</w:t>
      </w:r>
    </w:p>
    <w:tbl>
      <w:tblPr>
        <w:tblStyle w:val="51"/>
        <w:tblW w:w="43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1146"/>
        <w:gridCol w:w="1521"/>
        <w:gridCol w:w="1521"/>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开始角度</w:t>
            </w:r>
          </w:p>
        </w:tc>
        <w:tc>
          <w:tcPr>
            <w:tcW w:w="68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频率</w:t>
            </w:r>
          </w:p>
        </w:tc>
        <w:tc>
          <w:tcPr>
            <w:tcW w:w="90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反照率</w:t>
            </w:r>
          </w:p>
        </w:tc>
        <w:tc>
          <w:tcPr>
            <w:tcW w:w="90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波文比</w:t>
            </w:r>
          </w:p>
        </w:tc>
        <w:tc>
          <w:tcPr>
            <w:tcW w:w="136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地表粗糙度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6" w:type="pct"/>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0</w:t>
            </w:r>
          </w:p>
        </w:tc>
        <w:tc>
          <w:tcPr>
            <w:tcW w:w="684"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冬季</w:t>
            </w:r>
          </w:p>
        </w:tc>
        <w:tc>
          <w:tcPr>
            <w:tcW w:w="15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0.35</w:t>
            </w:r>
          </w:p>
        </w:tc>
        <w:tc>
          <w:tcPr>
            <w:tcW w:w="15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1.5</w:t>
            </w:r>
          </w:p>
        </w:tc>
        <w:tc>
          <w:tcPr>
            <w:tcW w:w="227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color w:val="auto"/>
                <w:sz w:val="21"/>
                <w:szCs w:val="21"/>
              </w:rPr>
              <w:t>1</w:t>
            </w:r>
            <w:r>
              <w:rPr>
                <w:rFonts w:hint="eastAsia"/>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6" w:type="pct"/>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684"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春季</w:t>
            </w:r>
          </w:p>
        </w:tc>
        <w:tc>
          <w:tcPr>
            <w:tcW w:w="15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0.12</w:t>
            </w:r>
          </w:p>
        </w:tc>
        <w:tc>
          <w:tcPr>
            <w:tcW w:w="15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0.7</w:t>
            </w:r>
          </w:p>
        </w:tc>
        <w:tc>
          <w:tcPr>
            <w:tcW w:w="227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1</w:t>
            </w:r>
            <w:r>
              <w:rPr>
                <w:rFonts w:hint="eastAsia"/>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6" w:type="pct"/>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684"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夏季</w:t>
            </w:r>
          </w:p>
        </w:tc>
        <w:tc>
          <w:tcPr>
            <w:tcW w:w="15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color w:val="auto"/>
                <w:sz w:val="21"/>
                <w:szCs w:val="21"/>
              </w:rPr>
              <w:t>0.1</w:t>
            </w:r>
            <w:r>
              <w:rPr>
                <w:rFonts w:hint="eastAsia"/>
                <w:color w:val="auto"/>
                <w:sz w:val="21"/>
                <w:szCs w:val="21"/>
                <w:lang w:val="en-US" w:eastAsia="zh-CN"/>
              </w:rPr>
              <w:t>2</w:t>
            </w:r>
          </w:p>
        </w:tc>
        <w:tc>
          <w:tcPr>
            <w:tcW w:w="15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0.3</w:t>
            </w:r>
          </w:p>
        </w:tc>
        <w:tc>
          <w:tcPr>
            <w:tcW w:w="227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1</w:t>
            </w:r>
            <w:r>
              <w:rPr>
                <w:rFonts w:hint="eastAsia"/>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6" w:type="pct"/>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684"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秋季</w:t>
            </w:r>
          </w:p>
        </w:tc>
        <w:tc>
          <w:tcPr>
            <w:tcW w:w="15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color w:val="auto"/>
                <w:sz w:val="21"/>
                <w:szCs w:val="21"/>
              </w:rPr>
              <w:t>0.1</w:t>
            </w:r>
            <w:r>
              <w:rPr>
                <w:rFonts w:hint="eastAsia"/>
                <w:color w:val="auto"/>
                <w:sz w:val="21"/>
                <w:szCs w:val="21"/>
                <w:lang w:val="en-US" w:eastAsia="zh-CN"/>
              </w:rPr>
              <w:t>2</w:t>
            </w:r>
          </w:p>
        </w:tc>
        <w:tc>
          <w:tcPr>
            <w:tcW w:w="1521"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0.8</w:t>
            </w:r>
          </w:p>
        </w:tc>
        <w:tc>
          <w:tcPr>
            <w:tcW w:w="227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1</w:t>
            </w:r>
            <w:r>
              <w:rPr>
                <w:rFonts w:hint="eastAsia"/>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6" w:type="pct"/>
            <w:vMerge w:val="restar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180</w:t>
            </w:r>
          </w:p>
        </w:tc>
        <w:tc>
          <w:tcPr>
            <w:tcW w:w="684"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冬季</w:t>
            </w:r>
          </w:p>
        </w:tc>
        <w:tc>
          <w:tcPr>
            <w:tcW w:w="908"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0.35</w:t>
            </w:r>
          </w:p>
        </w:tc>
        <w:tc>
          <w:tcPr>
            <w:tcW w:w="908"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1.5</w:t>
            </w:r>
          </w:p>
        </w:tc>
        <w:tc>
          <w:tcPr>
            <w:tcW w:w="1361"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6" w:type="pct"/>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684"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春季</w:t>
            </w:r>
          </w:p>
        </w:tc>
        <w:tc>
          <w:tcPr>
            <w:tcW w:w="908"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0.14</w:t>
            </w:r>
          </w:p>
        </w:tc>
        <w:tc>
          <w:tcPr>
            <w:tcW w:w="908"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1</w:t>
            </w:r>
          </w:p>
        </w:tc>
        <w:tc>
          <w:tcPr>
            <w:tcW w:w="1361"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6" w:type="pct"/>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684"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夏季</w:t>
            </w:r>
          </w:p>
        </w:tc>
        <w:tc>
          <w:tcPr>
            <w:tcW w:w="908"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0.16</w:t>
            </w:r>
          </w:p>
        </w:tc>
        <w:tc>
          <w:tcPr>
            <w:tcW w:w="908"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2</w:t>
            </w:r>
          </w:p>
        </w:tc>
        <w:tc>
          <w:tcPr>
            <w:tcW w:w="1361"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6" w:type="pct"/>
            <w:vMerge w:val="continue"/>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684"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秋季</w:t>
            </w:r>
          </w:p>
        </w:tc>
        <w:tc>
          <w:tcPr>
            <w:tcW w:w="908"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0.18</w:t>
            </w:r>
          </w:p>
        </w:tc>
        <w:tc>
          <w:tcPr>
            <w:tcW w:w="908"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2</w:t>
            </w:r>
          </w:p>
        </w:tc>
        <w:tc>
          <w:tcPr>
            <w:tcW w:w="1361" w:type="pct"/>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1</w:t>
            </w:r>
          </w:p>
        </w:tc>
      </w:tr>
    </w:tbl>
    <w:p>
      <w:pPr>
        <w:spacing w:beforeLines="50" w:line="360" w:lineRule="auto"/>
        <w:ind w:firstLine="482"/>
        <w:rPr>
          <w:bCs/>
          <w:color w:val="auto"/>
        </w:rPr>
      </w:pPr>
      <w:r>
        <w:rPr>
          <w:rFonts w:hint="eastAsia"/>
          <w:bCs/>
          <w:color w:val="auto"/>
        </w:rPr>
        <w:t>4、预测因子</w:t>
      </w:r>
    </w:p>
    <w:p>
      <w:pPr>
        <w:spacing w:line="360" w:lineRule="auto"/>
        <w:ind w:firstLine="480" w:firstLineChars="200"/>
        <w:rPr>
          <w:color w:val="auto"/>
        </w:rPr>
      </w:pPr>
      <w:r>
        <w:rPr>
          <w:rFonts w:hint="eastAsia"/>
          <w:color w:val="auto"/>
        </w:rPr>
        <w:t>本项目正常排放情况下预测因子为NH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S；非正常排放情况下预测因子为NH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w:t>
      </w:r>
    </w:p>
    <w:p>
      <w:pPr>
        <w:spacing w:line="360" w:lineRule="auto"/>
        <w:ind w:firstLine="480" w:firstLineChars="200"/>
        <w:rPr>
          <w:color w:val="auto"/>
        </w:rPr>
      </w:pPr>
      <w:r>
        <w:rPr>
          <w:rFonts w:hint="eastAsia" w:hAnsi="宋体"/>
          <w:color w:val="auto"/>
        </w:rPr>
        <w:t>5、</w:t>
      </w:r>
      <w:r>
        <w:rPr>
          <w:color w:val="auto"/>
        </w:rPr>
        <w:t>化学转化及重力沉降</w:t>
      </w:r>
    </w:p>
    <w:p>
      <w:pPr>
        <w:spacing w:line="360" w:lineRule="auto"/>
        <w:ind w:firstLine="482"/>
        <w:rPr>
          <w:color w:val="auto"/>
        </w:rPr>
      </w:pPr>
      <w:r>
        <w:rPr>
          <w:rFonts w:hint="eastAsia"/>
          <w:color w:val="auto"/>
          <w:lang w:eastAsia="zh-CN"/>
        </w:rPr>
        <w:t>本项目预测因子不考虑化学转化和重力沉降</w:t>
      </w:r>
      <w:r>
        <w:rPr>
          <w:color w:val="auto"/>
        </w:rPr>
        <w:t>。</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bCs/>
          <w:color w:val="auto"/>
        </w:rPr>
      </w:pPr>
      <w:r>
        <w:rPr>
          <w:rFonts w:hint="eastAsia"/>
          <w:bCs/>
          <w:color w:val="auto"/>
        </w:rPr>
        <w:t>6、预测背景浓度</w:t>
      </w:r>
    </w:p>
    <w:p>
      <w:pPr>
        <w:spacing w:line="360" w:lineRule="auto"/>
        <w:ind w:firstLine="480" w:firstLineChars="200"/>
        <w:rPr>
          <w:rFonts w:hint="eastAsia"/>
          <w:color w:val="auto"/>
        </w:rPr>
      </w:pPr>
      <w:r>
        <w:rPr>
          <w:rFonts w:hint="eastAsia"/>
          <w:color w:val="auto"/>
          <w:lang w:eastAsia="zh-CN"/>
        </w:rPr>
        <w:t>预测因子背景浓度采用本项目</w:t>
      </w:r>
      <w:r>
        <w:rPr>
          <w:rFonts w:hint="eastAsia"/>
          <w:color w:val="auto"/>
        </w:rPr>
        <w:t>环境质量现状采用补充监测数据，项目共设置</w:t>
      </w:r>
      <w:r>
        <w:rPr>
          <w:rFonts w:hint="eastAsia"/>
          <w:color w:val="auto"/>
          <w:lang w:val="en-US" w:eastAsia="zh-CN"/>
        </w:rPr>
        <w:t>3</w:t>
      </w:r>
      <w:r>
        <w:rPr>
          <w:rFonts w:hint="eastAsia"/>
          <w:color w:val="auto"/>
        </w:rPr>
        <w:t>个监测点，以</w:t>
      </w:r>
      <w:r>
        <w:rPr>
          <w:rFonts w:hint="eastAsia"/>
          <w:color w:val="auto"/>
          <w:lang w:val="en-US" w:eastAsia="zh-CN"/>
        </w:rPr>
        <w:t>3</w:t>
      </w:r>
      <w:r>
        <w:rPr>
          <w:rFonts w:hint="eastAsia"/>
          <w:color w:val="auto"/>
        </w:rPr>
        <w:t>个监测点同时段平均值的最大值作为预测背景值。</w:t>
      </w:r>
    </w:p>
    <w:p>
      <w:pPr>
        <w:spacing w:line="360" w:lineRule="auto"/>
        <w:ind w:firstLine="480" w:firstLineChars="200"/>
        <w:rPr>
          <w:color w:val="auto"/>
        </w:rPr>
      </w:pPr>
      <w:r>
        <w:rPr>
          <w:rFonts w:hint="eastAsia"/>
          <w:color w:val="auto"/>
        </w:rPr>
        <w:t>7、预测范围与预测对象</w:t>
      </w:r>
    </w:p>
    <w:p>
      <w:pPr>
        <w:spacing w:line="360" w:lineRule="auto"/>
        <w:ind w:firstLine="480" w:firstLineChars="200"/>
        <w:rPr>
          <w:color w:val="auto"/>
        </w:rPr>
      </w:pPr>
      <w:r>
        <w:rPr>
          <w:rFonts w:hint="eastAsia"/>
          <w:color w:val="auto"/>
        </w:rPr>
        <w:t>本项目网格点采用直角坐标系，网格点间距采用等间距进行设置，网格间距为100m，</w:t>
      </w:r>
      <w:r>
        <w:rPr>
          <w:color w:val="auto"/>
        </w:rPr>
        <w:t>预测主网格布置见</w:t>
      </w:r>
      <w:r>
        <w:rPr>
          <w:rFonts w:hint="eastAsia"/>
          <w:color w:val="auto"/>
        </w:rPr>
        <w:t>下</w:t>
      </w:r>
      <w:r>
        <w:rPr>
          <w:color w:val="auto"/>
        </w:rPr>
        <w:t>表</w:t>
      </w:r>
      <w:r>
        <w:rPr>
          <w:rFonts w:hint="eastAsia"/>
          <w:color w:val="auto"/>
        </w:rPr>
        <w:t>。</w:t>
      </w:r>
    </w:p>
    <w:p>
      <w:pPr>
        <w:numPr>
          <w:ilvl w:val="0"/>
          <w:numId w:val="11"/>
        </w:numPr>
        <w:tabs>
          <w:tab w:val="left" w:pos="3395"/>
          <w:tab w:val="clear" w:pos="0"/>
        </w:tabs>
        <w:ind w:left="0" w:leftChars="0" w:firstLine="0" w:firstLineChars="0"/>
        <w:jc w:val="center"/>
        <w:rPr>
          <w:b/>
          <w:bCs/>
          <w:color w:val="auto"/>
        </w:rPr>
      </w:pPr>
      <w:r>
        <w:rPr>
          <w:b/>
          <w:bCs/>
          <w:color w:val="auto"/>
        </w:rPr>
        <w:t>主</w:t>
      </w:r>
      <w:r>
        <w:rPr>
          <w:rFonts w:hint="eastAsia"/>
          <w:b/>
          <w:bCs/>
          <w:color w:val="auto"/>
        </w:rPr>
        <w:t>网格</w:t>
      </w:r>
      <w:r>
        <w:rPr>
          <w:b/>
          <w:bCs/>
          <w:color w:val="auto"/>
        </w:rPr>
        <w:t>信息</w:t>
      </w:r>
    </w:p>
    <w:tbl>
      <w:tblPr>
        <w:tblStyle w:val="51"/>
        <w:tblW w:w="48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1928"/>
        <w:gridCol w:w="2202"/>
        <w:gridCol w:w="1970"/>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73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主网格名称</w:t>
            </w:r>
          </w:p>
        </w:tc>
        <w:tc>
          <w:tcPr>
            <w:tcW w:w="10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起点坐标</w:t>
            </w:r>
          </w:p>
        </w:tc>
        <w:tc>
          <w:tcPr>
            <w:tcW w:w="120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水平网格点数/步长（m）</w:t>
            </w:r>
          </w:p>
        </w:tc>
        <w:tc>
          <w:tcPr>
            <w:tcW w:w="107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垂向网格点数/步长（m）</w:t>
            </w: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总网格数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3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G</w:t>
            </w:r>
            <w:r>
              <w:rPr>
                <w:rFonts w:hint="eastAsia"/>
                <w:color w:val="auto"/>
                <w:sz w:val="21"/>
                <w:szCs w:val="21"/>
              </w:rPr>
              <w:t>rid1</w:t>
            </w:r>
          </w:p>
        </w:tc>
        <w:tc>
          <w:tcPr>
            <w:tcW w:w="10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w:t>
            </w:r>
            <w:r>
              <w:rPr>
                <w:rFonts w:hint="eastAsia"/>
                <w:color w:val="auto"/>
                <w:sz w:val="21"/>
                <w:szCs w:val="21"/>
                <w:lang w:val="en-US" w:eastAsia="zh-CN"/>
              </w:rPr>
              <w:t>-2455</w:t>
            </w:r>
            <w:r>
              <w:rPr>
                <w:color w:val="auto"/>
                <w:sz w:val="21"/>
                <w:szCs w:val="21"/>
              </w:rPr>
              <w:t>，-</w:t>
            </w:r>
            <w:r>
              <w:rPr>
                <w:rFonts w:hint="eastAsia"/>
                <w:color w:val="auto"/>
                <w:sz w:val="21"/>
                <w:szCs w:val="21"/>
              </w:rPr>
              <w:t>2</w:t>
            </w:r>
            <w:r>
              <w:rPr>
                <w:rFonts w:hint="eastAsia"/>
                <w:color w:val="auto"/>
                <w:sz w:val="21"/>
                <w:szCs w:val="21"/>
                <w:lang w:val="en-US" w:eastAsia="zh-CN"/>
              </w:rPr>
              <w:t>405</w:t>
            </w:r>
            <w:r>
              <w:rPr>
                <w:color w:val="auto"/>
                <w:sz w:val="21"/>
                <w:szCs w:val="21"/>
              </w:rPr>
              <w:t>）</w:t>
            </w:r>
          </w:p>
        </w:tc>
        <w:tc>
          <w:tcPr>
            <w:tcW w:w="120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51</w:t>
            </w:r>
            <w:r>
              <w:rPr>
                <w:color w:val="auto"/>
                <w:sz w:val="21"/>
                <w:szCs w:val="21"/>
              </w:rPr>
              <w:t>/</w:t>
            </w:r>
            <w:r>
              <w:rPr>
                <w:rFonts w:hint="eastAsia"/>
                <w:color w:val="auto"/>
                <w:sz w:val="21"/>
                <w:szCs w:val="21"/>
              </w:rPr>
              <w:t>100</w:t>
            </w:r>
          </w:p>
        </w:tc>
        <w:tc>
          <w:tcPr>
            <w:tcW w:w="107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5</w:t>
            </w:r>
            <w:r>
              <w:rPr>
                <w:rFonts w:hint="eastAsia"/>
                <w:color w:val="auto"/>
                <w:sz w:val="21"/>
                <w:szCs w:val="21"/>
                <w:lang w:val="en-US" w:eastAsia="zh-CN"/>
              </w:rPr>
              <w:t>1</w:t>
            </w:r>
            <w:r>
              <w:rPr>
                <w:color w:val="auto"/>
                <w:sz w:val="21"/>
                <w:szCs w:val="21"/>
              </w:rPr>
              <w:t>/</w:t>
            </w:r>
            <w:r>
              <w:rPr>
                <w:rFonts w:hint="eastAsia"/>
                <w:color w:val="auto"/>
                <w:sz w:val="21"/>
                <w:szCs w:val="21"/>
              </w:rPr>
              <w:t>100</w:t>
            </w: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2601</w:t>
            </w:r>
          </w:p>
        </w:tc>
      </w:tr>
    </w:tbl>
    <w:p>
      <w:pPr>
        <w:spacing w:line="360" w:lineRule="auto"/>
        <w:ind w:firstLine="480" w:firstLineChars="200"/>
        <w:rPr>
          <w:rFonts w:hint="eastAsia"/>
          <w:color w:val="auto"/>
        </w:rPr>
      </w:pPr>
      <w:r>
        <w:rPr>
          <w:rFonts w:hint="eastAsia"/>
          <w:color w:val="auto"/>
        </w:rPr>
        <w:t>预测对象为在预测范围内受体主要包括环境空气保护目标，预测范围内网格点和区域最大落地浓度点三类。环境空气敏感点主要为评价范围内的居民区</w:t>
      </w:r>
      <w:r>
        <w:rPr>
          <w:rFonts w:hint="eastAsia"/>
          <w:color w:val="auto"/>
          <w:lang w:eastAsia="zh-CN"/>
        </w:rPr>
        <w:t>和学校</w:t>
      </w:r>
      <w:r>
        <w:rPr>
          <w:rFonts w:hint="eastAsia"/>
          <w:color w:val="auto"/>
        </w:rPr>
        <w:t>，共计</w:t>
      </w:r>
      <w:r>
        <w:rPr>
          <w:rFonts w:hint="eastAsia"/>
          <w:color w:val="auto"/>
          <w:lang w:val="en-US" w:eastAsia="zh-CN"/>
        </w:rPr>
        <w:t>32</w:t>
      </w:r>
      <w:r>
        <w:rPr>
          <w:rFonts w:hint="eastAsia"/>
          <w:color w:val="auto"/>
        </w:rPr>
        <w:t>个，具体见下表。</w:t>
      </w:r>
    </w:p>
    <w:p>
      <w:pPr>
        <w:pStyle w:val="23"/>
        <w:rPr>
          <w:rFonts w:hint="eastAsia"/>
          <w:color w:val="auto"/>
        </w:rPr>
      </w:pPr>
    </w:p>
    <w:p>
      <w:pPr>
        <w:pStyle w:val="23"/>
        <w:rPr>
          <w:rFonts w:hint="eastAsia"/>
          <w:color w:val="auto"/>
        </w:rPr>
      </w:pPr>
    </w:p>
    <w:p>
      <w:pPr>
        <w:numPr>
          <w:ilvl w:val="0"/>
          <w:numId w:val="11"/>
        </w:numPr>
        <w:tabs>
          <w:tab w:val="left" w:pos="3395"/>
          <w:tab w:val="clear" w:pos="0"/>
        </w:tabs>
        <w:ind w:left="0" w:leftChars="0" w:firstLine="0" w:firstLineChars="0"/>
        <w:jc w:val="center"/>
        <w:rPr>
          <w:b/>
          <w:bCs/>
          <w:color w:val="auto"/>
        </w:rPr>
      </w:pPr>
      <w:r>
        <w:rPr>
          <w:rFonts w:hint="eastAsia"/>
          <w:b/>
          <w:bCs/>
          <w:color w:val="auto"/>
          <w:lang w:eastAsia="zh-CN"/>
        </w:rPr>
        <w:t>环境空气保护目标一览表</w:t>
      </w:r>
    </w:p>
    <w:tbl>
      <w:tblPr>
        <w:tblStyle w:val="51"/>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478"/>
        <w:gridCol w:w="1469"/>
        <w:gridCol w:w="1332"/>
        <w:gridCol w:w="808"/>
        <w:gridCol w:w="1007"/>
        <w:gridCol w:w="969"/>
        <w:gridCol w:w="894"/>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2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77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敏感目标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470" w:type="pct"/>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经纬度坐标</w:t>
            </w:r>
          </w:p>
        </w:tc>
        <w:tc>
          <w:tcPr>
            <w:tcW w:w="42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52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相对厂界距离/m</w:t>
            </w:r>
          </w:p>
        </w:tc>
        <w:tc>
          <w:tcPr>
            <w:tcW w:w="50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保护对象</w:t>
            </w:r>
          </w:p>
        </w:tc>
        <w:tc>
          <w:tcPr>
            <w:tcW w:w="46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人数（人）</w:t>
            </w:r>
          </w:p>
        </w:tc>
        <w:tc>
          <w:tcPr>
            <w:tcW w:w="4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环境功能保护级别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2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77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77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6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4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5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50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46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董家村</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101.582993</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25.003225</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2980</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c>
          <w:tcPr>
            <w:tcW w:w="4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《环境空气质量标准》（GB3095-2012）二级标准及修改单的要求，人类居住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阳光花园</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101.596374</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25.026729</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895</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香颂美地</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101.584865</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25.030178</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2101</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小东村</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101.604989</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25.005641</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1850</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5</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彝海北岸</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101.58134</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25.01944</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2289</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6</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鹿鸣清城</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101.580254</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24.999759</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3375</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7</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蔡家湾</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101.594191</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25.043512</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2543</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8</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思源实验学校</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101.597383</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25.024036</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675</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学校</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9</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黄土坡</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101.597511</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25.025457</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724</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汪家屯小区</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101.59341</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25.032117</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1511</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11</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耳东屯</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101.623164</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25.001392</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东南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3033</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12</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蔡家冲小区</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101.590741</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25.042891</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2635</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13</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潘家村</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101.595966</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25.000853</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2463</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175</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14</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团山</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101.627488</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25.00341</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东南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3180</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15</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玖龙国际</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101.583127</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25.02907</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2217</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16</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孙家</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101.60633</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25.003002</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2154</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17</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茶花树小区</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101.588046</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25.018986</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1631</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320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18</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尹旗屯</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101.596039</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25.010809</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1495</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19</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福德苑</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101.584167</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25.032773</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2296</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荷花村</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101.581415</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25.003779</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3052</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21</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朱瓜冲</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101.605046</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25.040317</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2001</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22</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黑泥坝</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101.589162</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24.999832</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2790</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23</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建华东城印象</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101.596428</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25.006205</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1932</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24</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李家庵村</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101.586984</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25.02259</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1697</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25</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吴家村</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101.586007</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25.019022</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1998</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26</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中梁国宾府</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101.579506</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25.025769</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2482</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27</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彝海大成</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101.58501</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25.007795</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2486</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550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28</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楚风苑</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101.5869</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25.032427</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2041</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29</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谢家村</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101.579181</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25.004912</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3144</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30</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沙溪冲</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101.598973</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25.041814</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2217</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31</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盛世舒苑</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101.593037</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25.021729</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西</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1087</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32</w:t>
            </w:r>
          </w:p>
        </w:tc>
        <w:tc>
          <w:tcPr>
            <w:tcW w:w="77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刘家</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101.611781</w:t>
            </w:r>
          </w:p>
        </w:tc>
        <w:tc>
          <w:tcPr>
            <w:tcW w:w="6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微软雅黑" w:cs="Times New Roman"/>
                <w:i w:val="0"/>
                <w:iCs w:val="0"/>
                <w:color w:val="auto"/>
                <w:kern w:val="0"/>
                <w:sz w:val="21"/>
                <w:szCs w:val="21"/>
                <w:u w:val="none"/>
                <w:lang w:val="en-US" w:eastAsia="zh-CN" w:bidi="ar"/>
              </w:rPr>
              <w:t>25.025402</w:t>
            </w:r>
          </w:p>
        </w:tc>
        <w:tc>
          <w:tcPr>
            <w:tcW w:w="4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东北</w:t>
            </w:r>
          </w:p>
        </w:tc>
        <w:tc>
          <w:tcPr>
            <w:tcW w:w="52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877</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4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bl>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color w:val="auto"/>
        </w:rPr>
      </w:pPr>
      <w:r>
        <w:rPr>
          <w:color w:val="auto"/>
        </w:rPr>
        <w:drawing>
          <wp:inline distT="0" distB="0" distL="114300" distR="114300">
            <wp:extent cx="5895340" cy="4956175"/>
            <wp:effectExtent l="0" t="0" r="10160" b="1587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59"/>
                    <a:stretch>
                      <a:fillRect/>
                    </a:stretch>
                  </pic:blipFill>
                  <pic:spPr>
                    <a:xfrm>
                      <a:off x="0" y="0"/>
                      <a:ext cx="5895340" cy="4956175"/>
                    </a:xfrm>
                    <a:prstGeom prst="rect">
                      <a:avLst/>
                    </a:prstGeom>
                    <a:noFill/>
                    <a:ln>
                      <a:noFill/>
                    </a:ln>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rStyle w:val="58"/>
          <w:b/>
          <w:bCs/>
          <w:color w:val="auto"/>
          <w:sz w:val="24"/>
          <w:szCs w:val="24"/>
        </w:rPr>
      </w:pPr>
      <w:r>
        <w:rPr>
          <w:rStyle w:val="58"/>
          <w:rFonts w:hint="eastAsia"/>
          <w:b/>
          <w:bCs/>
          <w:color w:val="auto"/>
          <w:sz w:val="24"/>
          <w:szCs w:val="24"/>
        </w:rPr>
        <w:t>项目预测范围和环境空气保护目标示意图</w:t>
      </w:r>
    </w:p>
    <w:p>
      <w:pPr>
        <w:widowControl/>
        <w:ind w:firstLine="480"/>
        <w:jc w:val="left"/>
        <w:rPr>
          <w:color w:val="auto"/>
          <w:kern w:val="21"/>
          <w:lang w:bidi="ar"/>
        </w:rPr>
      </w:pPr>
      <w:r>
        <w:rPr>
          <w:rFonts w:hint="eastAsia"/>
          <w:color w:val="auto"/>
          <w:kern w:val="21"/>
          <w:lang w:bidi="ar"/>
        </w:rPr>
        <w:t>7、预测污染物参数</w:t>
      </w:r>
    </w:p>
    <w:p>
      <w:pPr>
        <w:widowControl/>
        <w:ind w:firstLine="480"/>
        <w:jc w:val="left"/>
        <w:rPr>
          <w:rFonts w:hint="eastAsia"/>
          <w:color w:val="auto"/>
          <w:kern w:val="21"/>
          <w:lang w:eastAsia="zh-CN" w:bidi="ar"/>
        </w:rPr>
      </w:pPr>
      <w:r>
        <w:rPr>
          <w:rFonts w:hint="eastAsia"/>
          <w:color w:val="auto"/>
          <w:kern w:val="21"/>
          <w:lang w:bidi="ar"/>
        </w:rPr>
        <w:t>本项目预测需考虑周边在建、拟建污染源的情况，</w:t>
      </w:r>
      <w:r>
        <w:rPr>
          <w:rFonts w:hint="eastAsia"/>
          <w:color w:val="auto"/>
          <w:kern w:val="21"/>
          <w:lang w:eastAsia="zh-CN" w:bidi="ar"/>
        </w:rPr>
        <w:t>经调查，项目周边拟建无</w:t>
      </w:r>
      <w:r>
        <w:rPr>
          <w:rFonts w:hint="eastAsia"/>
          <w:color w:val="auto"/>
          <w:kern w:val="21"/>
          <w:lang w:bidi="ar"/>
        </w:rPr>
        <w:t>与本项目排放污染物有关的</w:t>
      </w:r>
      <w:r>
        <w:rPr>
          <w:rFonts w:hint="eastAsia"/>
          <w:color w:val="auto"/>
          <w:kern w:val="21"/>
          <w:lang w:eastAsia="zh-CN" w:bidi="ar"/>
        </w:rPr>
        <w:t>在建项目、无已取得批复的拟建项目。</w:t>
      </w:r>
    </w:p>
    <w:p>
      <w:pPr>
        <w:numPr>
          <w:ilvl w:val="0"/>
          <w:numId w:val="11"/>
        </w:numPr>
        <w:tabs>
          <w:tab w:val="left" w:pos="3395"/>
          <w:tab w:val="clear" w:pos="0"/>
        </w:tabs>
        <w:ind w:left="0" w:leftChars="0" w:firstLine="0" w:firstLineChars="0"/>
        <w:jc w:val="center"/>
        <w:rPr>
          <w:rFonts w:hint="eastAsia" w:ascii="Times New Roman" w:hAnsi="Times New Roman" w:cs="Times New Roman"/>
          <w:b/>
          <w:bCs/>
          <w:color w:val="auto"/>
          <w:kern w:val="21"/>
          <w:lang w:eastAsia="zh-CN"/>
        </w:rPr>
      </w:pPr>
      <w:r>
        <w:rPr>
          <w:rFonts w:hint="eastAsia" w:cs="Times New Roman"/>
          <w:b/>
          <w:bCs/>
          <w:color w:val="auto"/>
          <w:kern w:val="21"/>
          <w:lang w:eastAsia="zh-CN"/>
        </w:rPr>
        <w:t>项目点源参数调查清单</w:t>
      </w:r>
    </w:p>
    <w:tbl>
      <w:tblPr>
        <w:tblStyle w:val="51"/>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753"/>
        <w:gridCol w:w="761"/>
        <w:gridCol w:w="825"/>
        <w:gridCol w:w="814"/>
        <w:gridCol w:w="739"/>
        <w:gridCol w:w="671"/>
        <w:gridCol w:w="653"/>
        <w:gridCol w:w="729"/>
        <w:gridCol w:w="664"/>
        <w:gridCol w:w="675"/>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排气筒名称</w:t>
            </w:r>
          </w:p>
        </w:tc>
        <w:tc>
          <w:tcPr>
            <w:tcW w:w="15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排气筒底部中心坐标</w:t>
            </w:r>
          </w:p>
        </w:tc>
        <w:tc>
          <w:tcPr>
            <w:tcW w:w="82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排气筒底部海拔高度/m</w:t>
            </w:r>
          </w:p>
        </w:tc>
        <w:tc>
          <w:tcPr>
            <w:tcW w:w="81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排气筒高度m</w:t>
            </w:r>
          </w:p>
        </w:tc>
        <w:tc>
          <w:tcPr>
            <w:tcW w:w="73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排气筒内径m</w:t>
            </w:r>
          </w:p>
        </w:tc>
        <w:tc>
          <w:tcPr>
            <w:tcW w:w="67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烟气流速m/s</w:t>
            </w:r>
          </w:p>
        </w:tc>
        <w:tc>
          <w:tcPr>
            <w:tcW w:w="65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烟气温度</w:t>
            </w:r>
            <w:r>
              <w:rPr>
                <w:rFonts w:hint="eastAsia" w:ascii="宋体" w:hAnsi="宋体" w:cs="宋体"/>
                <w:bCs/>
                <w:color w:val="auto"/>
                <w:sz w:val="21"/>
                <w:szCs w:val="21"/>
              </w:rPr>
              <w:t>℃</w:t>
            </w:r>
          </w:p>
        </w:tc>
        <w:tc>
          <w:tcPr>
            <w:tcW w:w="72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年排放小时数h</w:t>
            </w:r>
          </w:p>
        </w:tc>
        <w:tc>
          <w:tcPr>
            <w:tcW w:w="66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排放工况</w:t>
            </w:r>
          </w:p>
        </w:tc>
        <w:tc>
          <w:tcPr>
            <w:tcW w:w="1585"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bCs/>
                <w:color w:val="auto"/>
                <w:sz w:val="21"/>
                <w:szCs w:val="21"/>
              </w:rPr>
              <w:t>最大排放速率kg/h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53"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X</w:t>
            </w:r>
          </w:p>
        </w:tc>
        <w:tc>
          <w:tcPr>
            <w:tcW w:w="76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Y</w:t>
            </w:r>
          </w:p>
        </w:tc>
        <w:tc>
          <w:tcPr>
            <w:tcW w:w="8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8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7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5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6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1585"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排气筒DA001</w:t>
            </w:r>
          </w:p>
        </w:tc>
        <w:tc>
          <w:tcPr>
            <w:tcW w:w="753" w:type="dxa"/>
            <w:vMerge w:val="restart"/>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rPr>
            </w:pPr>
            <w:r>
              <w:rPr>
                <w:rFonts w:hint="eastAsia"/>
                <w:color w:val="auto"/>
                <w:sz w:val="21"/>
                <w:szCs w:val="21"/>
              </w:rPr>
              <w:t>101.6027</w:t>
            </w:r>
          </w:p>
        </w:tc>
        <w:tc>
          <w:tcPr>
            <w:tcW w:w="761" w:type="dxa"/>
            <w:vMerge w:val="restart"/>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rPr>
            </w:pPr>
            <w:r>
              <w:rPr>
                <w:rFonts w:hint="eastAsia"/>
                <w:color w:val="auto"/>
                <w:sz w:val="21"/>
                <w:szCs w:val="21"/>
              </w:rPr>
              <w:t>25.0217</w:t>
            </w:r>
          </w:p>
        </w:tc>
        <w:tc>
          <w:tcPr>
            <w:tcW w:w="82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1837</w:t>
            </w:r>
          </w:p>
        </w:tc>
        <w:tc>
          <w:tcPr>
            <w:tcW w:w="81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15</w:t>
            </w:r>
          </w:p>
        </w:tc>
        <w:tc>
          <w:tcPr>
            <w:tcW w:w="73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bCs/>
                <w:color w:val="auto"/>
                <w:sz w:val="21"/>
                <w:szCs w:val="21"/>
                <w:lang w:eastAsia="zh-CN"/>
              </w:rPr>
            </w:pPr>
            <w:r>
              <w:rPr>
                <w:rFonts w:hint="eastAsia"/>
                <w:bCs/>
                <w:color w:val="auto"/>
                <w:sz w:val="21"/>
                <w:szCs w:val="21"/>
              </w:rPr>
              <w:t>0.</w:t>
            </w:r>
            <w:r>
              <w:rPr>
                <w:rFonts w:hint="eastAsia"/>
                <w:bCs/>
                <w:color w:val="auto"/>
                <w:sz w:val="21"/>
                <w:szCs w:val="21"/>
                <w:lang w:val="en-US" w:eastAsia="zh-CN"/>
              </w:rPr>
              <w:t>3</w:t>
            </w:r>
          </w:p>
        </w:tc>
        <w:tc>
          <w:tcPr>
            <w:tcW w:w="67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lang w:val="en-US" w:eastAsia="zh-CN"/>
              </w:rPr>
              <w:t>19.66</w:t>
            </w:r>
          </w:p>
        </w:tc>
        <w:tc>
          <w:tcPr>
            <w:tcW w:w="65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25</w:t>
            </w:r>
          </w:p>
        </w:tc>
        <w:tc>
          <w:tcPr>
            <w:tcW w:w="72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8760</w:t>
            </w:r>
          </w:p>
        </w:tc>
        <w:tc>
          <w:tcPr>
            <w:tcW w:w="66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r>
              <w:rPr>
                <w:rFonts w:hint="eastAsia"/>
                <w:bCs/>
                <w:color w:val="auto"/>
                <w:sz w:val="21"/>
                <w:szCs w:val="21"/>
              </w:rPr>
              <w:t>正常排放</w:t>
            </w:r>
          </w:p>
        </w:tc>
        <w:tc>
          <w:tcPr>
            <w:tcW w:w="675" w:type="dxa"/>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p>
        </w:tc>
        <w:tc>
          <w:tcPr>
            <w:tcW w:w="910" w:type="dxa"/>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53" w:type="dxa"/>
            <w:vMerge w:val="continue"/>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rPr>
            </w:pPr>
          </w:p>
        </w:tc>
        <w:tc>
          <w:tcPr>
            <w:tcW w:w="761" w:type="dxa"/>
            <w:vMerge w:val="continue"/>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rPr>
            </w:pPr>
          </w:p>
        </w:tc>
        <w:tc>
          <w:tcPr>
            <w:tcW w:w="825" w:type="dxa"/>
            <w:vMerge w:val="continue"/>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rPr>
            </w:pPr>
          </w:p>
        </w:tc>
        <w:tc>
          <w:tcPr>
            <w:tcW w:w="8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7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5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7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6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Cs/>
                <w:color w:val="auto"/>
                <w:sz w:val="21"/>
                <w:szCs w:val="21"/>
              </w:rPr>
            </w:pPr>
          </w:p>
        </w:tc>
        <w:tc>
          <w:tcPr>
            <w:tcW w:w="675" w:type="dxa"/>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910" w:type="dxa"/>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0001</w:t>
            </w:r>
          </w:p>
        </w:tc>
      </w:tr>
    </w:tbl>
    <w:p>
      <w:pPr>
        <w:widowControl w:val="0"/>
        <w:numPr>
          <w:ilvl w:val="0"/>
          <w:numId w:val="0"/>
        </w:numPr>
        <w:tabs>
          <w:tab w:val="left" w:pos="3395"/>
        </w:tabs>
        <w:spacing w:line="360" w:lineRule="auto"/>
        <w:jc w:val="center"/>
        <w:rPr>
          <w:rFonts w:hint="eastAsia" w:ascii="Times New Roman" w:hAnsi="Times New Roman" w:cs="Times New Roman"/>
          <w:b/>
          <w:bCs/>
          <w:color w:val="auto"/>
          <w:kern w:val="21"/>
          <w:lang w:eastAsia="zh-CN"/>
        </w:rPr>
      </w:pPr>
    </w:p>
    <w:p>
      <w:pPr>
        <w:widowControl w:val="0"/>
        <w:numPr>
          <w:ilvl w:val="0"/>
          <w:numId w:val="0"/>
        </w:numPr>
        <w:tabs>
          <w:tab w:val="left" w:pos="3395"/>
        </w:tabs>
        <w:spacing w:line="360" w:lineRule="auto"/>
        <w:jc w:val="center"/>
        <w:rPr>
          <w:rFonts w:hint="eastAsia" w:ascii="Times New Roman" w:hAnsi="Times New Roman" w:cs="Times New Roman"/>
          <w:b/>
          <w:bCs/>
          <w:color w:val="auto"/>
          <w:kern w:val="21"/>
          <w:lang w:eastAsia="zh-CN"/>
        </w:rPr>
      </w:pPr>
    </w:p>
    <w:p>
      <w:pPr>
        <w:pStyle w:val="2"/>
        <w:rPr>
          <w:rFonts w:hint="eastAsia"/>
          <w:color w:val="auto"/>
          <w:lang w:eastAsia="zh-CN"/>
        </w:rPr>
      </w:pPr>
    </w:p>
    <w:p>
      <w:pPr>
        <w:numPr>
          <w:ilvl w:val="0"/>
          <w:numId w:val="11"/>
        </w:numPr>
        <w:tabs>
          <w:tab w:val="left" w:pos="3395"/>
          <w:tab w:val="clear" w:pos="0"/>
        </w:tabs>
        <w:ind w:left="0" w:leftChars="0" w:firstLine="0" w:firstLineChars="0"/>
        <w:jc w:val="center"/>
        <w:rPr>
          <w:rFonts w:hint="eastAsia" w:ascii="Times New Roman" w:hAnsi="Times New Roman" w:cs="Times New Roman"/>
          <w:b/>
          <w:bCs/>
          <w:color w:val="auto"/>
          <w:kern w:val="21"/>
          <w:lang w:eastAsia="zh-CN"/>
        </w:rPr>
      </w:pPr>
      <w:r>
        <w:rPr>
          <w:rFonts w:hint="eastAsia" w:ascii="Times New Roman" w:hAnsi="Times New Roman" w:cs="Times New Roman"/>
          <w:b/>
          <w:bCs/>
          <w:color w:val="auto"/>
          <w:kern w:val="21"/>
          <w:lang w:eastAsia="zh-CN"/>
        </w:rPr>
        <w:t>项目面源参数（等效为圆形面源）调查清单</w:t>
      </w:r>
    </w:p>
    <w:tbl>
      <w:tblPr>
        <w:tblStyle w:val="51"/>
        <w:tblW w:w="906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Layout w:type="fixed"/>
        <w:tblCellMar>
          <w:top w:w="0" w:type="dxa"/>
          <w:left w:w="0" w:type="dxa"/>
          <w:bottom w:w="0" w:type="dxa"/>
          <w:right w:w="0" w:type="dxa"/>
        </w:tblCellMar>
      </w:tblPr>
      <w:tblGrid>
        <w:gridCol w:w="568"/>
        <w:gridCol w:w="1735"/>
        <w:gridCol w:w="892"/>
        <w:gridCol w:w="802"/>
        <w:gridCol w:w="856"/>
        <w:gridCol w:w="768"/>
        <w:gridCol w:w="768"/>
        <w:gridCol w:w="900"/>
        <w:gridCol w:w="803"/>
        <w:gridCol w:w="9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657" w:hRule="atLeast"/>
          <w:jc w:val="center"/>
        </w:trPr>
        <w:tc>
          <w:tcPr>
            <w:tcW w:w="568"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21"/>
                <w:szCs w:val="21"/>
              </w:rPr>
            </w:pPr>
            <w:r>
              <w:rPr>
                <w:color w:val="auto"/>
                <w:sz w:val="21"/>
                <w:szCs w:val="21"/>
              </w:rPr>
              <w:t>编号</w:t>
            </w:r>
          </w:p>
        </w:tc>
        <w:tc>
          <w:tcPr>
            <w:tcW w:w="1735"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21"/>
                <w:szCs w:val="21"/>
              </w:rPr>
            </w:pPr>
            <w:r>
              <w:rPr>
                <w:color w:val="auto"/>
                <w:sz w:val="21"/>
                <w:szCs w:val="21"/>
              </w:rPr>
              <w:t>名称</w:t>
            </w:r>
          </w:p>
        </w:tc>
        <w:tc>
          <w:tcPr>
            <w:tcW w:w="892"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21"/>
                <w:szCs w:val="21"/>
              </w:rPr>
            </w:pPr>
            <w:r>
              <w:rPr>
                <w:color w:val="auto"/>
                <w:spacing w:val="-2"/>
                <w:sz w:val="21"/>
                <w:szCs w:val="21"/>
              </w:rPr>
              <w:t>面源海拔</w:t>
            </w:r>
            <w:r>
              <w:rPr>
                <w:color w:val="auto"/>
                <w:spacing w:val="-3"/>
                <w:sz w:val="21"/>
                <w:szCs w:val="21"/>
              </w:rPr>
              <w:t>高度</w:t>
            </w:r>
            <w:r>
              <w:rPr>
                <w:color w:val="auto"/>
                <w:sz w:val="21"/>
                <w:szCs w:val="21"/>
              </w:rPr>
              <w:t>/m</w:t>
            </w:r>
          </w:p>
        </w:tc>
        <w:tc>
          <w:tcPr>
            <w:tcW w:w="802"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21"/>
                <w:szCs w:val="21"/>
              </w:rPr>
            </w:pPr>
          </w:p>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21"/>
                <w:szCs w:val="21"/>
              </w:rPr>
            </w:pPr>
            <w:r>
              <w:rPr>
                <w:color w:val="auto"/>
                <w:spacing w:val="-2"/>
                <w:sz w:val="21"/>
                <w:szCs w:val="21"/>
              </w:rPr>
              <w:t>面源长度</w:t>
            </w:r>
            <w:r>
              <w:rPr>
                <w:color w:val="auto"/>
                <w:sz w:val="21"/>
                <w:szCs w:val="21"/>
              </w:rPr>
              <w:t>/m</w:t>
            </w:r>
          </w:p>
        </w:tc>
        <w:tc>
          <w:tcPr>
            <w:tcW w:w="856"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21"/>
                <w:szCs w:val="21"/>
              </w:rPr>
            </w:pPr>
            <w:r>
              <w:rPr>
                <w:color w:val="auto"/>
                <w:spacing w:val="-2"/>
                <w:sz w:val="21"/>
                <w:szCs w:val="21"/>
              </w:rPr>
              <w:t>面源</w:t>
            </w:r>
            <w:r>
              <w:rPr>
                <w:color w:val="auto"/>
                <w:spacing w:val="-5"/>
                <w:sz w:val="21"/>
                <w:szCs w:val="21"/>
              </w:rPr>
              <w:t>宽度</w:t>
            </w:r>
            <w:r>
              <w:rPr>
                <w:color w:val="auto"/>
                <w:sz w:val="21"/>
                <w:szCs w:val="21"/>
              </w:rPr>
              <w:t>/m</w:t>
            </w:r>
          </w:p>
        </w:tc>
        <w:tc>
          <w:tcPr>
            <w:tcW w:w="768"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rFonts w:hint="eastAsia" w:eastAsia="宋体"/>
                <w:color w:val="auto"/>
                <w:spacing w:val="-3"/>
                <w:sz w:val="21"/>
                <w:szCs w:val="21"/>
                <w:lang w:eastAsia="zh-CN"/>
              </w:rPr>
            </w:pPr>
            <w:r>
              <w:rPr>
                <w:rFonts w:hint="eastAsia"/>
                <w:color w:val="auto"/>
                <w:spacing w:val="-3"/>
                <w:sz w:val="21"/>
                <w:szCs w:val="21"/>
                <w:lang w:eastAsia="zh-CN"/>
              </w:rPr>
              <w:t>等效后圆形半径</w:t>
            </w:r>
            <w:r>
              <w:rPr>
                <w:color w:val="auto"/>
                <w:sz w:val="21"/>
                <w:szCs w:val="21"/>
              </w:rPr>
              <w:t>/m</w:t>
            </w:r>
          </w:p>
        </w:tc>
        <w:tc>
          <w:tcPr>
            <w:tcW w:w="768"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21"/>
                <w:szCs w:val="21"/>
              </w:rPr>
            </w:pPr>
            <w:r>
              <w:rPr>
                <w:color w:val="auto"/>
                <w:spacing w:val="-3"/>
                <w:sz w:val="21"/>
                <w:szCs w:val="21"/>
              </w:rPr>
              <w:t>面源有</w:t>
            </w:r>
            <w:r>
              <w:rPr>
                <w:color w:val="auto"/>
                <w:spacing w:val="-63"/>
                <w:sz w:val="21"/>
                <w:szCs w:val="21"/>
              </w:rPr>
              <w:t xml:space="preserve"> </w:t>
            </w:r>
            <w:r>
              <w:rPr>
                <w:color w:val="auto"/>
                <w:spacing w:val="-3"/>
                <w:sz w:val="21"/>
                <w:szCs w:val="21"/>
              </w:rPr>
              <w:t>效排放</w:t>
            </w:r>
            <w:r>
              <w:rPr>
                <w:color w:val="auto"/>
                <w:spacing w:val="-63"/>
                <w:sz w:val="21"/>
                <w:szCs w:val="21"/>
              </w:rPr>
              <w:t xml:space="preserve"> </w:t>
            </w:r>
            <w:r>
              <w:rPr>
                <w:color w:val="auto"/>
                <w:spacing w:val="-3"/>
                <w:sz w:val="21"/>
                <w:szCs w:val="21"/>
              </w:rPr>
              <w:t>高度/m</w:t>
            </w:r>
          </w:p>
        </w:tc>
        <w:tc>
          <w:tcPr>
            <w:tcW w:w="900" w:type="dxa"/>
            <w:vMerge w:val="restart"/>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21"/>
                <w:szCs w:val="21"/>
              </w:rPr>
            </w:pPr>
            <w:r>
              <w:rPr>
                <w:color w:val="auto"/>
                <w:spacing w:val="-2"/>
                <w:sz w:val="21"/>
                <w:szCs w:val="21"/>
              </w:rPr>
              <w:t>年排放</w:t>
            </w:r>
            <w:r>
              <w:rPr>
                <w:color w:val="auto"/>
                <w:spacing w:val="-3"/>
                <w:sz w:val="21"/>
                <w:szCs w:val="21"/>
              </w:rPr>
              <w:t>小时数</w:t>
            </w:r>
            <w:r>
              <w:rPr>
                <w:color w:val="auto"/>
                <w:sz w:val="21"/>
                <w:szCs w:val="21"/>
              </w:rPr>
              <w:t>/h</w:t>
            </w:r>
          </w:p>
        </w:tc>
        <w:tc>
          <w:tcPr>
            <w:tcW w:w="1776" w:type="dxa"/>
            <w:gridSpan w:val="2"/>
            <w:shd w:val="clear" w:color="auto" w:fill="FFFFFF"/>
            <w:vAlign w:val="center"/>
          </w:tcPr>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21"/>
                <w:szCs w:val="21"/>
              </w:rPr>
            </w:pPr>
            <w:r>
              <w:rPr>
                <w:color w:val="auto"/>
                <w:spacing w:val="-2"/>
                <w:sz w:val="21"/>
                <w:szCs w:val="21"/>
              </w:rPr>
              <w:t>污染物排放速率/</w:t>
            </w:r>
          </w:p>
          <w:p>
            <w:pPr>
              <w:keepNext w:val="0"/>
              <w:keepLines w:val="0"/>
              <w:pageBreakBefore w:val="0"/>
              <w:widowControl/>
              <w:kinsoku w:val="0"/>
              <w:wordWrap/>
              <w:overflowPunct/>
              <w:topLinePunct w:val="0"/>
              <w:autoSpaceDE w:val="0"/>
              <w:autoSpaceDN w:val="0"/>
              <w:bidi w:val="0"/>
              <w:adjustRightInd/>
              <w:snapToGrid/>
              <w:spacing w:line="280" w:lineRule="exact"/>
              <w:ind w:firstLine="0" w:firstLineChars="0"/>
              <w:jc w:val="center"/>
              <w:textAlignment w:val="baseline"/>
              <w:rPr>
                <w:color w:val="auto"/>
                <w:sz w:val="21"/>
                <w:szCs w:val="21"/>
              </w:rPr>
            </w:pPr>
            <w:r>
              <w:rPr>
                <w:color w:val="auto"/>
                <w:spacing w:val="-18"/>
                <w:sz w:val="21"/>
                <w:szCs w:val="21"/>
              </w:rPr>
              <w:t>（kg/h）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159" w:hRule="atLeast"/>
          <w:jc w:val="center"/>
        </w:trPr>
        <w:tc>
          <w:tcPr>
            <w:tcW w:w="568" w:type="dxa"/>
            <w:vMerge w:val="continue"/>
            <w:shd w:val="clear" w:color="auto" w:fill="auto"/>
            <w:textDirection w:val="tbRlV"/>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1735" w:type="dxa"/>
            <w:vMerge w:val="continue"/>
            <w:shd w:val="clear" w:color="auto" w:fill="auto"/>
            <w:textDirection w:val="tbRlV"/>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892"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802"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856"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768"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768"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900" w:type="dxa"/>
            <w:vMerge w:val="continue"/>
            <w:shd w:val="clear" w:color="auto" w:fill="auto"/>
            <w:vAlign w:val="center"/>
          </w:tcPr>
          <w:p>
            <w:pPr>
              <w:widowControl/>
              <w:kinsoku w:val="0"/>
              <w:autoSpaceDE w:val="0"/>
              <w:autoSpaceDN w:val="0"/>
              <w:spacing w:line="240" w:lineRule="auto"/>
              <w:ind w:firstLine="0" w:firstLineChars="0"/>
              <w:jc w:val="center"/>
              <w:textAlignment w:val="baseline"/>
              <w:rPr>
                <w:color w:val="auto"/>
                <w:sz w:val="21"/>
                <w:szCs w:val="21"/>
              </w:rPr>
            </w:pPr>
          </w:p>
        </w:tc>
        <w:tc>
          <w:tcPr>
            <w:tcW w:w="803"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3"/>
                <w:sz w:val="21"/>
                <w:szCs w:val="21"/>
              </w:rPr>
              <w:t>NH</w:t>
            </w:r>
            <w:r>
              <w:rPr>
                <w:color w:val="auto"/>
                <w:spacing w:val="-3"/>
                <w:sz w:val="21"/>
                <w:szCs w:val="21"/>
                <w:vertAlign w:val="subscript"/>
              </w:rPr>
              <w:t>3</w:t>
            </w:r>
          </w:p>
        </w:tc>
        <w:tc>
          <w:tcPr>
            <w:tcW w:w="973"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2"/>
                <w:sz w:val="21"/>
                <w:szCs w:val="21"/>
              </w:rPr>
              <w:t>H</w:t>
            </w:r>
            <w:r>
              <w:rPr>
                <w:color w:val="auto"/>
                <w:spacing w:val="-2"/>
                <w:sz w:val="21"/>
                <w:szCs w:val="21"/>
                <w:vertAlign w:val="subscript"/>
              </w:rPr>
              <w:t>2</w:t>
            </w:r>
            <w:r>
              <w:rPr>
                <w:color w:val="auto"/>
                <w:spacing w:val="-2"/>
                <w:sz w:val="21"/>
                <w:szCs w:val="21"/>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w:t>
            </w:r>
          </w:p>
        </w:tc>
        <w:tc>
          <w:tcPr>
            <w:tcW w:w="1735" w:type="dxa"/>
            <w:shd w:val="clear" w:color="auto" w:fill="FFFFFF"/>
            <w:vAlign w:val="center"/>
          </w:tcPr>
          <w:p>
            <w:pPr>
              <w:pStyle w:val="23"/>
              <w:spacing w:after="0" w:line="240" w:lineRule="auto"/>
              <w:ind w:left="0" w:leftChars="0" w:firstLine="0" w:firstLineChars="0"/>
              <w:jc w:val="center"/>
              <w:rPr>
                <w:color w:val="auto"/>
                <w:sz w:val="21"/>
                <w:szCs w:val="21"/>
              </w:rPr>
            </w:pPr>
            <w:r>
              <w:rPr>
                <w:color w:val="auto"/>
                <w:kern w:val="21"/>
                <w:sz w:val="21"/>
                <w:szCs w:val="21"/>
              </w:rPr>
              <w:t>粗格栅及进水泵房</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1819.99</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10.1</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8.9</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5.35</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5.3</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8760</w:t>
            </w:r>
          </w:p>
        </w:tc>
        <w:tc>
          <w:tcPr>
            <w:tcW w:w="803" w:type="dxa"/>
            <w:shd w:val="clear" w:color="auto" w:fill="FFFFFF"/>
            <w:vAlign w:val="center"/>
          </w:tcPr>
          <w:p>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0.0023</w:t>
            </w:r>
          </w:p>
        </w:tc>
        <w:tc>
          <w:tcPr>
            <w:tcW w:w="973" w:type="dxa"/>
            <w:shd w:val="clear" w:color="auto" w:fill="FFFFFF"/>
            <w:vAlign w:val="center"/>
          </w:tcPr>
          <w:p>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0.000004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2</w:t>
            </w:r>
          </w:p>
        </w:tc>
        <w:tc>
          <w:tcPr>
            <w:tcW w:w="1735" w:type="dxa"/>
            <w:shd w:val="clear" w:color="auto" w:fill="FFFFFF"/>
            <w:vAlign w:val="center"/>
          </w:tcPr>
          <w:p>
            <w:pPr>
              <w:pStyle w:val="23"/>
              <w:spacing w:after="0" w:line="240" w:lineRule="auto"/>
              <w:ind w:left="0" w:leftChars="0" w:firstLine="0" w:firstLineChars="0"/>
              <w:jc w:val="center"/>
              <w:rPr>
                <w:color w:val="auto"/>
                <w:sz w:val="21"/>
                <w:szCs w:val="21"/>
              </w:rPr>
            </w:pPr>
            <w:r>
              <w:rPr>
                <w:color w:val="auto"/>
                <w:kern w:val="21"/>
                <w:sz w:val="21"/>
                <w:szCs w:val="21"/>
              </w:rPr>
              <w:t>细格栅及调节池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1819.80</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20.6</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15.6</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10.11</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4.7</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8760</w:t>
            </w:r>
          </w:p>
        </w:tc>
        <w:tc>
          <w:tcPr>
            <w:tcW w:w="803" w:type="dxa"/>
            <w:shd w:val="clear" w:color="auto" w:fill="FFFFFF"/>
            <w:vAlign w:val="center"/>
          </w:tcPr>
          <w:p>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0.007</w:t>
            </w:r>
          </w:p>
        </w:tc>
        <w:tc>
          <w:tcPr>
            <w:tcW w:w="973" w:type="dxa"/>
            <w:shd w:val="clear" w:color="auto" w:fill="FFFFFF"/>
            <w:vAlign w:val="center"/>
          </w:tcPr>
          <w:p>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0.000015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3</w:t>
            </w:r>
          </w:p>
        </w:tc>
        <w:tc>
          <w:tcPr>
            <w:tcW w:w="1735" w:type="dxa"/>
            <w:shd w:val="clear" w:color="auto" w:fill="FFFFFF"/>
            <w:vAlign w:val="center"/>
          </w:tcPr>
          <w:p>
            <w:pPr>
              <w:pStyle w:val="23"/>
              <w:spacing w:after="0" w:line="240" w:lineRule="auto"/>
              <w:ind w:left="0" w:leftChars="0" w:firstLine="0" w:firstLineChars="0"/>
              <w:jc w:val="center"/>
              <w:rPr>
                <w:color w:val="auto"/>
                <w:sz w:val="21"/>
                <w:szCs w:val="21"/>
              </w:rPr>
            </w:pPr>
            <w:r>
              <w:rPr>
                <w:color w:val="auto"/>
                <w:kern w:val="21"/>
                <w:sz w:val="21"/>
                <w:szCs w:val="21"/>
              </w:rPr>
              <w:t>混凝沉淀池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1819.73</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11.04</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41.8</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12.12</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3.9</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8760</w:t>
            </w:r>
          </w:p>
        </w:tc>
        <w:tc>
          <w:tcPr>
            <w:tcW w:w="803" w:type="dxa"/>
            <w:shd w:val="clear" w:color="auto" w:fill="FFFFFF"/>
            <w:vAlign w:val="center"/>
          </w:tcPr>
          <w:p>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0.0100</w:t>
            </w:r>
          </w:p>
        </w:tc>
        <w:tc>
          <w:tcPr>
            <w:tcW w:w="973" w:type="dxa"/>
            <w:shd w:val="clear" w:color="auto" w:fill="FFFFFF"/>
            <w:vAlign w:val="center"/>
          </w:tcPr>
          <w:p>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0.000021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4</w:t>
            </w:r>
          </w:p>
        </w:tc>
        <w:tc>
          <w:tcPr>
            <w:tcW w:w="1735" w:type="dxa"/>
            <w:shd w:val="clear" w:color="auto" w:fill="FFFFFF"/>
            <w:vAlign w:val="center"/>
          </w:tcPr>
          <w:p>
            <w:pPr>
              <w:pStyle w:val="23"/>
              <w:spacing w:after="0" w:line="240" w:lineRule="auto"/>
              <w:ind w:left="0" w:leftChars="0" w:firstLine="0" w:firstLineChars="0"/>
              <w:jc w:val="center"/>
              <w:rPr>
                <w:rFonts w:hint="eastAsia" w:eastAsia="宋体"/>
                <w:color w:val="auto"/>
                <w:sz w:val="21"/>
                <w:szCs w:val="21"/>
                <w:lang w:eastAsia="zh-CN"/>
              </w:rPr>
            </w:pPr>
            <w:r>
              <w:rPr>
                <w:rFonts w:hint="eastAsia"/>
                <w:color w:val="auto"/>
                <w:kern w:val="21"/>
                <w:sz w:val="21"/>
                <w:szCs w:val="21"/>
                <w:lang w:eastAsia="zh-CN"/>
              </w:rPr>
              <w:t>水解酸化池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1815.65</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20.2</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16.8</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10.39</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6.5</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8760</w:t>
            </w:r>
          </w:p>
        </w:tc>
        <w:tc>
          <w:tcPr>
            <w:tcW w:w="803" w:type="dxa"/>
            <w:shd w:val="clear" w:color="auto" w:fill="FFFFFF"/>
            <w:vAlign w:val="center"/>
          </w:tcPr>
          <w:p>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0.0074</w:t>
            </w:r>
          </w:p>
        </w:tc>
        <w:tc>
          <w:tcPr>
            <w:tcW w:w="973" w:type="dxa"/>
            <w:shd w:val="clear" w:color="auto" w:fill="FFFFFF"/>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lang w:val="en-US" w:eastAsia="zh-CN"/>
              </w:rPr>
              <w:t>0.000015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5</w:t>
            </w:r>
          </w:p>
        </w:tc>
        <w:tc>
          <w:tcPr>
            <w:tcW w:w="1735" w:type="dxa"/>
            <w:shd w:val="clear" w:color="auto" w:fill="FFFFFF"/>
            <w:vAlign w:val="center"/>
          </w:tcPr>
          <w:p>
            <w:pPr>
              <w:pStyle w:val="23"/>
              <w:spacing w:after="0" w:line="240" w:lineRule="auto"/>
              <w:ind w:left="0" w:leftChars="0" w:firstLine="0" w:firstLineChars="0"/>
              <w:jc w:val="center"/>
              <w:rPr>
                <w:rFonts w:hint="eastAsia" w:eastAsia="宋体"/>
                <w:color w:val="auto"/>
                <w:sz w:val="21"/>
                <w:szCs w:val="21"/>
                <w:lang w:eastAsia="zh-CN"/>
              </w:rPr>
            </w:pPr>
            <w:r>
              <w:rPr>
                <w:rFonts w:hint="eastAsia"/>
                <w:color w:val="auto"/>
                <w:kern w:val="21"/>
                <w:sz w:val="21"/>
                <w:szCs w:val="21"/>
                <w:lang w:eastAsia="zh-CN"/>
              </w:rPr>
              <w:t>污泥脱水车间</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1819.88</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18</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20.41</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10.96</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10</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8760</w:t>
            </w:r>
          </w:p>
        </w:tc>
        <w:tc>
          <w:tcPr>
            <w:tcW w:w="803" w:type="dxa"/>
            <w:shd w:val="clear" w:color="auto" w:fill="FFFFFF"/>
            <w:vAlign w:val="center"/>
          </w:tcPr>
          <w:p>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rPr>
              <w:t>0.0016</w:t>
            </w:r>
          </w:p>
        </w:tc>
        <w:tc>
          <w:tcPr>
            <w:tcW w:w="973" w:type="dxa"/>
            <w:shd w:val="clear" w:color="auto" w:fill="FFFFFF"/>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0.0000005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6</w:t>
            </w:r>
          </w:p>
        </w:tc>
        <w:tc>
          <w:tcPr>
            <w:tcW w:w="1735" w:type="dxa"/>
            <w:shd w:val="clear" w:color="auto" w:fill="FFFFFF"/>
            <w:vAlign w:val="center"/>
          </w:tcPr>
          <w:p>
            <w:pPr>
              <w:pStyle w:val="23"/>
              <w:spacing w:after="0" w:line="240" w:lineRule="auto"/>
              <w:ind w:left="0" w:leftChars="0" w:firstLine="0" w:firstLineChars="0"/>
              <w:jc w:val="center"/>
              <w:rPr>
                <w:rFonts w:hint="eastAsia" w:eastAsia="宋体"/>
                <w:color w:val="auto"/>
                <w:sz w:val="21"/>
                <w:szCs w:val="21"/>
                <w:lang w:eastAsia="zh-CN"/>
              </w:rPr>
            </w:pPr>
            <w:r>
              <w:rPr>
                <w:rFonts w:hint="eastAsia"/>
                <w:color w:val="auto"/>
                <w:kern w:val="21"/>
                <w:sz w:val="21"/>
                <w:szCs w:val="21"/>
                <w:lang w:eastAsia="zh-CN"/>
              </w:rPr>
              <w:t>污泥浓缩池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1819.00</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eastAsia" w:eastAsia="宋体"/>
                <w:color w:val="auto"/>
                <w:sz w:val="21"/>
                <w:szCs w:val="21"/>
                <w:lang w:val="en-US" w:eastAsia="zh-CN"/>
              </w:rPr>
            </w:pPr>
            <w:r>
              <w:rPr>
                <w:rFonts w:hint="eastAsia"/>
                <w:color w:val="auto"/>
                <w:sz w:val="21"/>
                <w:szCs w:val="21"/>
                <w:lang w:val="en-US" w:eastAsia="zh-CN"/>
              </w:rPr>
              <w:t>/</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eastAsia" w:eastAsia="宋体"/>
                <w:color w:val="auto"/>
                <w:sz w:val="21"/>
                <w:szCs w:val="21"/>
                <w:lang w:val="en-US" w:eastAsia="zh-CN"/>
              </w:rPr>
            </w:pPr>
            <w:r>
              <w:rPr>
                <w:rFonts w:hint="eastAsia"/>
                <w:color w:val="auto"/>
                <w:sz w:val="21"/>
                <w:szCs w:val="21"/>
                <w:lang w:val="en-US" w:eastAsia="zh-CN"/>
              </w:rPr>
              <w:t>/</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eastAsia" w:eastAsia="宋体"/>
                <w:color w:val="auto"/>
                <w:sz w:val="21"/>
                <w:szCs w:val="21"/>
                <w:lang w:val="en-US" w:eastAsia="zh-CN"/>
              </w:rPr>
            </w:pPr>
            <w:r>
              <w:rPr>
                <w:rFonts w:hint="eastAsia"/>
                <w:color w:val="auto"/>
                <w:sz w:val="21"/>
                <w:szCs w:val="21"/>
                <w:lang w:val="en-US" w:eastAsia="zh-CN"/>
              </w:rPr>
              <w:t>4</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5.8</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8760</w:t>
            </w:r>
          </w:p>
        </w:tc>
        <w:tc>
          <w:tcPr>
            <w:tcW w:w="803" w:type="dxa"/>
            <w:shd w:val="clear" w:color="auto" w:fill="FFFFFF"/>
            <w:vAlign w:val="center"/>
          </w:tcPr>
          <w:p>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rPr>
              <w:t>0.0002</w:t>
            </w:r>
          </w:p>
        </w:tc>
        <w:tc>
          <w:tcPr>
            <w:tcW w:w="973" w:type="dxa"/>
            <w:shd w:val="clear" w:color="auto" w:fill="FFFFFF"/>
            <w:vAlign w:val="center"/>
          </w:tcPr>
          <w:p>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rPr>
              <w:t>0.0000001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rFonts w:hint="eastAsia" w:eastAsia="宋体"/>
                <w:color w:val="auto"/>
                <w:sz w:val="21"/>
                <w:szCs w:val="21"/>
                <w:lang w:eastAsia="zh-CN"/>
              </w:rPr>
            </w:pPr>
            <w:r>
              <w:rPr>
                <w:rFonts w:hint="eastAsia"/>
                <w:color w:val="auto"/>
                <w:sz w:val="21"/>
                <w:szCs w:val="21"/>
                <w:lang w:val="en-US" w:eastAsia="zh-CN"/>
              </w:rPr>
              <w:t>7</w:t>
            </w:r>
          </w:p>
        </w:tc>
        <w:tc>
          <w:tcPr>
            <w:tcW w:w="1735" w:type="dxa"/>
            <w:shd w:val="clear" w:color="auto" w:fill="FFFFFF"/>
            <w:vAlign w:val="center"/>
          </w:tcPr>
          <w:p>
            <w:pPr>
              <w:pStyle w:val="23"/>
              <w:spacing w:after="0" w:line="240" w:lineRule="auto"/>
              <w:ind w:left="0" w:leftChars="0" w:firstLine="0" w:firstLineChars="0"/>
              <w:jc w:val="center"/>
              <w:rPr>
                <w:rFonts w:hint="default" w:eastAsia="宋体"/>
                <w:color w:val="auto"/>
                <w:sz w:val="21"/>
                <w:szCs w:val="21"/>
                <w:lang w:val="en-US" w:eastAsia="zh-CN"/>
              </w:rPr>
            </w:pPr>
            <w:r>
              <w:rPr>
                <w:rFonts w:hint="eastAsia"/>
                <w:i w:val="0"/>
                <w:iCs/>
                <w:color w:val="auto"/>
                <w:kern w:val="21"/>
                <w:sz w:val="21"/>
                <w:szCs w:val="21"/>
              </w:rPr>
              <w:t>A</w:t>
            </w:r>
            <w:r>
              <w:rPr>
                <w:rFonts w:hint="eastAsia"/>
                <w:i w:val="0"/>
                <w:iCs/>
                <w:color w:val="auto"/>
                <w:kern w:val="21"/>
                <w:sz w:val="21"/>
                <w:szCs w:val="21"/>
                <w:vertAlign w:val="superscript"/>
              </w:rPr>
              <w:t>2</w:t>
            </w:r>
            <w:r>
              <w:rPr>
                <w:rFonts w:hint="eastAsia"/>
                <w:color w:val="auto"/>
                <w:kern w:val="21"/>
                <w:sz w:val="21"/>
                <w:szCs w:val="21"/>
                <w:lang w:val="en-US" w:eastAsia="zh-CN"/>
              </w:rPr>
              <w:t>/O生化池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1819.00</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23.2</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32.7</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15.54</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7</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8760</w:t>
            </w:r>
          </w:p>
        </w:tc>
        <w:tc>
          <w:tcPr>
            <w:tcW w:w="803" w:type="dxa"/>
            <w:shd w:val="clear" w:color="auto" w:fill="FFFFFF"/>
            <w:vAlign w:val="center"/>
          </w:tcPr>
          <w:p>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rPr>
              <w:t>0.0010</w:t>
            </w:r>
          </w:p>
        </w:tc>
        <w:tc>
          <w:tcPr>
            <w:tcW w:w="973" w:type="dxa"/>
            <w:shd w:val="clear" w:color="auto" w:fill="FFFFFF"/>
            <w:vAlign w:val="center"/>
          </w:tcPr>
          <w:p>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rPr>
              <w:t>0.000055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278" w:hRule="atLeast"/>
          <w:jc w:val="center"/>
        </w:trPr>
        <w:tc>
          <w:tcPr>
            <w:tcW w:w="568" w:type="dxa"/>
            <w:shd w:val="clear" w:color="auto" w:fill="FFFFFF"/>
            <w:vAlign w:val="center"/>
          </w:tcPr>
          <w:p>
            <w:pPr>
              <w:widowControl/>
              <w:kinsoku w:val="0"/>
              <w:autoSpaceDE w:val="0"/>
              <w:autoSpaceDN w:val="0"/>
              <w:spacing w:line="240" w:lineRule="auto"/>
              <w:ind w:firstLine="0" w:firstLineChars="0"/>
              <w:jc w:val="center"/>
              <w:textAlignment w:val="baseline"/>
              <w:rPr>
                <w:rFonts w:hint="eastAsia" w:eastAsia="宋体"/>
                <w:color w:val="auto"/>
                <w:sz w:val="21"/>
                <w:szCs w:val="21"/>
                <w:lang w:eastAsia="zh-CN"/>
              </w:rPr>
            </w:pPr>
            <w:r>
              <w:rPr>
                <w:rFonts w:hint="eastAsia"/>
                <w:color w:val="auto"/>
                <w:sz w:val="21"/>
                <w:szCs w:val="21"/>
                <w:lang w:val="en-US" w:eastAsia="zh-CN"/>
              </w:rPr>
              <w:t>8</w:t>
            </w:r>
          </w:p>
        </w:tc>
        <w:tc>
          <w:tcPr>
            <w:tcW w:w="1735" w:type="dxa"/>
            <w:shd w:val="clear" w:color="auto" w:fill="FFFFFF"/>
            <w:vAlign w:val="center"/>
          </w:tcPr>
          <w:p>
            <w:pPr>
              <w:pStyle w:val="23"/>
              <w:spacing w:after="0" w:line="240" w:lineRule="auto"/>
              <w:ind w:left="0" w:leftChars="0" w:firstLine="0" w:firstLineChars="0"/>
              <w:jc w:val="center"/>
              <w:rPr>
                <w:rFonts w:hint="default" w:eastAsia="宋体"/>
                <w:color w:val="auto"/>
                <w:sz w:val="21"/>
                <w:szCs w:val="21"/>
                <w:lang w:val="en-US" w:eastAsia="zh-CN"/>
              </w:rPr>
            </w:pPr>
            <w:r>
              <w:rPr>
                <w:rFonts w:hint="eastAsia"/>
                <w:color w:val="auto"/>
                <w:kern w:val="21"/>
                <w:sz w:val="21"/>
                <w:szCs w:val="21"/>
                <w:lang w:val="en-US" w:eastAsia="zh-CN"/>
              </w:rPr>
              <w:t>MBR膜池</w:t>
            </w:r>
          </w:p>
        </w:tc>
        <w:tc>
          <w:tcPr>
            <w:tcW w:w="892"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1819.00</w:t>
            </w:r>
          </w:p>
        </w:tc>
        <w:tc>
          <w:tcPr>
            <w:tcW w:w="802"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18</w:t>
            </w:r>
          </w:p>
        </w:tc>
        <w:tc>
          <w:tcPr>
            <w:tcW w:w="856"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20.41</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13.97</w:t>
            </w:r>
          </w:p>
        </w:tc>
        <w:tc>
          <w:tcPr>
            <w:tcW w:w="768" w:type="dxa"/>
            <w:shd w:val="clear" w:color="auto" w:fill="FFFFFF"/>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5</w:t>
            </w:r>
          </w:p>
        </w:tc>
        <w:tc>
          <w:tcPr>
            <w:tcW w:w="900" w:type="dxa"/>
            <w:shd w:val="clear" w:color="auto" w:fill="FFFFFF"/>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8760</w:t>
            </w:r>
          </w:p>
        </w:tc>
        <w:tc>
          <w:tcPr>
            <w:tcW w:w="803" w:type="dxa"/>
            <w:shd w:val="clear" w:color="auto" w:fill="FFFFFF"/>
            <w:vAlign w:val="center"/>
          </w:tcPr>
          <w:p>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rPr>
              <w:t>0.0008</w:t>
            </w:r>
          </w:p>
        </w:tc>
        <w:tc>
          <w:tcPr>
            <w:tcW w:w="973" w:type="dxa"/>
            <w:shd w:val="clear" w:color="auto" w:fill="FFFFFF"/>
            <w:vAlign w:val="center"/>
          </w:tcPr>
          <w:p>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rPr>
              <w:t>0.000044</w:t>
            </w:r>
          </w:p>
        </w:tc>
      </w:tr>
    </w:tbl>
    <w:p>
      <w:pPr>
        <w:spacing w:line="360" w:lineRule="auto"/>
        <w:ind w:firstLine="480" w:firstLineChars="200"/>
        <w:rPr>
          <w:b/>
          <w:bCs/>
          <w:color w:val="auto"/>
        </w:rPr>
      </w:pPr>
      <w:r>
        <w:rPr>
          <w:rFonts w:hint="eastAsia"/>
          <w:color w:val="auto"/>
        </w:rPr>
        <w:t>8、预测及评价内容</w:t>
      </w:r>
    </w:p>
    <w:p>
      <w:pPr>
        <w:spacing w:line="360" w:lineRule="auto"/>
        <w:ind w:firstLine="482"/>
        <w:rPr>
          <w:color w:val="auto"/>
        </w:rPr>
      </w:pPr>
      <w:r>
        <w:rPr>
          <w:rFonts w:hint="eastAsia"/>
          <w:color w:val="auto"/>
        </w:rPr>
        <w:t>本项目所在区域为达标区，根据《环境影响评价技术导则</w:t>
      </w:r>
      <w:r>
        <w:rPr>
          <w:rFonts w:hint="eastAsia"/>
          <w:color w:val="auto"/>
          <w:lang w:val="en-US" w:eastAsia="zh-CN"/>
        </w:rPr>
        <w:t xml:space="preserve"> </w:t>
      </w:r>
      <w:r>
        <w:rPr>
          <w:rFonts w:hint="eastAsia"/>
          <w:color w:val="auto"/>
        </w:rPr>
        <w:t>大气环境》（HJ2.2</w:t>
      </w:r>
      <w:r>
        <w:rPr>
          <w:rFonts w:hint="eastAsia"/>
          <w:color w:val="auto"/>
          <w:lang w:val="en-US" w:eastAsia="zh-CN"/>
        </w:rPr>
        <w:t>-</w:t>
      </w:r>
      <w:r>
        <w:rPr>
          <w:rFonts w:hint="eastAsia"/>
          <w:color w:val="auto"/>
        </w:rPr>
        <w:t>2018），评价工作等级为一级的预测内容如下：</w:t>
      </w:r>
    </w:p>
    <w:p>
      <w:pPr>
        <w:numPr>
          <w:ilvl w:val="0"/>
          <w:numId w:val="11"/>
        </w:numPr>
        <w:tabs>
          <w:tab w:val="left" w:pos="3395"/>
          <w:tab w:val="clear" w:pos="0"/>
        </w:tabs>
        <w:ind w:left="0" w:leftChars="0" w:firstLine="0" w:firstLineChars="0"/>
        <w:jc w:val="center"/>
        <w:rPr>
          <w:b/>
          <w:bCs/>
          <w:color w:val="auto"/>
        </w:rPr>
      </w:pPr>
      <w:r>
        <w:rPr>
          <w:b/>
          <w:bCs/>
          <w:color w:val="auto"/>
        </w:rPr>
        <w:t>大气</w:t>
      </w:r>
      <w:r>
        <w:rPr>
          <w:rFonts w:hint="eastAsia" w:ascii="Times New Roman" w:hAnsi="Times New Roman" w:cs="Times New Roman"/>
          <w:b/>
          <w:bCs/>
          <w:color w:val="auto"/>
          <w:kern w:val="21"/>
          <w:lang w:eastAsia="zh-CN"/>
        </w:rPr>
        <w:t>环境</w:t>
      </w:r>
      <w:r>
        <w:rPr>
          <w:b/>
          <w:bCs/>
          <w:color w:val="auto"/>
        </w:rPr>
        <w:t>影响预测计算情景表</w:t>
      </w:r>
    </w:p>
    <w:tbl>
      <w:tblPr>
        <w:tblStyle w:val="51"/>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4"/>
        <w:gridCol w:w="2360"/>
        <w:gridCol w:w="1234"/>
        <w:gridCol w:w="1825"/>
        <w:gridCol w:w="2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评价</w:t>
            </w:r>
            <w:r>
              <w:rPr>
                <w:color w:val="auto"/>
                <w:sz w:val="21"/>
                <w:szCs w:val="21"/>
              </w:rPr>
              <w:t>对象</w:t>
            </w:r>
          </w:p>
        </w:tc>
        <w:tc>
          <w:tcPr>
            <w:tcW w:w="12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污染源</w:t>
            </w:r>
          </w:p>
        </w:tc>
        <w:tc>
          <w:tcPr>
            <w:tcW w:w="66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污染源</w:t>
            </w:r>
            <w:r>
              <w:rPr>
                <w:rFonts w:hint="eastAsia"/>
                <w:color w:val="auto"/>
                <w:sz w:val="21"/>
                <w:szCs w:val="21"/>
              </w:rPr>
              <w:t>排放</w:t>
            </w:r>
            <w:r>
              <w:rPr>
                <w:color w:val="auto"/>
                <w:sz w:val="21"/>
                <w:szCs w:val="21"/>
              </w:rPr>
              <w:t>形式</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预测</w:t>
            </w:r>
            <w:r>
              <w:rPr>
                <w:color w:val="auto"/>
                <w:sz w:val="21"/>
                <w:szCs w:val="21"/>
              </w:rPr>
              <w:t>内容</w:t>
            </w:r>
          </w:p>
        </w:tc>
        <w:tc>
          <w:tcPr>
            <w:tcW w:w="14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评价</w:t>
            </w:r>
            <w:r>
              <w:rPr>
                <w:color w:val="auto"/>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8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达标</w:t>
            </w:r>
            <w:r>
              <w:rPr>
                <w:color w:val="auto"/>
                <w:sz w:val="21"/>
                <w:szCs w:val="21"/>
              </w:rPr>
              <w:t>区评价项目</w:t>
            </w:r>
          </w:p>
        </w:tc>
        <w:tc>
          <w:tcPr>
            <w:tcW w:w="12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新增</w:t>
            </w:r>
            <w:r>
              <w:rPr>
                <w:color w:val="auto"/>
                <w:sz w:val="21"/>
                <w:szCs w:val="21"/>
              </w:rPr>
              <w:t>污染源</w:t>
            </w:r>
          </w:p>
        </w:tc>
        <w:tc>
          <w:tcPr>
            <w:tcW w:w="66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正常排放</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短期浓度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长期浓度</w:t>
            </w:r>
          </w:p>
        </w:tc>
        <w:tc>
          <w:tcPr>
            <w:tcW w:w="14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最大浓度占标率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8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12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rPr>
              <w:t>新增</w:t>
            </w:r>
            <w:r>
              <w:rPr>
                <w:color w:val="auto"/>
                <w:sz w:val="21"/>
                <w:szCs w:val="21"/>
              </w:rPr>
              <w:t>污染源</w:t>
            </w:r>
            <w:r>
              <w:rPr>
                <w:rFonts w:hint="eastAsia"/>
                <w:color w:val="auto"/>
                <w:sz w:val="21"/>
                <w:szCs w:val="21"/>
                <w:lang w:val="en-US" w:eastAsia="zh-CN"/>
              </w:rPr>
              <w:t>—“以新带老”污染源（如有）—区域削减污染源（如有）</w:t>
            </w:r>
            <w:r>
              <w:rPr>
                <w:rFonts w:hint="eastAsia"/>
                <w:color w:val="auto"/>
                <w:sz w:val="21"/>
                <w:szCs w:val="21"/>
              </w:rPr>
              <w:t>+</w:t>
            </w:r>
            <w:r>
              <w:rPr>
                <w:rFonts w:hint="eastAsia"/>
                <w:color w:val="auto"/>
                <w:sz w:val="21"/>
                <w:szCs w:val="21"/>
                <w:lang w:eastAsia="zh-CN"/>
              </w:rPr>
              <w:t>其他</w:t>
            </w:r>
            <w:r>
              <w:rPr>
                <w:rFonts w:hint="eastAsia"/>
                <w:color w:val="auto"/>
                <w:sz w:val="21"/>
                <w:szCs w:val="21"/>
              </w:rPr>
              <w:t>在建、拟建污染源</w:t>
            </w:r>
            <w:r>
              <w:rPr>
                <w:rFonts w:hint="eastAsia"/>
                <w:color w:val="auto"/>
                <w:sz w:val="21"/>
                <w:szCs w:val="21"/>
                <w:lang w:eastAsia="zh-CN"/>
              </w:rPr>
              <w:t>（如有）</w:t>
            </w:r>
          </w:p>
        </w:tc>
        <w:tc>
          <w:tcPr>
            <w:tcW w:w="66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正常排放</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短期浓度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长期浓度</w:t>
            </w:r>
          </w:p>
        </w:tc>
        <w:tc>
          <w:tcPr>
            <w:tcW w:w="14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叠加</w:t>
            </w:r>
            <w:r>
              <w:rPr>
                <w:color w:val="auto"/>
                <w:sz w:val="21"/>
                <w:szCs w:val="21"/>
              </w:rPr>
              <w:t>环境质量现状浓度后的保证率日平均质量浓度和年均质量浓度占标率</w:t>
            </w:r>
            <w:r>
              <w:rPr>
                <w:rFonts w:hint="eastAsia"/>
                <w:color w:val="auto"/>
                <w:sz w:val="21"/>
                <w:szCs w:val="21"/>
              </w:rPr>
              <w:t>，</w:t>
            </w:r>
            <w:r>
              <w:rPr>
                <w:color w:val="auto"/>
                <w:sz w:val="21"/>
                <w:szCs w:val="21"/>
              </w:rPr>
              <w:t>或短期浓度的达标情况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jc w:val="center"/>
        </w:trPr>
        <w:tc>
          <w:tcPr>
            <w:tcW w:w="68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12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新增所有源</w:t>
            </w:r>
          </w:p>
        </w:tc>
        <w:tc>
          <w:tcPr>
            <w:tcW w:w="66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非正常排放</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1h平均质量浓度</w:t>
            </w:r>
          </w:p>
        </w:tc>
        <w:tc>
          <w:tcPr>
            <w:tcW w:w="14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最大浓度占标率</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default" w:eastAsia="宋体"/>
          <w:color w:val="auto"/>
          <w:lang w:val="en-US" w:eastAsia="zh-CN"/>
        </w:rPr>
      </w:pPr>
      <w:r>
        <w:rPr>
          <w:rFonts w:hint="eastAsia"/>
          <w:color w:val="auto"/>
          <w:lang w:eastAsia="zh-CN"/>
        </w:rPr>
        <w:t>本项目排放污染物为</w:t>
      </w: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S，周边不存在其他在建、拟建污染源、区域削减污染源，项目无“以新带老”污染源。项目预测评价内容为：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rPr>
      </w:pPr>
      <w:r>
        <w:rPr>
          <w:rFonts w:hint="eastAsia"/>
          <w:color w:val="auto"/>
        </w:rPr>
        <w:t>（1）项目正常排放条件下，预测环境空气保护目标和网格点主要污染物的短期浓度贡献值，评价其最大浓度占标率；</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rPr>
      </w:pPr>
      <w:r>
        <w:rPr>
          <w:rFonts w:hint="eastAsia"/>
          <w:color w:val="auto"/>
        </w:rPr>
        <w:t>（2）项目正常排放条件下，预测评价叠加环境空气质量现状浓度后，环境空气保护目标和网格点主要污染物的</w:t>
      </w:r>
      <w:r>
        <w:rPr>
          <w:rFonts w:hint="eastAsia"/>
          <w:color w:val="auto"/>
          <w:lang w:eastAsia="zh-CN"/>
        </w:rPr>
        <w:t>短期浓度</w:t>
      </w:r>
      <w:r>
        <w:rPr>
          <w:rFonts w:hint="eastAsia"/>
          <w:color w:val="auto"/>
        </w:rPr>
        <w:t>达标情况；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rPr>
      </w:pPr>
      <w:r>
        <w:rPr>
          <w:rFonts w:hint="eastAsia"/>
          <w:color w:val="auto"/>
        </w:rPr>
        <w:t>（3）非正常排放情况下，预测评价环境空气保护目标和网格点主要污染物1h最大浓度贡献值及占标率。</w:t>
      </w:r>
    </w:p>
    <w:p>
      <w:pPr>
        <w:pStyle w:val="8"/>
        <w:spacing w:before="0" w:after="0" w:line="377" w:lineRule="auto"/>
        <w:ind w:firstLine="0" w:firstLineChars="0"/>
        <w:rPr>
          <w:rFonts w:hint="eastAsia" w:ascii="Times New Roman" w:hAnsi="Times New Roman" w:eastAsia="宋体"/>
          <w:color w:val="auto"/>
          <w:kern w:val="21"/>
          <w:sz w:val="24"/>
          <w:szCs w:val="24"/>
          <w:lang w:eastAsia="zh-CN"/>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3</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lang w:val="en-US" w:eastAsia="zh-CN"/>
        </w:rPr>
        <w:t>3</w:t>
      </w:r>
      <w:r>
        <w:rPr>
          <w:rFonts w:hint="eastAsia" w:ascii="Times New Roman" w:hAnsi="Times New Roman" w:eastAsia="宋体"/>
          <w:color w:val="auto"/>
          <w:kern w:val="21"/>
          <w:sz w:val="24"/>
          <w:szCs w:val="24"/>
          <w:lang w:eastAsia="zh-CN"/>
        </w:rPr>
        <w:t>正常排放预测结果及评价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olor w:val="auto"/>
        </w:rPr>
      </w:pPr>
      <w:r>
        <w:rPr>
          <w:rFonts w:hint="eastAsia"/>
          <w:color w:val="auto"/>
        </w:rPr>
        <w:t>1、</w:t>
      </w:r>
      <w:r>
        <w:rPr>
          <w:rFonts w:hint="eastAsia"/>
          <w:color w:val="auto"/>
          <w:lang w:val="en-US" w:eastAsia="zh-CN"/>
        </w:rPr>
        <w:t>NH</w:t>
      </w:r>
      <w:r>
        <w:rPr>
          <w:rFonts w:hint="eastAsia"/>
          <w:color w:val="auto"/>
          <w:vertAlign w:val="subscript"/>
          <w:lang w:val="en-US" w:eastAsia="zh-CN"/>
        </w:rPr>
        <w:t>3</w:t>
      </w:r>
      <w:r>
        <w:rPr>
          <w:rFonts w:hint="eastAsia"/>
          <w:color w:val="auto"/>
        </w:rPr>
        <w:t>影响预测分析</w:t>
      </w:r>
    </w:p>
    <w:p>
      <w:pPr>
        <w:spacing w:line="360" w:lineRule="auto"/>
        <w:ind w:firstLine="482"/>
        <w:rPr>
          <w:color w:val="auto"/>
        </w:rPr>
      </w:pPr>
      <w:r>
        <w:rPr>
          <w:rFonts w:hint="eastAsia"/>
          <w:color w:val="auto"/>
        </w:rPr>
        <w:t>正常工况条件下，本项目NH</w:t>
      </w:r>
      <w:r>
        <w:rPr>
          <w:rFonts w:hint="eastAsia"/>
          <w:color w:val="auto"/>
          <w:vertAlign w:val="subscript"/>
        </w:rPr>
        <w:t>3</w:t>
      </w:r>
      <w:r>
        <w:rPr>
          <w:rFonts w:hint="eastAsia"/>
          <w:color w:val="auto"/>
        </w:rPr>
        <w:t>对环境空气保护目标和网格点的短期浓度贡献值预测结果和环境质量现状浓度后环境空气保护目标和网格点最大小时质量浓度预测结果如下所示。</w:t>
      </w:r>
    </w:p>
    <w:p>
      <w:pPr>
        <w:numPr>
          <w:ilvl w:val="0"/>
          <w:numId w:val="11"/>
        </w:numPr>
        <w:tabs>
          <w:tab w:val="left" w:pos="3395"/>
          <w:tab w:val="clear" w:pos="0"/>
        </w:tabs>
        <w:ind w:left="0" w:leftChars="0" w:firstLine="0" w:firstLineChars="0"/>
        <w:jc w:val="center"/>
        <w:rPr>
          <w:b/>
          <w:bCs/>
          <w:color w:val="auto"/>
        </w:rPr>
      </w:pPr>
      <w:r>
        <w:rPr>
          <w:rFonts w:hint="eastAsia"/>
          <w:b/>
          <w:bCs/>
          <w:color w:val="auto"/>
        </w:rPr>
        <w:t>本</w:t>
      </w:r>
      <w:r>
        <w:rPr>
          <w:b/>
          <w:bCs/>
          <w:color w:val="auto"/>
        </w:rPr>
        <w:t>项目</w:t>
      </w:r>
      <w:r>
        <w:rPr>
          <w:rFonts w:hint="eastAsia"/>
          <w:b/>
          <w:bCs/>
          <w:color w:val="auto"/>
        </w:rPr>
        <w:t>NH</w:t>
      </w:r>
      <w:r>
        <w:rPr>
          <w:rFonts w:hint="eastAsia"/>
          <w:b/>
          <w:bCs/>
          <w:color w:val="auto"/>
          <w:vertAlign w:val="subscript"/>
        </w:rPr>
        <w:t>3</w:t>
      </w:r>
      <w:r>
        <w:rPr>
          <w:rFonts w:hint="eastAsia"/>
          <w:b/>
          <w:bCs/>
          <w:color w:val="auto"/>
        </w:rPr>
        <w:t>小时最大贡献值预测结果表</w:t>
      </w:r>
    </w:p>
    <w:tbl>
      <w:tblPr>
        <w:tblStyle w:val="51"/>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564"/>
        <w:gridCol w:w="910"/>
        <w:gridCol w:w="2317"/>
        <w:gridCol w:w="1243"/>
        <w:gridCol w:w="1231"/>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平均时间</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出现时刻</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贡献值(ug/m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标准值(ug/m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董家村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2020/12/25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0.12</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阳光花园</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2020/1/20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0.53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香颂美地</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小东村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2020/1/10 8:00:00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0.40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彝海北岸</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2020/1/26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鹿鸣清城</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2020/12/25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蔡家湾</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2020/9/12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思源实验学校</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2020/7/1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1.08</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黄土坡</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0.63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汪家屯小区</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2020/1/20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0.36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耳东屯</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2020/9/17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0.37</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蔡家冲小区</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2020/12/23 4:00:00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0.12</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潘家村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2020/10/26 0:00:00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0.17</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团山</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2020/1/19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玖龙国际</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2020/7/1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孙家</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2020/4/11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0.31</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茶花树小区</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2020/11/9 1:00:00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0.28</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尹旗屯</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0.29</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福德苑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2020/2/23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荷花村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2020/12/25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朱瓜冲</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2020/10/12 21:00:00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0.49</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黑泥坝</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建华东城印象</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2020/9/19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0.24</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李家庵村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2020/12/23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0.28</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吴家村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2020/2/17 5:00:00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中梁国宾府</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2020/5/29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彝海大成</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2020/4/28 23:00:00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0.17</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楚风苑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2020/1/9 23:00:00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谢家村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2020/3/24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0.12</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沙溪冲</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2020/1/21 8:00:00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0.25</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盛世舒苑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2020/1/26 0:00:00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0.58</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刘家</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2020/8/27 0:00:00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1.17</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lang w:val="en-US"/>
              </w:rPr>
            </w:pPr>
            <w:r>
              <w:rPr>
                <w:rFonts w:hint="default" w:ascii="Times New Roman" w:hAnsi="Times New Roman" w:eastAsia="Tahoma" w:cs="Times New Roman"/>
                <w:i w:val="0"/>
                <w:iCs w:val="0"/>
                <w:color w:val="auto"/>
                <w:kern w:val="0"/>
                <w:sz w:val="21"/>
                <w:szCs w:val="21"/>
                <w:u w:val="none"/>
                <w:lang w:val="en-US" w:eastAsia="zh-CN" w:bidi="ar"/>
              </w:rPr>
              <w:t>区域最大值(82.82,-56.1)</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2020/3/13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36.01</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18.00</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olor w:val="auto"/>
        </w:rPr>
      </w:pPr>
    </w:p>
    <w:p>
      <w:pPr>
        <w:pStyle w:val="23"/>
        <w:rPr>
          <w:rFonts w:hint="eastAsia"/>
          <w:color w:val="auto"/>
        </w:rPr>
      </w:pPr>
    </w:p>
    <w:p>
      <w:pPr>
        <w:numPr>
          <w:ilvl w:val="0"/>
          <w:numId w:val="11"/>
        </w:numPr>
        <w:tabs>
          <w:tab w:val="left" w:pos="3395"/>
          <w:tab w:val="clear" w:pos="0"/>
        </w:tabs>
        <w:ind w:left="0" w:leftChars="0" w:firstLine="0" w:firstLineChars="0"/>
        <w:jc w:val="center"/>
        <w:rPr>
          <w:b/>
          <w:bCs/>
          <w:color w:val="auto"/>
        </w:rPr>
      </w:pPr>
      <w:r>
        <w:rPr>
          <w:rFonts w:hint="eastAsia"/>
          <w:b/>
          <w:bCs/>
          <w:color w:val="auto"/>
        </w:rPr>
        <w:t>NH</w:t>
      </w:r>
      <w:r>
        <w:rPr>
          <w:rFonts w:hint="eastAsia"/>
          <w:b/>
          <w:bCs/>
          <w:color w:val="auto"/>
          <w:vertAlign w:val="subscript"/>
        </w:rPr>
        <w:t>3</w:t>
      </w:r>
      <w:r>
        <w:rPr>
          <w:rFonts w:hint="eastAsia"/>
          <w:b/>
          <w:bCs/>
          <w:color w:val="auto"/>
        </w:rPr>
        <w:t>小时</w:t>
      </w:r>
      <w:r>
        <w:rPr>
          <w:rFonts w:hint="eastAsia"/>
          <w:b/>
          <w:bCs/>
          <w:color w:val="auto"/>
          <w:lang w:eastAsia="zh-CN"/>
        </w:rPr>
        <w:t>浓度叠加值</w:t>
      </w:r>
      <w:r>
        <w:rPr>
          <w:rFonts w:hint="eastAsia"/>
          <w:b/>
          <w:bCs/>
          <w:color w:val="auto"/>
        </w:rPr>
        <w:t>预测结果表</w:t>
      </w:r>
    </w:p>
    <w:tbl>
      <w:tblPr>
        <w:tblStyle w:val="51"/>
        <w:tblW w:w="9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521"/>
        <w:gridCol w:w="715"/>
        <w:gridCol w:w="2317"/>
        <w:gridCol w:w="865"/>
        <w:gridCol w:w="911"/>
        <w:gridCol w:w="878"/>
        <w:gridCol w:w="900"/>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2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平均时间</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出现时刻</w:t>
            </w:r>
          </w:p>
        </w:tc>
        <w:tc>
          <w:tcPr>
            <w:tcW w:w="865"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贡献值(ug/m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eastAsia="zh-CN"/>
              </w:rPr>
              <w:t>背景值</w:t>
            </w:r>
            <w:r>
              <w:rPr>
                <w:rFonts w:hint="default" w:ascii="Times New Roman" w:hAnsi="Times New Roman" w:cs="Times New Roman"/>
                <w:color w:val="auto"/>
                <w:kern w:val="0"/>
                <w:sz w:val="21"/>
                <w:szCs w:val="21"/>
              </w:rPr>
              <w:t>(ug/m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878"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eastAsia="zh-CN"/>
              </w:rPr>
              <w:t>叠加</w:t>
            </w:r>
            <w:r>
              <w:rPr>
                <w:rFonts w:hint="default" w:ascii="Times New Roman" w:hAnsi="Times New Roman" w:cs="Times New Roman"/>
                <w:color w:val="auto"/>
                <w:kern w:val="0"/>
                <w:sz w:val="21"/>
                <w:szCs w:val="21"/>
              </w:rPr>
              <w:t>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90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标准值(ug/m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766"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董家村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2020/12/25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0.12</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80.12</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阳光花园</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2020/1/20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0.53</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80.53</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香颂美地</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0.20</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80.2</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4</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小东村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2020/1/10 8:00:00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0.40</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80.4</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5</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彝海北岸</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2020/1/26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0.16</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80.16</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6</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鹿鸣清城</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2020/12/25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0.10</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7</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蔡家湾</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2020/9/12 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0.16</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80.16</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8</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思源实验学校</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2020/7/1 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1.08</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81.08</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9</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黄土坡</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0.63</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80.63</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10</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汪家屯小区</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2020/1/20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0.36</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80.36</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11</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耳东屯</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2020/9/17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0.37</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80.37</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12</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蔡家冲小区</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2020/12/23 4:00:00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0.12</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80.12</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13</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潘家村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2020/10/26 0:00:00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0.17</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80.17</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14</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团山</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2020/1/19 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0.10</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15</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玖龙国际</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2020/7/1 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0.20</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80.2</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16</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孙家</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2020/4/11 6:00:00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0.31</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80.31</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17</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茶花树小区</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2020/11/9 1:00:00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0.28</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80.28</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18</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尹旗屯</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0.29</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80.29</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19</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福德苑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2020/2/23 6:00:00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0.13</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80.13</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荷花村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2020/12/25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0.13</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80.13</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21</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朱瓜冲</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2020/10/12 21:00:00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0.49</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80.49</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22</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黑泥坝</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0.10</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23</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建华东城印象</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2020/9/19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0.24</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80.24</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24</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李家庵村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2020/12/23 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0.28</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80.28</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25</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吴家村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2020/2/17 5:00:00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0.23</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80.23</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26</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中梁国宾府</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2020/5/29 6:00:00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0.13</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80.13</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27</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彝海大成</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2020/4/28 23:00:00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0.17</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80.17</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28</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楚风苑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2020/1/9 23:00:00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0.16</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80.16</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29</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谢家村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2020/3/24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0.12</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80.12</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30</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沙溪冲</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2020/1/21 8:00:00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0.25</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80.25</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31</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盛世舒苑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2020/1/26 0:00:00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0.58</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80.58</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32</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刘家</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2020/8/27 0:00:00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1.17</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81.17</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33</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lang w:val="en-US"/>
              </w:rPr>
            </w:pPr>
            <w:r>
              <w:rPr>
                <w:rFonts w:hint="default" w:ascii="Times New Roman" w:hAnsi="Times New Roman" w:eastAsia="Tahoma" w:cs="Times New Roman"/>
                <w:i w:val="0"/>
                <w:iCs w:val="0"/>
                <w:color w:val="auto"/>
                <w:kern w:val="0"/>
                <w:sz w:val="21"/>
                <w:szCs w:val="21"/>
                <w:u w:val="none"/>
                <w:lang w:val="en-US" w:eastAsia="zh-CN" w:bidi="ar"/>
              </w:rPr>
              <w:t>区域最大值(82.82,-56.1)</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2020/3/13 6:00:00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36.01</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8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116.01</w:t>
            </w:r>
          </w:p>
        </w:tc>
        <w:tc>
          <w:tcPr>
            <w:tcW w:w="9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58.01</w:t>
            </w:r>
          </w:p>
        </w:tc>
      </w:tr>
    </w:tbl>
    <w:p>
      <w:pPr>
        <w:spacing w:line="360" w:lineRule="auto"/>
        <w:ind w:firstLine="480" w:firstLineChars="200"/>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719445" cy="4110355"/>
            <wp:effectExtent l="0" t="0" r="14605" b="4445"/>
            <wp:docPr id="32" name="图片 32" descr="NH3贡献值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NH3贡献值11"/>
                    <pic:cNvPicPr>
                      <a:picLocks noChangeAspect="1"/>
                    </pic:cNvPicPr>
                  </pic:nvPicPr>
                  <pic:blipFill>
                    <a:blip r:embed="rId60"/>
                    <a:srcRect b="2011"/>
                    <a:stretch>
                      <a:fillRect/>
                    </a:stretch>
                  </pic:blipFill>
                  <pic:spPr>
                    <a:xfrm>
                      <a:off x="0" y="0"/>
                      <a:ext cx="5719445" cy="4110355"/>
                    </a:xfrm>
                    <a:prstGeom prst="rect">
                      <a:avLst/>
                    </a:prstGeom>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rStyle w:val="58"/>
          <w:b/>
          <w:bCs/>
          <w:color w:val="auto"/>
          <w:sz w:val="24"/>
          <w:szCs w:val="24"/>
        </w:rPr>
      </w:pPr>
      <w:r>
        <w:rPr>
          <w:rStyle w:val="58"/>
          <w:rFonts w:hint="eastAsia"/>
          <w:b/>
          <w:bCs/>
          <w:color w:val="auto"/>
          <w:sz w:val="24"/>
          <w:szCs w:val="24"/>
          <w:lang w:val="en-US" w:eastAsia="zh-CN"/>
        </w:rPr>
        <w:t>NH</w:t>
      </w:r>
      <w:r>
        <w:rPr>
          <w:rStyle w:val="58"/>
          <w:rFonts w:hint="eastAsia"/>
          <w:b/>
          <w:bCs/>
          <w:color w:val="auto"/>
          <w:sz w:val="24"/>
          <w:szCs w:val="24"/>
          <w:vertAlign w:val="subscript"/>
          <w:lang w:val="en-US" w:eastAsia="zh-CN"/>
        </w:rPr>
        <w:t>3</w:t>
      </w:r>
      <w:r>
        <w:rPr>
          <w:rStyle w:val="58"/>
          <w:rFonts w:hint="eastAsia"/>
          <w:b/>
          <w:bCs/>
          <w:color w:val="auto"/>
          <w:sz w:val="24"/>
          <w:szCs w:val="24"/>
          <w:lang w:val="en-US" w:eastAsia="zh-CN"/>
        </w:rPr>
        <w:t>小时最大浓度贡献值分布图  单位：ug/m</w:t>
      </w:r>
      <w:r>
        <w:rPr>
          <w:rStyle w:val="58"/>
          <w:rFonts w:hint="eastAsia"/>
          <w:b/>
          <w:bCs/>
          <w:color w:val="auto"/>
          <w:sz w:val="24"/>
          <w:szCs w:val="24"/>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751830" cy="4115435"/>
            <wp:effectExtent l="0" t="0" r="1270" b="18415"/>
            <wp:docPr id="37" name="图片 37" descr="NH3叠加之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NH3叠加之11"/>
                    <pic:cNvPicPr>
                      <a:picLocks noChangeAspect="1"/>
                    </pic:cNvPicPr>
                  </pic:nvPicPr>
                  <pic:blipFill>
                    <a:blip r:embed="rId61"/>
                    <a:srcRect b="1658"/>
                    <a:stretch>
                      <a:fillRect/>
                    </a:stretch>
                  </pic:blipFill>
                  <pic:spPr>
                    <a:xfrm>
                      <a:off x="0" y="0"/>
                      <a:ext cx="5751830" cy="4115435"/>
                    </a:xfrm>
                    <a:prstGeom prst="rect">
                      <a:avLst/>
                    </a:prstGeom>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rStyle w:val="58"/>
          <w:b/>
          <w:bCs/>
          <w:color w:val="auto"/>
          <w:sz w:val="24"/>
          <w:szCs w:val="24"/>
        </w:rPr>
      </w:pPr>
      <w:r>
        <w:rPr>
          <w:rStyle w:val="58"/>
          <w:rFonts w:hint="eastAsia"/>
          <w:b/>
          <w:bCs/>
          <w:color w:val="auto"/>
          <w:sz w:val="24"/>
          <w:szCs w:val="24"/>
          <w:lang w:val="en-US" w:eastAsia="zh-CN"/>
        </w:rPr>
        <w:t>NH</w:t>
      </w:r>
      <w:r>
        <w:rPr>
          <w:rStyle w:val="58"/>
          <w:rFonts w:hint="eastAsia"/>
          <w:b/>
          <w:bCs/>
          <w:color w:val="auto"/>
          <w:sz w:val="24"/>
          <w:szCs w:val="24"/>
          <w:vertAlign w:val="subscript"/>
          <w:lang w:val="en-US" w:eastAsia="zh-CN"/>
        </w:rPr>
        <w:t>3</w:t>
      </w:r>
      <w:r>
        <w:rPr>
          <w:rStyle w:val="58"/>
          <w:rFonts w:hint="eastAsia"/>
          <w:b/>
          <w:bCs/>
          <w:color w:val="auto"/>
          <w:sz w:val="24"/>
          <w:szCs w:val="24"/>
          <w:lang w:val="en-US" w:eastAsia="zh-CN"/>
        </w:rPr>
        <w:t>小时浓度叠加值分布图  单位：ug/m</w:t>
      </w:r>
      <w:r>
        <w:rPr>
          <w:rStyle w:val="58"/>
          <w:rFonts w:hint="eastAsia"/>
          <w:b/>
          <w:bCs/>
          <w:color w:val="auto"/>
          <w:sz w:val="24"/>
          <w:szCs w:val="24"/>
          <w:vertAlign w:val="superscript"/>
          <w:lang w:val="en-US" w:eastAsia="zh-CN"/>
        </w:rPr>
        <w:t>3</w:t>
      </w:r>
    </w:p>
    <w:p>
      <w:pPr>
        <w:spacing w:line="360" w:lineRule="auto"/>
        <w:ind w:firstLine="480" w:firstLineChars="200"/>
        <w:rPr>
          <w:color w:val="auto"/>
        </w:rPr>
      </w:pPr>
      <w:r>
        <w:rPr>
          <w:rFonts w:hint="eastAsia"/>
          <w:color w:val="auto"/>
        </w:rPr>
        <w:t>本项目正常排放情况下，</w:t>
      </w:r>
      <w:r>
        <w:rPr>
          <w:rStyle w:val="58"/>
          <w:rFonts w:hint="eastAsia"/>
          <w:color w:val="auto"/>
          <w:sz w:val="24"/>
          <w:szCs w:val="24"/>
        </w:rPr>
        <w:t>NH</w:t>
      </w:r>
      <w:r>
        <w:rPr>
          <w:rStyle w:val="58"/>
          <w:rFonts w:hint="eastAsia"/>
          <w:color w:val="auto"/>
          <w:sz w:val="24"/>
          <w:szCs w:val="24"/>
          <w:vertAlign w:val="subscript"/>
        </w:rPr>
        <w:t>3</w:t>
      </w:r>
      <w:r>
        <w:rPr>
          <w:rFonts w:hint="eastAsia"/>
          <w:color w:val="auto"/>
        </w:rPr>
        <w:t>在评价范围内厂界外小时最大贡献值占标率为</w:t>
      </w:r>
      <w:r>
        <w:rPr>
          <w:rFonts w:hint="eastAsia"/>
          <w:color w:val="auto"/>
          <w:lang w:val="en-US" w:eastAsia="zh-CN"/>
        </w:rPr>
        <w:t>18</w:t>
      </w:r>
      <w:r>
        <w:rPr>
          <w:rFonts w:hint="eastAsia"/>
          <w:color w:val="auto"/>
        </w:rPr>
        <w:t>%，小于100%；叠加环境质量现状浓度后，评价范围内厂界外小时浓度预测值</w:t>
      </w:r>
      <w:r>
        <w:rPr>
          <w:rFonts w:hint="eastAsia"/>
          <w:color w:val="auto"/>
          <w:lang w:eastAsia="zh-CN"/>
        </w:rPr>
        <w:t>最大</w:t>
      </w:r>
      <w:r>
        <w:rPr>
          <w:rFonts w:hint="eastAsia"/>
          <w:color w:val="auto"/>
        </w:rPr>
        <w:t>占标率为</w:t>
      </w:r>
      <w:r>
        <w:rPr>
          <w:rFonts w:hint="eastAsia"/>
          <w:color w:val="auto"/>
          <w:lang w:val="en-US" w:eastAsia="zh-CN"/>
        </w:rPr>
        <w:t>58.01</w:t>
      </w:r>
      <w:r>
        <w:rPr>
          <w:rFonts w:hint="eastAsia"/>
          <w:color w:val="auto"/>
        </w:rPr>
        <w:t>%，能满足《环境影响评价技术</w:t>
      </w:r>
      <w:r>
        <w:rPr>
          <w:rFonts w:hint="eastAsia"/>
          <w:color w:val="auto"/>
          <w:lang w:eastAsia="zh-CN"/>
        </w:rPr>
        <w:t>导则 大气环境</w:t>
      </w:r>
      <w:r>
        <w:rPr>
          <w:rFonts w:hint="eastAsia"/>
          <w:color w:val="auto"/>
        </w:rPr>
        <w:t>》（HJ2.2-2018）附录D浓度参考限值。</w:t>
      </w:r>
    </w:p>
    <w:p>
      <w:pPr>
        <w:spacing w:line="360" w:lineRule="auto"/>
        <w:ind w:firstLine="480" w:firstLineChars="200"/>
        <w:rPr>
          <w:color w:val="auto"/>
        </w:rPr>
      </w:pPr>
      <w:r>
        <w:rPr>
          <w:rFonts w:hint="eastAsia"/>
          <w:color w:val="auto"/>
          <w:lang w:val="en-US" w:eastAsia="zh-CN"/>
        </w:rPr>
        <w:t>2</w:t>
      </w:r>
      <w:r>
        <w:rPr>
          <w:rFonts w:hint="eastAsia"/>
          <w:color w:val="auto"/>
        </w:rPr>
        <w:t>、H</w:t>
      </w:r>
      <w:r>
        <w:rPr>
          <w:rFonts w:hint="eastAsia"/>
          <w:color w:val="auto"/>
          <w:vertAlign w:val="subscript"/>
        </w:rPr>
        <w:t>2</w:t>
      </w:r>
      <w:r>
        <w:rPr>
          <w:rFonts w:hint="eastAsia"/>
          <w:color w:val="auto"/>
        </w:rPr>
        <w:t>S影响预测分析</w:t>
      </w:r>
    </w:p>
    <w:p>
      <w:pPr>
        <w:spacing w:line="360" w:lineRule="auto"/>
        <w:ind w:firstLine="480" w:firstLineChars="200"/>
        <w:rPr>
          <w:color w:val="auto"/>
        </w:rPr>
      </w:pPr>
      <w:r>
        <w:rPr>
          <w:rFonts w:hint="eastAsia"/>
          <w:color w:val="auto"/>
        </w:rPr>
        <w:t>正常工况条件下，本项目H</w:t>
      </w:r>
      <w:r>
        <w:rPr>
          <w:rFonts w:hint="eastAsia"/>
          <w:color w:val="auto"/>
          <w:vertAlign w:val="subscript"/>
        </w:rPr>
        <w:t>2</w:t>
      </w:r>
      <w:r>
        <w:rPr>
          <w:rFonts w:hint="eastAsia"/>
          <w:color w:val="auto"/>
        </w:rPr>
        <w:t>S对环境空气保护目标和网格点的短期浓度贡献值预测结果和环境质量现状浓度后环境空气保护目标和网格点最大小时质量浓度预测结果如下所示。</w:t>
      </w:r>
    </w:p>
    <w:p>
      <w:pPr>
        <w:numPr>
          <w:ilvl w:val="0"/>
          <w:numId w:val="11"/>
        </w:numPr>
        <w:tabs>
          <w:tab w:val="left" w:pos="3395"/>
          <w:tab w:val="clear" w:pos="0"/>
        </w:tabs>
        <w:ind w:left="0" w:leftChars="0" w:firstLine="0" w:firstLineChars="0"/>
        <w:jc w:val="center"/>
        <w:rPr>
          <w:b/>
          <w:bCs/>
          <w:color w:val="auto"/>
        </w:rPr>
      </w:pPr>
      <w:r>
        <w:rPr>
          <w:rFonts w:hint="eastAsia"/>
          <w:b/>
          <w:bCs/>
          <w:color w:val="auto"/>
        </w:rPr>
        <w:t>本</w:t>
      </w:r>
      <w:r>
        <w:rPr>
          <w:b/>
          <w:bCs/>
          <w:color w:val="auto"/>
        </w:rPr>
        <w:t>项目</w:t>
      </w:r>
      <w:r>
        <w:rPr>
          <w:rFonts w:hint="eastAsia"/>
          <w:b/>
          <w:bCs/>
          <w:color w:val="auto"/>
        </w:rPr>
        <w:t>H</w:t>
      </w:r>
      <w:r>
        <w:rPr>
          <w:rFonts w:hint="eastAsia"/>
          <w:b/>
          <w:bCs/>
          <w:color w:val="auto"/>
          <w:vertAlign w:val="subscript"/>
          <w:lang w:val="en-US" w:eastAsia="zh-CN"/>
        </w:rPr>
        <w:t>2</w:t>
      </w:r>
      <w:r>
        <w:rPr>
          <w:rFonts w:hint="eastAsia"/>
          <w:b/>
          <w:bCs/>
          <w:color w:val="auto"/>
          <w:vertAlign w:val="baseline"/>
          <w:lang w:val="en-US" w:eastAsia="zh-CN"/>
        </w:rPr>
        <w:t>S</w:t>
      </w:r>
      <w:r>
        <w:rPr>
          <w:rFonts w:hint="eastAsia"/>
          <w:b/>
          <w:bCs/>
          <w:color w:val="auto"/>
        </w:rPr>
        <w:t>小时最大贡献值预测结果表</w:t>
      </w:r>
    </w:p>
    <w:tbl>
      <w:tblPr>
        <w:tblStyle w:val="51"/>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564"/>
        <w:gridCol w:w="910"/>
        <w:gridCol w:w="2317"/>
        <w:gridCol w:w="1243"/>
        <w:gridCol w:w="1231"/>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平均时间</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出现时刻</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贡献值(ug/m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标准值(ug/m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董家村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2020/12/25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阳光花园</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2020/10/25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香颂美地</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2020/7/1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小东村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2020/11/23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0.0015</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彝海北岸</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2020/2/17 5:00:00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0.0007</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鹿鸣清城</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2020/12/25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蔡家湾</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2020/9/12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思源实验学校</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2020/7/1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0.0051</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黄土坡</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2020/11/12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0.0026</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汪家屯小区</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2020/10/10 22:00:00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0.0016</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耳东屯</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2020/9/17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0.0012</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蔡家冲小区</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2020/9/11 1:00:00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潘家村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2020/10/26 0:00:00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团山</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2020/3/13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玖龙国际</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2020/7/1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孙家</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2020/12/24 8:00:00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0.0010</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茶花树小区</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2020/11/9 1:00:00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0.0013</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尹旗屯</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2020/5/17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0.0011</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福德苑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2020/11/12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荷花村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2020/12/25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朱瓜冲</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2020/10/12 21:00:00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0.0016</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黑泥坝</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2020/5/17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建华东城印象</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2020/9/19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0.0012</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李家庵村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2020/12/23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0.0013</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吴家村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2020/2/17 5:00:00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0.0011</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中梁国宾府</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2020/12/23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彝海大成</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2020/9/19 4:00:00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楚风苑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2020/1/9 23:00:00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谢家村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2020/3/24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沙溪冲</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2020/1/21 8:00:00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盛世舒苑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2020/9/11 20:00:00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0.0026</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刘家</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2020/8/27 23:00:00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0.0040</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lang w:val="en-US"/>
              </w:rPr>
            </w:pPr>
            <w:r>
              <w:rPr>
                <w:rFonts w:hint="default" w:ascii="Times New Roman" w:hAnsi="Times New Roman" w:eastAsia="Tahoma" w:cs="Times New Roman"/>
                <w:i w:val="0"/>
                <w:iCs w:val="0"/>
                <w:color w:val="auto"/>
                <w:kern w:val="0"/>
                <w:sz w:val="21"/>
                <w:szCs w:val="21"/>
                <w:u w:val="none"/>
                <w:lang w:val="en-US" w:eastAsia="zh-CN" w:bidi="ar"/>
              </w:rPr>
              <w:t>区域最大值(</w:t>
            </w:r>
            <w:r>
              <w:rPr>
                <w:rFonts w:hint="eastAsia" w:eastAsia="Tahoma" w:cs="Times New Roman"/>
                <w:i w:val="0"/>
                <w:iCs w:val="0"/>
                <w:color w:val="auto"/>
                <w:kern w:val="0"/>
                <w:sz w:val="21"/>
                <w:szCs w:val="21"/>
                <w:u w:val="none"/>
                <w:lang w:val="en-US" w:eastAsia="zh-CN" w:bidi="ar"/>
              </w:rPr>
              <w:t>45</w:t>
            </w:r>
            <w:r>
              <w:rPr>
                <w:rFonts w:hint="default" w:ascii="Times New Roman" w:hAnsi="Times New Roman" w:eastAsia="Tahoma" w:cs="Times New Roman"/>
                <w:i w:val="0"/>
                <w:iCs w:val="0"/>
                <w:color w:val="auto"/>
                <w:kern w:val="0"/>
                <w:sz w:val="21"/>
                <w:szCs w:val="21"/>
                <w:u w:val="none"/>
                <w:lang w:val="en-US" w:eastAsia="zh-CN" w:bidi="ar"/>
              </w:rPr>
              <w:t>,-5)</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2020/9/19 21:00:00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0.1280</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1.2800</w:t>
            </w:r>
          </w:p>
        </w:tc>
      </w:tr>
    </w:tbl>
    <w:p>
      <w:pPr>
        <w:numPr>
          <w:ilvl w:val="0"/>
          <w:numId w:val="11"/>
        </w:numPr>
        <w:tabs>
          <w:tab w:val="left" w:pos="3395"/>
          <w:tab w:val="clear" w:pos="0"/>
        </w:tabs>
        <w:ind w:left="0" w:leftChars="0" w:firstLine="0" w:firstLineChars="0"/>
        <w:jc w:val="center"/>
        <w:rPr>
          <w:b/>
          <w:bCs/>
          <w:color w:val="auto"/>
        </w:rPr>
      </w:pPr>
      <w:r>
        <w:rPr>
          <w:rFonts w:hint="eastAsia"/>
          <w:b/>
          <w:bCs/>
          <w:color w:val="auto"/>
        </w:rPr>
        <w:t>H</w:t>
      </w:r>
      <w:r>
        <w:rPr>
          <w:rFonts w:hint="eastAsia"/>
          <w:b/>
          <w:bCs/>
          <w:color w:val="auto"/>
          <w:vertAlign w:val="subscript"/>
          <w:lang w:val="en-US" w:eastAsia="zh-CN"/>
        </w:rPr>
        <w:t>2</w:t>
      </w:r>
      <w:r>
        <w:rPr>
          <w:rFonts w:hint="eastAsia"/>
          <w:b/>
          <w:bCs/>
          <w:color w:val="auto"/>
          <w:vertAlign w:val="baseline"/>
          <w:lang w:val="en-US" w:eastAsia="zh-CN"/>
        </w:rPr>
        <w:t>S</w:t>
      </w:r>
      <w:r>
        <w:rPr>
          <w:rFonts w:hint="eastAsia"/>
          <w:b/>
          <w:bCs/>
          <w:color w:val="auto"/>
        </w:rPr>
        <w:t>小时</w:t>
      </w:r>
      <w:r>
        <w:rPr>
          <w:rFonts w:hint="eastAsia"/>
          <w:b/>
          <w:bCs/>
          <w:color w:val="auto"/>
          <w:lang w:eastAsia="zh-CN"/>
        </w:rPr>
        <w:t>浓度叠加值</w:t>
      </w:r>
      <w:r>
        <w:rPr>
          <w:rFonts w:hint="eastAsia"/>
          <w:b/>
          <w:bCs/>
          <w:color w:val="auto"/>
        </w:rPr>
        <w:t>预测结果表</w:t>
      </w:r>
    </w:p>
    <w:tbl>
      <w:tblPr>
        <w:tblStyle w:val="51"/>
        <w:tblW w:w="9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521"/>
        <w:gridCol w:w="715"/>
        <w:gridCol w:w="2317"/>
        <w:gridCol w:w="865"/>
        <w:gridCol w:w="911"/>
        <w:gridCol w:w="878"/>
        <w:gridCol w:w="900"/>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2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平均时间</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出现时刻</w:t>
            </w:r>
          </w:p>
        </w:tc>
        <w:tc>
          <w:tcPr>
            <w:tcW w:w="865"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贡献值(ug/m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91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eastAsia="zh-CN"/>
              </w:rPr>
              <w:t>背景值</w:t>
            </w:r>
            <w:r>
              <w:rPr>
                <w:rFonts w:hint="default" w:ascii="Times New Roman" w:hAnsi="Times New Roman" w:cs="Times New Roman"/>
                <w:color w:val="auto"/>
                <w:kern w:val="0"/>
                <w:sz w:val="21"/>
                <w:szCs w:val="21"/>
              </w:rPr>
              <w:t>(ug/m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878"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eastAsia="zh-CN"/>
              </w:rPr>
              <w:t>叠加</w:t>
            </w:r>
            <w:r>
              <w:rPr>
                <w:rFonts w:hint="default" w:ascii="Times New Roman" w:hAnsi="Times New Roman" w:cs="Times New Roman"/>
                <w:color w:val="auto"/>
                <w:kern w:val="0"/>
                <w:sz w:val="21"/>
                <w:szCs w:val="21"/>
              </w:rPr>
              <w:t>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90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标准值(ug/m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766"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董家村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2020/12/25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4.0006</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阳光花园</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2020/1/20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0.0018</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4.0018</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香颂美地</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4.0008</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4</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小东村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2020/1/10 8:00:00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0.0015</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4.0015</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5</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彝海北岸</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2020/1/26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0.0007</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4.0007</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6</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鹿鸣清城</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2020/12/25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4.0005</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7</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蔡家湾</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2020/9/12 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4.0008</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8</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思源实验学校</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2020/7/1 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0.0051</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4.0051</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9</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黄土坡</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0.0026</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4.0026</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10</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汪家屯小区</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2020/1/20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0.0016</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4.0016</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11</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耳东屯</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2020/9/17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0.0012</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4.0012</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12</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蔡家冲小区</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2020/12/23 4:00:00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4.0005</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13</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潘家村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2020/10/26 0:00:00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4.0008</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14</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团山</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2020/1/19 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4.0003</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15</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玖龙国际</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2020/7/1 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4.0009</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16</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孙家</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2020/4/11 6:00:00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0.0010</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17</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茶花树小区</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2020/11/9 1:00:00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0.0013</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4.0013</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18</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尹旗屯</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0.0011</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4.0011</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19</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福德苑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2020/2/23 6:00:00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4.0005</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荷花村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2020/12/25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4.0006</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21</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朱瓜冲</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2020/10/12 21:00:00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0.0016</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4.0016</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22</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黑泥坝</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2020/1/1 7:00:00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4.0004</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23</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建华东城印象</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2020/9/19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0.0012</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4.0012</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24</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李家庵村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2020/12/23 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0.0013</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4.0013</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25</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吴家村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2020/2/17 5:00:00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0.0011</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4.0011</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26</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中梁国宾府</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2020/5/29 6:00:00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4.0006</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27</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彝海大成</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2020/4/28 23:00:00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4.0008</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28</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楚风苑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2020/1/9 23:00:00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4.0005</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29</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谢家村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2020/3/24 2:00:00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4.0006</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30</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沙溪冲</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2020/1/21 8:00:00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4.0008</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31</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盛世舒苑</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2020/1/26 0:00:00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0.0026</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4.0026</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32</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刘家</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2020/8/27 0:00:00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0.0040</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4.004</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33</w:t>
            </w:r>
          </w:p>
        </w:tc>
        <w:tc>
          <w:tcPr>
            <w:tcW w:w="152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lang w:val="en-US"/>
              </w:rPr>
            </w:pPr>
            <w:r>
              <w:rPr>
                <w:rFonts w:hint="default" w:ascii="Times New Roman" w:hAnsi="Times New Roman" w:eastAsia="Tahoma" w:cs="Times New Roman"/>
                <w:i w:val="0"/>
                <w:iCs w:val="0"/>
                <w:color w:val="auto"/>
                <w:kern w:val="0"/>
                <w:sz w:val="21"/>
                <w:szCs w:val="21"/>
                <w:u w:val="none"/>
                <w:lang w:val="en-US" w:eastAsia="zh-CN" w:bidi="ar"/>
              </w:rPr>
              <w:t>区域最大值(</w:t>
            </w:r>
            <w:r>
              <w:rPr>
                <w:rFonts w:hint="eastAsia" w:eastAsia="Tahoma" w:cs="Times New Roman"/>
                <w:i w:val="0"/>
                <w:iCs w:val="0"/>
                <w:color w:val="auto"/>
                <w:kern w:val="0"/>
                <w:sz w:val="21"/>
                <w:szCs w:val="21"/>
                <w:u w:val="none"/>
                <w:lang w:val="en-US" w:eastAsia="zh-CN" w:bidi="ar"/>
              </w:rPr>
              <w:t>45</w:t>
            </w:r>
            <w:r>
              <w:rPr>
                <w:rFonts w:hint="default" w:ascii="Times New Roman" w:hAnsi="Times New Roman" w:eastAsia="Tahoma" w:cs="Times New Roman"/>
                <w:i w:val="0"/>
                <w:iCs w:val="0"/>
                <w:color w:val="auto"/>
                <w:kern w:val="0"/>
                <w:sz w:val="21"/>
                <w:szCs w:val="21"/>
                <w:u w:val="none"/>
                <w:lang w:val="en-US" w:eastAsia="zh-CN" w:bidi="ar"/>
              </w:rPr>
              <w:t>,-5)</w:t>
            </w:r>
          </w:p>
        </w:tc>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2020/3/13 6:00:00</w:t>
            </w:r>
          </w:p>
        </w:tc>
        <w:tc>
          <w:tcPr>
            <w:tcW w:w="8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0.1280</w:t>
            </w:r>
          </w:p>
        </w:tc>
        <w:tc>
          <w:tcPr>
            <w:tcW w:w="9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4.128</w:t>
            </w:r>
          </w:p>
        </w:tc>
        <w:tc>
          <w:tcPr>
            <w:tcW w:w="90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6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41.28 </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auto"/>
          <w:lang w:eastAsia="zh-CN"/>
        </w:rPr>
      </w:pPr>
      <w:r>
        <w:rPr>
          <w:rFonts w:hint="eastAsia" w:eastAsia="宋体"/>
          <w:color w:val="auto"/>
          <w:lang w:eastAsia="zh-CN"/>
        </w:rPr>
        <w:drawing>
          <wp:inline distT="0" distB="0" distL="114300" distR="114300">
            <wp:extent cx="5690235" cy="4088765"/>
            <wp:effectExtent l="0" t="0" r="5715" b="6985"/>
            <wp:docPr id="40" name="图片 40" descr="111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11111111111111111"/>
                    <pic:cNvPicPr>
                      <a:picLocks noChangeAspect="1"/>
                    </pic:cNvPicPr>
                  </pic:nvPicPr>
                  <pic:blipFill>
                    <a:blip r:embed="rId62"/>
                    <a:srcRect l="807" b="750"/>
                    <a:stretch>
                      <a:fillRect/>
                    </a:stretch>
                  </pic:blipFill>
                  <pic:spPr>
                    <a:xfrm>
                      <a:off x="0" y="0"/>
                      <a:ext cx="5690235" cy="4088765"/>
                    </a:xfrm>
                    <a:prstGeom prst="rect">
                      <a:avLst/>
                    </a:prstGeom>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rStyle w:val="58"/>
          <w:b/>
          <w:bCs/>
          <w:color w:val="auto"/>
          <w:sz w:val="24"/>
          <w:szCs w:val="24"/>
        </w:rPr>
      </w:pPr>
      <w:r>
        <w:rPr>
          <w:rStyle w:val="58"/>
          <w:rFonts w:hint="eastAsia"/>
          <w:b/>
          <w:bCs/>
          <w:color w:val="auto"/>
          <w:sz w:val="24"/>
          <w:szCs w:val="24"/>
          <w:lang w:val="en-US" w:eastAsia="zh-CN"/>
        </w:rPr>
        <w:t>H</w:t>
      </w:r>
      <w:r>
        <w:rPr>
          <w:rStyle w:val="58"/>
          <w:rFonts w:hint="eastAsia"/>
          <w:b/>
          <w:bCs/>
          <w:color w:val="auto"/>
          <w:sz w:val="24"/>
          <w:szCs w:val="24"/>
          <w:vertAlign w:val="subscript"/>
          <w:lang w:val="en-US" w:eastAsia="zh-CN"/>
        </w:rPr>
        <w:t>2</w:t>
      </w:r>
      <w:r>
        <w:rPr>
          <w:rStyle w:val="58"/>
          <w:rFonts w:hint="eastAsia"/>
          <w:b/>
          <w:bCs/>
          <w:color w:val="auto"/>
          <w:sz w:val="24"/>
          <w:szCs w:val="24"/>
          <w:vertAlign w:val="baseline"/>
          <w:lang w:val="en-US" w:eastAsia="zh-CN"/>
        </w:rPr>
        <w:t>S</w:t>
      </w:r>
      <w:r>
        <w:rPr>
          <w:rStyle w:val="58"/>
          <w:rFonts w:hint="eastAsia"/>
          <w:b/>
          <w:bCs/>
          <w:color w:val="auto"/>
          <w:sz w:val="24"/>
          <w:szCs w:val="24"/>
          <w:lang w:val="en-US" w:eastAsia="zh-CN"/>
        </w:rPr>
        <w:t>小时最大浓度贡献值分布图  单位：ug/m</w:t>
      </w:r>
      <w:r>
        <w:rPr>
          <w:rStyle w:val="58"/>
          <w:rFonts w:hint="eastAsia"/>
          <w:b/>
          <w:bCs/>
          <w:color w:val="auto"/>
          <w:sz w:val="24"/>
          <w:szCs w:val="24"/>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675630" cy="4097020"/>
            <wp:effectExtent l="0" t="0" r="1270" b="17780"/>
            <wp:docPr id="41" name="图片 41" descr="H2S叠加之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2S叠加之11"/>
                    <pic:cNvPicPr>
                      <a:picLocks noChangeAspect="1"/>
                    </pic:cNvPicPr>
                  </pic:nvPicPr>
                  <pic:blipFill>
                    <a:blip r:embed="rId63"/>
                    <a:srcRect l="1217" b="1297"/>
                    <a:stretch>
                      <a:fillRect/>
                    </a:stretch>
                  </pic:blipFill>
                  <pic:spPr>
                    <a:xfrm>
                      <a:off x="0" y="0"/>
                      <a:ext cx="5675630" cy="4097020"/>
                    </a:xfrm>
                    <a:prstGeom prst="rect">
                      <a:avLst/>
                    </a:prstGeom>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rStyle w:val="58"/>
          <w:b/>
          <w:bCs/>
          <w:color w:val="auto"/>
          <w:sz w:val="24"/>
          <w:szCs w:val="24"/>
        </w:rPr>
      </w:pPr>
      <w:r>
        <w:rPr>
          <w:rStyle w:val="58"/>
          <w:rFonts w:hint="eastAsia"/>
          <w:b/>
          <w:bCs/>
          <w:color w:val="auto"/>
          <w:sz w:val="24"/>
          <w:szCs w:val="24"/>
          <w:lang w:val="en-US" w:eastAsia="zh-CN"/>
        </w:rPr>
        <w:t>H</w:t>
      </w:r>
      <w:r>
        <w:rPr>
          <w:rStyle w:val="58"/>
          <w:rFonts w:hint="eastAsia"/>
          <w:b/>
          <w:bCs/>
          <w:color w:val="auto"/>
          <w:sz w:val="24"/>
          <w:szCs w:val="24"/>
          <w:vertAlign w:val="subscript"/>
          <w:lang w:val="en-US" w:eastAsia="zh-CN"/>
        </w:rPr>
        <w:t>2</w:t>
      </w:r>
      <w:r>
        <w:rPr>
          <w:rStyle w:val="58"/>
          <w:rFonts w:hint="eastAsia"/>
          <w:b/>
          <w:bCs/>
          <w:color w:val="auto"/>
          <w:sz w:val="24"/>
          <w:szCs w:val="24"/>
          <w:vertAlign w:val="baseline"/>
          <w:lang w:val="en-US" w:eastAsia="zh-CN"/>
        </w:rPr>
        <w:t>S</w:t>
      </w:r>
      <w:r>
        <w:rPr>
          <w:rStyle w:val="58"/>
          <w:rFonts w:hint="eastAsia"/>
          <w:b/>
          <w:bCs/>
          <w:color w:val="auto"/>
          <w:sz w:val="24"/>
          <w:szCs w:val="24"/>
          <w:lang w:val="en-US" w:eastAsia="zh-CN"/>
        </w:rPr>
        <w:t>小时浓度叠加值分布图  单位：ug/m</w:t>
      </w:r>
      <w:r>
        <w:rPr>
          <w:rStyle w:val="58"/>
          <w:rFonts w:hint="eastAsia"/>
          <w:b/>
          <w:bCs/>
          <w:color w:val="auto"/>
          <w:sz w:val="24"/>
          <w:szCs w:val="24"/>
          <w:vertAlign w:val="superscript"/>
          <w:lang w:val="en-US" w:eastAsia="zh-CN"/>
        </w:rPr>
        <w:t>3</w:t>
      </w:r>
    </w:p>
    <w:p>
      <w:pPr>
        <w:spacing w:line="360" w:lineRule="auto"/>
        <w:ind w:firstLine="480" w:firstLineChars="200"/>
        <w:rPr>
          <w:color w:val="auto"/>
        </w:rPr>
      </w:pPr>
      <w:r>
        <w:rPr>
          <w:rFonts w:hint="eastAsia"/>
          <w:color w:val="auto"/>
        </w:rPr>
        <w:t>本项目正常排放情况下，H</w:t>
      </w:r>
      <w:r>
        <w:rPr>
          <w:rFonts w:hint="eastAsia"/>
          <w:color w:val="auto"/>
          <w:vertAlign w:val="subscript"/>
        </w:rPr>
        <w:t>2</w:t>
      </w:r>
      <w:r>
        <w:rPr>
          <w:rFonts w:hint="eastAsia"/>
          <w:color w:val="auto"/>
        </w:rPr>
        <w:t>S在评价范围内厂界外小时最大贡献值占标率为</w:t>
      </w:r>
      <w:r>
        <w:rPr>
          <w:rFonts w:hint="eastAsia"/>
          <w:color w:val="auto"/>
          <w:lang w:val="en-US" w:eastAsia="zh-CN"/>
        </w:rPr>
        <w:t>1.28</w:t>
      </w:r>
      <w:r>
        <w:rPr>
          <w:rFonts w:hint="eastAsia"/>
          <w:color w:val="auto"/>
        </w:rPr>
        <w:t>%，小于100%；叠加环境质量现状浓度后，评价范围内厂界外小时浓度预测值</w:t>
      </w:r>
      <w:r>
        <w:rPr>
          <w:rFonts w:hint="eastAsia"/>
          <w:color w:val="auto"/>
          <w:lang w:eastAsia="zh-CN"/>
        </w:rPr>
        <w:t>最大</w:t>
      </w:r>
      <w:r>
        <w:rPr>
          <w:rFonts w:hint="eastAsia"/>
          <w:color w:val="auto"/>
        </w:rPr>
        <w:t>占标率为</w:t>
      </w:r>
      <w:r>
        <w:rPr>
          <w:rFonts w:hint="eastAsia"/>
          <w:color w:val="auto"/>
          <w:lang w:val="en-US" w:eastAsia="zh-CN"/>
        </w:rPr>
        <w:t>41.28</w:t>
      </w:r>
      <w:r>
        <w:rPr>
          <w:rFonts w:hint="eastAsia"/>
          <w:color w:val="auto"/>
        </w:rPr>
        <w:t>%，能满足《环境影响评价技术</w:t>
      </w:r>
      <w:r>
        <w:rPr>
          <w:rFonts w:hint="eastAsia"/>
          <w:color w:val="auto"/>
          <w:lang w:eastAsia="zh-CN"/>
        </w:rPr>
        <w:t>导则 大气环境</w:t>
      </w:r>
      <w:r>
        <w:rPr>
          <w:rFonts w:hint="eastAsia"/>
          <w:color w:val="auto"/>
        </w:rPr>
        <w:t>》（HJ2.2-2018）附录D浓度参考限值。</w:t>
      </w:r>
    </w:p>
    <w:p>
      <w:pPr>
        <w:spacing w:line="360" w:lineRule="auto"/>
        <w:ind w:firstLine="480" w:firstLineChars="200"/>
        <w:rPr>
          <w:rFonts w:hint="eastAsia"/>
          <w:color w:val="auto"/>
        </w:rPr>
      </w:pPr>
      <w:bookmarkStart w:id="249" w:name="_Toc59663842"/>
      <w:r>
        <w:rPr>
          <w:rFonts w:hint="eastAsia"/>
          <w:color w:val="auto"/>
          <w:lang w:val="en-US" w:eastAsia="zh-CN"/>
        </w:rPr>
        <w:t>3</w:t>
      </w:r>
      <w:r>
        <w:rPr>
          <w:rFonts w:hint="eastAsia"/>
          <w:color w:val="auto"/>
        </w:rPr>
        <w:t>、恶臭影响分析</w:t>
      </w:r>
      <w:bookmarkEnd w:id="249"/>
    </w:p>
    <w:p>
      <w:pPr>
        <w:spacing w:line="360" w:lineRule="auto"/>
        <w:ind w:firstLine="480" w:firstLineChars="200"/>
        <w:rPr>
          <w:rFonts w:hint="eastAsia"/>
          <w:color w:val="auto"/>
        </w:rPr>
      </w:pPr>
      <w:r>
        <w:rPr>
          <w:rFonts w:hint="eastAsia"/>
          <w:color w:val="auto"/>
        </w:rPr>
        <w:t>本次评价主要采用嗅阈值与落地浓度的比较结果对异味的影响进行分析。</w:t>
      </w:r>
    </w:p>
    <w:p>
      <w:pPr>
        <w:spacing w:line="360" w:lineRule="auto"/>
        <w:ind w:firstLine="480" w:firstLineChars="200"/>
        <w:jc w:val="left"/>
        <w:rPr>
          <w:color w:val="auto"/>
        </w:rPr>
      </w:pPr>
      <w:r>
        <w:rPr>
          <w:rFonts w:hint="eastAsia"/>
          <w:color w:val="auto"/>
        </w:rPr>
        <w:t>本项目恶臭主要来源于污水处理</w:t>
      </w:r>
      <w:r>
        <w:rPr>
          <w:rFonts w:hint="eastAsia"/>
          <w:color w:val="auto"/>
          <w:lang w:eastAsia="zh-CN"/>
        </w:rPr>
        <w:t>环节以及污泥脱水环节产生的恶臭</w:t>
      </w:r>
      <w:r>
        <w:rPr>
          <w:rFonts w:hint="eastAsia"/>
          <w:color w:val="auto"/>
        </w:rPr>
        <w:t>，</w:t>
      </w:r>
      <w:r>
        <w:rPr>
          <w:rFonts w:hint="eastAsia"/>
          <w:color w:val="auto"/>
          <w:lang w:eastAsia="zh-CN"/>
        </w:rPr>
        <w:t>本项目考虑将各池体进行加盖密闭</w:t>
      </w:r>
      <w:r>
        <w:rPr>
          <w:color w:val="auto"/>
        </w:rPr>
        <w:t>，同时用</w:t>
      </w:r>
      <w:r>
        <w:rPr>
          <w:rFonts w:hint="eastAsia"/>
          <w:color w:val="auto"/>
          <w:lang w:eastAsia="zh-CN"/>
        </w:rPr>
        <w:t>引</w:t>
      </w:r>
      <w:r>
        <w:rPr>
          <w:color w:val="auto"/>
        </w:rPr>
        <w:t>风机</w:t>
      </w:r>
      <w:r>
        <w:rPr>
          <w:rFonts w:hint="eastAsia"/>
          <w:color w:val="auto"/>
          <w:lang w:eastAsia="zh-CN"/>
        </w:rPr>
        <w:t>将</w:t>
      </w:r>
      <w:r>
        <w:rPr>
          <w:rFonts w:hint="eastAsia"/>
          <w:color w:val="auto"/>
        </w:rPr>
        <w:t>池内产生的恶臭</w:t>
      </w:r>
      <w:r>
        <w:rPr>
          <w:rFonts w:hint="eastAsia"/>
          <w:color w:val="auto"/>
          <w:lang w:eastAsia="zh-CN"/>
        </w:rPr>
        <w:t>抽吸</w:t>
      </w:r>
      <w:r>
        <w:rPr>
          <w:rFonts w:hint="eastAsia"/>
          <w:color w:val="auto"/>
        </w:rPr>
        <w:t>汇集至</w:t>
      </w:r>
      <w:r>
        <w:rPr>
          <w:rFonts w:hint="eastAsia"/>
          <w:color w:val="auto"/>
          <w:lang w:eastAsia="zh-CN"/>
        </w:rPr>
        <w:t>活性炭吸附塔</w:t>
      </w:r>
      <w:r>
        <w:rPr>
          <w:rFonts w:hint="eastAsia"/>
          <w:color w:val="auto"/>
        </w:rPr>
        <w:t>内处理，同时，由于池体不能做到完全封闭，约有1</w:t>
      </w:r>
      <w:r>
        <w:rPr>
          <w:rFonts w:hint="eastAsia"/>
          <w:color w:val="auto"/>
          <w:lang w:val="en-US" w:eastAsia="zh-CN"/>
        </w:rPr>
        <w:t>5</w:t>
      </w:r>
      <w:r>
        <w:rPr>
          <w:rFonts w:hint="eastAsia"/>
          <w:color w:val="auto"/>
        </w:rPr>
        <w:t>%恶臭气体呈无组织方式排放</w:t>
      </w:r>
      <w:r>
        <w:rPr>
          <w:color w:val="auto"/>
        </w:rPr>
        <w:t>。</w:t>
      </w:r>
    </w:p>
    <w:p>
      <w:pPr>
        <w:spacing w:line="360" w:lineRule="auto"/>
        <w:ind w:firstLine="480" w:firstLineChars="200"/>
        <w:jc w:val="left"/>
        <w:rPr>
          <w:color w:val="auto"/>
        </w:rPr>
      </w:pPr>
      <w:r>
        <w:rPr>
          <w:color w:val="auto"/>
        </w:rPr>
        <w:t>根据安全与环境学报第15卷第6期《40种典型恶臭物质嗅阈值测定》，硫化氢嗅阈值为0.0012mg/m</w:t>
      </w:r>
      <w:r>
        <w:rPr>
          <w:color w:val="auto"/>
          <w:vertAlign w:val="superscript"/>
        </w:rPr>
        <w:t>3</w:t>
      </w:r>
      <w:r>
        <w:rPr>
          <w:color w:val="auto"/>
        </w:rPr>
        <w:t>，氨的嗅阈值为0.3mg/m</w:t>
      </w:r>
      <w:r>
        <w:rPr>
          <w:color w:val="auto"/>
          <w:vertAlign w:val="superscript"/>
        </w:rPr>
        <w:t>3</w:t>
      </w:r>
      <w:r>
        <w:rPr>
          <w:color w:val="auto"/>
        </w:rPr>
        <w:t>。根据</w:t>
      </w:r>
      <w:r>
        <w:rPr>
          <w:bCs/>
          <w:color w:val="auto"/>
        </w:rPr>
        <w:t>采用环安公司AERMOD大气预测软件</w:t>
      </w:r>
      <w:r>
        <w:rPr>
          <w:color w:val="auto"/>
        </w:rPr>
        <w:t>预测本项目排放的</w:t>
      </w:r>
      <w:r>
        <w:rPr>
          <w:rStyle w:val="58"/>
          <w:rFonts w:hint="eastAsia"/>
          <w:color w:val="auto"/>
          <w:sz w:val="24"/>
          <w:szCs w:val="24"/>
        </w:rPr>
        <w:t>NH</w:t>
      </w:r>
      <w:r>
        <w:rPr>
          <w:rStyle w:val="58"/>
          <w:rFonts w:hint="eastAsia"/>
          <w:color w:val="auto"/>
          <w:sz w:val="24"/>
          <w:szCs w:val="24"/>
          <w:vertAlign w:val="subscript"/>
        </w:rPr>
        <w:t>3</w:t>
      </w:r>
      <w:r>
        <w:rPr>
          <w:color w:val="auto"/>
        </w:rPr>
        <w:t>、</w:t>
      </w:r>
      <w:r>
        <w:rPr>
          <w:rFonts w:hint="eastAsia"/>
          <w:b w:val="0"/>
          <w:bCs w:val="0"/>
          <w:color w:val="auto"/>
        </w:rPr>
        <w:t>H</w:t>
      </w:r>
      <w:r>
        <w:rPr>
          <w:rFonts w:hint="eastAsia"/>
          <w:b w:val="0"/>
          <w:bCs w:val="0"/>
          <w:color w:val="auto"/>
          <w:vertAlign w:val="subscript"/>
          <w:lang w:val="en-US" w:eastAsia="zh-CN"/>
        </w:rPr>
        <w:t>2</w:t>
      </w:r>
      <w:r>
        <w:rPr>
          <w:rFonts w:hint="eastAsia"/>
          <w:b w:val="0"/>
          <w:bCs w:val="0"/>
          <w:color w:val="auto"/>
          <w:vertAlign w:val="baseline"/>
          <w:lang w:val="en-US" w:eastAsia="zh-CN"/>
        </w:rPr>
        <w:t>S</w:t>
      </w:r>
      <w:r>
        <w:rPr>
          <w:b w:val="0"/>
          <w:bCs w:val="0"/>
          <w:color w:val="auto"/>
        </w:rPr>
        <w:t>的</w:t>
      </w:r>
      <w:r>
        <w:rPr>
          <w:color w:val="auto"/>
        </w:rPr>
        <w:t>最大地面浓度，与其嗅阈值作比较，并分析异味影响程度，具体见下表。</w:t>
      </w:r>
    </w:p>
    <w:p>
      <w:pPr>
        <w:numPr>
          <w:ilvl w:val="0"/>
          <w:numId w:val="11"/>
        </w:numPr>
        <w:tabs>
          <w:tab w:val="left" w:pos="3395"/>
          <w:tab w:val="clear" w:pos="0"/>
        </w:tabs>
        <w:ind w:left="0" w:leftChars="0" w:firstLine="0" w:firstLineChars="0"/>
        <w:jc w:val="center"/>
        <w:rPr>
          <w:b/>
          <w:bCs/>
          <w:color w:val="auto"/>
        </w:rPr>
      </w:pPr>
      <w:r>
        <w:rPr>
          <w:rFonts w:hint="eastAsia"/>
          <w:b/>
          <w:bCs/>
          <w:color w:val="auto"/>
        </w:rPr>
        <w:t>恶臭影响程度分析表</w:t>
      </w:r>
    </w:p>
    <w:tbl>
      <w:tblPr>
        <w:tblStyle w:val="51"/>
        <w:tblW w:w="46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3577"/>
        <w:gridCol w:w="2292"/>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污染物</w:t>
            </w:r>
          </w:p>
        </w:tc>
        <w:tc>
          <w:tcPr>
            <w:tcW w:w="2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预测最大落地浓度贡献值（mg/m</w:t>
            </w:r>
            <w:r>
              <w:rPr>
                <w:color w:val="auto"/>
                <w:sz w:val="21"/>
                <w:szCs w:val="21"/>
                <w:vertAlign w:val="superscript"/>
              </w:rPr>
              <w:t>3</w:t>
            </w:r>
            <w:r>
              <w:rPr>
                <w:color w:val="auto"/>
                <w:sz w:val="21"/>
                <w:szCs w:val="21"/>
              </w:rPr>
              <w:t>）</w:t>
            </w:r>
          </w:p>
        </w:tc>
        <w:tc>
          <w:tcPr>
            <w:tcW w:w="13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嗅阈值（mg/m</w:t>
            </w:r>
            <w:r>
              <w:rPr>
                <w:color w:val="auto"/>
                <w:sz w:val="21"/>
                <w:szCs w:val="21"/>
                <w:vertAlign w:val="superscript"/>
              </w:rPr>
              <w:t>3</w:t>
            </w:r>
            <w:r>
              <w:rPr>
                <w:color w:val="auto"/>
                <w:sz w:val="21"/>
                <w:szCs w:val="21"/>
              </w:rPr>
              <w:t>）</w:t>
            </w:r>
          </w:p>
        </w:tc>
        <w:tc>
          <w:tcPr>
            <w:tcW w:w="7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Style w:val="58"/>
                <w:rFonts w:hint="eastAsia"/>
                <w:color w:val="auto"/>
                <w:sz w:val="21"/>
                <w:szCs w:val="21"/>
              </w:rPr>
              <w:t>NH</w:t>
            </w:r>
            <w:r>
              <w:rPr>
                <w:rStyle w:val="58"/>
                <w:rFonts w:hint="eastAsia"/>
                <w:color w:val="auto"/>
                <w:sz w:val="21"/>
                <w:szCs w:val="21"/>
                <w:vertAlign w:val="subscript"/>
              </w:rPr>
              <w:t>3</w:t>
            </w:r>
          </w:p>
        </w:tc>
        <w:tc>
          <w:tcPr>
            <w:tcW w:w="2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0.036</w:t>
            </w:r>
          </w:p>
        </w:tc>
        <w:tc>
          <w:tcPr>
            <w:tcW w:w="13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0.3</w:t>
            </w:r>
          </w:p>
        </w:tc>
        <w:tc>
          <w:tcPr>
            <w:tcW w:w="7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b w:val="0"/>
                <w:bCs w:val="0"/>
                <w:color w:val="auto"/>
                <w:sz w:val="21"/>
                <w:szCs w:val="21"/>
              </w:rPr>
              <w:t>H</w:t>
            </w:r>
            <w:r>
              <w:rPr>
                <w:rFonts w:hint="eastAsia"/>
                <w:b w:val="0"/>
                <w:bCs w:val="0"/>
                <w:color w:val="auto"/>
                <w:sz w:val="21"/>
                <w:szCs w:val="21"/>
                <w:vertAlign w:val="subscript"/>
                <w:lang w:val="en-US" w:eastAsia="zh-CN"/>
              </w:rPr>
              <w:t>2</w:t>
            </w:r>
            <w:r>
              <w:rPr>
                <w:rFonts w:hint="eastAsia"/>
                <w:b w:val="0"/>
                <w:bCs w:val="0"/>
                <w:color w:val="auto"/>
                <w:sz w:val="21"/>
                <w:szCs w:val="21"/>
                <w:vertAlign w:val="baseline"/>
                <w:lang w:val="en-US" w:eastAsia="zh-CN"/>
              </w:rPr>
              <w:t>S</w:t>
            </w:r>
          </w:p>
        </w:tc>
        <w:tc>
          <w:tcPr>
            <w:tcW w:w="2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0.000128</w:t>
            </w:r>
          </w:p>
        </w:tc>
        <w:tc>
          <w:tcPr>
            <w:tcW w:w="13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0.0012</w:t>
            </w:r>
          </w:p>
        </w:tc>
        <w:tc>
          <w:tcPr>
            <w:tcW w:w="7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较小</w:t>
            </w:r>
          </w:p>
        </w:tc>
      </w:tr>
    </w:tbl>
    <w:p>
      <w:pPr>
        <w:keepNext w:val="0"/>
        <w:keepLines w:val="0"/>
        <w:pageBreakBefore w:val="0"/>
        <w:widowControl w:val="0"/>
        <w:kinsoku/>
        <w:wordWrap/>
        <w:overflowPunct/>
        <w:topLinePunct w:val="0"/>
        <w:autoSpaceDE/>
        <w:autoSpaceDN/>
        <w:bidi w:val="0"/>
        <w:adjustRightInd/>
        <w:snapToGrid/>
        <w:spacing w:beforeLines="50" w:line="360" w:lineRule="auto"/>
        <w:ind w:firstLine="480" w:firstLineChars="200"/>
        <w:textAlignment w:val="auto"/>
        <w:rPr>
          <w:color w:val="auto"/>
        </w:rPr>
      </w:pPr>
      <w:r>
        <w:rPr>
          <w:rFonts w:hint="eastAsia"/>
          <w:color w:val="auto"/>
        </w:rPr>
        <w:t>根据预测结果与各污染物的嗅阈值进行比较，在密闭污水处理池体</w:t>
      </w:r>
      <w:r>
        <w:rPr>
          <w:rFonts w:hint="eastAsia"/>
          <w:color w:val="auto"/>
          <w:lang w:eastAsia="zh-CN"/>
        </w:rPr>
        <w:t>、</w:t>
      </w:r>
      <w:r>
        <w:rPr>
          <w:rFonts w:hint="eastAsia"/>
          <w:color w:val="auto"/>
        </w:rPr>
        <w:t>落实</w:t>
      </w:r>
      <w:r>
        <w:rPr>
          <w:rFonts w:hint="eastAsia"/>
          <w:color w:val="auto"/>
          <w:lang w:eastAsia="zh-CN"/>
        </w:rPr>
        <w:t>活性炭吸附塔后</w:t>
      </w:r>
      <w:r>
        <w:rPr>
          <w:color w:val="auto"/>
        </w:rPr>
        <w:t>，</w:t>
      </w:r>
      <w:r>
        <w:rPr>
          <w:rFonts w:hint="eastAsia"/>
          <w:color w:val="auto"/>
          <w:lang w:eastAsia="zh-CN"/>
        </w:rPr>
        <w:t>项目</w:t>
      </w:r>
      <w:r>
        <w:rPr>
          <w:rFonts w:hint="eastAsia"/>
          <w:color w:val="auto"/>
        </w:rPr>
        <w:t>产生的</w:t>
      </w:r>
      <w:r>
        <w:rPr>
          <w:color w:val="auto"/>
        </w:rPr>
        <w:t>恶臭</w:t>
      </w:r>
      <w:r>
        <w:rPr>
          <w:rFonts w:hint="eastAsia"/>
          <w:color w:val="auto"/>
        </w:rPr>
        <w:t>气体</w:t>
      </w:r>
      <w:r>
        <w:rPr>
          <w:color w:val="auto"/>
        </w:rPr>
        <w:t>对</w:t>
      </w:r>
      <w:r>
        <w:rPr>
          <w:rFonts w:hint="eastAsia"/>
          <w:color w:val="auto"/>
        </w:rPr>
        <w:t>环境</w:t>
      </w:r>
      <w:r>
        <w:rPr>
          <w:color w:val="auto"/>
        </w:rPr>
        <w:t>的影响不大</w:t>
      </w:r>
      <w:r>
        <w:rPr>
          <w:rFonts w:hint="eastAsia"/>
          <w:color w:val="auto"/>
        </w:rPr>
        <w:t>。</w:t>
      </w:r>
    </w:p>
    <w:p>
      <w:pPr>
        <w:pStyle w:val="8"/>
        <w:spacing w:before="0" w:after="0" w:line="377" w:lineRule="auto"/>
        <w:ind w:firstLine="0" w:firstLineChars="0"/>
        <w:rPr>
          <w:rFonts w:hint="eastAsia" w:ascii="Times New Roman" w:hAnsi="Times New Roman" w:eastAsia="宋体"/>
          <w:color w:val="auto"/>
          <w:kern w:val="21"/>
          <w:sz w:val="24"/>
          <w:szCs w:val="24"/>
          <w:lang w:eastAsia="zh-CN"/>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3</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lang w:val="en-US" w:eastAsia="zh-CN"/>
        </w:rPr>
        <w:t>4非</w:t>
      </w:r>
      <w:r>
        <w:rPr>
          <w:rFonts w:hint="eastAsia" w:ascii="Times New Roman" w:hAnsi="Times New Roman" w:eastAsia="宋体"/>
          <w:color w:val="auto"/>
          <w:kern w:val="21"/>
          <w:sz w:val="24"/>
          <w:szCs w:val="24"/>
          <w:lang w:eastAsia="zh-CN"/>
        </w:rPr>
        <w:t>正常排放预测结果及评价</w:t>
      </w:r>
    </w:p>
    <w:p>
      <w:pPr>
        <w:spacing w:line="360" w:lineRule="auto"/>
        <w:ind w:firstLine="480" w:firstLineChars="200"/>
        <w:rPr>
          <w:color w:val="auto"/>
        </w:rPr>
      </w:pPr>
      <w:r>
        <w:rPr>
          <w:rFonts w:hint="eastAsia"/>
          <w:color w:val="auto"/>
        </w:rPr>
        <w:t>本项目设定了</w:t>
      </w:r>
      <w:r>
        <w:rPr>
          <w:rFonts w:hint="eastAsia"/>
          <w:color w:val="auto"/>
          <w:lang w:val="en-US" w:eastAsia="zh-CN"/>
        </w:rPr>
        <w:t>1</w:t>
      </w:r>
      <w:r>
        <w:rPr>
          <w:rFonts w:hint="eastAsia"/>
          <w:color w:val="auto"/>
        </w:rPr>
        <w:t>种</w:t>
      </w:r>
      <w:r>
        <w:rPr>
          <w:rFonts w:hint="eastAsia"/>
          <w:color w:val="auto"/>
          <w:lang w:eastAsia="zh-CN"/>
        </w:rPr>
        <w:t>非正常</w:t>
      </w:r>
      <w:r>
        <w:rPr>
          <w:rFonts w:hint="eastAsia"/>
          <w:color w:val="auto"/>
        </w:rPr>
        <w:t>排放情况，预测结果如下：</w:t>
      </w:r>
    </w:p>
    <w:p>
      <w:pPr>
        <w:spacing w:line="360" w:lineRule="auto"/>
        <w:ind w:firstLine="480" w:firstLineChars="200"/>
        <w:rPr>
          <w:rFonts w:hint="eastAsia"/>
          <w:color w:val="auto"/>
          <w:lang w:eastAsia="zh-CN"/>
        </w:rPr>
      </w:pPr>
      <w:r>
        <w:rPr>
          <w:rFonts w:hint="eastAsia"/>
          <w:color w:val="auto"/>
          <w:lang w:val="en-US" w:eastAsia="zh-CN"/>
        </w:rPr>
        <w:t>1、</w:t>
      </w:r>
      <w:r>
        <w:rPr>
          <w:rFonts w:hint="eastAsia"/>
          <w:color w:val="auto"/>
          <w:lang w:eastAsia="zh-CN"/>
        </w:rPr>
        <w:t>活性炭吸附塔</w:t>
      </w:r>
      <w:r>
        <w:rPr>
          <w:rFonts w:hint="eastAsia"/>
          <w:color w:val="auto"/>
        </w:rPr>
        <w:t>运行不正常，</w:t>
      </w:r>
      <w:r>
        <w:rPr>
          <w:rFonts w:hint="eastAsia"/>
          <w:color w:val="auto"/>
          <w:lang w:eastAsia="zh-CN"/>
        </w:rPr>
        <w:t>恶臭气体</w:t>
      </w:r>
      <w:r>
        <w:rPr>
          <w:rFonts w:hint="eastAsia"/>
          <w:color w:val="auto"/>
        </w:rPr>
        <w:t>处理效率降至0%</w:t>
      </w:r>
      <w:r>
        <w:rPr>
          <w:rFonts w:hint="eastAsia"/>
          <w:color w:val="auto"/>
          <w:lang w:eastAsia="zh-CN"/>
        </w:rPr>
        <w:t>，引风机收集的废气未经处理排放。</w:t>
      </w:r>
    </w:p>
    <w:p>
      <w:pPr>
        <w:numPr>
          <w:ilvl w:val="0"/>
          <w:numId w:val="11"/>
        </w:numPr>
        <w:tabs>
          <w:tab w:val="left" w:pos="3395"/>
          <w:tab w:val="clear" w:pos="0"/>
        </w:tabs>
        <w:ind w:left="0" w:leftChars="0" w:firstLine="0" w:firstLineChars="0"/>
        <w:jc w:val="center"/>
        <w:rPr>
          <w:b/>
          <w:bCs/>
          <w:color w:val="auto"/>
        </w:rPr>
      </w:pPr>
      <w:r>
        <w:rPr>
          <w:rFonts w:hint="eastAsia"/>
          <w:b/>
          <w:bCs/>
          <w:color w:val="auto"/>
          <w:lang w:val="en-US" w:eastAsia="zh-CN"/>
        </w:rPr>
        <w:t>非正常情况下NH</w:t>
      </w:r>
      <w:r>
        <w:rPr>
          <w:rFonts w:hint="eastAsia"/>
          <w:b/>
          <w:bCs/>
          <w:color w:val="auto"/>
          <w:vertAlign w:val="subscript"/>
          <w:lang w:val="en-US" w:eastAsia="zh-CN"/>
        </w:rPr>
        <w:t>3</w:t>
      </w:r>
      <w:r>
        <w:rPr>
          <w:rFonts w:hint="eastAsia"/>
          <w:b/>
          <w:bCs/>
          <w:color w:val="auto"/>
        </w:rPr>
        <w:t>最大贡献值预测结果表</w:t>
      </w:r>
    </w:p>
    <w:tbl>
      <w:tblPr>
        <w:tblStyle w:val="51"/>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564"/>
        <w:gridCol w:w="910"/>
        <w:gridCol w:w="2317"/>
        <w:gridCol w:w="1243"/>
        <w:gridCol w:w="1231"/>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平均时间</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出现时刻</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贡献值(ug/m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标准值(ug/m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董家村</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2020/10/22 19:00:00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阳光花园</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2020/10/20 0:00:00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0.73</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香颂美地</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2020/2/23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0.27</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小东村</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2020/1/10 8:00:00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0.52</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彝海北岸</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2020/1/26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鹿鸣清城</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2020/10/22 19:00:00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蔡家湾</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2020/12/22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思源实验学校</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2020/2/23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黄土坡</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2020/10/20 0:00:00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汪家屯小区</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2020/12/30 23:00:00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0.51</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耳东屯</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2020/7/4 21:00:00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0.51</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蔡家冲小区</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2020/1/12 4:00:00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潘家村</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2020/3/4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0.23</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团山</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2020/1/19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玖龙国际</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2020/1/5 20:00:00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孙家</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0.45</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茶花树小区</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2020/4/25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0.37</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尹旗屯</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福德苑</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2020/2/23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荷花村</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2020/4/26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朱瓜冲</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2020/9/30 1:00:00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黑泥坝</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建华东城印象</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2020/3/4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0.31</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李家庵村</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2020/1/1 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吴家村</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2020/1/26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0.31</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中梁国宾府</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2020/10/17 7:00:00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彝海大成</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2020/4/26 2:00:00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0.23</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楚风苑</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2020/1/9 23:00:00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谢家村</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2020/1/26 8:00:00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沙溪冲</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2020/10/11 5:00:00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0.32</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盛世舒苑</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2020/12/2 6:00:00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0.83</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刘家</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2020/8/27 0:00:00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1.88</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区域最大值(</w:t>
            </w:r>
            <w:r>
              <w:rPr>
                <w:rFonts w:hint="eastAsia" w:ascii="Times New Roman" w:hAnsi="Times New Roman" w:eastAsia="宋体" w:cs="Times New Roman"/>
                <w:i w:val="0"/>
                <w:iCs w:val="0"/>
                <w:color w:val="auto"/>
                <w:kern w:val="0"/>
                <w:sz w:val="21"/>
                <w:szCs w:val="21"/>
                <w:u w:val="none"/>
                <w:lang w:val="en-US" w:eastAsia="zh-CN" w:bidi="ar"/>
              </w:rPr>
              <w:t>-55</w:t>
            </w:r>
            <w:r>
              <w:rPr>
                <w:rFonts w:hint="default" w:ascii="Times New Roman" w:hAnsi="Times New Roman" w:eastAsia="宋体" w:cs="Times New Roman"/>
                <w:i w:val="0"/>
                <w:iCs w:val="0"/>
                <w:color w:val="auto"/>
                <w:kern w:val="0"/>
                <w:sz w:val="21"/>
                <w:szCs w:val="21"/>
                <w:u w:val="none"/>
                <w:lang w:val="en-US" w:eastAsia="zh-CN" w:bidi="ar"/>
              </w:rPr>
              <w:t>,-5)</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1时</w:t>
            </w:r>
          </w:p>
        </w:tc>
        <w:tc>
          <w:tcPr>
            <w:tcW w:w="231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2020/9/11 20:00:00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20.39</w:t>
            </w:r>
          </w:p>
        </w:tc>
        <w:tc>
          <w:tcPr>
            <w:tcW w:w="1231"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124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10.20</w:t>
            </w:r>
          </w:p>
        </w:tc>
      </w:tr>
    </w:tbl>
    <w:p>
      <w:pPr>
        <w:numPr>
          <w:ilvl w:val="0"/>
          <w:numId w:val="11"/>
        </w:numPr>
        <w:tabs>
          <w:tab w:val="left" w:pos="3395"/>
          <w:tab w:val="clear" w:pos="0"/>
        </w:tabs>
        <w:ind w:left="0" w:leftChars="0" w:firstLine="0" w:firstLineChars="0"/>
        <w:jc w:val="center"/>
        <w:rPr>
          <w:b/>
          <w:bCs/>
          <w:color w:val="auto"/>
        </w:rPr>
      </w:pPr>
      <w:r>
        <w:rPr>
          <w:rFonts w:hint="eastAsia"/>
          <w:b/>
          <w:bCs/>
          <w:color w:val="auto"/>
        </w:rPr>
        <w:t>本</w:t>
      </w:r>
      <w:r>
        <w:rPr>
          <w:b/>
          <w:bCs/>
          <w:color w:val="auto"/>
        </w:rPr>
        <w:t>项目</w:t>
      </w:r>
      <w:r>
        <w:rPr>
          <w:rFonts w:hint="eastAsia"/>
          <w:b/>
          <w:bCs/>
          <w:color w:val="auto"/>
        </w:rPr>
        <w:t>H</w:t>
      </w:r>
      <w:r>
        <w:rPr>
          <w:rFonts w:hint="eastAsia"/>
          <w:b/>
          <w:bCs/>
          <w:color w:val="auto"/>
          <w:vertAlign w:val="subscript"/>
          <w:lang w:val="en-US" w:eastAsia="zh-CN"/>
        </w:rPr>
        <w:t>2</w:t>
      </w:r>
      <w:r>
        <w:rPr>
          <w:rFonts w:hint="eastAsia"/>
          <w:b/>
          <w:bCs/>
          <w:color w:val="auto"/>
          <w:vertAlign w:val="baseline"/>
          <w:lang w:val="en-US" w:eastAsia="zh-CN"/>
        </w:rPr>
        <w:t>S</w:t>
      </w:r>
      <w:r>
        <w:rPr>
          <w:rFonts w:hint="eastAsia"/>
          <w:b/>
          <w:bCs/>
          <w:color w:val="auto"/>
        </w:rPr>
        <w:t>小时最大贡献值预测结果表</w:t>
      </w:r>
    </w:p>
    <w:tbl>
      <w:tblPr>
        <w:tblStyle w:val="51"/>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564"/>
        <w:gridCol w:w="910"/>
        <w:gridCol w:w="2317"/>
        <w:gridCol w:w="1243"/>
        <w:gridCol w:w="1231"/>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平均时间</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出现时刻</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贡献值(ug/m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标准值(ug/m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董家村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2020/10/22 19:00:00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阳光花园</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2020/10/20 0:00:00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0.0014</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香颂美地</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2020/2/23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0.0005</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小东村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2020/1/10 8:00:00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0.0010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彝海北岸</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2020/1/26 7:00:00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0.0004</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鹿鸣清城</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2020/10/22 19:00:00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0.0002</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蔡家湾</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2020/12/22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0.0004</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思源实验学校</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2020/2/23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0.0025</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黄土坡</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2020/10/20 0:00:00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0.0016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汪家屯小区</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2020/12/30 23:00:00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0.0010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耳东屯</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2020/7/4 21:00:00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0.0009</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蔡家冲小区</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2020/1/12 4:00:00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潘家村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2020/3/4 3:00:00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0.0004</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团山</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2020/1/19 3:00:00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玖龙国际</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2020/1/5 20:00:00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0.0005</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孙家</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2020/1/1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0.0008</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茶花树小区</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2020/4/25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0.0007</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尹旗屯</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2020/1/1 7:00:00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0.0008</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19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福德苑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2020/2/23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0.0004</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荷花村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2020/4/26 2:00:00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朱瓜冲</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2020/9/30 1:00:00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0.0013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黑泥坝</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2020/1/1 7:00:00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建华东城印象</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2020/3/4 3:00:00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24</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李家庵村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2020/1/1 3:00:00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0.0007</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25</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吴家村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2020/1/26 7:00:00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26</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中梁国宾府</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2020/10/17 7:00:00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27</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彝海大成</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2020/4/26 2:00:00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0.0004</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28</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楚风苑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2020/1/9 23:00:00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0.0004</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29</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谢家村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2020/1/26 8:00:00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30</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沙溪冲</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2020/10/11 5:00:00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0.0006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31</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盛世舒苑</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2020/12/2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0.0015</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32</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刘家</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2020/8/27 0:00:00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0.0035</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Tahoma" w:cs="Times New Roman"/>
                <w:i w:val="0"/>
                <w:iCs w:val="0"/>
                <w:color w:val="auto"/>
                <w:kern w:val="0"/>
                <w:sz w:val="21"/>
                <w:szCs w:val="21"/>
                <w:u w:val="none"/>
                <w:lang w:val="en-US" w:eastAsia="zh-CN" w:bidi="ar"/>
              </w:rPr>
              <w:t>33</w:t>
            </w:r>
          </w:p>
        </w:tc>
        <w:tc>
          <w:tcPr>
            <w:tcW w:w="156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lang w:val="en-US"/>
              </w:rPr>
            </w:pPr>
            <w:r>
              <w:rPr>
                <w:rFonts w:hint="default" w:ascii="Times New Roman" w:hAnsi="Times New Roman" w:eastAsia="Tahoma" w:cs="Times New Roman"/>
                <w:i w:val="0"/>
                <w:iCs w:val="0"/>
                <w:color w:val="auto"/>
                <w:kern w:val="0"/>
                <w:sz w:val="21"/>
                <w:szCs w:val="21"/>
                <w:u w:val="none"/>
                <w:lang w:val="en-US" w:eastAsia="zh-CN" w:bidi="ar"/>
              </w:rPr>
              <w:t>区域最大值(</w:t>
            </w:r>
            <w:r>
              <w:rPr>
                <w:rFonts w:hint="eastAsia" w:eastAsia="Tahoma" w:cs="Times New Roman"/>
                <w:i w:val="0"/>
                <w:iCs w:val="0"/>
                <w:color w:val="auto"/>
                <w:kern w:val="0"/>
                <w:sz w:val="21"/>
                <w:szCs w:val="21"/>
                <w:u w:val="none"/>
                <w:lang w:val="en-US" w:eastAsia="zh-CN" w:bidi="ar"/>
              </w:rPr>
              <w:t>-55</w:t>
            </w:r>
            <w:r>
              <w:rPr>
                <w:rFonts w:hint="default" w:ascii="Times New Roman" w:hAnsi="Times New Roman" w:eastAsia="Tahoma" w:cs="Times New Roman"/>
                <w:i w:val="0"/>
                <w:iCs w:val="0"/>
                <w:color w:val="auto"/>
                <w:kern w:val="0"/>
                <w:sz w:val="21"/>
                <w:szCs w:val="21"/>
                <w:u w:val="none"/>
                <w:lang w:val="en-US" w:eastAsia="zh-CN" w:bidi="ar"/>
              </w:rPr>
              <w:t>,-5)</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2020/9/11 20:00:00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0.0380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0.3798</w:t>
            </w:r>
          </w:p>
        </w:tc>
      </w:tr>
    </w:tbl>
    <w:p>
      <w:pPr>
        <w:spacing w:beforeLines="50" w:line="360" w:lineRule="auto"/>
        <w:ind w:firstLine="480" w:firstLineChars="200"/>
        <w:rPr>
          <w:color w:val="auto"/>
        </w:rPr>
      </w:pPr>
      <w:r>
        <w:rPr>
          <w:rFonts w:hint="eastAsia"/>
          <w:color w:val="auto"/>
        </w:rPr>
        <w:t>根据预测结果可知，当</w:t>
      </w:r>
      <w:r>
        <w:rPr>
          <w:rFonts w:hint="eastAsia"/>
          <w:color w:val="auto"/>
          <w:lang w:eastAsia="zh-CN"/>
        </w:rPr>
        <w:t>活性炭长时间未更换治理效率为</w:t>
      </w:r>
      <w:r>
        <w:rPr>
          <w:rFonts w:hint="eastAsia"/>
          <w:color w:val="auto"/>
          <w:lang w:val="en-US" w:eastAsia="zh-CN"/>
        </w:rPr>
        <w:t>0</w:t>
      </w:r>
      <w:r>
        <w:rPr>
          <w:rFonts w:hint="eastAsia"/>
          <w:color w:val="auto"/>
        </w:rPr>
        <w:t>时，评价范围内厂界外项目排放的污染物中NH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S对网格点和保护目标的小时贡献值</w:t>
      </w:r>
      <w:r>
        <w:rPr>
          <w:rFonts w:hint="eastAsia"/>
          <w:color w:val="auto"/>
          <w:lang w:eastAsia="zh-CN"/>
        </w:rPr>
        <w:t>也</w:t>
      </w:r>
      <w:r>
        <w:rPr>
          <w:rFonts w:hint="eastAsia"/>
          <w:color w:val="auto"/>
        </w:rPr>
        <w:t>能满足《环境影响评价技术</w:t>
      </w:r>
      <w:r>
        <w:rPr>
          <w:rFonts w:hint="eastAsia"/>
          <w:color w:val="auto"/>
          <w:lang w:eastAsia="zh-CN"/>
        </w:rPr>
        <w:t>导则 大气环境</w:t>
      </w:r>
      <w:r>
        <w:rPr>
          <w:rFonts w:hint="eastAsia"/>
          <w:color w:val="auto"/>
        </w:rPr>
        <w:t>》（HJ2.2-2018）附录D浓度参考限值</w:t>
      </w:r>
      <w:r>
        <w:rPr>
          <w:rFonts w:hint="eastAsia"/>
          <w:color w:val="auto"/>
          <w:lang w:eastAsia="zh-CN"/>
        </w:rPr>
        <w:t>。该预测结果不能作为建设单位不进行废气治理的依据，建设单位需加强活性炭吸附塔的管理，定期更换活性炭，确保恶臭气体对外环境的影响降至最低</w:t>
      </w:r>
      <w:r>
        <w:rPr>
          <w:rFonts w:hint="eastAsia"/>
          <w:color w:val="auto"/>
        </w:rPr>
        <w:t>。</w:t>
      </w:r>
    </w:p>
    <w:p>
      <w:pPr>
        <w:pStyle w:val="8"/>
        <w:spacing w:before="0" w:after="0" w:line="377" w:lineRule="auto"/>
        <w:ind w:firstLine="0" w:firstLineChars="0"/>
        <w:rPr>
          <w:rFonts w:hint="eastAsia" w:ascii="Times New Roman" w:hAnsi="Times New Roman" w:eastAsia="宋体"/>
          <w:color w:val="auto"/>
          <w:kern w:val="21"/>
          <w:sz w:val="24"/>
          <w:szCs w:val="24"/>
          <w:lang w:eastAsia="zh-CN"/>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3</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lang w:val="en-US" w:eastAsia="zh-CN"/>
        </w:rPr>
        <w:t>5无组织厂界预测浓度</w:t>
      </w:r>
    </w:p>
    <w:p>
      <w:pPr>
        <w:spacing w:line="360" w:lineRule="auto"/>
        <w:ind w:firstLine="480" w:firstLineChars="200"/>
        <w:rPr>
          <w:color w:val="auto"/>
        </w:rPr>
      </w:pPr>
      <w:r>
        <w:rPr>
          <w:rFonts w:hint="eastAsia"/>
          <w:color w:val="auto"/>
        </w:rPr>
        <w:t>1、预测方案及</w:t>
      </w:r>
      <w:r>
        <w:rPr>
          <w:color w:val="auto"/>
        </w:rPr>
        <w:t>预测点设置</w:t>
      </w:r>
    </w:p>
    <w:p>
      <w:pPr>
        <w:spacing w:line="360" w:lineRule="auto"/>
        <w:ind w:firstLine="480" w:firstLineChars="200"/>
        <w:rPr>
          <w:rFonts w:hint="eastAsia" w:eastAsia="宋体"/>
          <w:color w:val="auto"/>
          <w:lang w:eastAsia="zh-CN"/>
        </w:rPr>
      </w:pPr>
      <w:r>
        <w:rPr>
          <w:rFonts w:hint="eastAsia"/>
          <w:color w:val="auto"/>
        </w:rPr>
        <w:t>项目建成后无组织排放的废气主</w:t>
      </w:r>
      <w:r>
        <w:rPr>
          <w:rFonts w:hint="eastAsia"/>
          <w:color w:val="auto"/>
          <w:lang w:val="en-US" w:eastAsia="zh-CN"/>
        </w:rPr>
        <w:t>要有粗格栅及进水泵房、细格栅及</w:t>
      </w:r>
      <w:r>
        <w:rPr>
          <w:rFonts w:hint="eastAsia"/>
          <w:color w:val="auto"/>
        </w:rPr>
        <w:t>调节池</w:t>
      </w:r>
      <w:r>
        <w:rPr>
          <w:rFonts w:hint="eastAsia"/>
          <w:color w:val="auto"/>
          <w:lang w:eastAsia="zh-CN"/>
        </w:rPr>
        <w:t>、</w:t>
      </w:r>
      <w:r>
        <w:rPr>
          <w:rFonts w:hint="eastAsia"/>
          <w:color w:val="auto"/>
        </w:rPr>
        <w:t>混凝沉淀池</w:t>
      </w:r>
      <w:r>
        <w:rPr>
          <w:rFonts w:hint="eastAsia"/>
          <w:color w:val="auto"/>
          <w:lang w:eastAsia="zh-CN"/>
        </w:rPr>
        <w:t>、水解酸化池、污泥脱水车间、污泥浓缩池</w:t>
      </w:r>
      <w:r>
        <w:rPr>
          <w:rFonts w:hint="eastAsia"/>
          <w:color w:val="auto"/>
          <w:lang w:val="en-US" w:eastAsia="zh-CN"/>
        </w:rPr>
        <w:t>、</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lang w:val="en-US" w:eastAsia="zh-CN"/>
        </w:rPr>
        <w:t>/O生化池、MBR膜池无组织散逸的恶臭气体</w:t>
      </w:r>
      <w:r>
        <w:rPr>
          <w:rFonts w:hint="eastAsia"/>
          <w:color w:val="auto"/>
          <w:lang w:eastAsia="zh-CN"/>
        </w:rPr>
        <w:t>，主要成分为</w:t>
      </w: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w:t>
      </w:r>
      <w:r>
        <w:rPr>
          <w:rFonts w:hint="eastAsia"/>
          <w:color w:val="auto"/>
        </w:rPr>
        <w:t>。本次厂界</w:t>
      </w:r>
      <w:r>
        <w:rPr>
          <w:color w:val="auto"/>
        </w:rPr>
        <w:t>无组织</w:t>
      </w:r>
      <w:r>
        <w:rPr>
          <w:rFonts w:hint="eastAsia"/>
          <w:color w:val="auto"/>
        </w:rPr>
        <w:t>浓度预测网格点按50m×50m设置，在厂界共设置</w:t>
      </w:r>
      <w:r>
        <w:rPr>
          <w:rFonts w:hint="eastAsia"/>
          <w:color w:val="auto"/>
          <w:lang w:val="en-US" w:eastAsia="zh-CN"/>
        </w:rPr>
        <w:t>30</w:t>
      </w:r>
      <w:r>
        <w:rPr>
          <w:rFonts w:hint="eastAsia"/>
          <w:color w:val="auto"/>
        </w:rPr>
        <w:t>个网格点，同时在厂界上每50m设置1个预测点，预测点以关心点的形式输入AERMOD预测模型中进行预测，</w:t>
      </w:r>
      <w:r>
        <w:rPr>
          <w:color w:val="auto"/>
        </w:rPr>
        <w:t>总计</w:t>
      </w:r>
      <w:r>
        <w:rPr>
          <w:rFonts w:hint="eastAsia"/>
          <w:color w:val="auto"/>
        </w:rPr>
        <w:t>1</w:t>
      </w:r>
      <w:r>
        <w:rPr>
          <w:rFonts w:hint="eastAsia"/>
          <w:color w:val="auto"/>
          <w:lang w:val="en-US" w:eastAsia="zh-CN"/>
        </w:rPr>
        <w:t>2</w:t>
      </w:r>
      <w:r>
        <w:rPr>
          <w:color w:val="auto"/>
        </w:rPr>
        <w:t>个预测点</w:t>
      </w:r>
      <w:r>
        <w:rPr>
          <w:rFonts w:hint="eastAsia"/>
          <w:color w:val="auto"/>
          <w:lang w:eastAsia="zh-CN"/>
        </w:rPr>
        <w:t>，</w:t>
      </w:r>
      <w:r>
        <w:rPr>
          <w:rFonts w:hint="eastAsia"/>
          <w:color w:val="auto"/>
        </w:rPr>
        <w:t>取预测点处各污染物小时平均贡献值的最大值作为预测结果</w:t>
      </w:r>
      <w:r>
        <w:rPr>
          <w:rFonts w:hint="eastAsia"/>
          <w:color w:val="auto"/>
          <w:lang w:eastAsia="zh-CN"/>
        </w:rPr>
        <w:t>。</w:t>
      </w:r>
    </w:p>
    <w:p>
      <w:pPr>
        <w:spacing w:line="360" w:lineRule="auto"/>
        <w:ind w:firstLine="480" w:firstLineChars="200"/>
        <w:rPr>
          <w:color w:val="auto"/>
        </w:rPr>
      </w:pPr>
      <w:r>
        <w:rPr>
          <w:rFonts w:hint="eastAsia"/>
          <w:color w:val="auto"/>
          <w:lang w:val="en-US" w:eastAsia="zh-CN"/>
        </w:rPr>
        <w:t>2、</w:t>
      </w:r>
      <w:r>
        <w:rPr>
          <w:color w:val="auto"/>
        </w:rPr>
        <w:t>无组织厂界浓度</w:t>
      </w:r>
    </w:p>
    <w:p>
      <w:pPr>
        <w:spacing w:line="360" w:lineRule="auto"/>
        <w:ind w:firstLine="480" w:firstLineChars="200"/>
        <w:rPr>
          <w:color w:val="auto"/>
        </w:rPr>
      </w:pPr>
      <w:r>
        <w:rPr>
          <w:color w:val="auto"/>
        </w:rPr>
        <w:t>项目无组织厂界污染物浓度见下表。</w:t>
      </w:r>
    </w:p>
    <w:p>
      <w:pPr>
        <w:numPr>
          <w:ilvl w:val="0"/>
          <w:numId w:val="11"/>
        </w:numPr>
        <w:tabs>
          <w:tab w:val="left" w:pos="3395"/>
          <w:tab w:val="clear" w:pos="0"/>
        </w:tabs>
        <w:ind w:left="0" w:leftChars="0" w:firstLine="0" w:firstLineChars="0"/>
        <w:jc w:val="center"/>
        <w:rPr>
          <w:rFonts w:hint="eastAsia"/>
          <w:b/>
          <w:bCs/>
          <w:color w:val="auto"/>
        </w:rPr>
      </w:pPr>
      <w:bookmarkStart w:id="250" w:name="_Hlk531953643"/>
      <w:r>
        <w:rPr>
          <w:rFonts w:hint="eastAsia"/>
          <w:b/>
          <w:bCs/>
          <w:color w:val="auto"/>
        </w:rPr>
        <w:t>厂界无组织污染物</w:t>
      </w:r>
      <w:r>
        <w:rPr>
          <w:rFonts w:hint="eastAsia"/>
          <w:b/>
          <w:bCs/>
          <w:color w:val="auto"/>
          <w:lang w:val="en-US" w:eastAsia="zh-CN"/>
        </w:rPr>
        <w:t>NH</w:t>
      </w:r>
      <w:r>
        <w:rPr>
          <w:rFonts w:hint="eastAsia"/>
          <w:b/>
          <w:bCs/>
          <w:color w:val="auto"/>
          <w:vertAlign w:val="subscript"/>
          <w:lang w:val="en-US" w:eastAsia="zh-CN"/>
        </w:rPr>
        <w:t>3</w:t>
      </w:r>
      <w:r>
        <w:rPr>
          <w:rFonts w:hint="eastAsia"/>
          <w:b/>
          <w:bCs/>
          <w:color w:val="auto"/>
          <w:lang w:eastAsia="zh-CN"/>
        </w:rPr>
        <w:t>贡献值</w:t>
      </w:r>
      <w:r>
        <w:rPr>
          <w:rFonts w:hint="eastAsia"/>
          <w:b/>
          <w:bCs/>
          <w:color w:val="auto"/>
        </w:rPr>
        <w:t>浓度预测结果</w:t>
      </w:r>
      <w:bookmarkEnd w:id="250"/>
      <w:r>
        <w:rPr>
          <w:rFonts w:hint="eastAsia"/>
          <w:b/>
          <w:bCs/>
          <w:color w:val="auto"/>
        </w:rPr>
        <w:t xml:space="preserve">  单位：ug/m</w:t>
      </w:r>
      <w:r>
        <w:rPr>
          <w:rFonts w:hint="eastAsia"/>
          <w:b/>
          <w:bCs/>
          <w:color w:val="auto"/>
          <w:vertAlign w:val="superscript"/>
        </w:rPr>
        <w:t>3</w:t>
      </w:r>
    </w:p>
    <w:tbl>
      <w:tblPr>
        <w:tblStyle w:val="51"/>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564"/>
        <w:gridCol w:w="910"/>
        <w:gridCol w:w="2317"/>
        <w:gridCol w:w="1243"/>
        <w:gridCol w:w="1231"/>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平均时间</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出现时刻</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贡献值(ug/m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标准值(ug/m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厂界预测点1</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2020/7/1 4:00:00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19.00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厂界预测点2</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2020/6/29 2:00:00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13.37</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3</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厂界预测点3</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2020/7/1 5:00:00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24.21</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4</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厂界预测点4</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2020/7/1 4:00:00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28.63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5</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厂界预测点5</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2020/3/13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36.01</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6</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厂界预测点6</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2020/10/23 4:00:00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17.33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7</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厂界预测点7</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2020/9/19 2:00:00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9.66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8</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厂界预测点8</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2020/9/6 5:00:00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14.37</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9</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厂界预测点9</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2020/9/11 20:00:00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14.55</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10</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厂界预测点10</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2020/11/23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13.79</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11</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厂界预测点11</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2020/9/11 20:00:00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26.07</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12</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厂界预测点12</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2020/7/1 4:00:00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23.40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bl>
    <w:p>
      <w:pPr>
        <w:numPr>
          <w:ilvl w:val="0"/>
          <w:numId w:val="11"/>
        </w:numPr>
        <w:tabs>
          <w:tab w:val="left" w:pos="3395"/>
          <w:tab w:val="clear" w:pos="0"/>
        </w:tabs>
        <w:ind w:left="0" w:leftChars="0" w:firstLine="0" w:firstLineChars="0"/>
        <w:jc w:val="center"/>
        <w:rPr>
          <w:rFonts w:hint="eastAsia"/>
          <w:b/>
          <w:bCs/>
          <w:color w:val="auto"/>
        </w:rPr>
      </w:pPr>
      <w:r>
        <w:rPr>
          <w:rFonts w:hint="eastAsia"/>
          <w:b/>
          <w:bCs/>
          <w:color w:val="auto"/>
        </w:rPr>
        <w:t>厂界无组织污染物</w:t>
      </w:r>
      <w:r>
        <w:rPr>
          <w:rFonts w:hint="eastAsia"/>
          <w:b/>
          <w:bCs/>
          <w:color w:val="auto"/>
          <w:lang w:val="en-US" w:eastAsia="zh-CN"/>
        </w:rPr>
        <w:t>H</w:t>
      </w:r>
      <w:r>
        <w:rPr>
          <w:rFonts w:hint="eastAsia"/>
          <w:b/>
          <w:bCs/>
          <w:color w:val="auto"/>
          <w:vertAlign w:val="subscript"/>
          <w:lang w:val="en-US" w:eastAsia="zh-CN"/>
        </w:rPr>
        <w:t>2</w:t>
      </w:r>
      <w:r>
        <w:rPr>
          <w:rFonts w:hint="eastAsia"/>
          <w:b/>
          <w:bCs/>
          <w:color w:val="auto"/>
          <w:vertAlign w:val="baseline"/>
          <w:lang w:val="en-US" w:eastAsia="zh-CN"/>
        </w:rPr>
        <w:t>S</w:t>
      </w:r>
      <w:r>
        <w:rPr>
          <w:rFonts w:hint="eastAsia"/>
          <w:b/>
          <w:bCs/>
          <w:color w:val="auto"/>
          <w:lang w:eastAsia="zh-CN"/>
        </w:rPr>
        <w:t>贡献值</w:t>
      </w:r>
      <w:r>
        <w:rPr>
          <w:rFonts w:hint="eastAsia"/>
          <w:b/>
          <w:bCs/>
          <w:color w:val="auto"/>
        </w:rPr>
        <w:t>浓度预测结果  单位：ug/m</w:t>
      </w:r>
      <w:r>
        <w:rPr>
          <w:rFonts w:hint="eastAsia"/>
          <w:b/>
          <w:bCs/>
          <w:color w:val="auto"/>
          <w:vertAlign w:val="superscript"/>
        </w:rPr>
        <w:t>3</w:t>
      </w:r>
    </w:p>
    <w:tbl>
      <w:tblPr>
        <w:tblStyle w:val="51"/>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564"/>
        <w:gridCol w:w="910"/>
        <w:gridCol w:w="2317"/>
        <w:gridCol w:w="1243"/>
        <w:gridCol w:w="1231"/>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平均时间</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出现时刻</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贡献值(ug/m3)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标准值(ug/m3)</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厂界预测点1</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2020/6/29 2:00:00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0.09</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厂界预测点2</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2020/9/6 2:00:00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0.13</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3</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厂界预测点3</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2020/7/29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0.12</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4</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厂界预测点4</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2020/1/22 4:00:00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0.09</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5</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厂界预测点5</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2020/9/19 21:00:00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0.11</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6</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厂界预测点6</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2020/10/28 7:00:00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0.06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7</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厂界预测点7</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2020/10/23 4:00:00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0.04</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8</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厂界预测点8</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2020/10/23 4:00:00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0.06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9</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厂界预测点9</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2020/9/7 7:00:00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0.08</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10</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厂界预测点10</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2020/6/6 6:00:00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0.06</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11</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厂界预测点11</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2020/9/11 20:00:00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0.09</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10"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12</w:t>
            </w:r>
          </w:p>
        </w:tc>
        <w:tc>
          <w:tcPr>
            <w:tcW w:w="1564"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厂界预测点12</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1时</w:t>
            </w:r>
          </w:p>
        </w:tc>
        <w:tc>
          <w:tcPr>
            <w:tcW w:w="2317"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2020/9/17 3:00:00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0.10</w:t>
            </w:r>
          </w:p>
        </w:tc>
        <w:tc>
          <w:tcPr>
            <w:tcW w:w="1231"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1243"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olor w:val="auto"/>
        </w:rPr>
      </w:pPr>
      <w:r>
        <w:rPr>
          <w:color w:val="auto"/>
        </w:rPr>
        <w:t>上述预测及分析结果表明：项目无组织排放的</w:t>
      </w:r>
      <w:r>
        <w:rPr>
          <w:rFonts w:hint="eastAsia"/>
          <w:color w:val="auto"/>
          <w:lang w:val="en-US" w:eastAsia="zh-CN"/>
        </w:rPr>
        <w:t>NH</w:t>
      </w:r>
      <w:r>
        <w:rPr>
          <w:rFonts w:hint="eastAsia"/>
          <w:color w:val="auto"/>
          <w:vertAlign w:val="subscript"/>
          <w:lang w:val="en-US" w:eastAsia="zh-CN"/>
        </w:rPr>
        <w:t>3</w:t>
      </w:r>
      <w:r>
        <w:rPr>
          <w:rFonts w:hint="eastAsia"/>
          <w:color w:val="auto"/>
        </w:rPr>
        <w:t>、</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w:t>
      </w:r>
      <w:r>
        <w:rPr>
          <w:color w:val="auto"/>
        </w:rPr>
        <w:t>预测最大浓度为</w:t>
      </w:r>
      <w:r>
        <w:rPr>
          <w:rFonts w:hint="eastAsia"/>
          <w:color w:val="auto"/>
          <w:lang w:val="en-US" w:eastAsia="zh-CN"/>
        </w:rPr>
        <w:t>36.01</w:t>
      </w:r>
      <w:r>
        <w:rPr>
          <w:rFonts w:hint="eastAsia"/>
          <w:color w:val="auto"/>
        </w:rPr>
        <w:t>u</w:t>
      </w:r>
      <w:r>
        <w:rPr>
          <w:color w:val="auto"/>
        </w:rPr>
        <w:t>g/m</w:t>
      </w:r>
      <w:r>
        <w:rPr>
          <w:color w:val="auto"/>
          <w:vertAlign w:val="superscript"/>
        </w:rPr>
        <w:t>3</w:t>
      </w:r>
      <w:r>
        <w:rPr>
          <w:rFonts w:hint="eastAsia"/>
          <w:color w:val="auto"/>
        </w:rPr>
        <w:t>、</w:t>
      </w:r>
      <w:r>
        <w:rPr>
          <w:rFonts w:hint="eastAsia"/>
          <w:color w:val="auto"/>
          <w:lang w:val="en-US" w:eastAsia="zh-CN"/>
        </w:rPr>
        <w:t>0.13</w:t>
      </w:r>
      <w:r>
        <w:rPr>
          <w:rFonts w:hint="eastAsia"/>
          <w:color w:val="auto"/>
        </w:rPr>
        <w:t>u</w:t>
      </w:r>
      <w:r>
        <w:rPr>
          <w:color w:val="auto"/>
        </w:rPr>
        <w:t>g/m</w:t>
      </w:r>
      <w:r>
        <w:rPr>
          <w:color w:val="auto"/>
          <w:vertAlign w:val="superscript"/>
        </w:rPr>
        <w:t>3</w:t>
      </w:r>
      <w:r>
        <w:rPr>
          <w:rFonts w:hint="eastAsia"/>
          <w:color w:val="auto"/>
        </w:rPr>
        <w:t>，</w:t>
      </w:r>
      <w:r>
        <w:rPr>
          <w:color w:val="auto"/>
        </w:rPr>
        <w:t>满足</w:t>
      </w:r>
      <w:r>
        <w:rPr>
          <w:color w:val="auto"/>
          <w:kern w:val="21"/>
          <w:lang w:bidi="ar"/>
        </w:rPr>
        <w:t>《城镇污水处理厂污染物排放标准》（GB18918-2002）及其修改单表4中二级标准</w:t>
      </w:r>
      <w:r>
        <w:rPr>
          <w:rFonts w:hint="eastAsia"/>
          <w:color w:val="auto"/>
          <w:kern w:val="21"/>
          <w:lang w:eastAsia="zh-CN" w:bidi="ar"/>
        </w:rPr>
        <w:t>中对厂界废气排放浓度</w:t>
      </w:r>
      <w:r>
        <w:rPr>
          <w:rFonts w:hint="eastAsia"/>
          <w:color w:val="auto"/>
          <w:lang w:eastAsia="zh-CN"/>
        </w:rPr>
        <w:t>的限值要求</w:t>
      </w:r>
      <w:r>
        <w:rPr>
          <w:rFonts w:hint="eastAsia"/>
          <w:color w:val="auto"/>
        </w:rPr>
        <w:t>。</w:t>
      </w:r>
    </w:p>
    <w:p>
      <w:pPr>
        <w:pStyle w:val="8"/>
        <w:spacing w:before="0" w:after="0" w:line="377" w:lineRule="auto"/>
        <w:ind w:firstLine="0" w:firstLineChars="0"/>
        <w:rPr>
          <w:rFonts w:hint="eastAsia" w:ascii="Times New Roman" w:hAnsi="Times New Roman" w:eastAsia="宋体"/>
          <w:color w:val="auto"/>
          <w:kern w:val="21"/>
          <w:sz w:val="24"/>
          <w:szCs w:val="24"/>
          <w:lang w:eastAsia="zh-CN"/>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3</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lang w:val="en-US" w:eastAsia="zh-CN"/>
        </w:rPr>
        <w:t>6大气环境防护距离</w:t>
      </w:r>
    </w:p>
    <w:p>
      <w:pPr>
        <w:adjustRightInd w:val="0"/>
        <w:snapToGrid w:val="0"/>
        <w:spacing w:line="360" w:lineRule="auto"/>
        <w:ind w:firstLine="482"/>
        <w:rPr>
          <w:color w:val="auto"/>
        </w:rPr>
      </w:pPr>
      <w:r>
        <w:rPr>
          <w:rFonts w:hint="eastAsia"/>
          <w:color w:val="auto"/>
        </w:rPr>
        <w:t>本项目大气评价等级定为一级，按照《环境影响评价技术</w:t>
      </w:r>
      <w:r>
        <w:rPr>
          <w:rFonts w:hint="eastAsia"/>
          <w:color w:val="auto"/>
          <w:lang w:eastAsia="zh-CN"/>
        </w:rPr>
        <w:t>导则 大气环境</w:t>
      </w:r>
      <w:r>
        <w:rPr>
          <w:rFonts w:hint="eastAsia"/>
          <w:color w:val="auto"/>
        </w:rPr>
        <w:t>》（HJ2.2-2018）规定8.7.5要求“对于项目厂界浓度满足大气污染物厂界浓度限值，但厂界外污染物短期贡献浓度超过环境质量浓度限值的，可以自厂界向外设置一定范围的大气环境防护区域，以确保大气环境防护区域外的污染物贡献浓度满足环境质量标准”。</w:t>
      </w:r>
    </w:p>
    <w:p>
      <w:pPr>
        <w:adjustRightInd w:val="0"/>
        <w:snapToGrid w:val="0"/>
        <w:spacing w:line="360" w:lineRule="auto"/>
        <w:ind w:firstLine="482"/>
        <w:rPr>
          <w:color w:val="auto"/>
        </w:rPr>
      </w:pPr>
      <w:r>
        <w:rPr>
          <w:rFonts w:hint="eastAsia"/>
          <w:color w:val="auto"/>
        </w:rPr>
        <w:t>按照《环境影响评价技术导则》（HJ2.2-2018）8.8.5要求：大气环境放防护距离确定时，厂界外预测网格分辨率不应超过50m。因此，本项目计算大气环境放防护距离将预测网格分辨率按50m设置，预测范围为距离源中心为1.0km的矩形范围，对污染物短期浓度进行二次计算。短期浓度预测结果如下：</w:t>
      </w:r>
    </w:p>
    <w:p>
      <w:pPr>
        <w:numPr>
          <w:ilvl w:val="0"/>
          <w:numId w:val="11"/>
        </w:numPr>
        <w:tabs>
          <w:tab w:val="left" w:pos="3395"/>
          <w:tab w:val="clear" w:pos="0"/>
        </w:tabs>
        <w:ind w:left="0" w:leftChars="0" w:firstLine="0" w:firstLineChars="0"/>
        <w:jc w:val="center"/>
        <w:rPr>
          <w:b/>
          <w:bCs/>
          <w:color w:val="auto"/>
        </w:rPr>
      </w:pPr>
      <w:r>
        <w:rPr>
          <w:rFonts w:hint="eastAsia"/>
          <w:b/>
          <w:bCs/>
          <w:color w:val="auto"/>
        </w:rPr>
        <w:t>项目主要污染浓度最大预测结果表</w:t>
      </w:r>
    </w:p>
    <w:tbl>
      <w:tblPr>
        <w:tblStyle w:val="51"/>
        <w:tblW w:w="5000" w:type="pct"/>
        <w:tblInd w:w="0" w:type="dxa"/>
        <w:tblLayout w:type="fixed"/>
        <w:tblCellMar>
          <w:top w:w="0" w:type="dxa"/>
          <w:left w:w="108" w:type="dxa"/>
          <w:bottom w:w="0" w:type="dxa"/>
          <w:right w:w="108" w:type="dxa"/>
        </w:tblCellMar>
      </w:tblPr>
      <w:tblGrid>
        <w:gridCol w:w="885"/>
        <w:gridCol w:w="1248"/>
        <w:gridCol w:w="1102"/>
        <w:gridCol w:w="1102"/>
        <w:gridCol w:w="1990"/>
        <w:gridCol w:w="1020"/>
        <w:gridCol w:w="1065"/>
        <w:gridCol w:w="1102"/>
      </w:tblGrid>
      <w:tr>
        <w:tblPrEx>
          <w:tblCellMar>
            <w:top w:w="0" w:type="dxa"/>
            <w:left w:w="108" w:type="dxa"/>
            <w:bottom w:w="0" w:type="dxa"/>
            <w:right w:w="108" w:type="dxa"/>
          </w:tblCellMar>
        </w:tblPrEx>
        <w:trPr>
          <w:trHeight w:val="300" w:hRule="atLeast"/>
        </w:trPr>
        <w:tc>
          <w:tcPr>
            <w:tcW w:w="46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污染物</w:t>
            </w:r>
          </w:p>
        </w:tc>
        <w:tc>
          <w:tcPr>
            <w:tcW w:w="655"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点坐标</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(x,y)</w:t>
            </w:r>
          </w:p>
        </w:tc>
        <w:tc>
          <w:tcPr>
            <w:tcW w:w="579"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int="eastAsia"/>
                <w:color w:val="auto"/>
                <w:kern w:val="0"/>
                <w:sz w:val="21"/>
                <w:szCs w:val="21"/>
              </w:rPr>
              <w:t>平均时间</w:t>
            </w:r>
          </w:p>
        </w:tc>
        <w:tc>
          <w:tcPr>
            <w:tcW w:w="579"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浓度增量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(μg/m</w:t>
            </w:r>
            <w:r>
              <w:rPr>
                <w:color w:val="auto"/>
                <w:kern w:val="0"/>
                <w:sz w:val="21"/>
                <w:szCs w:val="21"/>
                <w:vertAlign w:val="superscript"/>
              </w:rPr>
              <w:t>3</w:t>
            </w:r>
            <w:r>
              <w:rPr>
                <w:color w:val="auto"/>
                <w:kern w:val="0"/>
                <w:sz w:val="21"/>
                <w:szCs w:val="21"/>
              </w:rPr>
              <w:t>)</w:t>
            </w:r>
          </w:p>
        </w:tc>
        <w:tc>
          <w:tcPr>
            <w:tcW w:w="1045"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出现时间</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(YYMMDDHH)</w:t>
            </w:r>
          </w:p>
        </w:tc>
        <w:tc>
          <w:tcPr>
            <w:tcW w:w="536"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评价标准</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(μg/m</w:t>
            </w:r>
            <w:r>
              <w:rPr>
                <w:color w:val="auto"/>
                <w:kern w:val="0"/>
                <w:sz w:val="21"/>
                <w:szCs w:val="21"/>
                <w:vertAlign w:val="superscript"/>
              </w:rPr>
              <w:t>3</w:t>
            </w:r>
            <w:r>
              <w:rPr>
                <w:color w:val="auto"/>
                <w:kern w:val="0"/>
                <w:sz w:val="21"/>
                <w:szCs w:val="21"/>
              </w:rPr>
              <w:t>)</w:t>
            </w:r>
          </w:p>
        </w:tc>
        <w:tc>
          <w:tcPr>
            <w:tcW w:w="559"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占标率%</w:t>
            </w:r>
          </w:p>
        </w:tc>
        <w:tc>
          <w:tcPr>
            <w:tcW w:w="579"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是否超标</w:t>
            </w:r>
          </w:p>
        </w:tc>
      </w:tr>
      <w:tr>
        <w:tblPrEx>
          <w:tblCellMar>
            <w:top w:w="0" w:type="dxa"/>
            <w:left w:w="108" w:type="dxa"/>
            <w:bottom w:w="0" w:type="dxa"/>
            <w:right w:w="108" w:type="dxa"/>
          </w:tblCellMar>
        </w:tblPrEx>
        <w:trPr>
          <w:trHeight w:val="300" w:hRule="atLeast"/>
        </w:trPr>
        <w:tc>
          <w:tcPr>
            <w:tcW w:w="465" w:type="pct"/>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int="eastAsia"/>
                <w:color w:val="auto"/>
                <w:kern w:val="0"/>
                <w:sz w:val="21"/>
                <w:szCs w:val="21"/>
              </w:rPr>
              <w:t>NH</w:t>
            </w:r>
            <w:r>
              <w:rPr>
                <w:rFonts w:hint="eastAsia"/>
                <w:color w:val="auto"/>
                <w:kern w:val="0"/>
                <w:sz w:val="21"/>
                <w:szCs w:val="21"/>
                <w:vertAlign w:val="subscript"/>
              </w:rPr>
              <w:t>3</w:t>
            </w:r>
          </w:p>
        </w:tc>
        <w:tc>
          <w:tcPr>
            <w:tcW w:w="655"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45</w:t>
            </w:r>
            <w:r>
              <w:rPr>
                <w:rFonts w:hint="eastAsia"/>
                <w:color w:val="auto"/>
                <w:kern w:val="0"/>
                <w:sz w:val="21"/>
                <w:szCs w:val="21"/>
              </w:rPr>
              <w:t>，</w:t>
            </w:r>
            <w:r>
              <w:rPr>
                <w:rFonts w:hint="eastAsia"/>
                <w:color w:val="auto"/>
                <w:kern w:val="0"/>
                <w:sz w:val="21"/>
                <w:szCs w:val="21"/>
                <w:lang w:val="en-US" w:eastAsia="zh-CN"/>
              </w:rPr>
              <w:t>-5</w:t>
            </w:r>
          </w:p>
        </w:tc>
        <w:tc>
          <w:tcPr>
            <w:tcW w:w="579" w:type="pct"/>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1h</w:t>
            </w:r>
          </w:p>
        </w:tc>
        <w:tc>
          <w:tcPr>
            <w:tcW w:w="579"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rPr>
              <w:t>2</w:t>
            </w:r>
            <w:r>
              <w:rPr>
                <w:rFonts w:hint="eastAsia"/>
                <w:color w:val="auto"/>
                <w:kern w:val="0"/>
                <w:sz w:val="21"/>
                <w:szCs w:val="21"/>
                <w:lang w:val="en-US" w:eastAsia="zh-CN"/>
              </w:rPr>
              <w:t>8.05</w:t>
            </w:r>
          </w:p>
        </w:tc>
        <w:tc>
          <w:tcPr>
            <w:tcW w:w="1045"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sz w:val="21"/>
                <w:szCs w:val="21"/>
              </w:rPr>
              <w:t>2020/</w:t>
            </w:r>
            <w:r>
              <w:rPr>
                <w:rFonts w:hint="eastAsia"/>
                <w:color w:val="auto"/>
                <w:sz w:val="21"/>
                <w:szCs w:val="21"/>
                <w:lang w:val="en-US" w:eastAsia="zh-CN"/>
              </w:rPr>
              <w:t>6</w:t>
            </w:r>
            <w:r>
              <w:rPr>
                <w:color w:val="auto"/>
                <w:sz w:val="21"/>
                <w:szCs w:val="21"/>
              </w:rPr>
              <w:t>/2</w:t>
            </w:r>
            <w:r>
              <w:rPr>
                <w:rFonts w:hint="eastAsia"/>
                <w:color w:val="auto"/>
                <w:sz w:val="21"/>
                <w:szCs w:val="21"/>
                <w:lang w:val="en-US" w:eastAsia="zh-CN"/>
              </w:rPr>
              <w:t>9</w:t>
            </w:r>
            <w:r>
              <w:rPr>
                <w:color w:val="auto"/>
                <w:sz w:val="21"/>
                <w:szCs w:val="21"/>
              </w:rPr>
              <w:t xml:space="preserve"> </w:t>
            </w:r>
            <w:r>
              <w:rPr>
                <w:rFonts w:hint="eastAsia"/>
                <w:color w:val="auto"/>
                <w:sz w:val="21"/>
                <w:szCs w:val="21"/>
                <w:lang w:val="en-US" w:eastAsia="zh-CN"/>
              </w:rPr>
              <w:t>2</w:t>
            </w:r>
            <w:r>
              <w:rPr>
                <w:color w:val="auto"/>
                <w:sz w:val="21"/>
                <w:szCs w:val="21"/>
              </w:rPr>
              <w:t>:00:00</w:t>
            </w:r>
          </w:p>
        </w:tc>
        <w:tc>
          <w:tcPr>
            <w:tcW w:w="536"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int="eastAsia"/>
                <w:color w:val="auto"/>
                <w:kern w:val="0"/>
                <w:sz w:val="21"/>
                <w:szCs w:val="21"/>
              </w:rPr>
              <w:t>200</w:t>
            </w:r>
          </w:p>
        </w:tc>
        <w:tc>
          <w:tcPr>
            <w:tcW w:w="559"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14.02</w:t>
            </w:r>
          </w:p>
        </w:tc>
        <w:tc>
          <w:tcPr>
            <w:tcW w:w="579"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达标</w:t>
            </w:r>
          </w:p>
        </w:tc>
      </w:tr>
      <w:tr>
        <w:tblPrEx>
          <w:tblCellMar>
            <w:top w:w="0" w:type="dxa"/>
            <w:left w:w="108" w:type="dxa"/>
            <w:bottom w:w="0" w:type="dxa"/>
            <w:right w:w="108" w:type="dxa"/>
          </w:tblCellMar>
        </w:tblPrEx>
        <w:trPr>
          <w:trHeight w:val="300" w:hRule="atLeast"/>
        </w:trPr>
        <w:tc>
          <w:tcPr>
            <w:tcW w:w="465" w:type="pct"/>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int="eastAsia"/>
                <w:color w:val="auto"/>
                <w:kern w:val="0"/>
                <w:sz w:val="21"/>
                <w:szCs w:val="21"/>
              </w:rPr>
              <w:t>H</w:t>
            </w:r>
            <w:r>
              <w:rPr>
                <w:color w:val="auto"/>
                <w:kern w:val="0"/>
                <w:sz w:val="21"/>
                <w:szCs w:val="21"/>
                <w:vertAlign w:val="subscript"/>
              </w:rPr>
              <w:t>2</w:t>
            </w:r>
            <w:r>
              <w:rPr>
                <w:rFonts w:hint="eastAsia"/>
                <w:color w:val="auto"/>
                <w:kern w:val="0"/>
                <w:sz w:val="21"/>
                <w:szCs w:val="21"/>
              </w:rPr>
              <w:t>S</w:t>
            </w:r>
          </w:p>
        </w:tc>
        <w:tc>
          <w:tcPr>
            <w:tcW w:w="655"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int="eastAsia"/>
                <w:color w:val="auto"/>
                <w:kern w:val="0"/>
                <w:sz w:val="21"/>
                <w:szCs w:val="21"/>
                <w:lang w:val="en-US" w:eastAsia="zh-CN"/>
              </w:rPr>
              <w:t>45</w:t>
            </w:r>
            <w:r>
              <w:rPr>
                <w:rFonts w:hint="eastAsia"/>
                <w:color w:val="auto"/>
                <w:kern w:val="0"/>
                <w:sz w:val="21"/>
                <w:szCs w:val="21"/>
              </w:rPr>
              <w:t>，</w:t>
            </w:r>
            <w:r>
              <w:rPr>
                <w:rFonts w:hint="eastAsia"/>
                <w:color w:val="auto"/>
                <w:kern w:val="0"/>
                <w:sz w:val="21"/>
                <w:szCs w:val="21"/>
                <w:lang w:val="en-US" w:eastAsia="zh-CN"/>
              </w:rPr>
              <w:t>-5</w:t>
            </w:r>
          </w:p>
        </w:tc>
        <w:tc>
          <w:tcPr>
            <w:tcW w:w="579" w:type="pct"/>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1h</w:t>
            </w:r>
          </w:p>
        </w:tc>
        <w:tc>
          <w:tcPr>
            <w:tcW w:w="579"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0.13</w:t>
            </w:r>
          </w:p>
        </w:tc>
        <w:tc>
          <w:tcPr>
            <w:tcW w:w="1045"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sz w:val="21"/>
                <w:szCs w:val="21"/>
              </w:rPr>
              <w:t>2020/</w:t>
            </w:r>
            <w:r>
              <w:rPr>
                <w:rFonts w:hint="eastAsia"/>
                <w:color w:val="auto"/>
                <w:sz w:val="21"/>
                <w:szCs w:val="21"/>
                <w:lang w:val="en-US" w:eastAsia="zh-CN"/>
              </w:rPr>
              <w:t>9</w:t>
            </w:r>
            <w:r>
              <w:rPr>
                <w:color w:val="auto"/>
                <w:sz w:val="21"/>
                <w:szCs w:val="21"/>
              </w:rPr>
              <w:t>/</w:t>
            </w:r>
            <w:r>
              <w:rPr>
                <w:rFonts w:hint="eastAsia"/>
                <w:color w:val="auto"/>
                <w:sz w:val="21"/>
                <w:szCs w:val="21"/>
                <w:lang w:val="en-US" w:eastAsia="zh-CN"/>
              </w:rPr>
              <w:t>19</w:t>
            </w:r>
            <w:r>
              <w:rPr>
                <w:color w:val="auto"/>
                <w:sz w:val="21"/>
                <w:szCs w:val="21"/>
              </w:rPr>
              <w:t xml:space="preserve"> </w:t>
            </w:r>
            <w:r>
              <w:rPr>
                <w:rFonts w:hint="eastAsia"/>
                <w:color w:val="auto"/>
                <w:sz w:val="21"/>
                <w:szCs w:val="21"/>
                <w:lang w:val="en-US" w:eastAsia="zh-CN"/>
              </w:rPr>
              <w:t>21</w:t>
            </w:r>
            <w:r>
              <w:rPr>
                <w:color w:val="auto"/>
                <w:sz w:val="21"/>
                <w:szCs w:val="21"/>
              </w:rPr>
              <w:t>:00:00</w:t>
            </w:r>
          </w:p>
        </w:tc>
        <w:tc>
          <w:tcPr>
            <w:tcW w:w="536"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int="eastAsia"/>
                <w:color w:val="auto"/>
                <w:kern w:val="0"/>
                <w:sz w:val="21"/>
                <w:szCs w:val="21"/>
              </w:rPr>
              <w:t>10</w:t>
            </w:r>
          </w:p>
        </w:tc>
        <w:tc>
          <w:tcPr>
            <w:tcW w:w="559"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1.28</w:t>
            </w:r>
          </w:p>
        </w:tc>
        <w:tc>
          <w:tcPr>
            <w:tcW w:w="579"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olor w:val="auto"/>
        </w:rPr>
      </w:pPr>
      <w:r>
        <w:rPr>
          <w:rFonts w:hint="eastAsia"/>
          <w:color w:val="auto"/>
        </w:rPr>
        <w:t>根据预测分析，本项污染物期短期浓度均能满足《环境影响评价技术</w:t>
      </w:r>
      <w:r>
        <w:rPr>
          <w:rFonts w:hint="eastAsia"/>
          <w:color w:val="auto"/>
          <w:lang w:eastAsia="zh-CN"/>
        </w:rPr>
        <w:t>导则 大气环境</w:t>
      </w:r>
      <w:r>
        <w:rPr>
          <w:rFonts w:hint="eastAsia"/>
          <w:color w:val="auto"/>
        </w:rPr>
        <w:t>》（HJ2.2-2018）附录D浓度限值，因此，本环评判定项目不需设置大气环境防护距离。</w:t>
      </w:r>
    </w:p>
    <w:p>
      <w:pPr>
        <w:pStyle w:val="8"/>
        <w:spacing w:before="0" w:after="0" w:line="377" w:lineRule="auto"/>
        <w:ind w:firstLine="0" w:firstLineChars="0"/>
        <w:rPr>
          <w:rFonts w:hint="eastAsia" w:ascii="Times New Roman" w:hAnsi="Times New Roman" w:eastAsia="宋体"/>
          <w:color w:val="auto"/>
          <w:kern w:val="21"/>
          <w:sz w:val="24"/>
          <w:szCs w:val="24"/>
          <w:lang w:eastAsia="zh-CN"/>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3</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lang w:val="en-US" w:eastAsia="zh-CN"/>
        </w:rPr>
        <w:t>7卫生防护距离</w:t>
      </w:r>
    </w:p>
    <w:p>
      <w:pPr>
        <w:ind w:firstLine="480"/>
        <w:rPr>
          <w:color w:val="auto"/>
          <w:kern w:val="21"/>
        </w:rPr>
      </w:pPr>
      <w:r>
        <w:rPr>
          <w:color w:val="auto"/>
          <w:kern w:val="21"/>
        </w:rPr>
        <w:t>项目无组织</w:t>
      </w:r>
      <w:r>
        <w:rPr>
          <w:rFonts w:hint="eastAsia"/>
          <w:color w:val="auto"/>
          <w:kern w:val="21"/>
        </w:rPr>
        <w:t>臭气</w:t>
      </w:r>
      <w:r>
        <w:rPr>
          <w:color w:val="auto"/>
          <w:kern w:val="21"/>
        </w:rPr>
        <w:t>排放</w:t>
      </w:r>
      <w:r>
        <w:rPr>
          <w:rFonts w:hint="eastAsia"/>
          <w:color w:val="auto"/>
          <w:kern w:val="21"/>
          <w:lang w:eastAsia="zh-CN"/>
        </w:rPr>
        <w:t>源有</w:t>
      </w:r>
      <w:r>
        <w:rPr>
          <w:rFonts w:hint="eastAsia"/>
          <w:color w:val="auto"/>
          <w:lang w:val="en-US" w:eastAsia="zh-CN"/>
        </w:rPr>
        <w:t>粗格栅及进水泵房、细格栅及</w:t>
      </w:r>
      <w:r>
        <w:rPr>
          <w:rFonts w:hint="eastAsia"/>
          <w:color w:val="auto"/>
        </w:rPr>
        <w:t>调节池</w:t>
      </w:r>
      <w:r>
        <w:rPr>
          <w:rFonts w:hint="eastAsia"/>
          <w:color w:val="auto"/>
          <w:lang w:eastAsia="zh-CN"/>
        </w:rPr>
        <w:t>、</w:t>
      </w:r>
      <w:r>
        <w:rPr>
          <w:rFonts w:hint="eastAsia"/>
          <w:color w:val="auto"/>
        </w:rPr>
        <w:t>混凝沉淀池</w:t>
      </w:r>
      <w:r>
        <w:rPr>
          <w:rFonts w:hint="eastAsia"/>
          <w:color w:val="auto"/>
          <w:lang w:eastAsia="zh-CN"/>
        </w:rPr>
        <w:t>、水解酸化池、污泥脱水车间、污泥浓缩池、</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lang w:val="en-US" w:eastAsia="zh-CN"/>
        </w:rPr>
        <w:t>/O生化池、MBR膜池无组织散逸的恶臭气体</w:t>
      </w:r>
      <w:r>
        <w:rPr>
          <w:rFonts w:hint="eastAsia"/>
          <w:color w:val="auto"/>
          <w:lang w:eastAsia="zh-CN"/>
        </w:rPr>
        <w:t>，主要成分为</w:t>
      </w: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w:t>
      </w:r>
      <w:r>
        <w:rPr>
          <w:color w:val="auto"/>
          <w:kern w:val="21"/>
        </w:rPr>
        <w:t>。</w:t>
      </w:r>
    </w:p>
    <w:p>
      <w:pPr>
        <w:ind w:firstLine="480"/>
        <w:rPr>
          <w:bCs/>
          <w:color w:val="auto"/>
          <w:kern w:val="21"/>
        </w:rPr>
      </w:pPr>
      <w:r>
        <w:rPr>
          <w:bCs/>
          <w:color w:val="auto"/>
          <w:kern w:val="21"/>
        </w:rPr>
        <w:t>根据</w:t>
      </w:r>
      <w:r>
        <w:rPr>
          <w:color w:val="auto"/>
        </w:rPr>
        <w:t>《大气有害物质无组织排放卫生防护距离推导技术导则》（GB/T39499 -2020）</w:t>
      </w:r>
      <w:r>
        <w:rPr>
          <w:bCs/>
          <w:color w:val="auto"/>
          <w:kern w:val="21"/>
        </w:rPr>
        <w:t>中的</w:t>
      </w:r>
      <w:r>
        <w:rPr>
          <w:color w:val="auto"/>
          <w:kern w:val="21"/>
        </w:rPr>
        <w:t>卫生防护距离的计算式计算卫生防护距离，计算式如下：</w:t>
      </w:r>
    </w:p>
    <w:p>
      <w:pPr>
        <w:ind w:firstLine="0" w:firstLineChars="0"/>
        <w:jc w:val="center"/>
        <w:rPr>
          <w:color w:val="auto"/>
          <w:kern w:val="21"/>
        </w:rPr>
      </w:pPr>
      <w:r>
        <w:rPr>
          <w:color w:val="auto"/>
          <w:kern w:val="21"/>
        </w:rPr>
        <w:drawing>
          <wp:inline distT="0" distB="0" distL="0" distR="0">
            <wp:extent cx="2104390" cy="504190"/>
            <wp:effectExtent l="0" t="0" r="10160" b="0"/>
            <wp:docPr id="27"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0"/>
                    <pic:cNvPicPr>
                      <a:picLocks noChangeAspect="1" noChangeArrowheads="1"/>
                    </pic:cNvPicPr>
                  </pic:nvPicPr>
                  <pic:blipFill>
                    <a:blip r:embed="rId64">
                      <a:extLst>
                        <a:ext uri="{28A0092B-C50C-407E-A947-70E740481C1C}">
                          <a14:useLocalDpi xmlns:a14="http://schemas.microsoft.com/office/drawing/2010/main" val="0"/>
                        </a:ext>
                      </a:extLst>
                    </a:blip>
                    <a:srcRect r="14204" b="-17967"/>
                    <a:stretch>
                      <a:fillRect/>
                    </a:stretch>
                  </pic:blipFill>
                  <pic:spPr>
                    <a:xfrm>
                      <a:off x="0" y="0"/>
                      <a:ext cx="2104390" cy="504190"/>
                    </a:xfrm>
                    <a:prstGeom prst="rect">
                      <a:avLst/>
                    </a:prstGeom>
                    <a:noFill/>
                    <a:ln>
                      <a:noFill/>
                    </a:ln>
                  </pic:spPr>
                </pic:pic>
              </a:graphicData>
            </a:graphic>
          </wp:inline>
        </w:drawing>
      </w:r>
    </w:p>
    <w:p>
      <w:pPr>
        <w:ind w:firstLine="0" w:firstLineChars="0"/>
        <w:rPr>
          <w:color w:val="auto"/>
          <w:kern w:val="21"/>
        </w:rPr>
      </w:pPr>
      <w:r>
        <w:rPr>
          <w:color w:val="auto"/>
          <w:kern w:val="21"/>
        </w:rPr>
        <w:t>式中：C</w:t>
      </w:r>
      <w:r>
        <w:rPr>
          <w:color w:val="auto"/>
          <w:kern w:val="21"/>
          <w:vertAlign w:val="subscript"/>
        </w:rPr>
        <w:t>m</w:t>
      </w:r>
      <w:r>
        <w:rPr>
          <w:color w:val="auto"/>
          <w:kern w:val="21"/>
        </w:rPr>
        <w:t>----标准浓度限值，mg/L；</w:t>
      </w:r>
    </w:p>
    <w:p>
      <w:pPr>
        <w:ind w:firstLine="916" w:firstLineChars="382"/>
        <w:rPr>
          <w:color w:val="auto"/>
          <w:kern w:val="21"/>
        </w:rPr>
      </w:pPr>
      <w:r>
        <w:rPr>
          <w:color w:val="auto"/>
          <w:kern w:val="21"/>
        </w:rPr>
        <w:t>L----工业企业所需卫生防护距离，m；</w:t>
      </w:r>
    </w:p>
    <w:p>
      <w:pPr>
        <w:ind w:firstLine="960" w:firstLineChars="400"/>
        <w:rPr>
          <w:color w:val="auto"/>
          <w:kern w:val="21"/>
        </w:rPr>
      </w:pPr>
      <w:r>
        <w:rPr>
          <w:color w:val="auto"/>
          <w:kern w:val="21"/>
        </w:rPr>
        <w:t>r----有害气体无组织排放源所在生产单元的等效半径，m。根据该生产单元占地面积S（m</w:t>
      </w:r>
      <w:r>
        <w:rPr>
          <w:color w:val="auto"/>
          <w:kern w:val="21"/>
          <w:vertAlign w:val="superscript"/>
        </w:rPr>
        <w:t>2</w:t>
      </w:r>
      <w:r>
        <w:rPr>
          <w:color w:val="auto"/>
          <w:kern w:val="21"/>
        </w:rPr>
        <w:t>）计算；</w:t>
      </w:r>
    </w:p>
    <w:p>
      <w:pPr>
        <w:ind w:firstLine="480"/>
        <w:rPr>
          <w:color w:val="auto"/>
          <w:kern w:val="21"/>
        </w:rPr>
      </w:pPr>
      <w:r>
        <w:rPr>
          <w:color w:val="auto"/>
          <w:kern w:val="21"/>
        </w:rPr>
        <w:t>A、B、C、D----卫生防护距离计算系数，无因次，根据工业企业所在地区近五年平均风速及工业企业大气污染源构成类别从</w:t>
      </w:r>
      <w:r>
        <w:rPr>
          <w:b/>
          <w:bCs/>
          <w:color w:val="auto"/>
          <w:kern w:val="21"/>
        </w:rPr>
        <w:t>（</w:t>
      </w:r>
      <w:r>
        <w:rPr>
          <w:color w:val="auto"/>
          <w:kern w:val="21"/>
        </w:rPr>
        <w:t>GB/T13201--91</w:t>
      </w:r>
      <w:r>
        <w:rPr>
          <w:b/>
          <w:bCs/>
          <w:color w:val="auto"/>
          <w:kern w:val="21"/>
        </w:rPr>
        <w:t>）</w:t>
      </w:r>
      <w:r>
        <w:rPr>
          <w:color w:val="auto"/>
          <w:kern w:val="21"/>
        </w:rPr>
        <w:t>表5查取。</w:t>
      </w:r>
    </w:p>
    <w:p>
      <w:pPr>
        <w:ind w:firstLine="480"/>
        <w:rPr>
          <w:color w:val="auto"/>
          <w:kern w:val="21"/>
        </w:rPr>
      </w:pPr>
      <w:r>
        <w:rPr>
          <w:color w:val="auto"/>
          <w:kern w:val="21"/>
        </w:rPr>
        <w:t>卫生防护距离计算系数：A=400；B=0.01；C=1.85；D=0.78。项目所在地近五年平均风速为1.</w:t>
      </w:r>
      <w:r>
        <w:rPr>
          <w:rFonts w:hint="eastAsia"/>
          <w:color w:val="auto"/>
          <w:kern w:val="21"/>
        </w:rPr>
        <w:t>8</w:t>
      </w:r>
      <w:r>
        <w:rPr>
          <w:color w:val="auto"/>
          <w:kern w:val="21"/>
        </w:rPr>
        <w:t>m/s。</w:t>
      </w:r>
    </w:p>
    <w:p>
      <w:pPr>
        <w:ind w:firstLine="480"/>
        <w:rPr>
          <w:color w:val="auto"/>
          <w:kern w:val="21"/>
        </w:rPr>
      </w:pPr>
      <w:r>
        <w:rPr>
          <w:color w:val="auto"/>
          <w:kern w:val="21"/>
        </w:rPr>
        <w:t>项目无组织氨、硫化氢卫生防护距离计算结果见</w:t>
      </w:r>
      <w:r>
        <w:rPr>
          <w:rFonts w:hint="eastAsia"/>
          <w:color w:val="auto"/>
          <w:kern w:val="21"/>
          <w:lang w:eastAsia="zh-CN"/>
        </w:rPr>
        <w:t>下表</w:t>
      </w:r>
      <w:r>
        <w:rPr>
          <w:color w:val="auto"/>
          <w:kern w:val="21"/>
        </w:rPr>
        <w:t>。</w:t>
      </w:r>
    </w:p>
    <w:p>
      <w:pPr>
        <w:numPr>
          <w:ilvl w:val="0"/>
          <w:numId w:val="11"/>
        </w:numPr>
        <w:tabs>
          <w:tab w:val="left" w:pos="3395"/>
          <w:tab w:val="clear" w:pos="0"/>
        </w:tabs>
        <w:ind w:left="0" w:leftChars="0" w:firstLine="0" w:firstLineChars="0"/>
        <w:jc w:val="center"/>
        <w:rPr>
          <w:b/>
          <w:color w:val="auto"/>
          <w:kern w:val="21"/>
        </w:rPr>
      </w:pPr>
      <w:r>
        <w:rPr>
          <w:b/>
          <w:color w:val="auto"/>
          <w:kern w:val="21"/>
        </w:rPr>
        <w:t>项目卫生</w:t>
      </w:r>
      <w:r>
        <w:rPr>
          <w:rFonts w:hint="eastAsia"/>
          <w:b/>
          <w:bCs/>
          <w:color w:val="auto"/>
        </w:rPr>
        <w:t>防护</w:t>
      </w:r>
      <w:r>
        <w:rPr>
          <w:b/>
          <w:color w:val="auto"/>
          <w:kern w:val="21"/>
        </w:rPr>
        <w:t>距离计算结果表</w:t>
      </w:r>
    </w:p>
    <w:tbl>
      <w:tblPr>
        <w:tblStyle w:val="51"/>
        <w:tblW w:w="8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982"/>
        <w:gridCol w:w="1846"/>
        <w:gridCol w:w="1896"/>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7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序号</w:t>
            </w:r>
          </w:p>
        </w:tc>
        <w:tc>
          <w:tcPr>
            <w:tcW w:w="198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排放源</w:t>
            </w:r>
          </w:p>
        </w:tc>
        <w:tc>
          <w:tcPr>
            <w:tcW w:w="1846" w:type="dxa"/>
            <w:vAlign w:val="center"/>
          </w:tcPr>
          <w:p>
            <w:pPr>
              <w:adjustRightInd w:val="0"/>
              <w:snapToGrid w:val="0"/>
              <w:spacing w:line="240" w:lineRule="auto"/>
              <w:ind w:firstLine="0" w:firstLineChars="0"/>
              <w:jc w:val="center"/>
              <w:rPr>
                <w:color w:val="auto"/>
                <w:kern w:val="21"/>
                <w:sz w:val="21"/>
                <w:szCs w:val="21"/>
              </w:rPr>
            </w:pPr>
            <w:r>
              <w:rPr>
                <w:bCs/>
                <w:color w:val="auto"/>
                <w:kern w:val="21"/>
                <w:sz w:val="21"/>
                <w:szCs w:val="21"/>
                <w:lang w:bidi="ar"/>
              </w:rPr>
              <w:t>NH</w:t>
            </w:r>
            <w:r>
              <w:rPr>
                <w:bCs/>
                <w:color w:val="auto"/>
                <w:kern w:val="21"/>
                <w:sz w:val="21"/>
                <w:szCs w:val="21"/>
                <w:vertAlign w:val="subscript"/>
                <w:lang w:bidi="ar"/>
              </w:rPr>
              <w:t>3</w:t>
            </w:r>
            <w:r>
              <w:rPr>
                <w:color w:val="auto"/>
                <w:kern w:val="21"/>
                <w:sz w:val="21"/>
                <w:szCs w:val="21"/>
              </w:rPr>
              <w:t>计算结果</w:t>
            </w:r>
            <w:r>
              <w:rPr>
                <w:rFonts w:hint="eastAsia"/>
                <w:color w:val="auto"/>
                <w:kern w:val="21"/>
                <w:sz w:val="21"/>
                <w:szCs w:val="21"/>
              </w:rPr>
              <w:t>/m</w:t>
            </w:r>
          </w:p>
        </w:tc>
        <w:tc>
          <w:tcPr>
            <w:tcW w:w="1896" w:type="dxa"/>
            <w:vAlign w:val="center"/>
          </w:tcPr>
          <w:p>
            <w:pPr>
              <w:adjustRightInd w:val="0"/>
              <w:snapToGrid w:val="0"/>
              <w:spacing w:line="240" w:lineRule="auto"/>
              <w:ind w:firstLine="0" w:firstLineChars="0"/>
              <w:jc w:val="center"/>
              <w:rPr>
                <w:color w:val="auto"/>
                <w:kern w:val="21"/>
                <w:sz w:val="21"/>
                <w:szCs w:val="21"/>
              </w:rPr>
            </w:pPr>
            <w:r>
              <w:rPr>
                <w:bCs/>
                <w:color w:val="auto"/>
                <w:kern w:val="21"/>
                <w:sz w:val="21"/>
                <w:szCs w:val="21"/>
                <w:lang w:bidi="ar"/>
              </w:rPr>
              <w:t>H</w:t>
            </w:r>
            <w:r>
              <w:rPr>
                <w:bCs/>
                <w:color w:val="auto"/>
                <w:kern w:val="21"/>
                <w:sz w:val="21"/>
                <w:szCs w:val="21"/>
                <w:vertAlign w:val="subscript"/>
                <w:lang w:bidi="ar"/>
              </w:rPr>
              <w:t>2</w:t>
            </w:r>
            <w:r>
              <w:rPr>
                <w:bCs/>
                <w:color w:val="auto"/>
                <w:kern w:val="21"/>
                <w:sz w:val="21"/>
                <w:szCs w:val="21"/>
                <w:lang w:bidi="ar"/>
              </w:rPr>
              <w:t>S</w:t>
            </w:r>
            <w:r>
              <w:rPr>
                <w:color w:val="auto"/>
                <w:kern w:val="21"/>
                <w:sz w:val="21"/>
                <w:szCs w:val="21"/>
              </w:rPr>
              <w:t>计算结果</w:t>
            </w:r>
            <w:r>
              <w:rPr>
                <w:rFonts w:hint="eastAsia"/>
                <w:color w:val="auto"/>
                <w:kern w:val="21"/>
                <w:sz w:val="21"/>
                <w:szCs w:val="21"/>
              </w:rPr>
              <w:t>/m</w:t>
            </w:r>
          </w:p>
        </w:tc>
        <w:tc>
          <w:tcPr>
            <w:tcW w:w="193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卫生防护距离设置结果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1</w:t>
            </w:r>
          </w:p>
        </w:tc>
        <w:tc>
          <w:tcPr>
            <w:tcW w:w="198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粗格栅及进水泵房</w:t>
            </w:r>
          </w:p>
        </w:tc>
        <w:tc>
          <w:tcPr>
            <w:tcW w:w="184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1.998</w:t>
            </w:r>
          </w:p>
        </w:tc>
        <w:tc>
          <w:tcPr>
            <w:tcW w:w="189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0.027</w:t>
            </w:r>
          </w:p>
        </w:tc>
        <w:tc>
          <w:tcPr>
            <w:tcW w:w="193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77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2</w:t>
            </w:r>
          </w:p>
        </w:tc>
        <w:tc>
          <w:tcPr>
            <w:tcW w:w="198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细格栅及调节池</w:t>
            </w:r>
          </w:p>
        </w:tc>
        <w:tc>
          <w:tcPr>
            <w:tcW w:w="184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3.679</w:t>
            </w:r>
          </w:p>
        </w:tc>
        <w:tc>
          <w:tcPr>
            <w:tcW w:w="189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0.065</w:t>
            </w:r>
          </w:p>
        </w:tc>
        <w:tc>
          <w:tcPr>
            <w:tcW w:w="193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7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3</w:t>
            </w:r>
          </w:p>
        </w:tc>
        <w:tc>
          <w:tcPr>
            <w:tcW w:w="198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混凝沉淀池</w:t>
            </w:r>
          </w:p>
        </w:tc>
        <w:tc>
          <w:tcPr>
            <w:tcW w:w="184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4.608</w:t>
            </w:r>
          </w:p>
        </w:tc>
        <w:tc>
          <w:tcPr>
            <w:tcW w:w="189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0.079</w:t>
            </w:r>
          </w:p>
        </w:tc>
        <w:tc>
          <w:tcPr>
            <w:tcW w:w="193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74"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4</w:t>
            </w:r>
          </w:p>
        </w:tc>
        <w:tc>
          <w:tcPr>
            <w:tcW w:w="1982"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水解酸化池</w:t>
            </w:r>
          </w:p>
        </w:tc>
        <w:tc>
          <w:tcPr>
            <w:tcW w:w="184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3.815</w:t>
            </w:r>
          </w:p>
        </w:tc>
        <w:tc>
          <w:tcPr>
            <w:tcW w:w="189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0.063</w:t>
            </w:r>
          </w:p>
        </w:tc>
        <w:tc>
          <w:tcPr>
            <w:tcW w:w="193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74"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5</w:t>
            </w:r>
          </w:p>
        </w:tc>
        <w:tc>
          <w:tcPr>
            <w:tcW w:w="198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污泥脱水车间</w:t>
            </w:r>
          </w:p>
        </w:tc>
        <w:tc>
          <w:tcPr>
            <w:tcW w:w="184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0.502</w:t>
            </w:r>
          </w:p>
        </w:tc>
        <w:tc>
          <w:tcPr>
            <w:tcW w:w="189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0.001</w:t>
            </w:r>
          </w:p>
        </w:tc>
        <w:tc>
          <w:tcPr>
            <w:tcW w:w="193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74" w:type="dxa"/>
            <w:vAlign w:val="center"/>
          </w:tcPr>
          <w:p>
            <w:pPr>
              <w:adjustRightInd w:val="0"/>
              <w:snapToGrid w:val="0"/>
              <w:spacing w:line="240" w:lineRule="auto"/>
              <w:ind w:firstLine="0" w:firstLineChars="0"/>
              <w:jc w:val="center"/>
              <w:rPr>
                <w:rFonts w:hint="eastAsia" w:eastAsia="宋体"/>
                <w:color w:val="auto"/>
                <w:kern w:val="21"/>
                <w:sz w:val="21"/>
                <w:szCs w:val="21"/>
                <w:lang w:val="en-US" w:eastAsia="zh-CN"/>
              </w:rPr>
            </w:pPr>
            <w:r>
              <w:rPr>
                <w:rFonts w:hint="eastAsia"/>
                <w:color w:val="auto"/>
                <w:kern w:val="21"/>
                <w:sz w:val="21"/>
                <w:szCs w:val="21"/>
                <w:lang w:val="en-US" w:eastAsia="zh-CN"/>
              </w:rPr>
              <w:t>6</w:t>
            </w:r>
          </w:p>
        </w:tc>
        <w:tc>
          <w:tcPr>
            <w:tcW w:w="1982"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污泥浓缩池</w:t>
            </w:r>
          </w:p>
        </w:tc>
        <w:tc>
          <w:tcPr>
            <w:tcW w:w="184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0.127</w:t>
            </w:r>
          </w:p>
        </w:tc>
        <w:tc>
          <w:tcPr>
            <w:tcW w:w="189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0.0001</w:t>
            </w:r>
          </w:p>
        </w:tc>
        <w:tc>
          <w:tcPr>
            <w:tcW w:w="1935" w:type="dxa"/>
            <w:vAlign w:val="center"/>
          </w:tcPr>
          <w:p>
            <w:pPr>
              <w:adjustRightInd w:val="0"/>
              <w:snapToGrid w:val="0"/>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74"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7</w:t>
            </w:r>
          </w:p>
        </w:tc>
        <w:tc>
          <w:tcPr>
            <w:tcW w:w="198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A2/O生化池</w:t>
            </w:r>
          </w:p>
        </w:tc>
        <w:tc>
          <w:tcPr>
            <w:tcW w:w="184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0.176</w:t>
            </w:r>
          </w:p>
        </w:tc>
        <w:tc>
          <w:tcPr>
            <w:tcW w:w="189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0.198</w:t>
            </w:r>
          </w:p>
        </w:tc>
        <w:tc>
          <w:tcPr>
            <w:tcW w:w="193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74" w:type="dxa"/>
            <w:vAlign w:val="center"/>
          </w:tcPr>
          <w:p>
            <w:pPr>
              <w:adjustRightInd w:val="0"/>
              <w:snapToGrid w:val="0"/>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val="en-US" w:eastAsia="zh-CN"/>
              </w:rPr>
              <w:t>8</w:t>
            </w:r>
          </w:p>
        </w:tc>
        <w:tc>
          <w:tcPr>
            <w:tcW w:w="1982"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MBR膜池</w:t>
            </w:r>
          </w:p>
        </w:tc>
        <w:tc>
          <w:tcPr>
            <w:tcW w:w="184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0.151</w:t>
            </w:r>
          </w:p>
        </w:tc>
        <w:tc>
          <w:tcPr>
            <w:tcW w:w="1896" w:type="dxa"/>
            <w:vAlign w:val="bottom"/>
          </w:tcPr>
          <w:p>
            <w:pPr>
              <w:adjustRightInd w:val="0"/>
              <w:snapToGrid w:val="0"/>
              <w:spacing w:line="240" w:lineRule="auto"/>
              <w:ind w:firstLine="0" w:firstLineChars="0"/>
              <w:jc w:val="center"/>
              <w:rPr>
                <w:color w:val="auto"/>
                <w:kern w:val="21"/>
                <w:sz w:val="21"/>
                <w:szCs w:val="21"/>
              </w:rPr>
            </w:pPr>
            <w:r>
              <w:rPr>
                <w:rFonts w:hint="default"/>
                <w:color w:val="auto"/>
                <w:kern w:val="21"/>
                <w:sz w:val="21"/>
                <w:szCs w:val="21"/>
                <w:lang w:val="en-US" w:eastAsia="zh-CN"/>
              </w:rPr>
              <w:t>0.171</w:t>
            </w:r>
          </w:p>
        </w:tc>
        <w:tc>
          <w:tcPr>
            <w:tcW w:w="1935" w:type="dxa"/>
            <w:vAlign w:val="center"/>
          </w:tcPr>
          <w:p>
            <w:pPr>
              <w:adjustRightInd w:val="0"/>
              <w:snapToGrid w:val="0"/>
              <w:spacing w:line="240" w:lineRule="auto"/>
              <w:ind w:firstLine="0" w:firstLineChars="0"/>
              <w:jc w:val="center"/>
              <w:rPr>
                <w:color w:val="auto"/>
                <w:kern w:val="21"/>
                <w:sz w:val="21"/>
                <w:szCs w:val="21"/>
              </w:rPr>
            </w:pPr>
            <w:r>
              <w:rPr>
                <w:color w:val="auto"/>
                <w:kern w:val="21"/>
                <w:sz w:val="21"/>
                <w:szCs w:val="21"/>
              </w:rPr>
              <w:t>50m</w:t>
            </w:r>
          </w:p>
        </w:tc>
      </w:tr>
    </w:tbl>
    <w:p>
      <w:pPr>
        <w:ind w:firstLine="480"/>
        <w:rPr>
          <w:color w:val="auto"/>
          <w:kern w:val="21"/>
        </w:rPr>
      </w:pPr>
      <w:r>
        <w:rPr>
          <w:color w:val="auto"/>
          <w:kern w:val="21"/>
        </w:rPr>
        <w:t>项目运营过中无组织排放的污染物≥2种，经过计算并根据</w:t>
      </w:r>
      <w:r>
        <w:rPr>
          <w:color w:val="auto"/>
        </w:rPr>
        <w:t>《大气有害物质无组织排放卫生防护距离推导技术导则》（GB/T39499 -2020）</w:t>
      </w:r>
      <w:r>
        <w:rPr>
          <w:bCs/>
          <w:color w:val="auto"/>
          <w:kern w:val="21"/>
        </w:rPr>
        <w:t>中的级差规定，该类同业企业的卫生防护距离级别提高一级，因此</w:t>
      </w:r>
      <w:r>
        <w:rPr>
          <w:rFonts w:hint="eastAsia"/>
          <w:bCs/>
          <w:color w:val="auto"/>
          <w:kern w:val="21"/>
          <w:lang w:eastAsia="zh-CN"/>
        </w:rPr>
        <w:t>以厂界为边界</w:t>
      </w:r>
      <w:r>
        <w:rPr>
          <w:bCs/>
          <w:color w:val="auto"/>
          <w:kern w:val="21"/>
        </w:rPr>
        <w:t>设置100m的卫生防护距离</w:t>
      </w:r>
      <w:r>
        <w:rPr>
          <w:rFonts w:hint="eastAsia"/>
          <w:bCs/>
          <w:color w:val="auto"/>
          <w:kern w:val="21"/>
          <w:lang w:eastAsia="zh-CN"/>
        </w:rPr>
        <w:t>。据现场调查，</w:t>
      </w:r>
      <w:r>
        <w:rPr>
          <w:rFonts w:hint="eastAsia"/>
          <w:bCs/>
          <w:color w:val="auto"/>
          <w:kern w:val="21"/>
        </w:rPr>
        <w:t>距离本项目较近的迤周、外周、外干、迤干等村庄已全部拆除</w:t>
      </w:r>
      <w:r>
        <w:rPr>
          <w:color w:val="auto"/>
          <w:kern w:val="21"/>
        </w:rPr>
        <w:t>，因此本项目在卫生防护距离内没有居民点。卫生防护距离示意图见</w:t>
      </w:r>
      <w:r>
        <w:rPr>
          <w:rFonts w:hint="eastAsia"/>
          <w:color w:val="auto"/>
          <w:kern w:val="21"/>
          <w:lang w:eastAsia="zh-CN"/>
        </w:rPr>
        <w:t>下图</w:t>
      </w:r>
      <w:r>
        <w:rPr>
          <w:color w:val="auto"/>
          <w:kern w:val="21"/>
        </w:rPr>
        <w:t>。</w:t>
      </w:r>
    </w:p>
    <w:p>
      <w:pPr>
        <w:pStyle w:val="23"/>
        <w:spacing w:after="0" w:line="240" w:lineRule="auto"/>
        <w:ind w:left="0" w:leftChars="0" w:firstLine="0" w:firstLineChars="0"/>
        <w:jc w:val="center"/>
        <w:rPr>
          <w:color w:val="auto"/>
          <w:kern w:val="21"/>
        </w:rPr>
      </w:pPr>
      <w:r>
        <w:rPr>
          <w:color w:val="auto"/>
          <w:kern w:val="21"/>
        </w:rPr>
        <w:drawing>
          <wp:inline distT="0" distB="0" distL="0" distR="0">
            <wp:extent cx="5905500" cy="3845560"/>
            <wp:effectExtent l="0" t="0" r="0" b="2540"/>
            <wp:docPr id="28" name="图片 24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7" descr="图形1"/>
                    <pic:cNvPicPr>
                      <a:picLocks noChangeAspect="1" noChangeArrowheads="1"/>
                    </pic:cNvPicPr>
                  </pic:nvPicPr>
                  <pic:blipFill>
                    <a:blip r:embed="rId65" cstate="print">
                      <a:extLst>
                        <a:ext uri="{28A0092B-C50C-407E-A947-70E740481C1C}">
                          <a14:useLocalDpi xmlns:a14="http://schemas.microsoft.com/office/drawing/2010/main" val="0"/>
                        </a:ext>
                      </a:extLst>
                    </a:blip>
                    <a:srcRect r="6201"/>
                    <a:stretch>
                      <a:fillRect/>
                    </a:stretch>
                  </pic:blipFill>
                  <pic:spPr>
                    <a:xfrm>
                      <a:off x="0" y="0"/>
                      <a:ext cx="5905500" cy="3845560"/>
                    </a:xfrm>
                    <a:prstGeom prst="rect">
                      <a:avLst/>
                    </a:prstGeom>
                    <a:noFill/>
                    <a:ln>
                      <a:noFill/>
                    </a:ln>
                    <a:effectLst/>
                  </pic:spPr>
                </pic:pic>
              </a:graphicData>
            </a:graphic>
          </wp:inline>
        </w:drawing>
      </w:r>
    </w:p>
    <w:p>
      <w:pPr>
        <w:pStyle w:val="116"/>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0" w:firstLineChars="0"/>
        <w:jc w:val="center"/>
        <w:textAlignment w:val="baseline"/>
        <w:rPr>
          <w:b/>
          <w:bCs/>
          <w:color w:val="auto"/>
          <w:kern w:val="21"/>
        </w:rPr>
      </w:pPr>
      <w:r>
        <w:rPr>
          <w:b/>
          <w:bCs/>
          <w:color w:val="auto"/>
          <w:kern w:val="21"/>
        </w:rPr>
        <w:t>项目卫生防护距离包络线图</w:t>
      </w:r>
    </w:p>
    <w:p>
      <w:pPr>
        <w:pStyle w:val="8"/>
        <w:spacing w:before="0" w:after="0" w:line="360" w:lineRule="auto"/>
        <w:ind w:firstLine="0" w:firstLineChars="0"/>
        <w:rPr>
          <w:rFonts w:ascii="Times New Roman" w:hAnsi="Times New Roman" w:eastAsia="宋体"/>
          <w:color w:val="auto"/>
          <w:kern w:val="21"/>
          <w:sz w:val="24"/>
          <w:szCs w:val="24"/>
        </w:rPr>
      </w:pPr>
      <w:bookmarkStart w:id="251" w:name="_Toc198624005"/>
      <w:bookmarkStart w:id="252" w:name="_Toc146453743"/>
      <w:bookmarkStart w:id="253" w:name="_Toc201722270"/>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3.</w:t>
      </w:r>
      <w:r>
        <w:rPr>
          <w:rFonts w:hint="eastAsia" w:ascii="Times New Roman" w:hAnsi="Times New Roman" w:eastAsia="宋体"/>
          <w:color w:val="auto"/>
          <w:kern w:val="21"/>
          <w:sz w:val="24"/>
          <w:szCs w:val="24"/>
          <w:lang w:val="en-US" w:eastAsia="zh-CN"/>
        </w:rPr>
        <w:t>8</w:t>
      </w:r>
      <w:r>
        <w:rPr>
          <w:rFonts w:ascii="Times New Roman" w:hAnsi="Times New Roman" w:eastAsia="宋体"/>
          <w:color w:val="auto"/>
          <w:kern w:val="21"/>
          <w:sz w:val="24"/>
          <w:szCs w:val="24"/>
        </w:rPr>
        <w:t>小结</w:t>
      </w:r>
      <w:bookmarkEnd w:id="251"/>
      <w:bookmarkEnd w:id="252"/>
      <w:bookmarkEnd w:id="253"/>
    </w:p>
    <w:p>
      <w:pPr>
        <w:pStyle w:val="16"/>
        <w:spacing w:line="360" w:lineRule="auto"/>
        <w:ind w:firstLine="472" w:firstLineChars="200"/>
        <w:rPr>
          <w:rFonts w:hint="default" w:ascii="Times New Roman"/>
          <w:color w:val="auto"/>
          <w:sz w:val="24"/>
        </w:rPr>
      </w:pPr>
      <w:r>
        <w:rPr>
          <w:rFonts w:ascii="Times New Roman"/>
          <w:color w:val="auto"/>
          <w:spacing w:val="-2"/>
          <w:sz w:val="24"/>
        </w:rPr>
        <w:t>1、</w:t>
      </w:r>
      <w:r>
        <w:rPr>
          <w:rFonts w:hint="default" w:ascii="Times New Roman"/>
          <w:color w:val="auto"/>
          <w:sz w:val="24"/>
        </w:rPr>
        <w:t>项目所在区域为环境空气质量达标区</w:t>
      </w:r>
      <w:r>
        <w:rPr>
          <w:rFonts w:ascii="Times New Roman"/>
          <w:color w:val="auto"/>
          <w:sz w:val="24"/>
        </w:rPr>
        <w:t>，</w:t>
      </w:r>
      <w:r>
        <w:rPr>
          <w:rFonts w:hint="default" w:ascii="Times New Roman"/>
          <w:color w:val="auto"/>
          <w:sz w:val="24"/>
        </w:rPr>
        <w:t>正常排放情况下，评价范围内</w:t>
      </w:r>
      <w:r>
        <w:rPr>
          <w:rFonts w:ascii="Times New Roman"/>
          <w:color w:val="auto"/>
          <w:sz w:val="24"/>
        </w:rPr>
        <w:t>NH</w:t>
      </w:r>
      <w:r>
        <w:rPr>
          <w:rFonts w:ascii="Times New Roman"/>
          <w:color w:val="auto"/>
          <w:sz w:val="24"/>
          <w:vertAlign w:val="subscript"/>
        </w:rPr>
        <w:t>3</w:t>
      </w:r>
      <w:r>
        <w:rPr>
          <w:rFonts w:ascii="Times New Roman"/>
          <w:color w:val="auto"/>
          <w:sz w:val="24"/>
        </w:rPr>
        <w:t>、H</w:t>
      </w:r>
      <w:r>
        <w:rPr>
          <w:rFonts w:ascii="Times New Roman"/>
          <w:color w:val="auto"/>
          <w:sz w:val="24"/>
          <w:vertAlign w:val="subscript"/>
        </w:rPr>
        <w:t>2</w:t>
      </w:r>
      <w:r>
        <w:rPr>
          <w:rFonts w:ascii="Times New Roman"/>
          <w:color w:val="auto"/>
          <w:sz w:val="24"/>
        </w:rPr>
        <w:t>S</w:t>
      </w:r>
      <w:r>
        <w:rPr>
          <w:rFonts w:hint="default" w:ascii="Times New Roman"/>
          <w:color w:val="auto"/>
          <w:sz w:val="24"/>
        </w:rPr>
        <w:t>短期贡献值占标率均＜</w:t>
      </w:r>
      <w:r>
        <w:rPr>
          <w:rFonts w:hint="default" w:ascii="Times New Roman" w:hAnsi="Times New Roman"/>
          <w:color w:val="auto"/>
          <w:sz w:val="24"/>
        </w:rPr>
        <w:t>100%</w:t>
      </w:r>
      <w:r>
        <w:rPr>
          <w:rFonts w:hint="default" w:ascii="Times New Roman"/>
          <w:color w:val="auto"/>
          <w:sz w:val="24"/>
        </w:rPr>
        <w:t>；叠加环境质量现状浓度后，环境空气保护目标和网格点短期浓度预测值符合《环境影响评价技术</w:t>
      </w:r>
      <w:r>
        <w:rPr>
          <w:rFonts w:hint="eastAsia" w:ascii="Times New Roman"/>
          <w:color w:val="auto"/>
          <w:sz w:val="24"/>
          <w:lang w:eastAsia="zh-CN"/>
        </w:rPr>
        <w:t>导则 大气环境</w:t>
      </w:r>
      <w:r>
        <w:rPr>
          <w:rFonts w:hint="default" w:ascii="Times New Roman"/>
          <w:color w:val="auto"/>
          <w:sz w:val="24"/>
        </w:rPr>
        <w:t>》（</w:t>
      </w:r>
      <w:r>
        <w:rPr>
          <w:rFonts w:hint="default" w:ascii="Times New Roman" w:hAnsi="Times New Roman"/>
          <w:color w:val="auto"/>
          <w:sz w:val="24"/>
        </w:rPr>
        <w:t>HJ2.2-2018</w:t>
      </w:r>
      <w:r>
        <w:rPr>
          <w:rFonts w:hint="default" w:ascii="Times New Roman"/>
          <w:color w:val="auto"/>
          <w:sz w:val="24"/>
        </w:rPr>
        <w:t>）附录</w:t>
      </w:r>
      <w:r>
        <w:rPr>
          <w:rFonts w:hint="default" w:ascii="Times New Roman" w:hAnsi="Times New Roman"/>
          <w:color w:val="auto"/>
          <w:sz w:val="24"/>
        </w:rPr>
        <w:t>D</w:t>
      </w:r>
      <w:r>
        <w:rPr>
          <w:rFonts w:hint="default" w:ascii="Times New Roman"/>
          <w:color w:val="auto"/>
          <w:sz w:val="24"/>
        </w:rPr>
        <w:t>浓度限值。</w:t>
      </w:r>
    </w:p>
    <w:p>
      <w:pPr>
        <w:pStyle w:val="16"/>
        <w:spacing w:line="360" w:lineRule="auto"/>
        <w:ind w:firstLine="480" w:firstLineChars="200"/>
        <w:jc w:val="both"/>
        <w:rPr>
          <w:rFonts w:hint="default" w:ascii="Times New Roman" w:hAnsi="Times New Roman"/>
          <w:color w:val="auto"/>
          <w:sz w:val="24"/>
          <w:szCs w:val="24"/>
        </w:rPr>
      </w:pPr>
      <w:r>
        <w:rPr>
          <w:rFonts w:hint="default" w:ascii="Times New Roman" w:hAnsi="Times New Roman"/>
          <w:color w:val="auto"/>
          <w:sz w:val="24"/>
          <w:szCs w:val="24"/>
        </w:rPr>
        <w:t>2、</w:t>
      </w:r>
      <w:r>
        <w:rPr>
          <w:rFonts w:hint="default" w:ascii="Times New Roman"/>
          <w:color w:val="auto"/>
          <w:sz w:val="24"/>
          <w:szCs w:val="24"/>
        </w:rPr>
        <w:t>本次评价设定了</w:t>
      </w:r>
      <w:r>
        <w:rPr>
          <w:rFonts w:hint="eastAsia" w:ascii="Times New Roman" w:hAnsi="Times New Roman"/>
          <w:color w:val="auto"/>
          <w:sz w:val="24"/>
          <w:szCs w:val="24"/>
          <w:lang w:val="en-US" w:eastAsia="zh-CN"/>
        </w:rPr>
        <w:t>1</w:t>
      </w:r>
      <w:r>
        <w:rPr>
          <w:rFonts w:hint="default" w:ascii="Times New Roman"/>
          <w:color w:val="auto"/>
          <w:sz w:val="24"/>
          <w:szCs w:val="24"/>
        </w:rPr>
        <w:t>种非正常工况，</w:t>
      </w:r>
      <w:r>
        <w:rPr>
          <w:rFonts w:hint="eastAsia" w:ascii="Times New Roman"/>
          <w:color w:val="auto"/>
          <w:spacing w:val="8"/>
          <w:sz w:val="24"/>
          <w:szCs w:val="24"/>
          <w:lang w:eastAsia="zh-CN"/>
        </w:rPr>
        <w:t>非正常</w:t>
      </w:r>
      <w:r>
        <w:rPr>
          <w:rFonts w:ascii="Times New Roman"/>
          <w:color w:val="auto"/>
          <w:spacing w:val="8"/>
          <w:sz w:val="24"/>
          <w:szCs w:val="24"/>
        </w:rPr>
        <w:t>排放的NH</w:t>
      </w:r>
      <w:r>
        <w:rPr>
          <w:rFonts w:ascii="Times New Roman"/>
          <w:color w:val="auto"/>
          <w:spacing w:val="8"/>
          <w:sz w:val="24"/>
          <w:szCs w:val="24"/>
          <w:vertAlign w:val="subscript"/>
        </w:rPr>
        <w:t>3</w:t>
      </w:r>
      <w:r>
        <w:rPr>
          <w:rFonts w:ascii="Times New Roman"/>
          <w:color w:val="auto"/>
          <w:spacing w:val="8"/>
          <w:sz w:val="24"/>
          <w:szCs w:val="24"/>
        </w:rPr>
        <w:t>、H</w:t>
      </w:r>
      <w:r>
        <w:rPr>
          <w:rFonts w:ascii="Times New Roman"/>
          <w:color w:val="auto"/>
          <w:spacing w:val="8"/>
          <w:sz w:val="24"/>
          <w:szCs w:val="24"/>
          <w:vertAlign w:val="subscript"/>
        </w:rPr>
        <w:t>2</w:t>
      </w:r>
      <w:r>
        <w:rPr>
          <w:rFonts w:ascii="Times New Roman"/>
          <w:color w:val="auto"/>
          <w:spacing w:val="8"/>
          <w:sz w:val="24"/>
          <w:szCs w:val="24"/>
        </w:rPr>
        <w:t>S</w:t>
      </w:r>
      <w:r>
        <w:rPr>
          <w:rFonts w:hint="default" w:ascii="Times New Roman"/>
          <w:color w:val="auto"/>
          <w:sz w:val="24"/>
          <w:szCs w:val="24"/>
        </w:rPr>
        <w:t>在评价范围内厂界外对</w:t>
      </w:r>
      <w:r>
        <w:rPr>
          <w:rFonts w:ascii="Times New Roman"/>
          <w:color w:val="auto"/>
          <w:sz w:val="24"/>
          <w:szCs w:val="24"/>
        </w:rPr>
        <w:t>网格点和</w:t>
      </w:r>
      <w:r>
        <w:rPr>
          <w:rFonts w:hint="default" w:ascii="Times New Roman"/>
          <w:color w:val="auto"/>
          <w:sz w:val="24"/>
          <w:szCs w:val="24"/>
        </w:rPr>
        <w:t>保护目标的小时贡献值</w:t>
      </w:r>
      <w:r>
        <w:rPr>
          <w:rFonts w:hint="eastAsia" w:ascii="Times New Roman"/>
          <w:color w:val="auto"/>
          <w:sz w:val="24"/>
          <w:szCs w:val="24"/>
          <w:lang w:eastAsia="zh-CN"/>
        </w:rPr>
        <w:t>也</w:t>
      </w:r>
      <w:r>
        <w:rPr>
          <w:rFonts w:hint="default" w:ascii="Times New Roman"/>
          <w:color w:val="auto"/>
          <w:sz w:val="24"/>
          <w:szCs w:val="24"/>
        </w:rPr>
        <w:t>能满足《环境影响评价技术</w:t>
      </w:r>
      <w:r>
        <w:rPr>
          <w:rFonts w:hint="eastAsia" w:ascii="Times New Roman"/>
          <w:color w:val="auto"/>
          <w:sz w:val="24"/>
          <w:szCs w:val="24"/>
          <w:lang w:eastAsia="zh-CN"/>
        </w:rPr>
        <w:t>导则 大气环境</w:t>
      </w:r>
      <w:r>
        <w:rPr>
          <w:rFonts w:hint="default" w:ascii="Times New Roman"/>
          <w:color w:val="auto"/>
          <w:sz w:val="24"/>
          <w:szCs w:val="24"/>
        </w:rPr>
        <w:t>》（</w:t>
      </w:r>
      <w:r>
        <w:rPr>
          <w:rFonts w:hint="default" w:ascii="Times New Roman" w:hAnsi="Times New Roman"/>
          <w:color w:val="auto"/>
          <w:sz w:val="24"/>
          <w:szCs w:val="24"/>
        </w:rPr>
        <w:t>HJ2.2-2018</w:t>
      </w:r>
      <w:r>
        <w:rPr>
          <w:rFonts w:hint="default" w:ascii="Times New Roman"/>
          <w:color w:val="auto"/>
          <w:sz w:val="24"/>
          <w:szCs w:val="24"/>
        </w:rPr>
        <w:t>）附录</w:t>
      </w:r>
      <w:r>
        <w:rPr>
          <w:rFonts w:hint="default" w:ascii="Times New Roman" w:hAnsi="Times New Roman"/>
          <w:color w:val="auto"/>
          <w:sz w:val="24"/>
          <w:szCs w:val="24"/>
        </w:rPr>
        <w:t>D</w:t>
      </w:r>
      <w:r>
        <w:rPr>
          <w:rFonts w:hint="default" w:ascii="Times New Roman"/>
          <w:color w:val="auto"/>
          <w:sz w:val="24"/>
          <w:szCs w:val="24"/>
        </w:rPr>
        <w:t>浓度限值</w:t>
      </w:r>
      <w:r>
        <w:rPr>
          <w:rFonts w:hint="eastAsia" w:ascii="Times New Roman"/>
          <w:color w:val="auto"/>
          <w:sz w:val="24"/>
          <w:szCs w:val="24"/>
          <w:lang w:eastAsia="zh-CN"/>
        </w:rPr>
        <w:t>，对外环境影响不大</w:t>
      </w:r>
      <w:r>
        <w:rPr>
          <w:rFonts w:hint="default" w:ascii="Times New Roman"/>
          <w:color w:val="auto"/>
          <w:spacing w:val="8"/>
          <w:sz w:val="24"/>
          <w:szCs w:val="24"/>
        </w:rPr>
        <w:t>。</w:t>
      </w:r>
    </w:p>
    <w:p>
      <w:pPr>
        <w:spacing w:line="360" w:lineRule="auto"/>
        <w:ind w:firstLine="480" w:firstLineChars="200"/>
        <w:rPr>
          <w:color w:val="auto"/>
        </w:rPr>
      </w:pPr>
      <w:r>
        <w:rPr>
          <w:rFonts w:hint="eastAsia"/>
          <w:color w:val="auto"/>
        </w:rPr>
        <w:t>3、</w:t>
      </w:r>
      <w:r>
        <w:rPr>
          <w:color w:val="auto"/>
        </w:rPr>
        <w:t>项目无组织排放的NH</w:t>
      </w:r>
      <w:r>
        <w:rPr>
          <w:color w:val="auto"/>
          <w:vertAlign w:val="subscript"/>
        </w:rPr>
        <w:t>3</w:t>
      </w:r>
      <w:r>
        <w:rPr>
          <w:rFonts w:hint="eastAsia"/>
          <w:color w:val="auto"/>
        </w:rPr>
        <w:t>、</w:t>
      </w:r>
      <w:r>
        <w:rPr>
          <w:color w:val="auto"/>
        </w:rPr>
        <w:t>H</w:t>
      </w:r>
      <w:r>
        <w:rPr>
          <w:color w:val="auto"/>
          <w:vertAlign w:val="subscript"/>
        </w:rPr>
        <w:t>2</w:t>
      </w:r>
      <w:r>
        <w:rPr>
          <w:color w:val="auto"/>
        </w:rPr>
        <w:t>S</w:t>
      </w:r>
      <w:r>
        <w:rPr>
          <w:rFonts w:hint="eastAsia"/>
          <w:color w:val="auto"/>
        </w:rPr>
        <w:t>厂界浓度能</w:t>
      </w:r>
      <w:r>
        <w:rPr>
          <w:color w:val="auto"/>
        </w:rPr>
        <w:t>满足</w:t>
      </w:r>
      <w:r>
        <w:rPr>
          <w:color w:val="auto"/>
          <w:kern w:val="21"/>
          <w:lang w:bidi="ar"/>
        </w:rPr>
        <w:t>《城镇污水处理厂污染物排放标准》（GB18918-2002）及其修改单表4中二级标准</w:t>
      </w:r>
      <w:r>
        <w:rPr>
          <w:rFonts w:hint="eastAsia"/>
          <w:color w:val="auto"/>
          <w:kern w:val="21"/>
          <w:lang w:eastAsia="zh-CN" w:bidi="ar"/>
        </w:rPr>
        <w:t>中对厂界废气排放浓度的限值要求</w:t>
      </w:r>
      <w:r>
        <w:rPr>
          <w:rFonts w:hint="eastAsia"/>
          <w:color w:val="auto"/>
        </w:rPr>
        <w:t>。</w:t>
      </w:r>
    </w:p>
    <w:p>
      <w:pPr>
        <w:keepNext w:val="0"/>
        <w:keepLines w:val="0"/>
        <w:pageBreakBefore w:val="0"/>
        <w:widowControl w:val="0"/>
        <w:kinsoku/>
        <w:wordWrap/>
        <w:overflowPunct/>
        <w:topLinePunct w:val="0"/>
        <w:bidi w:val="0"/>
        <w:snapToGrid/>
        <w:spacing w:line="360" w:lineRule="auto"/>
        <w:ind w:right="0" w:firstLine="480" w:firstLineChars="200"/>
        <w:textAlignment w:val="auto"/>
        <w:rPr>
          <w:color w:val="auto"/>
          <w:spacing w:val="-1"/>
        </w:rPr>
      </w:pPr>
      <w:r>
        <w:rPr>
          <w:rFonts w:hint="eastAsia"/>
          <w:color w:val="auto"/>
        </w:rPr>
        <w:t>4、</w:t>
      </w:r>
      <w:r>
        <w:rPr>
          <w:color w:val="auto"/>
          <w:spacing w:val="-1"/>
        </w:rPr>
        <w:t>根据预测分析，本项污染物期短期浓度均能满足</w:t>
      </w:r>
      <w:r>
        <w:rPr>
          <w:color w:val="auto"/>
        </w:rPr>
        <w:t>《环境影响评价技术</w:t>
      </w:r>
      <w:r>
        <w:rPr>
          <w:rFonts w:hint="eastAsia"/>
          <w:color w:val="auto"/>
          <w:lang w:eastAsia="zh-CN"/>
        </w:rPr>
        <w:t>导则 大气环境</w:t>
      </w:r>
      <w:r>
        <w:rPr>
          <w:color w:val="auto"/>
        </w:rPr>
        <w:t>》（HJ2.2-2018）附录D浓度限值</w:t>
      </w:r>
      <w:r>
        <w:rPr>
          <w:color w:val="auto"/>
          <w:spacing w:val="-1"/>
        </w:rPr>
        <w:t>，因此，本环评判定项目不需设置大气环境防护距离；根据</w:t>
      </w:r>
      <w:r>
        <w:rPr>
          <w:rFonts w:hint="eastAsia"/>
          <w:color w:val="auto"/>
        </w:rPr>
        <w:t>《大气有害物质无组织排放卫生防护距离推导技术导则》(</w:t>
      </w:r>
      <w:r>
        <w:rPr>
          <w:color w:val="auto"/>
        </w:rPr>
        <w:t>GB/T</w:t>
      </w:r>
      <w:r>
        <w:rPr>
          <w:rFonts w:hint="eastAsia"/>
          <w:color w:val="auto"/>
        </w:rPr>
        <w:t>39499-2020)</w:t>
      </w:r>
      <w:r>
        <w:rPr>
          <w:color w:val="auto"/>
          <w:spacing w:val="-1"/>
        </w:rPr>
        <w:t>推荐的公式进行计算，</w:t>
      </w:r>
      <w:r>
        <w:rPr>
          <w:rFonts w:hint="eastAsia"/>
          <w:color w:val="auto"/>
          <w:spacing w:val="-1"/>
          <w:lang w:eastAsia="zh-CN"/>
        </w:rPr>
        <w:t>项目以厂界为边界</w:t>
      </w:r>
      <w:r>
        <w:rPr>
          <w:color w:val="auto"/>
          <w:spacing w:val="-1"/>
        </w:rPr>
        <w:t>设置</w:t>
      </w:r>
      <w:r>
        <w:rPr>
          <w:rFonts w:hint="eastAsia"/>
          <w:color w:val="auto"/>
          <w:spacing w:val="-1"/>
        </w:rPr>
        <w:t>100</w:t>
      </w:r>
      <w:r>
        <w:rPr>
          <w:color w:val="auto"/>
          <w:spacing w:val="-1"/>
        </w:rPr>
        <w:t>m</w:t>
      </w:r>
      <w:r>
        <w:rPr>
          <w:rFonts w:hint="eastAsia"/>
          <w:color w:val="auto"/>
          <w:spacing w:val="-1"/>
        </w:rPr>
        <w:t>卫生防护距离</w:t>
      </w:r>
      <w:r>
        <w:rPr>
          <w:rFonts w:hint="eastAsia"/>
          <w:bCs/>
          <w:color w:val="auto"/>
          <w:kern w:val="21"/>
          <w:lang w:eastAsia="zh-CN"/>
        </w:rPr>
        <w:t>。据现场调查，</w:t>
      </w:r>
      <w:r>
        <w:rPr>
          <w:rFonts w:hint="eastAsia"/>
          <w:bCs/>
          <w:color w:val="auto"/>
          <w:kern w:val="21"/>
        </w:rPr>
        <w:t>距离本项目较近的迤周、外周、外干、迤干等村庄已全部拆除</w:t>
      </w:r>
      <w:r>
        <w:rPr>
          <w:color w:val="auto"/>
          <w:kern w:val="21"/>
        </w:rPr>
        <w:t>，因此本项目在卫生防护距离内没有居民点</w:t>
      </w:r>
      <w:r>
        <w:rPr>
          <w:rFonts w:hint="eastAsia"/>
          <w:color w:val="auto"/>
        </w:rPr>
        <w:t>。</w:t>
      </w:r>
    </w:p>
    <w:p>
      <w:pPr>
        <w:ind w:firstLine="480"/>
        <w:rPr>
          <w:color w:val="auto"/>
          <w:kern w:val="21"/>
        </w:rPr>
      </w:pPr>
      <w:r>
        <w:rPr>
          <w:rFonts w:hint="default" w:ascii="Times New Roman"/>
          <w:color w:val="auto"/>
          <w:spacing w:val="2"/>
          <w:sz w:val="24"/>
        </w:rPr>
        <w:t>综上所述，项目</w:t>
      </w:r>
      <w:r>
        <w:rPr>
          <w:rFonts w:ascii="Times New Roman"/>
          <w:color w:val="auto"/>
          <w:spacing w:val="2"/>
          <w:sz w:val="24"/>
        </w:rPr>
        <w:t>所在区域</w:t>
      </w:r>
      <w:r>
        <w:rPr>
          <w:rFonts w:hint="default" w:ascii="Times New Roman"/>
          <w:color w:val="auto"/>
          <w:spacing w:val="2"/>
          <w:sz w:val="24"/>
        </w:rPr>
        <w:t>环境空气质量良好，项目在建设及运营过程中只要加强环境管理，严格落实设计及环评提出的各项废气污染防治措施，项目</w:t>
      </w:r>
      <w:r>
        <w:rPr>
          <w:rFonts w:hint="default" w:ascii="Times New Roman"/>
          <w:color w:val="auto"/>
          <w:sz w:val="24"/>
        </w:rPr>
        <w:t>正常排放条件下废气污染物对环境的影响可接受。企业应加强运营期管理、设备维护，确保环保设备正常使用，杜绝非正常排放情况发生</w:t>
      </w:r>
      <w:r>
        <w:rPr>
          <w:color w:val="auto"/>
          <w:kern w:val="21"/>
        </w:rPr>
        <w:t>。</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5.2.3.5大气环境影响评价自查表</w:t>
      </w:r>
    </w:p>
    <w:p>
      <w:pPr>
        <w:ind w:firstLine="480"/>
        <w:rPr>
          <w:color w:val="auto"/>
          <w:kern w:val="21"/>
          <w:szCs w:val="22"/>
        </w:rPr>
      </w:pPr>
      <w:r>
        <w:rPr>
          <w:color w:val="auto"/>
          <w:kern w:val="21"/>
          <w:szCs w:val="22"/>
        </w:rPr>
        <w:t>根据</w:t>
      </w:r>
      <w:r>
        <w:rPr>
          <w:color w:val="auto"/>
          <w:kern w:val="21"/>
        </w:rPr>
        <w:t>《环境影响评价技术</w:t>
      </w:r>
      <w:r>
        <w:rPr>
          <w:rFonts w:hint="eastAsia"/>
          <w:color w:val="auto"/>
          <w:kern w:val="21"/>
          <w:lang w:eastAsia="zh-CN"/>
        </w:rPr>
        <w:t>导则 大气环境</w:t>
      </w:r>
      <w:r>
        <w:rPr>
          <w:color w:val="auto"/>
          <w:kern w:val="21"/>
        </w:rPr>
        <w:t>》（HJ2.2-2018），</w:t>
      </w:r>
      <w:r>
        <w:rPr>
          <w:color w:val="auto"/>
          <w:kern w:val="21"/>
          <w:szCs w:val="22"/>
        </w:rPr>
        <w:t>本项目大气环境影响评价自查表见</w:t>
      </w:r>
      <w:r>
        <w:rPr>
          <w:rFonts w:hint="eastAsia"/>
          <w:color w:val="auto"/>
          <w:kern w:val="21"/>
          <w:szCs w:val="22"/>
          <w:lang w:eastAsia="zh-CN"/>
        </w:rPr>
        <w:t>下表</w:t>
      </w:r>
      <w:r>
        <w:rPr>
          <w:color w:val="auto"/>
          <w:kern w:val="21"/>
          <w:szCs w:val="22"/>
        </w:rPr>
        <w:t>。</w:t>
      </w:r>
    </w:p>
    <w:p>
      <w:pPr>
        <w:numPr>
          <w:ilvl w:val="0"/>
          <w:numId w:val="11"/>
        </w:numPr>
        <w:tabs>
          <w:tab w:val="left" w:pos="3395"/>
          <w:tab w:val="clear" w:pos="0"/>
        </w:tabs>
        <w:ind w:left="0" w:leftChars="0" w:firstLine="0" w:firstLineChars="0"/>
        <w:jc w:val="center"/>
        <w:rPr>
          <w:b/>
          <w:bCs/>
          <w:color w:val="auto"/>
          <w:kern w:val="21"/>
        </w:rPr>
      </w:pPr>
      <w:r>
        <w:rPr>
          <w:b/>
          <w:bCs/>
          <w:color w:val="auto"/>
          <w:kern w:val="21"/>
        </w:rPr>
        <w:t>建设项目大气环境影响评价自查表</w:t>
      </w:r>
    </w:p>
    <w:tbl>
      <w:tblPr>
        <w:tblStyle w:val="51"/>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751"/>
        <w:gridCol w:w="1352"/>
        <w:gridCol w:w="947"/>
        <w:gridCol w:w="662"/>
        <w:gridCol w:w="151"/>
        <w:gridCol w:w="704"/>
        <w:gridCol w:w="825"/>
        <w:gridCol w:w="375"/>
        <w:gridCol w:w="490"/>
        <w:gridCol w:w="37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5" w:type="dxa"/>
            <w:gridSpan w:val="2"/>
            <w:vAlign w:val="center"/>
          </w:tcPr>
          <w:p>
            <w:pPr>
              <w:spacing w:line="240" w:lineRule="auto"/>
              <w:ind w:firstLine="0" w:firstLineChars="0"/>
              <w:jc w:val="center"/>
              <w:rPr>
                <w:color w:val="auto"/>
                <w:kern w:val="21"/>
                <w:sz w:val="21"/>
                <w:szCs w:val="21"/>
              </w:rPr>
            </w:pPr>
            <w:r>
              <w:rPr>
                <w:color w:val="auto"/>
                <w:kern w:val="21"/>
                <w:sz w:val="21"/>
                <w:szCs w:val="21"/>
              </w:rPr>
              <w:t>工作内容</w:t>
            </w:r>
          </w:p>
        </w:tc>
        <w:tc>
          <w:tcPr>
            <w:tcW w:w="6671" w:type="dxa"/>
            <w:gridSpan w:val="10"/>
            <w:vAlign w:val="center"/>
          </w:tcPr>
          <w:p>
            <w:pPr>
              <w:spacing w:line="240" w:lineRule="auto"/>
              <w:ind w:firstLine="0" w:firstLineChars="0"/>
              <w:jc w:val="center"/>
              <w:rPr>
                <w:color w:val="auto"/>
                <w:kern w:val="21"/>
                <w:sz w:val="21"/>
                <w:szCs w:val="21"/>
              </w:rPr>
            </w:pPr>
            <w:r>
              <w:rPr>
                <w:color w:val="auto"/>
                <w:kern w:val="21"/>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评价等级与范围</w:t>
            </w: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评价等级</w:t>
            </w:r>
          </w:p>
        </w:tc>
        <w:tc>
          <w:tcPr>
            <w:tcW w:w="2299" w:type="dxa"/>
            <w:gridSpan w:val="2"/>
            <w:vAlign w:val="center"/>
          </w:tcPr>
          <w:p>
            <w:pPr>
              <w:spacing w:line="240" w:lineRule="auto"/>
              <w:ind w:firstLine="0" w:firstLineChars="0"/>
              <w:jc w:val="center"/>
              <w:rPr>
                <w:color w:val="auto"/>
                <w:kern w:val="21"/>
                <w:sz w:val="21"/>
                <w:szCs w:val="21"/>
              </w:rPr>
            </w:pPr>
            <w:r>
              <w:rPr>
                <w:color w:val="auto"/>
                <w:kern w:val="21"/>
                <w:sz w:val="21"/>
                <w:szCs w:val="21"/>
              </w:rPr>
              <w:t>一级</w:t>
            </w:r>
            <w:r>
              <w:rPr>
                <w:rFonts w:hint="eastAsia"/>
                <w:color w:val="auto"/>
                <w:kern w:val="21"/>
                <w:sz w:val="21"/>
                <w:szCs w:val="21"/>
              </w:rPr>
              <w:sym w:font="Wingdings 2" w:char="0052"/>
            </w:r>
          </w:p>
        </w:tc>
        <w:tc>
          <w:tcPr>
            <w:tcW w:w="1517" w:type="dxa"/>
            <w:gridSpan w:val="3"/>
            <w:vAlign w:val="center"/>
          </w:tcPr>
          <w:p>
            <w:pPr>
              <w:spacing w:line="240" w:lineRule="auto"/>
              <w:ind w:firstLine="0" w:firstLineChars="0"/>
              <w:jc w:val="center"/>
              <w:rPr>
                <w:color w:val="auto"/>
                <w:kern w:val="21"/>
                <w:sz w:val="21"/>
                <w:szCs w:val="21"/>
              </w:rPr>
            </w:pPr>
            <w:r>
              <w:rPr>
                <w:color w:val="auto"/>
                <w:kern w:val="21"/>
                <w:sz w:val="21"/>
                <w:szCs w:val="21"/>
              </w:rPr>
              <w:t>二级</w:t>
            </w:r>
            <w:r>
              <w:rPr>
                <w:rFonts w:hint="eastAsia"/>
                <w:color w:val="auto"/>
                <w:kern w:val="21"/>
                <w:sz w:val="21"/>
                <w:szCs w:val="21"/>
              </w:rPr>
              <w:sym w:font="Wingdings 2" w:char="00A3"/>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三级</w:t>
            </w:r>
            <w:r>
              <w:rPr>
                <w:rFonts w:hint="eastAsia"/>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评价范围</w:t>
            </w:r>
          </w:p>
        </w:tc>
        <w:tc>
          <w:tcPr>
            <w:tcW w:w="2299" w:type="dxa"/>
            <w:gridSpan w:val="2"/>
            <w:vAlign w:val="center"/>
          </w:tcPr>
          <w:p>
            <w:pPr>
              <w:spacing w:line="240" w:lineRule="auto"/>
              <w:ind w:firstLine="0" w:firstLineChars="0"/>
              <w:jc w:val="center"/>
              <w:rPr>
                <w:color w:val="auto"/>
                <w:kern w:val="21"/>
                <w:sz w:val="21"/>
                <w:szCs w:val="21"/>
              </w:rPr>
            </w:pPr>
            <w:r>
              <w:rPr>
                <w:color w:val="auto"/>
                <w:kern w:val="21"/>
                <w:sz w:val="21"/>
                <w:szCs w:val="21"/>
              </w:rPr>
              <w:t>边长=50km□</w:t>
            </w:r>
          </w:p>
        </w:tc>
        <w:tc>
          <w:tcPr>
            <w:tcW w:w="1517" w:type="dxa"/>
            <w:gridSpan w:val="3"/>
            <w:vAlign w:val="center"/>
          </w:tcPr>
          <w:p>
            <w:pPr>
              <w:spacing w:line="240" w:lineRule="auto"/>
              <w:ind w:firstLine="0" w:firstLineChars="0"/>
              <w:jc w:val="center"/>
              <w:rPr>
                <w:color w:val="auto"/>
                <w:kern w:val="21"/>
                <w:sz w:val="21"/>
                <w:szCs w:val="21"/>
              </w:rPr>
            </w:pPr>
            <w:r>
              <w:rPr>
                <w:color w:val="auto"/>
                <w:kern w:val="21"/>
                <w:sz w:val="21"/>
                <w:szCs w:val="21"/>
              </w:rPr>
              <w:t>边长5~50km□</w:t>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边长=5km</w:t>
            </w:r>
            <w:r>
              <w:rPr>
                <w:rFonts w:hint="eastAsia"/>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评价因子</w:t>
            </w: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SO</w:t>
            </w:r>
            <w:r>
              <w:rPr>
                <w:color w:val="auto"/>
                <w:kern w:val="21"/>
                <w:sz w:val="21"/>
                <w:szCs w:val="21"/>
                <w:vertAlign w:val="subscript"/>
              </w:rPr>
              <w:t>2</w:t>
            </w:r>
            <w:r>
              <w:rPr>
                <w:color w:val="auto"/>
                <w:kern w:val="21"/>
                <w:sz w:val="21"/>
                <w:szCs w:val="21"/>
              </w:rPr>
              <w:t>+NO</w:t>
            </w:r>
            <w:r>
              <w:rPr>
                <w:color w:val="auto"/>
                <w:kern w:val="21"/>
                <w:sz w:val="21"/>
                <w:szCs w:val="21"/>
                <w:vertAlign w:val="subscript"/>
              </w:rPr>
              <w:t>x</w:t>
            </w:r>
            <w:r>
              <w:rPr>
                <w:color w:val="auto"/>
                <w:kern w:val="21"/>
                <w:sz w:val="21"/>
                <w:szCs w:val="21"/>
              </w:rPr>
              <w:t>排放量</w:t>
            </w:r>
          </w:p>
        </w:tc>
        <w:tc>
          <w:tcPr>
            <w:tcW w:w="2299" w:type="dxa"/>
            <w:gridSpan w:val="2"/>
            <w:vAlign w:val="center"/>
          </w:tcPr>
          <w:p>
            <w:pPr>
              <w:spacing w:line="240" w:lineRule="auto"/>
              <w:ind w:firstLine="0" w:firstLineChars="0"/>
              <w:jc w:val="center"/>
              <w:rPr>
                <w:color w:val="auto"/>
                <w:kern w:val="21"/>
                <w:sz w:val="21"/>
                <w:szCs w:val="21"/>
              </w:rPr>
            </w:pPr>
            <w:r>
              <w:rPr>
                <w:color w:val="auto"/>
                <w:kern w:val="21"/>
                <w:sz w:val="21"/>
                <w:szCs w:val="21"/>
              </w:rPr>
              <w:t>≥2000t/a</w:t>
            </w:r>
            <w:r>
              <w:rPr>
                <w:rFonts w:hint="eastAsia"/>
                <w:color w:val="auto"/>
                <w:kern w:val="21"/>
                <w:sz w:val="21"/>
                <w:szCs w:val="21"/>
              </w:rPr>
              <w:t>□</w:t>
            </w:r>
          </w:p>
        </w:tc>
        <w:tc>
          <w:tcPr>
            <w:tcW w:w="1517" w:type="dxa"/>
            <w:gridSpan w:val="3"/>
            <w:vAlign w:val="center"/>
          </w:tcPr>
          <w:p>
            <w:pPr>
              <w:spacing w:line="240" w:lineRule="auto"/>
              <w:ind w:firstLine="0" w:firstLineChars="0"/>
              <w:jc w:val="center"/>
              <w:rPr>
                <w:color w:val="auto"/>
                <w:kern w:val="21"/>
                <w:sz w:val="21"/>
                <w:szCs w:val="21"/>
              </w:rPr>
            </w:pPr>
            <w:r>
              <w:rPr>
                <w:color w:val="auto"/>
                <w:kern w:val="21"/>
                <w:sz w:val="21"/>
                <w:szCs w:val="21"/>
              </w:rPr>
              <w:t>500~2000t/a</w:t>
            </w:r>
            <w:r>
              <w:rPr>
                <w:rFonts w:hint="eastAsia"/>
                <w:color w:val="auto"/>
                <w:kern w:val="21"/>
                <w:sz w:val="21"/>
                <w:szCs w:val="21"/>
              </w:rPr>
              <w:t>□</w:t>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≤500t/a</w:t>
            </w:r>
            <w:r>
              <w:rPr>
                <w:rFonts w:hint="eastAsia"/>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评价因子</w:t>
            </w:r>
          </w:p>
        </w:tc>
        <w:tc>
          <w:tcPr>
            <w:tcW w:w="3816" w:type="dxa"/>
            <w:gridSpan w:val="5"/>
            <w:vAlign w:val="center"/>
          </w:tcPr>
          <w:p>
            <w:pPr>
              <w:spacing w:line="240" w:lineRule="auto"/>
              <w:ind w:firstLine="0" w:firstLineChars="0"/>
              <w:rPr>
                <w:color w:val="auto"/>
                <w:kern w:val="21"/>
                <w:sz w:val="21"/>
                <w:szCs w:val="21"/>
              </w:rPr>
            </w:pPr>
            <w:r>
              <w:rPr>
                <w:color w:val="auto"/>
                <w:kern w:val="21"/>
                <w:sz w:val="21"/>
                <w:szCs w:val="21"/>
              </w:rPr>
              <w:t>基本污染物</w:t>
            </w:r>
            <w:r>
              <w:rPr>
                <w:rFonts w:hint="eastAsia"/>
                <w:color w:val="auto"/>
                <w:kern w:val="21"/>
                <w:sz w:val="21"/>
                <w:szCs w:val="21"/>
              </w:rPr>
              <w:t>（</w:t>
            </w:r>
            <w:r>
              <w:rPr>
                <w:color w:val="auto"/>
                <w:kern w:val="21"/>
                <w:sz w:val="21"/>
                <w:szCs w:val="21"/>
                <w:lang w:bidi="ar"/>
              </w:rPr>
              <w:t>PM</w:t>
            </w:r>
            <w:r>
              <w:rPr>
                <w:color w:val="auto"/>
                <w:kern w:val="21"/>
                <w:sz w:val="13"/>
                <w:szCs w:val="13"/>
                <w:lang w:bidi="ar"/>
              </w:rPr>
              <w:t>10</w:t>
            </w:r>
            <w:r>
              <w:rPr>
                <w:color w:val="auto"/>
                <w:kern w:val="21"/>
                <w:sz w:val="21"/>
                <w:szCs w:val="21"/>
                <w:lang w:bidi="ar"/>
              </w:rPr>
              <w:t>、PM</w:t>
            </w:r>
            <w:r>
              <w:rPr>
                <w:color w:val="auto"/>
                <w:kern w:val="21"/>
                <w:sz w:val="13"/>
                <w:szCs w:val="13"/>
                <w:lang w:bidi="ar"/>
              </w:rPr>
              <w:t>2.5</w:t>
            </w:r>
            <w:r>
              <w:rPr>
                <w:color w:val="auto"/>
                <w:kern w:val="21"/>
                <w:sz w:val="21"/>
                <w:szCs w:val="21"/>
                <w:lang w:bidi="ar"/>
              </w:rPr>
              <w:t>、SO</w:t>
            </w:r>
            <w:r>
              <w:rPr>
                <w:color w:val="auto"/>
                <w:kern w:val="21"/>
                <w:sz w:val="13"/>
                <w:szCs w:val="13"/>
                <w:lang w:bidi="ar"/>
              </w:rPr>
              <w:t>2</w:t>
            </w:r>
            <w:r>
              <w:rPr>
                <w:color w:val="auto"/>
                <w:kern w:val="21"/>
                <w:sz w:val="21"/>
                <w:szCs w:val="21"/>
                <w:lang w:bidi="ar"/>
              </w:rPr>
              <w:t>、NO</w:t>
            </w:r>
            <w:r>
              <w:rPr>
                <w:color w:val="auto"/>
                <w:kern w:val="21"/>
                <w:sz w:val="13"/>
                <w:szCs w:val="13"/>
                <w:lang w:bidi="ar"/>
              </w:rPr>
              <w:t>2</w:t>
            </w:r>
            <w:r>
              <w:rPr>
                <w:color w:val="auto"/>
                <w:kern w:val="21"/>
                <w:sz w:val="21"/>
                <w:szCs w:val="21"/>
                <w:lang w:bidi="ar"/>
              </w:rPr>
              <w:t>、CO、O</w:t>
            </w:r>
            <w:r>
              <w:rPr>
                <w:rFonts w:hint="eastAsia"/>
                <w:color w:val="auto"/>
                <w:kern w:val="21"/>
                <w:sz w:val="21"/>
                <w:szCs w:val="21"/>
              </w:rPr>
              <w:t>）</w:t>
            </w:r>
            <w:r>
              <w:rPr>
                <w:color w:val="auto"/>
                <w:kern w:val="21"/>
                <w:sz w:val="21"/>
                <w:szCs w:val="21"/>
              </w:rPr>
              <w:t>其他污染物</w:t>
            </w:r>
            <w:r>
              <w:rPr>
                <w:rFonts w:hint="eastAsia"/>
                <w:color w:val="auto"/>
                <w:kern w:val="21"/>
                <w:sz w:val="21"/>
                <w:szCs w:val="21"/>
              </w:rPr>
              <w:t>（</w:t>
            </w:r>
            <w:r>
              <w:rPr>
                <w:color w:val="auto"/>
                <w:kern w:val="21"/>
                <w:sz w:val="21"/>
                <w:szCs w:val="21"/>
              </w:rPr>
              <w:t>氨、硫化氢</w:t>
            </w:r>
            <w:r>
              <w:rPr>
                <w:rFonts w:hint="eastAsia"/>
                <w:color w:val="auto"/>
                <w:kern w:val="21"/>
                <w:sz w:val="21"/>
                <w:szCs w:val="21"/>
              </w:rPr>
              <w:t>、臭气浓度</w:t>
            </w:r>
            <w:r>
              <w:rPr>
                <w:color w:val="auto"/>
                <w:kern w:val="21"/>
                <w:sz w:val="21"/>
                <w:szCs w:val="21"/>
              </w:rPr>
              <w:t>）</w:t>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包括二次PM</w:t>
            </w:r>
            <w:r>
              <w:rPr>
                <w:color w:val="auto"/>
                <w:kern w:val="21"/>
                <w:sz w:val="21"/>
                <w:szCs w:val="21"/>
                <w:vertAlign w:val="subscript"/>
              </w:rPr>
              <w:t>2.5</w:t>
            </w:r>
            <w:r>
              <w:rPr>
                <w:color w:val="auto"/>
                <w:kern w:val="21"/>
                <w:sz w:val="21"/>
                <w:szCs w:val="21"/>
              </w:rPr>
              <w:t>□</w:t>
            </w:r>
          </w:p>
          <w:p>
            <w:pPr>
              <w:spacing w:line="240" w:lineRule="auto"/>
              <w:ind w:firstLine="0" w:firstLineChars="0"/>
              <w:jc w:val="center"/>
              <w:rPr>
                <w:color w:val="auto"/>
                <w:kern w:val="21"/>
                <w:sz w:val="21"/>
                <w:szCs w:val="21"/>
              </w:rPr>
            </w:pPr>
            <w:r>
              <w:rPr>
                <w:color w:val="auto"/>
                <w:kern w:val="21"/>
                <w:sz w:val="21"/>
                <w:szCs w:val="21"/>
              </w:rPr>
              <w:t>不包括二次PM</w:t>
            </w:r>
            <w:r>
              <w:rPr>
                <w:color w:val="auto"/>
                <w:kern w:val="21"/>
                <w:sz w:val="21"/>
                <w:szCs w:val="21"/>
                <w:vertAlign w:val="subscript"/>
              </w:rPr>
              <w:t>2.5</w:t>
            </w:r>
            <w:r>
              <w:rPr>
                <w:rFonts w:hint="eastAsia"/>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Align w:val="center"/>
          </w:tcPr>
          <w:p>
            <w:pPr>
              <w:spacing w:line="240" w:lineRule="auto"/>
              <w:ind w:firstLine="0" w:firstLineChars="0"/>
              <w:jc w:val="center"/>
              <w:rPr>
                <w:color w:val="auto"/>
                <w:kern w:val="21"/>
                <w:sz w:val="21"/>
                <w:szCs w:val="21"/>
              </w:rPr>
            </w:pPr>
            <w:r>
              <w:rPr>
                <w:color w:val="auto"/>
                <w:kern w:val="21"/>
                <w:sz w:val="21"/>
                <w:szCs w:val="21"/>
              </w:rPr>
              <w:t>评价标准</w:t>
            </w: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评价标准</w:t>
            </w:r>
          </w:p>
        </w:tc>
        <w:tc>
          <w:tcPr>
            <w:tcW w:w="2299" w:type="dxa"/>
            <w:gridSpan w:val="2"/>
            <w:vAlign w:val="center"/>
          </w:tcPr>
          <w:p>
            <w:pPr>
              <w:spacing w:line="240" w:lineRule="auto"/>
              <w:ind w:firstLine="0" w:firstLineChars="0"/>
              <w:jc w:val="center"/>
              <w:rPr>
                <w:color w:val="auto"/>
                <w:kern w:val="21"/>
                <w:sz w:val="21"/>
                <w:szCs w:val="21"/>
              </w:rPr>
            </w:pPr>
            <w:r>
              <w:rPr>
                <w:color w:val="auto"/>
                <w:kern w:val="21"/>
                <w:sz w:val="21"/>
                <w:szCs w:val="21"/>
              </w:rPr>
              <w:t>国家标准</w:t>
            </w:r>
            <w:r>
              <w:rPr>
                <w:rFonts w:hint="eastAsia"/>
                <w:color w:val="auto"/>
                <w:kern w:val="21"/>
                <w:sz w:val="21"/>
                <w:szCs w:val="21"/>
              </w:rPr>
              <w:sym w:font="Wingdings 2" w:char="0052"/>
            </w:r>
          </w:p>
        </w:tc>
        <w:tc>
          <w:tcPr>
            <w:tcW w:w="1517" w:type="dxa"/>
            <w:gridSpan w:val="3"/>
            <w:vAlign w:val="center"/>
          </w:tcPr>
          <w:p>
            <w:pPr>
              <w:spacing w:line="240" w:lineRule="auto"/>
              <w:ind w:firstLine="0" w:firstLineChars="0"/>
              <w:jc w:val="center"/>
              <w:rPr>
                <w:color w:val="auto"/>
                <w:kern w:val="21"/>
                <w:sz w:val="21"/>
                <w:szCs w:val="21"/>
              </w:rPr>
            </w:pPr>
            <w:r>
              <w:rPr>
                <w:color w:val="auto"/>
                <w:kern w:val="21"/>
                <w:sz w:val="21"/>
                <w:szCs w:val="21"/>
              </w:rPr>
              <w:t>地方标准</w:t>
            </w:r>
            <w:r>
              <w:rPr>
                <w:rFonts w:hint="eastAsia"/>
                <w:color w:val="auto"/>
                <w:kern w:val="21"/>
                <w:sz w:val="21"/>
                <w:szCs w:val="21"/>
              </w:rPr>
              <w:t>□</w:t>
            </w:r>
          </w:p>
        </w:tc>
        <w:tc>
          <w:tcPr>
            <w:tcW w:w="1200" w:type="dxa"/>
            <w:gridSpan w:val="2"/>
            <w:vAlign w:val="center"/>
          </w:tcPr>
          <w:p>
            <w:pPr>
              <w:spacing w:line="240" w:lineRule="auto"/>
              <w:ind w:firstLine="0" w:firstLineChars="0"/>
              <w:jc w:val="center"/>
              <w:rPr>
                <w:color w:val="auto"/>
                <w:kern w:val="21"/>
                <w:sz w:val="21"/>
                <w:szCs w:val="21"/>
              </w:rPr>
            </w:pPr>
            <w:r>
              <w:rPr>
                <w:color w:val="auto"/>
                <w:kern w:val="21"/>
                <w:sz w:val="21"/>
                <w:szCs w:val="21"/>
              </w:rPr>
              <w:t>附录D</w:t>
            </w:r>
            <w:r>
              <w:rPr>
                <w:rFonts w:hint="eastAsia"/>
                <w:color w:val="auto"/>
                <w:kern w:val="21"/>
                <w:sz w:val="21"/>
                <w:szCs w:val="21"/>
              </w:rPr>
              <w:sym w:font="Wingdings 2" w:char="0052"/>
            </w:r>
          </w:p>
        </w:tc>
        <w:tc>
          <w:tcPr>
            <w:tcW w:w="1655" w:type="dxa"/>
            <w:gridSpan w:val="3"/>
            <w:vAlign w:val="center"/>
          </w:tcPr>
          <w:p>
            <w:pPr>
              <w:spacing w:line="240" w:lineRule="auto"/>
              <w:ind w:firstLine="0" w:firstLineChars="0"/>
              <w:jc w:val="center"/>
              <w:rPr>
                <w:color w:val="auto"/>
                <w:kern w:val="21"/>
                <w:sz w:val="21"/>
                <w:szCs w:val="21"/>
              </w:rPr>
            </w:pPr>
            <w:r>
              <w:rPr>
                <w:color w:val="auto"/>
                <w:kern w:val="21"/>
                <w:sz w:val="21"/>
                <w:szCs w:val="21"/>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现状评价</w:t>
            </w: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环境功能区</w:t>
            </w:r>
          </w:p>
        </w:tc>
        <w:tc>
          <w:tcPr>
            <w:tcW w:w="2299" w:type="dxa"/>
            <w:gridSpan w:val="2"/>
            <w:vAlign w:val="center"/>
          </w:tcPr>
          <w:p>
            <w:pPr>
              <w:spacing w:line="240" w:lineRule="auto"/>
              <w:ind w:firstLine="0" w:firstLineChars="0"/>
              <w:jc w:val="center"/>
              <w:rPr>
                <w:color w:val="auto"/>
                <w:kern w:val="21"/>
                <w:sz w:val="21"/>
                <w:szCs w:val="21"/>
              </w:rPr>
            </w:pPr>
            <w:r>
              <w:rPr>
                <w:color w:val="auto"/>
                <w:kern w:val="21"/>
                <w:sz w:val="21"/>
                <w:szCs w:val="21"/>
              </w:rPr>
              <w:t>一类区□</w:t>
            </w:r>
          </w:p>
        </w:tc>
        <w:tc>
          <w:tcPr>
            <w:tcW w:w="1517" w:type="dxa"/>
            <w:gridSpan w:val="3"/>
            <w:vAlign w:val="center"/>
          </w:tcPr>
          <w:p>
            <w:pPr>
              <w:spacing w:line="240" w:lineRule="auto"/>
              <w:ind w:firstLine="0" w:firstLineChars="0"/>
              <w:jc w:val="center"/>
              <w:rPr>
                <w:color w:val="auto"/>
                <w:kern w:val="21"/>
                <w:sz w:val="21"/>
                <w:szCs w:val="21"/>
              </w:rPr>
            </w:pPr>
            <w:r>
              <w:rPr>
                <w:color w:val="auto"/>
                <w:kern w:val="21"/>
                <w:sz w:val="21"/>
                <w:szCs w:val="21"/>
              </w:rPr>
              <w:t>二类区</w:t>
            </w:r>
            <w:r>
              <w:rPr>
                <w:rFonts w:hint="eastAsia"/>
                <w:color w:val="auto"/>
                <w:kern w:val="21"/>
                <w:sz w:val="21"/>
                <w:szCs w:val="21"/>
              </w:rPr>
              <w:sym w:font="Wingdings 2" w:char="0052"/>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评价基准年</w:t>
            </w:r>
          </w:p>
        </w:tc>
        <w:tc>
          <w:tcPr>
            <w:tcW w:w="6671" w:type="dxa"/>
            <w:gridSpan w:val="10"/>
            <w:vAlign w:val="center"/>
          </w:tcPr>
          <w:p>
            <w:pPr>
              <w:spacing w:line="240" w:lineRule="auto"/>
              <w:ind w:firstLine="0" w:firstLineChars="0"/>
              <w:jc w:val="center"/>
              <w:rPr>
                <w:color w:val="auto"/>
                <w:kern w:val="21"/>
                <w:sz w:val="21"/>
                <w:szCs w:val="21"/>
              </w:rPr>
            </w:pPr>
            <w:r>
              <w:rPr>
                <w:rFonts w:hint="eastAsia"/>
                <w:color w:val="auto"/>
                <w:kern w:val="21"/>
                <w:sz w:val="21"/>
                <w:szCs w:val="21"/>
              </w:rPr>
              <w:t>（2020）</w:t>
            </w:r>
            <w:r>
              <w:rPr>
                <w:color w:val="auto"/>
                <w:kern w:val="21"/>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环境空气质量现状调查数据来源</w:t>
            </w:r>
          </w:p>
        </w:tc>
        <w:tc>
          <w:tcPr>
            <w:tcW w:w="2299" w:type="dxa"/>
            <w:gridSpan w:val="2"/>
            <w:vAlign w:val="center"/>
          </w:tcPr>
          <w:p>
            <w:pPr>
              <w:spacing w:line="240" w:lineRule="auto"/>
              <w:ind w:firstLine="0" w:firstLineChars="0"/>
              <w:jc w:val="center"/>
              <w:rPr>
                <w:color w:val="auto"/>
                <w:kern w:val="21"/>
                <w:sz w:val="21"/>
                <w:szCs w:val="21"/>
              </w:rPr>
            </w:pPr>
            <w:r>
              <w:rPr>
                <w:color w:val="auto"/>
                <w:kern w:val="21"/>
                <w:sz w:val="21"/>
                <w:szCs w:val="21"/>
              </w:rPr>
              <w:t>长期例行监测数据</w:t>
            </w:r>
            <w:r>
              <w:rPr>
                <w:rFonts w:hint="eastAsia"/>
                <w:color w:val="auto"/>
                <w:kern w:val="21"/>
                <w:sz w:val="21"/>
                <w:szCs w:val="21"/>
              </w:rPr>
              <w:t>□</w:t>
            </w:r>
          </w:p>
        </w:tc>
        <w:tc>
          <w:tcPr>
            <w:tcW w:w="1517" w:type="dxa"/>
            <w:gridSpan w:val="3"/>
            <w:vAlign w:val="center"/>
          </w:tcPr>
          <w:p>
            <w:pPr>
              <w:spacing w:line="240" w:lineRule="auto"/>
              <w:ind w:firstLine="0" w:firstLineChars="0"/>
              <w:jc w:val="center"/>
              <w:rPr>
                <w:color w:val="auto"/>
                <w:kern w:val="21"/>
                <w:sz w:val="21"/>
                <w:szCs w:val="21"/>
              </w:rPr>
            </w:pPr>
            <w:r>
              <w:rPr>
                <w:color w:val="auto"/>
                <w:kern w:val="21"/>
                <w:sz w:val="21"/>
                <w:szCs w:val="21"/>
              </w:rPr>
              <w:t>主管部门发布的数据</w:t>
            </w:r>
            <w:r>
              <w:rPr>
                <w:rFonts w:hint="eastAsia"/>
                <w:color w:val="auto"/>
                <w:kern w:val="21"/>
                <w:sz w:val="21"/>
                <w:szCs w:val="21"/>
              </w:rPr>
              <w:sym w:font="Wingdings 2" w:char="0052"/>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现状补充监测</w:t>
            </w:r>
            <w:r>
              <w:rPr>
                <w:rFonts w:hint="eastAsia"/>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现状评价</w:t>
            </w:r>
          </w:p>
        </w:tc>
        <w:tc>
          <w:tcPr>
            <w:tcW w:w="3816" w:type="dxa"/>
            <w:gridSpan w:val="5"/>
            <w:vAlign w:val="center"/>
          </w:tcPr>
          <w:p>
            <w:pPr>
              <w:spacing w:line="240" w:lineRule="auto"/>
              <w:ind w:firstLine="0" w:firstLineChars="0"/>
              <w:jc w:val="center"/>
              <w:rPr>
                <w:color w:val="auto"/>
                <w:kern w:val="21"/>
                <w:sz w:val="21"/>
                <w:szCs w:val="21"/>
              </w:rPr>
            </w:pPr>
            <w:r>
              <w:rPr>
                <w:color w:val="auto"/>
                <w:kern w:val="21"/>
                <w:sz w:val="21"/>
                <w:szCs w:val="21"/>
              </w:rPr>
              <w:t>达标区</w:t>
            </w:r>
            <w:r>
              <w:rPr>
                <w:rFonts w:hint="eastAsia"/>
                <w:color w:val="auto"/>
                <w:kern w:val="21"/>
                <w:sz w:val="21"/>
                <w:szCs w:val="21"/>
              </w:rPr>
              <w:sym w:font="Wingdings 2" w:char="0052"/>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不达标区</w:t>
            </w:r>
            <w:r>
              <w:rPr>
                <w:rFonts w:hint="eastAsia"/>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Align w:val="center"/>
          </w:tcPr>
          <w:p>
            <w:pPr>
              <w:spacing w:line="240" w:lineRule="auto"/>
              <w:ind w:firstLine="0" w:firstLineChars="0"/>
              <w:jc w:val="center"/>
              <w:rPr>
                <w:color w:val="auto"/>
                <w:kern w:val="21"/>
                <w:sz w:val="21"/>
                <w:szCs w:val="21"/>
              </w:rPr>
            </w:pPr>
            <w:r>
              <w:rPr>
                <w:color w:val="auto"/>
                <w:kern w:val="21"/>
                <w:sz w:val="21"/>
                <w:szCs w:val="21"/>
              </w:rPr>
              <w:t>污染源调查</w:t>
            </w:r>
          </w:p>
        </w:tc>
        <w:tc>
          <w:tcPr>
            <w:tcW w:w="1751" w:type="dxa"/>
            <w:vAlign w:val="center"/>
          </w:tcPr>
          <w:p>
            <w:pPr>
              <w:spacing w:line="240" w:lineRule="auto"/>
              <w:ind w:firstLine="0" w:firstLineChars="0"/>
              <w:rPr>
                <w:color w:val="auto"/>
                <w:kern w:val="21"/>
                <w:sz w:val="21"/>
                <w:szCs w:val="21"/>
              </w:rPr>
            </w:pPr>
            <w:r>
              <w:rPr>
                <w:color w:val="auto"/>
                <w:kern w:val="21"/>
                <w:sz w:val="21"/>
                <w:szCs w:val="21"/>
              </w:rPr>
              <w:t>调查内容</w:t>
            </w:r>
          </w:p>
        </w:tc>
        <w:tc>
          <w:tcPr>
            <w:tcW w:w="2299" w:type="dxa"/>
            <w:gridSpan w:val="2"/>
            <w:vAlign w:val="center"/>
          </w:tcPr>
          <w:p>
            <w:pPr>
              <w:spacing w:line="240" w:lineRule="auto"/>
              <w:ind w:firstLine="0" w:firstLineChars="0"/>
              <w:rPr>
                <w:color w:val="auto"/>
                <w:kern w:val="21"/>
                <w:sz w:val="21"/>
                <w:szCs w:val="21"/>
              </w:rPr>
            </w:pPr>
            <w:r>
              <w:rPr>
                <w:color w:val="auto"/>
                <w:kern w:val="21"/>
                <w:sz w:val="21"/>
                <w:szCs w:val="21"/>
              </w:rPr>
              <w:t>本项目正常排放源</w:t>
            </w:r>
            <w:r>
              <w:rPr>
                <w:rFonts w:hint="eastAsia"/>
                <w:color w:val="auto"/>
                <w:kern w:val="21"/>
                <w:sz w:val="21"/>
                <w:szCs w:val="21"/>
              </w:rPr>
              <w:sym w:font="Wingdings 2" w:char="0052"/>
            </w:r>
          </w:p>
          <w:p>
            <w:pPr>
              <w:spacing w:line="240" w:lineRule="auto"/>
              <w:ind w:firstLine="0" w:firstLineChars="0"/>
              <w:rPr>
                <w:color w:val="auto"/>
                <w:kern w:val="21"/>
                <w:sz w:val="21"/>
                <w:szCs w:val="21"/>
              </w:rPr>
            </w:pPr>
            <w:r>
              <w:rPr>
                <w:color w:val="auto"/>
                <w:kern w:val="21"/>
                <w:sz w:val="21"/>
                <w:szCs w:val="21"/>
              </w:rPr>
              <w:t>本项目非正常排放源</w:t>
            </w:r>
            <w:r>
              <w:rPr>
                <w:rFonts w:hint="eastAsia"/>
                <w:color w:val="auto"/>
                <w:kern w:val="21"/>
                <w:sz w:val="21"/>
                <w:szCs w:val="21"/>
              </w:rPr>
              <w:sym w:font="Wingdings 2" w:char="0052"/>
            </w:r>
          </w:p>
          <w:p>
            <w:pPr>
              <w:spacing w:line="240" w:lineRule="auto"/>
              <w:ind w:firstLine="0" w:firstLineChars="0"/>
              <w:rPr>
                <w:color w:val="auto"/>
                <w:kern w:val="21"/>
                <w:sz w:val="21"/>
                <w:szCs w:val="21"/>
              </w:rPr>
            </w:pPr>
            <w:r>
              <w:rPr>
                <w:color w:val="auto"/>
                <w:kern w:val="21"/>
                <w:sz w:val="21"/>
                <w:szCs w:val="21"/>
              </w:rPr>
              <w:t>现有污染源</w:t>
            </w:r>
            <w:r>
              <w:rPr>
                <w:rFonts w:hint="eastAsia"/>
                <w:color w:val="auto"/>
                <w:kern w:val="21"/>
                <w:sz w:val="21"/>
                <w:szCs w:val="21"/>
              </w:rPr>
              <w:t>□</w:t>
            </w:r>
          </w:p>
        </w:tc>
        <w:tc>
          <w:tcPr>
            <w:tcW w:w="1517" w:type="dxa"/>
            <w:gridSpan w:val="3"/>
            <w:vAlign w:val="center"/>
          </w:tcPr>
          <w:p>
            <w:pPr>
              <w:spacing w:line="240" w:lineRule="auto"/>
              <w:ind w:firstLine="0" w:firstLineChars="0"/>
              <w:rPr>
                <w:color w:val="auto"/>
                <w:kern w:val="21"/>
                <w:sz w:val="21"/>
                <w:szCs w:val="21"/>
              </w:rPr>
            </w:pPr>
            <w:r>
              <w:rPr>
                <w:color w:val="auto"/>
                <w:kern w:val="21"/>
                <w:sz w:val="21"/>
                <w:szCs w:val="21"/>
              </w:rPr>
              <w:t>拟替代的污染源□</w:t>
            </w:r>
          </w:p>
        </w:tc>
        <w:tc>
          <w:tcPr>
            <w:tcW w:w="1690" w:type="dxa"/>
            <w:gridSpan w:val="3"/>
            <w:vAlign w:val="center"/>
          </w:tcPr>
          <w:p>
            <w:pPr>
              <w:spacing w:line="240" w:lineRule="auto"/>
              <w:ind w:firstLine="0" w:firstLineChars="0"/>
              <w:rPr>
                <w:color w:val="auto"/>
                <w:kern w:val="21"/>
                <w:sz w:val="21"/>
                <w:szCs w:val="21"/>
              </w:rPr>
            </w:pPr>
            <w:r>
              <w:rPr>
                <w:color w:val="auto"/>
                <w:kern w:val="21"/>
                <w:sz w:val="21"/>
                <w:szCs w:val="21"/>
              </w:rPr>
              <w:t>其他在建、拟建项目污染源</w:t>
            </w:r>
            <w:r>
              <w:rPr>
                <w:color w:val="auto"/>
                <w:kern w:val="21"/>
                <w:sz w:val="21"/>
                <w:szCs w:val="21"/>
              </w:rPr>
              <w:sym w:font="Wingdings 2" w:char="0052"/>
            </w:r>
          </w:p>
        </w:tc>
        <w:tc>
          <w:tcPr>
            <w:tcW w:w="1165" w:type="dxa"/>
            <w:gridSpan w:val="2"/>
            <w:vAlign w:val="center"/>
          </w:tcPr>
          <w:p>
            <w:pPr>
              <w:spacing w:line="240" w:lineRule="auto"/>
              <w:ind w:firstLine="0" w:firstLineChars="0"/>
              <w:rPr>
                <w:color w:val="auto"/>
                <w:kern w:val="21"/>
                <w:sz w:val="21"/>
                <w:szCs w:val="21"/>
              </w:rPr>
            </w:pPr>
            <w:r>
              <w:rPr>
                <w:color w:val="auto"/>
                <w:kern w:val="21"/>
                <w:sz w:val="21"/>
                <w:szCs w:val="21"/>
              </w:rPr>
              <w:t>区域污染源</w:t>
            </w:r>
            <w:r>
              <w:rPr>
                <w:rFonts w:hint="eastAsia"/>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rPr>
                <w:color w:val="auto"/>
                <w:kern w:val="21"/>
                <w:sz w:val="21"/>
                <w:szCs w:val="21"/>
              </w:rPr>
            </w:pPr>
            <w:r>
              <w:rPr>
                <w:color w:val="auto"/>
                <w:kern w:val="21"/>
                <w:sz w:val="21"/>
                <w:szCs w:val="21"/>
              </w:rPr>
              <w:t>大气环境影响预测与评价</w:t>
            </w:r>
          </w:p>
        </w:tc>
        <w:tc>
          <w:tcPr>
            <w:tcW w:w="1751" w:type="dxa"/>
            <w:vAlign w:val="center"/>
          </w:tcPr>
          <w:p>
            <w:pPr>
              <w:spacing w:line="240" w:lineRule="auto"/>
              <w:ind w:firstLine="0" w:firstLineChars="0"/>
              <w:rPr>
                <w:color w:val="auto"/>
                <w:kern w:val="21"/>
                <w:sz w:val="21"/>
                <w:szCs w:val="21"/>
              </w:rPr>
            </w:pPr>
            <w:r>
              <w:rPr>
                <w:color w:val="auto"/>
                <w:kern w:val="21"/>
                <w:sz w:val="21"/>
                <w:szCs w:val="21"/>
              </w:rPr>
              <w:t>预测模型</w:t>
            </w:r>
          </w:p>
        </w:tc>
        <w:tc>
          <w:tcPr>
            <w:tcW w:w="1352" w:type="dxa"/>
            <w:vAlign w:val="center"/>
          </w:tcPr>
          <w:p>
            <w:pPr>
              <w:spacing w:line="240" w:lineRule="auto"/>
              <w:ind w:firstLine="0" w:firstLineChars="0"/>
              <w:rPr>
                <w:color w:val="auto"/>
                <w:kern w:val="21"/>
                <w:sz w:val="21"/>
                <w:szCs w:val="21"/>
              </w:rPr>
            </w:pPr>
            <w:r>
              <w:rPr>
                <w:color w:val="auto"/>
                <w:kern w:val="21"/>
                <w:sz w:val="21"/>
                <w:szCs w:val="21"/>
              </w:rPr>
              <w:t>AERMOD</w:t>
            </w:r>
            <w:r>
              <w:rPr>
                <w:rFonts w:hint="eastAsia"/>
                <w:color w:val="auto"/>
                <w:kern w:val="21"/>
                <w:sz w:val="21"/>
                <w:szCs w:val="21"/>
              </w:rPr>
              <w:sym w:font="Wingdings 2" w:char="0052"/>
            </w:r>
          </w:p>
        </w:tc>
        <w:tc>
          <w:tcPr>
            <w:tcW w:w="947" w:type="dxa"/>
            <w:vAlign w:val="center"/>
          </w:tcPr>
          <w:p>
            <w:pPr>
              <w:spacing w:line="240" w:lineRule="auto"/>
              <w:ind w:firstLine="0" w:firstLineChars="0"/>
              <w:rPr>
                <w:color w:val="auto"/>
                <w:kern w:val="21"/>
                <w:sz w:val="21"/>
                <w:szCs w:val="21"/>
              </w:rPr>
            </w:pPr>
            <w:r>
              <w:rPr>
                <w:color w:val="auto"/>
                <w:kern w:val="21"/>
                <w:sz w:val="21"/>
                <w:szCs w:val="21"/>
              </w:rPr>
              <w:t>ADMS</w:t>
            </w:r>
            <w:r>
              <w:rPr>
                <w:rFonts w:hint="eastAsia"/>
                <w:color w:val="auto"/>
                <w:kern w:val="21"/>
                <w:sz w:val="21"/>
                <w:szCs w:val="21"/>
              </w:rPr>
              <w:t>□</w:t>
            </w:r>
          </w:p>
        </w:tc>
        <w:tc>
          <w:tcPr>
            <w:tcW w:w="813" w:type="dxa"/>
            <w:gridSpan w:val="2"/>
            <w:vAlign w:val="center"/>
          </w:tcPr>
          <w:p>
            <w:pPr>
              <w:spacing w:line="240" w:lineRule="auto"/>
              <w:ind w:firstLine="0" w:firstLineChars="0"/>
              <w:rPr>
                <w:color w:val="auto"/>
                <w:kern w:val="21"/>
                <w:sz w:val="21"/>
                <w:szCs w:val="21"/>
              </w:rPr>
            </w:pPr>
            <w:r>
              <w:rPr>
                <w:color w:val="auto"/>
                <w:kern w:val="21"/>
                <w:sz w:val="21"/>
                <w:szCs w:val="21"/>
              </w:rPr>
              <w:t>AUSTAL2000□</w:t>
            </w:r>
          </w:p>
        </w:tc>
        <w:tc>
          <w:tcPr>
            <w:tcW w:w="704" w:type="dxa"/>
            <w:vAlign w:val="center"/>
          </w:tcPr>
          <w:p>
            <w:pPr>
              <w:spacing w:line="240" w:lineRule="auto"/>
              <w:ind w:firstLine="0" w:firstLineChars="0"/>
              <w:rPr>
                <w:color w:val="auto"/>
                <w:kern w:val="21"/>
                <w:sz w:val="21"/>
                <w:szCs w:val="21"/>
              </w:rPr>
            </w:pPr>
            <w:r>
              <w:rPr>
                <w:color w:val="auto"/>
                <w:kern w:val="21"/>
                <w:sz w:val="21"/>
                <w:szCs w:val="21"/>
              </w:rPr>
              <w:t>EDMS/AEDT□</w:t>
            </w:r>
          </w:p>
        </w:tc>
        <w:tc>
          <w:tcPr>
            <w:tcW w:w="1200" w:type="dxa"/>
            <w:gridSpan w:val="2"/>
            <w:vAlign w:val="center"/>
          </w:tcPr>
          <w:p>
            <w:pPr>
              <w:spacing w:line="240" w:lineRule="auto"/>
              <w:ind w:firstLine="0" w:firstLineChars="0"/>
              <w:rPr>
                <w:color w:val="auto"/>
                <w:kern w:val="21"/>
                <w:sz w:val="21"/>
                <w:szCs w:val="21"/>
              </w:rPr>
            </w:pPr>
            <w:r>
              <w:rPr>
                <w:color w:val="auto"/>
                <w:kern w:val="21"/>
                <w:sz w:val="21"/>
                <w:szCs w:val="21"/>
              </w:rPr>
              <w:t>CALPUFF□</w:t>
            </w:r>
          </w:p>
        </w:tc>
        <w:tc>
          <w:tcPr>
            <w:tcW w:w="869" w:type="dxa"/>
            <w:gridSpan w:val="2"/>
            <w:vAlign w:val="center"/>
          </w:tcPr>
          <w:p>
            <w:pPr>
              <w:spacing w:line="240" w:lineRule="auto"/>
              <w:ind w:firstLine="0" w:firstLineChars="0"/>
              <w:rPr>
                <w:color w:val="auto"/>
                <w:kern w:val="21"/>
                <w:sz w:val="21"/>
                <w:szCs w:val="21"/>
              </w:rPr>
            </w:pPr>
            <w:r>
              <w:rPr>
                <w:color w:val="auto"/>
                <w:kern w:val="21"/>
                <w:sz w:val="21"/>
                <w:szCs w:val="21"/>
              </w:rPr>
              <w:t>网格模型□</w:t>
            </w:r>
          </w:p>
        </w:tc>
        <w:tc>
          <w:tcPr>
            <w:tcW w:w="786" w:type="dxa"/>
            <w:vAlign w:val="center"/>
          </w:tcPr>
          <w:p>
            <w:pPr>
              <w:spacing w:line="240" w:lineRule="auto"/>
              <w:ind w:firstLine="0" w:firstLineChars="0"/>
              <w:rPr>
                <w:color w:val="auto"/>
                <w:kern w:val="21"/>
                <w:sz w:val="21"/>
                <w:szCs w:val="21"/>
              </w:rPr>
            </w:pPr>
            <w:r>
              <w:rPr>
                <w:color w:val="auto"/>
                <w:kern w:val="21"/>
                <w:sz w:val="21"/>
                <w:szCs w:val="21"/>
              </w:rPr>
              <w:t>其他</w:t>
            </w:r>
            <w:r>
              <w:rPr>
                <w:color w:val="auto"/>
                <w:kern w:val="21"/>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rPr>
                <w:color w:val="auto"/>
                <w:kern w:val="21"/>
                <w:sz w:val="21"/>
                <w:szCs w:val="21"/>
              </w:rPr>
            </w:pPr>
            <w:r>
              <w:rPr>
                <w:color w:val="auto"/>
                <w:kern w:val="21"/>
                <w:sz w:val="21"/>
                <w:szCs w:val="21"/>
              </w:rPr>
              <w:t>预测范围</w:t>
            </w:r>
          </w:p>
        </w:tc>
        <w:tc>
          <w:tcPr>
            <w:tcW w:w="2299" w:type="dxa"/>
            <w:gridSpan w:val="2"/>
            <w:vAlign w:val="center"/>
          </w:tcPr>
          <w:p>
            <w:pPr>
              <w:spacing w:line="240" w:lineRule="auto"/>
              <w:ind w:firstLine="0" w:firstLineChars="0"/>
              <w:jc w:val="center"/>
              <w:rPr>
                <w:color w:val="auto"/>
                <w:kern w:val="21"/>
                <w:sz w:val="21"/>
                <w:szCs w:val="21"/>
              </w:rPr>
            </w:pPr>
            <w:r>
              <w:rPr>
                <w:color w:val="auto"/>
                <w:kern w:val="21"/>
                <w:sz w:val="21"/>
                <w:szCs w:val="21"/>
              </w:rPr>
              <w:t>边长≥50km</w:t>
            </w:r>
            <w:r>
              <w:rPr>
                <w:rFonts w:hint="eastAsia"/>
                <w:color w:val="auto"/>
                <w:kern w:val="21"/>
                <w:sz w:val="21"/>
                <w:szCs w:val="21"/>
              </w:rPr>
              <w:t>□</w:t>
            </w:r>
          </w:p>
        </w:tc>
        <w:tc>
          <w:tcPr>
            <w:tcW w:w="2717" w:type="dxa"/>
            <w:gridSpan w:val="5"/>
            <w:vAlign w:val="center"/>
          </w:tcPr>
          <w:p>
            <w:pPr>
              <w:spacing w:line="240" w:lineRule="auto"/>
              <w:ind w:firstLine="0" w:firstLineChars="0"/>
              <w:jc w:val="center"/>
              <w:rPr>
                <w:color w:val="auto"/>
                <w:kern w:val="21"/>
                <w:sz w:val="21"/>
                <w:szCs w:val="21"/>
              </w:rPr>
            </w:pPr>
            <w:r>
              <w:rPr>
                <w:color w:val="auto"/>
                <w:kern w:val="21"/>
                <w:sz w:val="21"/>
                <w:szCs w:val="21"/>
              </w:rPr>
              <w:t>边长5~50km□</w:t>
            </w:r>
          </w:p>
        </w:tc>
        <w:tc>
          <w:tcPr>
            <w:tcW w:w="1655" w:type="dxa"/>
            <w:gridSpan w:val="3"/>
            <w:vAlign w:val="center"/>
          </w:tcPr>
          <w:p>
            <w:pPr>
              <w:spacing w:line="240" w:lineRule="auto"/>
              <w:ind w:firstLine="0" w:firstLineChars="0"/>
              <w:jc w:val="center"/>
              <w:rPr>
                <w:color w:val="auto"/>
                <w:kern w:val="21"/>
                <w:sz w:val="21"/>
                <w:szCs w:val="21"/>
              </w:rPr>
            </w:pPr>
            <w:r>
              <w:rPr>
                <w:color w:val="auto"/>
                <w:kern w:val="21"/>
                <w:sz w:val="21"/>
                <w:szCs w:val="21"/>
              </w:rPr>
              <w:t>边长=5km</w:t>
            </w:r>
            <w:r>
              <w:rPr>
                <w:rFonts w:hint="eastAsia"/>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rPr>
                <w:color w:val="auto"/>
                <w:kern w:val="21"/>
                <w:sz w:val="21"/>
                <w:szCs w:val="21"/>
              </w:rPr>
            </w:pPr>
            <w:r>
              <w:rPr>
                <w:color w:val="auto"/>
                <w:kern w:val="21"/>
                <w:sz w:val="21"/>
                <w:szCs w:val="21"/>
              </w:rPr>
              <w:t>预测因子</w:t>
            </w:r>
          </w:p>
        </w:tc>
        <w:tc>
          <w:tcPr>
            <w:tcW w:w="3816" w:type="dxa"/>
            <w:gridSpan w:val="5"/>
            <w:vAlign w:val="center"/>
          </w:tcPr>
          <w:p>
            <w:pPr>
              <w:spacing w:line="240" w:lineRule="auto"/>
              <w:ind w:firstLine="0" w:firstLineChars="0"/>
              <w:jc w:val="center"/>
              <w:rPr>
                <w:color w:val="auto"/>
                <w:kern w:val="21"/>
                <w:sz w:val="21"/>
                <w:szCs w:val="21"/>
              </w:rPr>
            </w:pPr>
            <w:r>
              <w:rPr>
                <w:color w:val="auto"/>
                <w:kern w:val="21"/>
                <w:sz w:val="21"/>
                <w:szCs w:val="21"/>
              </w:rPr>
              <w:t>预测因子</w:t>
            </w:r>
            <w:r>
              <w:rPr>
                <w:rFonts w:hint="eastAsia"/>
                <w:color w:val="auto"/>
                <w:kern w:val="21"/>
                <w:sz w:val="21"/>
                <w:szCs w:val="21"/>
              </w:rPr>
              <w:t>（</w:t>
            </w:r>
            <w:r>
              <w:rPr>
                <w:color w:val="auto"/>
                <w:sz w:val="21"/>
                <w:szCs w:val="21"/>
              </w:rPr>
              <w:t>NH</w:t>
            </w:r>
            <w:r>
              <w:rPr>
                <w:color w:val="auto"/>
                <w:sz w:val="21"/>
                <w:szCs w:val="21"/>
                <w:vertAlign w:val="subscript"/>
              </w:rPr>
              <w:t>3</w:t>
            </w:r>
            <w:r>
              <w:rPr>
                <w:rFonts w:hint="eastAsia"/>
                <w:color w:val="auto"/>
                <w:sz w:val="21"/>
                <w:szCs w:val="21"/>
              </w:rPr>
              <w:t>、</w:t>
            </w:r>
            <w:r>
              <w:rPr>
                <w:color w:val="auto"/>
                <w:sz w:val="21"/>
                <w:szCs w:val="21"/>
              </w:rPr>
              <w:t>H</w:t>
            </w:r>
            <w:r>
              <w:rPr>
                <w:color w:val="auto"/>
                <w:sz w:val="21"/>
                <w:szCs w:val="21"/>
                <w:vertAlign w:val="subscript"/>
              </w:rPr>
              <w:t>2</w:t>
            </w:r>
            <w:r>
              <w:rPr>
                <w:color w:val="auto"/>
                <w:sz w:val="21"/>
                <w:szCs w:val="21"/>
              </w:rPr>
              <w:t>S</w:t>
            </w:r>
            <w:r>
              <w:rPr>
                <w:rFonts w:hint="eastAsia"/>
                <w:color w:val="auto"/>
                <w:kern w:val="21"/>
                <w:sz w:val="21"/>
                <w:szCs w:val="21"/>
              </w:rPr>
              <w:t>）</w:t>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包括二次PM</w:t>
            </w:r>
            <w:r>
              <w:rPr>
                <w:color w:val="auto"/>
                <w:kern w:val="21"/>
                <w:sz w:val="21"/>
                <w:szCs w:val="21"/>
                <w:vertAlign w:val="subscript"/>
              </w:rPr>
              <w:t>2.5</w:t>
            </w:r>
            <w:r>
              <w:rPr>
                <w:color w:val="auto"/>
                <w:kern w:val="21"/>
                <w:sz w:val="21"/>
                <w:szCs w:val="21"/>
              </w:rPr>
              <w:sym w:font="Wingdings 2" w:char="00A3"/>
            </w:r>
          </w:p>
          <w:p>
            <w:pPr>
              <w:spacing w:line="240" w:lineRule="auto"/>
              <w:ind w:firstLine="0" w:firstLineChars="0"/>
              <w:jc w:val="center"/>
              <w:rPr>
                <w:color w:val="auto"/>
                <w:kern w:val="21"/>
                <w:sz w:val="21"/>
                <w:szCs w:val="21"/>
              </w:rPr>
            </w:pPr>
            <w:r>
              <w:rPr>
                <w:color w:val="auto"/>
                <w:kern w:val="21"/>
                <w:sz w:val="21"/>
                <w:szCs w:val="21"/>
              </w:rPr>
              <w:t>不包括二次PM</w:t>
            </w:r>
            <w:r>
              <w:rPr>
                <w:color w:val="auto"/>
                <w:kern w:val="21"/>
                <w:sz w:val="21"/>
                <w:szCs w:val="21"/>
                <w:vertAlign w:val="subscript"/>
              </w:rPr>
              <w:t>2.5</w:t>
            </w:r>
            <w:r>
              <w:rPr>
                <w:rFonts w:hint="eastAsia"/>
                <w:color w:val="auto"/>
                <w:kern w:val="21"/>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rPr>
                <w:color w:val="auto"/>
                <w:kern w:val="21"/>
                <w:sz w:val="21"/>
                <w:szCs w:val="21"/>
              </w:rPr>
            </w:pPr>
            <w:r>
              <w:rPr>
                <w:color w:val="auto"/>
                <w:kern w:val="21"/>
                <w:sz w:val="21"/>
                <w:szCs w:val="21"/>
              </w:rPr>
              <w:t>正常排放短期浓度贡献值</w:t>
            </w:r>
          </w:p>
        </w:tc>
        <w:tc>
          <w:tcPr>
            <w:tcW w:w="3816" w:type="dxa"/>
            <w:gridSpan w:val="5"/>
            <w:vAlign w:val="center"/>
          </w:tcPr>
          <w:p>
            <w:pPr>
              <w:spacing w:line="240" w:lineRule="auto"/>
              <w:ind w:firstLine="0" w:firstLineChars="0"/>
              <w:rPr>
                <w:color w:val="auto"/>
                <w:kern w:val="21"/>
                <w:sz w:val="21"/>
                <w:szCs w:val="21"/>
              </w:rPr>
            </w:pPr>
            <w:r>
              <w:rPr>
                <w:color w:val="auto"/>
                <w:kern w:val="21"/>
                <w:sz w:val="21"/>
                <w:szCs w:val="21"/>
              </w:rPr>
              <w:t>C本项目最大占标率≤100%</w:t>
            </w:r>
            <w:r>
              <w:rPr>
                <w:rFonts w:hint="eastAsia"/>
                <w:color w:val="auto"/>
                <w:kern w:val="21"/>
                <w:sz w:val="21"/>
                <w:szCs w:val="21"/>
              </w:rPr>
              <w:sym w:font="Wingdings 2" w:char="0052"/>
            </w:r>
          </w:p>
        </w:tc>
        <w:tc>
          <w:tcPr>
            <w:tcW w:w="2855" w:type="dxa"/>
            <w:gridSpan w:val="5"/>
            <w:vAlign w:val="center"/>
          </w:tcPr>
          <w:p>
            <w:pPr>
              <w:spacing w:line="240" w:lineRule="auto"/>
              <w:ind w:firstLine="0" w:firstLineChars="0"/>
              <w:rPr>
                <w:color w:val="auto"/>
                <w:kern w:val="21"/>
                <w:sz w:val="21"/>
                <w:szCs w:val="21"/>
              </w:rPr>
            </w:pPr>
            <w:r>
              <w:rPr>
                <w:color w:val="auto"/>
                <w:kern w:val="21"/>
                <w:sz w:val="21"/>
                <w:szCs w:val="21"/>
              </w:rPr>
              <w:t>C本项目最大占标率≥100%□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Merge w:val="restart"/>
            <w:vAlign w:val="center"/>
          </w:tcPr>
          <w:p>
            <w:pPr>
              <w:spacing w:line="240" w:lineRule="auto"/>
              <w:ind w:firstLine="0" w:firstLineChars="0"/>
              <w:rPr>
                <w:color w:val="auto"/>
                <w:kern w:val="21"/>
                <w:sz w:val="21"/>
                <w:szCs w:val="21"/>
              </w:rPr>
            </w:pPr>
            <w:r>
              <w:rPr>
                <w:color w:val="auto"/>
                <w:kern w:val="21"/>
                <w:sz w:val="21"/>
                <w:szCs w:val="21"/>
              </w:rPr>
              <w:t>正常排放年均浓度贡献值</w:t>
            </w:r>
          </w:p>
        </w:tc>
        <w:tc>
          <w:tcPr>
            <w:tcW w:w="1352" w:type="dxa"/>
            <w:vAlign w:val="center"/>
          </w:tcPr>
          <w:p>
            <w:pPr>
              <w:spacing w:line="240" w:lineRule="auto"/>
              <w:ind w:firstLine="0" w:firstLineChars="0"/>
              <w:rPr>
                <w:color w:val="auto"/>
                <w:kern w:val="21"/>
                <w:sz w:val="21"/>
                <w:szCs w:val="21"/>
              </w:rPr>
            </w:pPr>
            <w:r>
              <w:rPr>
                <w:color w:val="auto"/>
                <w:kern w:val="21"/>
                <w:sz w:val="21"/>
                <w:szCs w:val="21"/>
              </w:rPr>
              <w:t>一类区</w:t>
            </w:r>
          </w:p>
        </w:tc>
        <w:tc>
          <w:tcPr>
            <w:tcW w:w="2464" w:type="dxa"/>
            <w:gridSpan w:val="4"/>
            <w:vAlign w:val="center"/>
          </w:tcPr>
          <w:p>
            <w:pPr>
              <w:spacing w:line="240" w:lineRule="auto"/>
              <w:ind w:firstLine="0" w:firstLineChars="0"/>
              <w:rPr>
                <w:color w:val="auto"/>
                <w:kern w:val="21"/>
                <w:sz w:val="21"/>
                <w:szCs w:val="21"/>
              </w:rPr>
            </w:pPr>
            <w:r>
              <w:rPr>
                <w:color w:val="auto"/>
                <w:kern w:val="21"/>
                <w:sz w:val="21"/>
                <w:szCs w:val="21"/>
              </w:rPr>
              <w:t>C本项目最大占标率≤10%□</w:t>
            </w:r>
          </w:p>
        </w:tc>
        <w:tc>
          <w:tcPr>
            <w:tcW w:w="2855" w:type="dxa"/>
            <w:gridSpan w:val="5"/>
            <w:vAlign w:val="center"/>
          </w:tcPr>
          <w:p>
            <w:pPr>
              <w:spacing w:line="240" w:lineRule="auto"/>
              <w:ind w:firstLine="0" w:firstLineChars="0"/>
              <w:rPr>
                <w:color w:val="auto"/>
                <w:kern w:val="21"/>
                <w:sz w:val="21"/>
                <w:szCs w:val="21"/>
              </w:rPr>
            </w:pPr>
            <w:r>
              <w:rPr>
                <w:color w:val="auto"/>
                <w:kern w:val="21"/>
                <w:sz w:val="21"/>
                <w:szCs w:val="21"/>
              </w:rPr>
              <w:t>C本项目最大占标率＞10%□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Merge w:val="continue"/>
            <w:vAlign w:val="center"/>
          </w:tcPr>
          <w:p>
            <w:pPr>
              <w:spacing w:line="240" w:lineRule="auto"/>
              <w:ind w:firstLine="0" w:firstLineChars="0"/>
              <w:jc w:val="center"/>
              <w:rPr>
                <w:color w:val="auto"/>
                <w:kern w:val="21"/>
                <w:sz w:val="21"/>
                <w:szCs w:val="21"/>
              </w:rPr>
            </w:pPr>
          </w:p>
        </w:tc>
        <w:tc>
          <w:tcPr>
            <w:tcW w:w="1352" w:type="dxa"/>
            <w:vAlign w:val="center"/>
          </w:tcPr>
          <w:p>
            <w:pPr>
              <w:spacing w:line="240" w:lineRule="auto"/>
              <w:ind w:firstLine="0" w:firstLineChars="0"/>
              <w:rPr>
                <w:color w:val="auto"/>
                <w:kern w:val="21"/>
                <w:sz w:val="21"/>
                <w:szCs w:val="21"/>
              </w:rPr>
            </w:pPr>
            <w:r>
              <w:rPr>
                <w:color w:val="auto"/>
                <w:kern w:val="21"/>
                <w:sz w:val="21"/>
                <w:szCs w:val="21"/>
              </w:rPr>
              <w:t>二类区</w:t>
            </w:r>
          </w:p>
        </w:tc>
        <w:tc>
          <w:tcPr>
            <w:tcW w:w="2464" w:type="dxa"/>
            <w:gridSpan w:val="4"/>
            <w:vAlign w:val="center"/>
          </w:tcPr>
          <w:p>
            <w:pPr>
              <w:spacing w:line="240" w:lineRule="auto"/>
              <w:ind w:firstLine="0" w:firstLineChars="0"/>
              <w:rPr>
                <w:color w:val="auto"/>
                <w:kern w:val="21"/>
                <w:sz w:val="21"/>
                <w:szCs w:val="21"/>
              </w:rPr>
            </w:pPr>
            <w:r>
              <w:rPr>
                <w:color w:val="auto"/>
                <w:kern w:val="21"/>
                <w:sz w:val="21"/>
                <w:szCs w:val="21"/>
              </w:rPr>
              <w:t>C本项目最大占标率≤30%</w:t>
            </w:r>
            <w:r>
              <w:rPr>
                <w:rFonts w:hint="eastAsia"/>
                <w:color w:val="auto"/>
                <w:kern w:val="21"/>
                <w:sz w:val="21"/>
                <w:szCs w:val="21"/>
              </w:rPr>
              <w:t>□</w:t>
            </w:r>
          </w:p>
        </w:tc>
        <w:tc>
          <w:tcPr>
            <w:tcW w:w="2855" w:type="dxa"/>
            <w:gridSpan w:val="5"/>
            <w:vAlign w:val="center"/>
          </w:tcPr>
          <w:p>
            <w:pPr>
              <w:spacing w:line="240" w:lineRule="auto"/>
              <w:ind w:firstLine="0" w:firstLineChars="0"/>
              <w:rPr>
                <w:color w:val="auto"/>
                <w:kern w:val="21"/>
                <w:sz w:val="21"/>
                <w:szCs w:val="21"/>
              </w:rPr>
            </w:pPr>
            <w:r>
              <w:rPr>
                <w:color w:val="auto"/>
                <w:kern w:val="21"/>
                <w:sz w:val="21"/>
                <w:szCs w:val="21"/>
              </w:rPr>
              <w:t>C本项目最大占标率＞30%□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rPr>
                <w:color w:val="auto"/>
                <w:kern w:val="21"/>
                <w:sz w:val="21"/>
                <w:szCs w:val="21"/>
              </w:rPr>
            </w:pPr>
            <w:r>
              <w:rPr>
                <w:color w:val="auto"/>
                <w:kern w:val="21"/>
                <w:sz w:val="21"/>
                <w:szCs w:val="21"/>
              </w:rPr>
              <w:t>非正常排放1h浓度贡献值</w:t>
            </w:r>
          </w:p>
        </w:tc>
        <w:tc>
          <w:tcPr>
            <w:tcW w:w="1352" w:type="dxa"/>
            <w:vAlign w:val="center"/>
          </w:tcPr>
          <w:p>
            <w:pPr>
              <w:spacing w:line="240" w:lineRule="auto"/>
              <w:ind w:firstLine="0" w:firstLineChars="0"/>
              <w:rPr>
                <w:color w:val="auto"/>
                <w:kern w:val="21"/>
                <w:sz w:val="21"/>
                <w:szCs w:val="21"/>
              </w:rPr>
            </w:pPr>
            <w:r>
              <w:rPr>
                <w:color w:val="auto"/>
                <w:kern w:val="21"/>
                <w:sz w:val="21"/>
                <w:szCs w:val="21"/>
              </w:rPr>
              <w:t>非正常持续时长</w:t>
            </w:r>
            <w:r>
              <w:rPr>
                <w:rFonts w:hint="eastAsia"/>
                <w:color w:val="auto"/>
                <w:kern w:val="21"/>
                <w:sz w:val="21"/>
                <w:szCs w:val="21"/>
              </w:rPr>
              <w:t>（1）</w:t>
            </w:r>
            <w:r>
              <w:rPr>
                <w:color w:val="auto"/>
                <w:kern w:val="21"/>
                <w:sz w:val="21"/>
                <w:szCs w:val="21"/>
              </w:rPr>
              <w:t>h</w:t>
            </w:r>
          </w:p>
        </w:tc>
        <w:tc>
          <w:tcPr>
            <w:tcW w:w="2464" w:type="dxa"/>
            <w:gridSpan w:val="4"/>
            <w:vAlign w:val="center"/>
          </w:tcPr>
          <w:p>
            <w:pPr>
              <w:spacing w:line="240" w:lineRule="auto"/>
              <w:ind w:firstLine="0" w:firstLineChars="0"/>
              <w:rPr>
                <w:color w:val="auto"/>
                <w:kern w:val="21"/>
                <w:sz w:val="21"/>
                <w:szCs w:val="21"/>
              </w:rPr>
            </w:pPr>
            <w:r>
              <w:rPr>
                <w:color w:val="auto"/>
                <w:kern w:val="21"/>
                <w:sz w:val="21"/>
                <w:szCs w:val="21"/>
              </w:rPr>
              <w:t>C非正常占标率≤100%</w:t>
            </w:r>
            <w:r>
              <w:rPr>
                <w:rFonts w:hint="eastAsia"/>
                <w:color w:val="auto"/>
                <w:kern w:val="21"/>
                <w:sz w:val="21"/>
                <w:szCs w:val="21"/>
              </w:rPr>
              <w:sym w:font="Wingdings 2" w:char="0052"/>
            </w:r>
          </w:p>
        </w:tc>
        <w:tc>
          <w:tcPr>
            <w:tcW w:w="2855" w:type="dxa"/>
            <w:gridSpan w:val="5"/>
            <w:vAlign w:val="center"/>
          </w:tcPr>
          <w:p>
            <w:pPr>
              <w:spacing w:line="240" w:lineRule="auto"/>
              <w:ind w:firstLine="0" w:firstLineChars="0"/>
              <w:rPr>
                <w:color w:val="auto"/>
                <w:kern w:val="21"/>
                <w:sz w:val="21"/>
                <w:szCs w:val="21"/>
              </w:rPr>
            </w:pPr>
            <w:r>
              <w:rPr>
                <w:color w:val="auto"/>
                <w:kern w:val="21"/>
                <w:sz w:val="21"/>
                <w:szCs w:val="21"/>
              </w:rPr>
              <w:t>C非正常占标率＞100%□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rPr>
                <w:color w:val="auto"/>
                <w:kern w:val="21"/>
                <w:sz w:val="21"/>
                <w:szCs w:val="21"/>
              </w:rPr>
            </w:pPr>
            <w:r>
              <w:rPr>
                <w:color w:val="auto"/>
                <w:kern w:val="21"/>
                <w:sz w:val="21"/>
                <w:szCs w:val="21"/>
              </w:rPr>
              <w:t>保证率日平均浓度和年平均浓度叠加值</w:t>
            </w:r>
          </w:p>
        </w:tc>
        <w:tc>
          <w:tcPr>
            <w:tcW w:w="3816" w:type="dxa"/>
            <w:gridSpan w:val="5"/>
            <w:vAlign w:val="center"/>
          </w:tcPr>
          <w:p>
            <w:pPr>
              <w:spacing w:line="240" w:lineRule="auto"/>
              <w:ind w:firstLine="0" w:firstLineChars="0"/>
              <w:jc w:val="center"/>
              <w:rPr>
                <w:color w:val="auto"/>
                <w:kern w:val="21"/>
                <w:sz w:val="21"/>
                <w:szCs w:val="21"/>
              </w:rPr>
            </w:pPr>
            <w:r>
              <w:rPr>
                <w:color w:val="auto"/>
                <w:kern w:val="21"/>
                <w:sz w:val="21"/>
                <w:szCs w:val="21"/>
              </w:rPr>
              <w:t>C叠加达标</w:t>
            </w:r>
            <w:r>
              <w:rPr>
                <w:rFonts w:hint="eastAsia"/>
                <w:color w:val="auto"/>
                <w:kern w:val="21"/>
                <w:sz w:val="21"/>
                <w:szCs w:val="21"/>
              </w:rPr>
              <w:t>□</w:t>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rPr>
                <w:color w:val="auto"/>
                <w:kern w:val="21"/>
                <w:sz w:val="21"/>
                <w:szCs w:val="21"/>
              </w:rPr>
            </w:pPr>
            <w:r>
              <w:rPr>
                <w:color w:val="auto"/>
                <w:kern w:val="21"/>
                <w:sz w:val="21"/>
                <w:szCs w:val="21"/>
              </w:rPr>
              <w:t>区域环境质量的整体变化情况</w:t>
            </w:r>
          </w:p>
        </w:tc>
        <w:tc>
          <w:tcPr>
            <w:tcW w:w="3816" w:type="dxa"/>
            <w:gridSpan w:val="5"/>
            <w:vAlign w:val="center"/>
          </w:tcPr>
          <w:p>
            <w:pPr>
              <w:spacing w:line="240" w:lineRule="auto"/>
              <w:ind w:firstLine="0" w:firstLineChars="0"/>
              <w:jc w:val="center"/>
              <w:rPr>
                <w:color w:val="auto"/>
                <w:kern w:val="21"/>
                <w:sz w:val="21"/>
                <w:szCs w:val="21"/>
              </w:rPr>
            </w:pPr>
            <w:r>
              <w:rPr>
                <w:color w:val="auto"/>
                <w:kern w:val="21"/>
                <w:sz w:val="21"/>
                <w:szCs w:val="21"/>
              </w:rPr>
              <w:t>k≤-20%</w:t>
            </w:r>
            <w:r>
              <w:rPr>
                <w:rFonts w:hint="eastAsia"/>
                <w:color w:val="auto"/>
                <w:kern w:val="21"/>
                <w:sz w:val="21"/>
                <w:szCs w:val="21"/>
              </w:rPr>
              <w:t>□</w:t>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rPr>
                <w:color w:val="auto"/>
                <w:kern w:val="21"/>
                <w:sz w:val="21"/>
                <w:szCs w:val="21"/>
              </w:rPr>
            </w:pPr>
            <w:r>
              <w:rPr>
                <w:color w:val="auto"/>
                <w:kern w:val="21"/>
                <w:sz w:val="21"/>
                <w:szCs w:val="21"/>
              </w:rPr>
              <w:t>环境监测计划</w:t>
            </w: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污染源监测</w:t>
            </w:r>
          </w:p>
        </w:tc>
        <w:tc>
          <w:tcPr>
            <w:tcW w:w="1352" w:type="dxa"/>
            <w:vAlign w:val="center"/>
          </w:tcPr>
          <w:p>
            <w:pPr>
              <w:spacing w:line="240" w:lineRule="auto"/>
              <w:ind w:firstLine="0" w:firstLineChars="0"/>
              <w:jc w:val="center"/>
              <w:rPr>
                <w:color w:val="auto"/>
                <w:kern w:val="21"/>
                <w:sz w:val="21"/>
                <w:szCs w:val="21"/>
              </w:rPr>
            </w:pPr>
            <w:r>
              <w:rPr>
                <w:color w:val="auto"/>
                <w:kern w:val="21"/>
                <w:sz w:val="21"/>
                <w:szCs w:val="21"/>
              </w:rPr>
              <w:t>监测因子：</w:t>
            </w:r>
            <w:r>
              <w:rPr>
                <w:rFonts w:hint="eastAsia"/>
                <w:color w:val="auto"/>
                <w:kern w:val="21"/>
                <w:sz w:val="21"/>
                <w:szCs w:val="21"/>
              </w:rPr>
              <w:t>（</w:t>
            </w:r>
            <w:r>
              <w:rPr>
                <w:color w:val="auto"/>
                <w:sz w:val="21"/>
                <w:szCs w:val="21"/>
              </w:rPr>
              <w:t>NH</w:t>
            </w:r>
            <w:r>
              <w:rPr>
                <w:color w:val="auto"/>
                <w:sz w:val="21"/>
                <w:szCs w:val="21"/>
                <w:vertAlign w:val="subscript"/>
              </w:rPr>
              <w:t>3</w:t>
            </w:r>
            <w:r>
              <w:rPr>
                <w:rFonts w:hint="eastAsia"/>
                <w:color w:val="auto"/>
                <w:sz w:val="21"/>
                <w:szCs w:val="21"/>
              </w:rPr>
              <w:t>、</w:t>
            </w:r>
            <w:r>
              <w:rPr>
                <w:color w:val="auto"/>
                <w:sz w:val="21"/>
                <w:szCs w:val="21"/>
              </w:rPr>
              <w:t>H</w:t>
            </w:r>
            <w:r>
              <w:rPr>
                <w:color w:val="auto"/>
                <w:sz w:val="21"/>
                <w:szCs w:val="21"/>
                <w:vertAlign w:val="subscript"/>
              </w:rPr>
              <w:t>2</w:t>
            </w:r>
            <w:r>
              <w:rPr>
                <w:color w:val="auto"/>
                <w:sz w:val="21"/>
                <w:szCs w:val="21"/>
              </w:rPr>
              <w:t>S</w:t>
            </w:r>
            <w:r>
              <w:rPr>
                <w:rFonts w:hint="eastAsia"/>
                <w:color w:val="auto"/>
                <w:kern w:val="21"/>
                <w:sz w:val="21"/>
                <w:szCs w:val="21"/>
                <w:lang w:eastAsia="zh-CN"/>
              </w:rPr>
              <w:t>、臭气浓度</w:t>
            </w:r>
            <w:r>
              <w:rPr>
                <w:rFonts w:hint="eastAsia"/>
                <w:color w:val="auto"/>
                <w:kern w:val="21"/>
                <w:sz w:val="21"/>
                <w:szCs w:val="21"/>
              </w:rPr>
              <w:t>）</w:t>
            </w:r>
          </w:p>
        </w:tc>
        <w:tc>
          <w:tcPr>
            <w:tcW w:w="2464" w:type="dxa"/>
            <w:gridSpan w:val="4"/>
            <w:vAlign w:val="center"/>
          </w:tcPr>
          <w:p>
            <w:pPr>
              <w:spacing w:line="240" w:lineRule="auto"/>
              <w:ind w:firstLine="0" w:firstLineChars="0"/>
              <w:jc w:val="center"/>
              <w:rPr>
                <w:color w:val="auto"/>
                <w:kern w:val="21"/>
                <w:sz w:val="21"/>
                <w:szCs w:val="21"/>
              </w:rPr>
            </w:pPr>
            <w:r>
              <w:rPr>
                <w:color w:val="auto"/>
                <w:kern w:val="21"/>
                <w:sz w:val="21"/>
                <w:szCs w:val="21"/>
              </w:rPr>
              <w:t>有组织废气监测</w:t>
            </w:r>
            <w:r>
              <w:rPr>
                <w:rFonts w:hint="eastAsia"/>
                <w:color w:val="auto"/>
                <w:kern w:val="21"/>
                <w:sz w:val="21"/>
                <w:szCs w:val="21"/>
              </w:rPr>
              <w:sym w:font="Wingdings 2" w:char="0052"/>
            </w:r>
          </w:p>
          <w:p>
            <w:pPr>
              <w:spacing w:line="240" w:lineRule="auto"/>
              <w:ind w:firstLine="0" w:firstLineChars="0"/>
              <w:jc w:val="center"/>
              <w:rPr>
                <w:color w:val="auto"/>
                <w:kern w:val="21"/>
                <w:sz w:val="21"/>
                <w:szCs w:val="21"/>
              </w:rPr>
            </w:pPr>
            <w:r>
              <w:rPr>
                <w:color w:val="auto"/>
                <w:kern w:val="21"/>
                <w:sz w:val="21"/>
                <w:szCs w:val="21"/>
              </w:rPr>
              <w:t>无组织废气监测</w:t>
            </w:r>
            <w:r>
              <w:rPr>
                <w:rFonts w:hint="eastAsia"/>
                <w:color w:val="auto"/>
                <w:kern w:val="21"/>
                <w:sz w:val="21"/>
                <w:szCs w:val="21"/>
              </w:rPr>
              <w:sym w:font="Wingdings 2" w:char="0052"/>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环境质量监测</w:t>
            </w:r>
          </w:p>
        </w:tc>
        <w:tc>
          <w:tcPr>
            <w:tcW w:w="2299" w:type="dxa"/>
            <w:gridSpan w:val="2"/>
            <w:vAlign w:val="center"/>
          </w:tcPr>
          <w:p>
            <w:pPr>
              <w:spacing w:line="240" w:lineRule="auto"/>
              <w:ind w:firstLine="0" w:firstLineChars="0"/>
              <w:jc w:val="center"/>
              <w:rPr>
                <w:color w:val="auto"/>
                <w:kern w:val="21"/>
                <w:sz w:val="21"/>
                <w:szCs w:val="21"/>
              </w:rPr>
            </w:pPr>
            <w:r>
              <w:rPr>
                <w:color w:val="auto"/>
                <w:kern w:val="21"/>
                <w:sz w:val="21"/>
                <w:szCs w:val="21"/>
              </w:rPr>
              <w:t>监测因子：</w:t>
            </w:r>
            <w:r>
              <w:rPr>
                <w:rFonts w:hint="eastAsia"/>
                <w:color w:val="auto"/>
                <w:kern w:val="21"/>
                <w:sz w:val="21"/>
                <w:szCs w:val="21"/>
              </w:rPr>
              <w:t>（</w:t>
            </w:r>
            <w:r>
              <w:rPr>
                <w:color w:val="auto"/>
                <w:sz w:val="21"/>
                <w:szCs w:val="21"/>
              </w:rPr>
              <w:t>NH</w:t>
            </w:r>
            <w:r>
              <w:rPr>
                <w:color w:val="auto"/>
                <w:sz w:val="21"/>
                <w:szCs w:val="21"/>
                <w:vertAlign w:val="subscript"/>
              </w:rPr>
              <w:t>3</w:t>
            </w:r>
            <w:r>
              <w:rPr>
                <w:rFonts w:hint="eastAsia"/>
                <w:color w:val="auto"/>
                <w:sz w:val="21"/>
                <w:szCs w:val="21"/>
              </w:rPr>
              <w:t>、</w:t>
            </w:r>
            <w:r>
              <w:rPr>
                <w:color w:val="auto"/>
                <w:sz w:val="21"/>
                <w:szCs w:val="21"/>
              </w:rPr>
              <w:t>H</w:t>
            </w:r>
            <w:r>
              <w:rPr>
                <w:color w:val="auto"/>
                <w:sz w:val="21"/>
                <w:szCs w:val="21"/>
                <w:vertAlign w:val="subscript"/>
              </w:rPr>
              <w:t>2</w:t>
            </w:r>
            <w:r>
              <w:rPr>
                <w:color w:val="auto"/>
                <w:sz w:val="21"/>
                <w:szCs w:val="21"/>
              </w:rPr>
              <w:t>S</w:t>
            </w:r>
            <w:r>
              <w:rPr>
                <w:rFonts w:hint="eastAsia"/>
                <w:color w:val="auto"/>
                <w:kern w:val="21"/>
                <w:sz w:val="21"/>
                <w:szCs w:val="21"/>
              </w:rPr>
              <w:t>）</w:t>
            </w:r>
          </w:p>
        </w:tc>
        <w:tc>
          <w:tcPr>
            <w:tcW w:w="1517" w:type="dxa"/>
            <w:gridSpan w:val="3"/>
            <w:vAlign w:val="center"/>
          </w:tcPr>
          <w:p>
            <w:pPr>
              <w:spacing w:line="240" w:lineRule="auto"/>
              <w:ind w:firstLine="0" w:firstLineChars="0"/>
              <w:jc w:val="center"/>
              <w:rPr>
                <w:color w:val="auto"/>
                <w:kern w:val="21"/>
                <w:sz w:val="21"/>
                <w:szCs w:val="21"/>
              </w:rPr>
            </w:pPr>
            <w:r>
              <w:rPr>
                <w:color w:val="auto"/>
                <w:kern w:val="21"/>
                <w:sz w:val="21"/>
                <w:szCs w:val="21"/>
              </w:rPr>
              <w:t>监测点位数</w:t>
            </w:r>
            <w:r>
              <w:rPr>
                <w:rFonts w:hint="eastAsia"/>
                <w:color w:val="auto"/>
                <w:kern w:val="21"/>
                <w:sz w:val="21"/>
                <w:szCs w:val="21"/>
              </w:rPr>
              <w:t>（</w:t>
            </w:r>
            <w:r>
              <w:rPr>
                <w:rFonts w:hint="eastAsia"/>
                <w:color w:val="auto"/>
                <w:kern w:val="21"/>
                <w:sz w:val="21"/>
                <w:szCs w:val="21"/>
                <w:lang w:val="en-US" w:eastAsia="zh-CN"/>
              </w:rPr>
              <w:t>1</w:t>
            </w:r>
            <w:r>
              <w:rPr>
                <w:rFonts w:hint="eastAsia"/>
                <w:color w:val="auto"/>
                <w:kern w:val="21"/>
                <w:sz w:val="21"/>
                <w:szCs w:val="21"/>
              </w:rPr>
              <w:t>）</w:t>
            </w:r>
          </w:p>
        </w:tc>
        <w:tc>
          <w:tcPr>
            <w:tcW w:w="2855" w:type="dxa"/>
            <w:gridSpan w:val="5"/>
            <w:vAlign w:val="center"/>
          </w:tcPr>
          <w:p>
            <w:pPr>
              <w:spacing w:line="240" w:lineRule="auto"/>
              <w:ind w:firstLine="0" w:firstLineChars="0"/>
              <w:jc w:val="center"/>
              <w:rPr>
                <w:color w:val="auto"/>
                <w:kern w:val="21"/>
                <w:sz w:val="21"/>
                <w:szCs w:val="21"/>
              </w:rPr>
            </w:pPr>
            <w:r>
              <w:rPr>
                <w:color w:val="auto"/>
                <w:kern w:val="21"/>
                <w:sz w:val="21"/>
                <w:szCs w:val="21"/>
              </w:rPr>
              <w:t>无监测</w:t>
            </w:r>
            <w:r>
              <w:rPr>
                <w:rFonts w:hint="eastAsia"/>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vAlign w:val="center"/>
          </w:tcPr>
          <w:p>
            <w:pPr>
              <w:spacing w:line="240" w:lineRule="auto"/>
              <w:ind w:firstLine="0" w:firstLineChars="0"/>
              <w:rPr>
                <w:color w:val="auto"/>
                <w:kern w:val="21"/>
                <w:sz w:val="21"/>
                <w:szCs w:val="21"/>
              </w:rPr>
            </w:pPr>
            <w:r>
              <w:rPr>
                <w:color w:val="auto"/>
                <w:kern w:val="21"/>
                <w:sz w:val="21"/>
                <w:szCs w:val="21"/>
              </w:rPr>
              <w:t>评价结论</w:t>
            </w: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环境影响</w:t>
            </w:r>
          </w:p>
        </w:tc>
        <w:tc>
          <w:tcPr>
            <w:tcW w:w="6671" w:type="dxa"/>
            <w:gridSpan w:val="10"/>
            <w:vAlign w:val="center"/>
          </w:tcPr>
          <w:p>
            <w:pPr>
              <w:spacing w:line="240" w:lineRule="auto"/>
              <w:ind w:firstLine="0" w:firstLineChars="0"/>
              <w:jc w:val="center"/>
              <w:rPr>
                <w:color w:val="auto"/>
                <w:kern w:val="21"/>
                <w:sz w:val="21"/>
                <w:szCs w:val="21"/>
              </w:rPr>
            </w:pPr>
            <w:r>
              <w:rPr>
                <w:color w:val="auto"/>
                <w:kern w:val="21"/>
                <w:sz w:val="21"/>
                <w:szCs w:val="21"/>
              </w:rPr>
              <w:t>可以接受</w:t>
            </w:r>
            <w:r>
              <w:rPr>
                <w:rFonts w:hint="eastAsia"/>
                <w:color w:val="auto"/>
                <w:kern w:val="21"/>
                <w:sz w:val="21"/>
                <w:szCs w:val="21"/>
              </w:rPr>
              <w:sym w:font="Wingdings 2" w:char="0052"/>
            </w:r>
            <w:r>
              <w:rPr>
                <w:color w:val="auto"/>
                <w:kern w:val="21"/>
                <w:sz w:val="21"/>
                <w:szCs w:val="21"/>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jc w:val="center"/>
              <w:rPr>
                <w:color w:val="auto"/>
                <w:kern w:val="21"/>
                <w:sz w:val="21"/>
                <w:szCs w:val="21"/>
              </w:rPr>
            </w:pPr>
            <w:r>
              <w:rPr>
                <w:color w:val="auto"/>
                <w:kern w:val="21"/>
                <w:sz w:val="21"/>
                <w:szCs w:val="21"/>
              </w:rPr>
              <w:t>大气环境防护距离</w:t>
            </w:r>
          </w:p>
        </w:tc>
        <w:tc>
          <w:tcPr>
            <w:tcW w:w="6671" w:type="dxa"/>
            <w:gridSpan w:val="10"/>
            <w:vAlign w:val="center"/>
          </w:tcPr>
          <w:p>
            <w:pPr>
              <w:spacing w:line="240" w:lineRule="auto"/>
              <w:ind w:firstLine="0" w:firstLineChars="0"/>
              <w:rPr>
                <w:color w:val="auto"/>
                <w:kern w:val="21"/>
                <w:sz w:val="21"/>
                <w:szCs w:val="21"/>
              </w:rPr>
            </w:pPr>
            <w:r>
              <w:rPr>
                <w:rFonts w:hint="eastAsia"/>
                <w:color w:val="auto"/>
                <w:kern w:val="21"/>
                <w:sz w:val="21"/>
                <w:szCs w:val="21"/>
                <w:lang w:eastAsia="zh-CN"/>
              </w:rPr>
              <w:t>根据无组织厂界预测浓度，项目</w:t>
            </w:r>
            <w:r>
              <w:rPr>
                <w:color w:val="auto"/>
                <w:kern w:val="21"/>
                <w:sz w:val="21"/>
                <w:szCs w:val="21"/>
              </w:rPr>
              <w:t>无需设大气环境防护距离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vAlign w:val="center"/>
          </w:tcPr>
          <w:p>
            <w:pPr>
              <w:spacing w:line="240" w:lineRule="auto"/>
              <w:ind w:firstLine="0" w:firstLineChars="0"/>
              <w:jc w:val="center"/>
              <w:rPr>
                <w:color w:val="auto"/>
                <w:kern w:val="21"/>
                <w:sz w:val="21"/>
                <w:szCs w:val="21"/>
              </w:rPr>
            </w:pPr>
          </w:p>
        </w:tc>
        <w:tc>
          <w:tcPr>
            <w:tcW w:w="1751" w:type="dxa"/>
            <w:vAlign w:val="center"/>
          </w:tcPr>
          <w:p>
            <w:pPr>
              <w:spacing w:line="240" w:lineRule="auto"/>
              <w:ind w:firstLine="0" w:firstLineChars="0"/>
              <w:rPr>
                <w:color w:val="auto"/>
                <w:kern w:val="21"/>
                <w:sz w:val="21"/>
                <w:szCs w:val="21"/>
              </w:rPr>
            </w:pPr>
            <w:r>
              <w:rPr>
                <w:color w:val="auto"/>
                <w:kern w:val="21"/>
                <w:sz w:val="21"/>
                <w:szCs w:val="21"/>
              </w:rPr>
              <w:t>污染源年排放量</w:t>
            </w:r>
          </w:p>
        </w:tc>
        <w:tc>
          <w:tcPr>
            <w:tcW w:w="1352" w:type="dxa"/>
            <w:vAlign w:val="center"/>
          </w:tcPr>
          <w:p>
            <w:pPr>
              <w:spacing w:line="240" w:lineRule="auto"/>
              <w:ind w:firstLine="0" w:firstLineChars="0"/>
              <w:jc w:val="center"/>
              <w:rPr>
                <w:color w:val="auto"/>
                <w:kern w:val="21"/>
                <w:sz w:val="21"/>
                <w:szCs w:val="21"/>
              </w:rPr>
            </w:pPr>
            <w:r>
              <w:rPr>
                <w:color w:val="auto"/>
                <w:kern w:val="21"/>
                <w:sz w:val="21"/>
                <w:szCs w:val="21"/>
              </w:rPr>
              <w:t>SO</w:t>
            </w:r>
            <w:r>
              <w:rPr>
                <w:color w:val="auto"/>
                <w:kern w:val="21"/>
                <w:sz w:val="21"/>
                <w:szCs w:val="21"/>
                <w:vertAlign w:val="subscript"/>
              </w:rPr>
              <w:t>2</w:t>
            </w:r>
            <w:r>
              <w:rPr>
                <w:color w:val="auto"/>
                <w:kern w:val="21"/>
                <w:sz w:val="21"/>
                <w:szCs w:val="21"/>
              </w:rPr>
              <w:t>：</w:t>
            </w:r>
            <w:r>
              <w:rPr>
                <w:rFonts w:hint="eastAsia"/>
                <w:color w:val="auto"/>
                <w:kern w:val="21"/>
                <w:sz w:val="21"/>
                <w:szCs w:val="21"/>
              </w:rPr>
              <w:t>（0）</w:t>
            </w:r>
            <w:r>
              <w:rPr>
                <w:color w:val="auto"/>
                <w:kern w:val="21"/>
                <w:sz w:val="21"/>
                <w:szCs w:val="21"/>
              </w:rPr>
              <w:t>t/a</w:t>
            </w:r>
          </w:p>
        </w:tc>
        <w:tc>
          <w:tcPr>
            <w:tcW w:w="1609" w:type="dxa"/>
            <w:gridSpan w:val="2"/>
            <w:vAlign w:val="center"/>
          </w:tcPr>
          <w:p>
            <w:pPr>
              <w:spacing w:line="240" w:lineRule="auto"/>
              <w:ind w:firstLine="0" w:firstLineChars="0"/>
              <w:jc w:val="center"/>
              <w:rPr>
                <w:color w:val="auto"/>
                <w:kern w:val="21"/>
                <w:sz w:val="21"/>
                <w:szCs w:val="21"/>
              </w:rPr>
            </w:pPr>
            <w:r>
              <w:rPr>
                <w:color w:val="auto"/>
                <w:kern w:val="21"/>
                <w:sz w:val="21"/>
                <w:szCs w:val="21"/>
              </w:rPr>
              <w:t>NO</w:t>
            </w:r>
            <w:r>
              <w:rPr>
                <w:color w:val="auto"/>
                <w:kern w:val="21"/>
                <w:sz w:val="21"/>
                <w:szCs w:val="21"/>
                <w:vertAlign w:val="subscript"/>
              </w:rPr>
              <w:t>x</w:t>
            </w:r>
            <w:r>
              <w:rPr>
                <w:color w:val="auto"/>
                <w:kern w:val="21"/>
                <w:sz w:val="21"/>
                <w:szCs w:val="21"/>
              </w:rPr>
              <w:t>：</w:t>
            </w:r>
            <w:r>
              <w:rPr>
                <w:rFonts w:hint="eastAsia"/>
                <w:color w:val="auto"/>
                <w:kern w:val="21"/>
                <w:sz w:val="21"/>
                <w:szCs w:val="21"/>
              </w:rPr>
              <w:t>（0）</w:t>
            </w:r>
            <w:r>
              <w:rPr>
                <w:color w:val="auto"/>
                <w:kern w:val="21"/>
                <w:sz w:val="21"/>
                <w:szCs w:val="21"/>
              </w:rPr>
              <w:t>t/a</w:t>
            </w:r>
          </w:p>
        </w:tc>
        <w:tc>
          <w:tcPr>
            <w:tcW w:w="1680" w:type="dxa"/>
            <w:gridSpan w:val="3"/>
            <w:vAlign w:val="center"/>
          </w:tcPr>
          <w:p>
            <w:pPr>
              <w:spacing w:line="240" w:lineRule="auto"/>
              <w:ind w:firstLine="0" w:firstLineChars="0"/>
              <w:rPr>
                <w:color w:val="auto"/>
                <w:kern w:val="21"/>
                <w:sz w:val="21"/>
                <w:szCs w:val="21"/>
              </w:rPr>
            </w:pPr>
            <w:r>
              <w:rPr>
                <w:color w:val="auto"/>
                <w:kern w:val="21"/>
                <w:sz w:val="21"/>
                <w:szCs w:val="21"/>
              </w:rPr>
              <w:t>颗粒物：</w:t>
            </w:r>
            <w:r>
              <w:rPr>
                <w:rFonts w:hint="eastAsia"/>
                <w:color w:val="auto"/>
                <w:kern w:val="21"/>
                <w:sz w:val="21"/>
                <w:szCs w:val="21"/>
              </w:rPr>
              <w:t>（0）</w:t>
            </w:r>
            <w:r>
              <w:rPr>
                <w:color w:val="auto"/>
                <w:kern w:val="21"/>
                <w:sz w:val="21"/>
                <w:szCs w:val="21"/>
              </w:rPr>
              <w:t>t/a</w:t>
            </w:r>
          </w:p>
        </w:tc>
        <w:tc>
          <w:tcPr>
            <w:tcW w:w="2030" w:type="dxa"/>
            <w:gridSpan w:val="4"/>
            <w:vAlign w:val="center"/>
          </w:tcPr>
          <w:p>
            <w:pPr>
              <w:spacing w:line="240" w:lineRule="auto"/>
              <w:ind w:firstLine="0" w:firstLineChars="0"/>
              <w:rPr>
                <w:color w:val="auto"/>
                <w:kern w:val="21"/>
                <w:sz w:val="21"/>
                <w:szCs w:val="21"/>
              </w:rPr>
            </w:pPr>
            <w:r>
              <w:rPr>
                <w:color w:val="auto"/>
                <w:kern w:val="21"/>
                <w:sz w:val="21"/>
                <w:szCs w:val="21"/>
              </w:rPr>
              <w:t>VOCs：</w:t>
            </w:r>
            <w:r>
              <w:rPr>
                <w:rFonts w:hint="eastAsia"/>
                <w:color w:val="auto"/>
                <w:kern w:val="21"/>
                <w:sz w:val="21"/>
                <w:szCs w:val="21"/>
              </w:rPr>
              <w:t>（0）</w:t>
            </w:r>
            <w:r>
              <w:rPr>
                <w:color w:val="auto"/>
                <w:kern w:val="2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6" w:type="dxa"/>
            <w:gridSpan w:val="12"/>
            <w:vAlign w:val="center"/>
          </w:tcPr>
          <w:p>
            <w:pPr>
              <w:spacing w:line="240" w:lineRule="auto"/>
              <w:ind w:firstLine="0" w:firstLineChars="0"/>
              <w:jc w:val="center"/>
              <w:rPr>
                <w:color w:val="auto"/>
                <w:kern w:val="21"/>
                <w:sz w:val="21"/>
                <w:szCs w:val="21"/>
              </w:rPr>
            </w:pPr>
            <w:r>
              <w:rPr>
                <w:color w:val="auto"/>
                <w:kern w:val="21"/>
                <w:sz w:val="21"/>
                <w:szCs w:val="21"/>
              </w:rPr>
              <w:t>注：“□”为勾选项，填“√”：“</w:t>
            </w:r>
            <w:r>
              <w:rPr>
                <w:rFonts w:hint="eastAsia"/>
                <w:color w:val="auto"/>
                <w:kern w:val="21"/>
                <w:sz w:val="21"/>
                <w:szCs w:val="21"/>
              </w:rPr>
              <w:t>（）</w:t>
            </w:r>
            <w:r>
              <w:rPr>
                <w:color w:val="auto"/>
                <w:kern w:val="21"/>
                <w:sz w:val="21"/>
                <w:szCs w:val="21"/>
              </w:rPr>
              <w:t>”为内容填写项</w:t>
            </w:r>
          </w:p>
        </w:tc>
      </w:tr>
    </w:tbl>
    <w:p>
      <w:pPr>
        <w:pStyle w:val="6"/>
        <w:spacing w:after="0"/>
        <w:rPr>
          <w:rFonts w:eastAsia="宋体"/>
          <w:color w:val="auto"/>
          <w:kern w:val="21"/>
        </w:rPr>
      </w:pPr>
      <w:bookmarkStart w:id="254" w:name="_Toc28629"/>
      <w:r>
        <w:rPr>
          <w:rFonts w:eastAsia="宋体"/>
          <w:color w:val="auto"/>
          <w:kern w:val="21"/>
        </w:rPr>
        <w:t>5.</w:t>
      </w:r>
      <w:r>
        <w:rPr>
          <w:rFonts w:hint="eastAsia" w:eastAsia="宋体"/>
          <w:color w:val="auto"/>
          <w:kern w:val="21"/>
        </w:rPr>
        <w:t>2</w:t>
      </w:r>
      <w:r>
        <w:rPr>
          <w:rFonts w:eastAsia="宋体"/>
          <w:color w:val="auto"/>
          <w:kern w:val="21"/>
        </w:rPr>
        <w:t>.</w:t>
      </w:r>
      <w:r>
        <w:rPr>
          <w:rFonts w:hint="eastAsia" w:eastAsia="宋体"/>
          <w:color w:val="auto"/>
          <w:kern w:val="21"/>
        </w:rPr>
        <w:t>4</w:t>
      </w:r>
      <w:r>
        <w:rPr>
          <w:rFonts w:eastAsia="宋体"/>
          <w:color w:val="auto"/>
          <w:kern w:val="21"/>
        </w:rPr>
        <w:t>运营期噪声预测评价</w:t>
      </w:r>
      <w:bookmarkEnd w:id="254"/>
    </w:p>
    <w:p>
      <w:pPr>
        <w:pStyle w:val="8"/>
        <w:spacing w:before="0" w:after="0" w:line="377"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4</w:t>
      </w:r>
      <w:r>
        <w:rPr>
          <w:rFonts w:ascii="Times New Roman" w:hAnsi="Times New Roman" w:eastAsia="宋体"/>
          <w:color w:val="auto"/>
          <w:kern w:val="21"/>
          <w:sz w:val="24"/>
          <w:szCs w:val="24"/>
        </w:rPr>
        <w:t>.1噪声预测因子</w:t>
      </w:r>
    </w:p>
    <w:p>
      <w:pPr>
        <w:ind w:firstLine="480"/>
        <w:rPr>
          <w:color w:val="auto"/>
          <w:kern w:val="21"/>
        </w:rPr>
      </w:pPr>
      <w:r>
        <w:rPr>
          <w:color w:val="auto"/>
          <w:kern w:val="21"/>
        </w:rPr>
        <w:t>预测因子为等效连续Leq</w:t>
      </w:r>
      <w:r>
        <w:rPr>
          <w:rFonts w:hint="eastAsia"/>
          <w:color w:val="auto"/>
          <w:kern w:val="21"/>
        </w:rPr>
        <w:t>（</w:t>
      </w:r>
      <w:r>
        <w:rPr>
          <w:color w:val="auto"/>
          <w:kern w:val="21"/>
        </w:rPr>
        <w:t>A</w:t>
      </w:r>
      <w:r>
        <w:rPr>
          <w:rFonts w:hint="eastAsia"/>
          <w:color w:val="auto"/>
          <w:kern w:val="21"/>
        </w:rPr>
        <w:t>）</w:t>
      </w:r>
      <w:r>
        <w:rPr>
          <w:color w:val="auto"/>
          <w:kern w:val="21"/>
        </w:rPr>
        <w:t>声级。</w:t>
      </w:r>
    </w:p>
    <w:p>
      <w:pPr>
        <w:ind w:firstLine="480"/>
        <w:rPr>
          <w:b/>
          <w:bCs/>
          <w:color w:val="auto"/>
          <w:kern w:val="21"/>
        </w:rPr>
      </w:pPr>
      <w:r>
        <w:rPr>
          <w:color w:val="auto"/>
          <w:kern w:val="21"/>
        </w:rPr>
        <w:t>环境噪声预测的重点是运营期</w:t>
      </w:r>
      <w:r>
        <w:rPr>
          <w:color w:val="auto"/>
          <w:kern w:val="21"/>
          <w:lang w:bidi="ar"/>
        </w:rPr>
        <w:t>各类搅拌机、泵、风机等设备噪声</w:t>
      </w:r>
      <w:r>
        <w:rPr>
          <w:color w:val="auto"/>
          <w:kern w:val="21"/>
        </w:rPr>
        <w:t>对环境的影响。</w:t>
      </w:r>
    </w:p>
    <w:p>
      <w:pPr>
        <w:pStyle w:val="8"/>
        <w:spacing w:before="0" w:after="0" w:line="377"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4</w:t>
      </w:r>
      <w:r>
        <w:rPr>
          <w:rFonts w:ascii="Times New Roman" w:hAnsi="Times New Roman" w:eastAsia="宋体"/>
          <w:color w:val="auto"/>
          <w:kern w:val="21"/>
          <w:sz w:val="24"/>
          <w:szCs w:val="24"/>
        </w:rPr>
        <w:t>.2噪声预测</w:t>
      </w:r>
    </w:p>
    <w:p>
      <w:pPr>
        <w:ind w:firstLine="480"/>
        <w:rPr>
          <w:color w:val="auto"/>
          <w:kern w:val="21"/>
        </w:rPr>
      </w:pPr>
      <w:r>
        <w:rPr>
          <w:color w:val="auto"/>
          <w:kern w:val="21"/>
        </w:rPr>
        <w:t>采用《环境影响评价技术导则声环境》（HJ2.4-2021）中推荐的预测模式进行影响预测。</w:t>
      </w:r>
    </w:p>
    <w:p>
      <w:pPr>
        <w:ind w:firstLine="480"/>
        <w:rPr>
          <w:bCs/>
          <w:color w:val="auto"/>
          <w:szCs w:val="21"/>
        </w:rPr>
      </w:pPr>
      <w:r>
        <w:rPr>
          <w:bCs/>
          <w:color w:val="auto"/>
          <w:szCs w:val="21"/>
        </w:rPr>
        <w:t>厂界噪声贡献值计算采用点声源几何发散衰减，计算公式如下：</w:t>
      </w:r>
    </w:p>
    <w:p>
      <w:pPr>
        <w:autoSpaceDE w:val="0"/>
        <w:autoSpaceDN w:val="0"/>
        <w:adjustRightInd w:val="0"/>
        <w:snapToGrid w:val="0"/>
        <w:ind w:firstLine="480"/>
        <w:rPr>
          <w:color w:val="auto"/>
          <w:szCs w:val="21"/>
        </w:rPr>
      </w:pPr>
      <w:r>
        <w:rPr>
          <w:color w:val="auto"/>
          <w:position w:val="2"/>
          <w:szCs w:val="21"/>
        </w:rPr>
        <w:t>L</w:t>
      </w:r>
      <w:r>
        <w:rPr>
          <w:rFonts w:hint="eastAsia"/>
          <w:color w:val="auto"/>
          <w:position w:val="2"/>
          <w:szCs w:val="21"/>
          <w:vertAlign w:val="subscript"/>
          <w:lang w:val="en-US" w:eastAsia="zh-CN"/>
        </w:rPr>
        <w:t>p</w:t>
      </w:r>
      <w:r>
        <w:rPr>
          <w:color w:val="auto"/>
          <w:position w:val="2"/>
          <w:szCs w:val="21"/>
        </w:rPr>
        <w:t>(r)= L</w:t>
      </w:r>
      <w:r>
        <w:rPr>
          <w:rFonts w:hint="eastAsia"/>
          <w:color w:val="auto"/>
          <w:position w:val="2"/>
          <w:szCs w:val="21"/>
          <w:vertAlign w:val="subscript"/>
          <w:lang w:val="en-US" w:eastAsia="zh-CN"/>
        </w:rPr>
        <w:t>p</w:t>
      </w:r>
      <w:r>
        <w:rPr>
          <w:color w:val="auto"/>
          <w:position w:val="2"/>
          <w:szCs w:val="21"/>
        </w:rPr>
        <w:t>(r</w:t>
      </w:r>
      <w:r>
        <w:rPr>
          <w:color w:val="auto"/>
          <w:position w:val="2"/>
          <w:szCs w:val="21"/>
          <w:vertAlign w:val="subscript"/>
        </w:rPr>
        <w:t>0</w:t>
      </w:r>
      <w:r>
        <w:rPr>
          <w:color w:val="auto"/>
          <w:position w:val="2"/>
          <w:szCs w:val="21"/>
        </w:rPr>
        <w:t>) - 20 lg(r/r</w:t>
      </w:r>
      <w:r>
        <w:rPr>
          <w:color w:val="auto"/>
          <w:position w:val="2"/>
          <w:szCs w:val="21"/>
          <w:vertAlign w:val="subscript"/>
        </w:rPr>
        <w:t>0</w:t>
      </w:r>
      <w:r>
        <w:rPr>
          <w:color w:val="auto"/>
          <w:position w:val="2"/>
          <w:szCs w:val="21"/>
        </w:rPr>
        <w:t>)</w:t>
      </w:r>
    </w:p>
    <w:p>
      <w:pPr>
        <w:autoSpaceDE w:val="0"/>
        <w:autoSpaceDN w:val="0"/>
        <w:adjustRightInd w:val="0"/>
        <w:snapToGrid w:val="0"/>
        <w:ind w:firstLine="960" w:firstLineChars="400"/>
        <w:rPr>
          <w:rFonts w:hint="eastAsia"/>
          <w:bCs/>
          <w:color w:val="auto"/>
          <w:szCs w:val="21"/>
        </w:rPr>
      </w:pPr>
      <w:r>
        <w:rPr>
          <w:rFonts w:hint="eastAsia"/>
          <w:bCs/>
          <w:color w:val="auto"/>
          <w:szCs w:val="21"/>
        </w:rPr>
        <w:t>式中：Lp(r) ——预测点处声压级，dB；</w:t>
      </w:r>
    </w:p>
    <w:p>
      <w:pPr>
        <w:autoSpaceDE w:val="0"/>
        <w:autoSpaceDN w:val="0"/>
        <w:adjustRightInd w:val="0"/>
        <w:snapToGrid w:val="0"/>
        <w:ind w:firstLine="1680" w:firstLineChars="700"/>
        <w:rPr>
          <w:rFonts w:hint="eastAsia"/>
          <w:bCs/>
          <w:color w:val="auto"/>
          <w:szCs w:val="21"/>
        </w:rPr>
      </w:pPr>
      <w:r>
        <w:rPr>
          <w:rFonts w:hint="eastAsia"/>
          <w:bCs/>
          <w:color w:val="auto"/>
          <w:szCs w:val="21"/>
        </w:rPr>
        <w:t>Lp(r0) ——参考位置r0处的声压级，dB；</w:t>
      </w:r>
    </w:p>
    <w:p>
      <w:pPr>
        <w:autoSpaceDE w:val="0"/>
        <w:autoSpaceDN w:val="0"/>
        <w:adjustRightInd w:val="0"/>
        <w:snapToGrid w:val="0"/>
        <w:ind w:firstLine="960" w:firstLineChars="400"/>
        <w:rPr>
          <w:rFonts w:hint="eastAsia"/>
          <w:bCs/>
          <w:color w:val="auto"/>
          <w:szCs w:val="21"/>
        </w:rPr>
      </w:pPr>
      <w:r>
        <w:rPr>
          <w:rFonts w:hint="eastAsia"/>
          <w:bCs/>
          <w:color w:val="auto"/>
          <w:szCs w:val="21"/>
        </w:rPr>
        <w:t xml:space="preserve"> </w:t>
      </w:r>
      <w:r>
        <w:rPr>
          <w:rFonts w:hint="eastAsia"/>
          <w:bCs/>
          <w:color w:val="auto"/>
          <w:szCs w:val="21"/>
          <w:lang w:val="en-US" w:eastAsia="zh-CN"/>
        </w:rPr>
        <w:t xml:space="preserve">     </w:t>
      </w:r>
      <w:r>
        <w:rPr>
          <w:rFonts w:hint="eastAsia"/>
          <w:bCs/>
          <w:color w:val="auto"/>
          <w:szCs w:val="21"/>
        </w:rPr>
        <w:t>r ——预测点距声源的距离；</w:t>
      </w:r>
    </w:p>
    <w:p>
      <w:pPr>
        <w:autoSpaceDE w:val="0"/>
        <w:autoSpaceDN w:val="0"/>
        <w:adjustRightInd w:val="0"/>
        <w:snapToGrid w:val="0"/>
        <w:ind w:firstLine="1680" w:firstLineChars="700"/>
        <w:rPr>
          <w:bCs/>
          <w:color w:val="auto"/>
          <w:szCs w:val="21"/>
        </w:rPr>
      </w:pPr>
      <w:r>
        <w:rPr>
          <w:rFonts w:hint="eastAsia"/>
          <w:bCs/>
          <w:color w:val="auto"/>
          <w:szCs w:val="21"/>
        </w:rPr>
        <w:t>r0——参考位置距声源的距离。</w:t>
      </w:r>
    </w:p>
    <w:p>
      <w:pPr>
        <w:autoSpaceDE w:val="0"/>
        <w:autoSpaceDN w:val="0"/>
        <w:adjustRightInd w:val="0"/>
        <w:snapToGrid w:val="0"/>
        <w:ind w:firstLine="480"/>
        <w:rPr>
          <w:bCs/>
          <w:color w:val="auto"/>
          <w:szCs w:val="21"/>
        </w:rPr>
      </w:pPr>
      <w:r>
        <w:rPr>
          <w:bCs/>
          <w:color w:val="auto"/>
          <w:szCs w:val="21"/>
        </w:rPr>
        <w:t>厂界噪声预测值计算公式采用等效声级模式，计算公式如下：</w:t>
      </w:r>
    </w:p>
    <w:p>
      <w:pPr>
        <w:autoSpaceDE w:val="0"/>
        <w:autoSpaceDN w:val="0"/>
        <w:adjustRightInd w:val="0"/>
        <w:snapToGrid w:val="0"/>
        <w:ind w:firstLine="480"/>
        <w:rPr>
          <w:color w:val="auto"/>
          <w:szCs w:val="21"/>
        </w:rPr>
      </w:pPr>
      <w:r>
        <w:rPr>
          <w:color w:val="auto"/>
          <w:szCs w:val="21"/>
        </w:rPr>
        <w:t>Leq = 10 log( 10</w:t>
      </w:r>
      <w:r>
        <w:rPr>
          <w:color w:val="auto"/>
          <w:position w:val="8"/>
          <w:szCs w:val="21"/>
        </w:rPr>
        <w:t>0.1Leq</w:t>
      </w:r>
      <w:r>
        <w:rPr>
          <w:rFonts w:hint="eastAsia"/>
          <w:color w:val="auto"/>
          <w:position w:val="8"/>
          <w:szCs w:val="21"/>
          <w:lang w:val="en-US" w:eastAsia="zh-CN"/>
        </w:rPr>
        <w:t>g</w:t>
      </w:r>
      <w:r>
        <w:rPr>
          <w:color w:val="auto"/>
          <w:szCs w:val="21"/>
        </w:rPr>
        <w:t>+10</w:t>
      </w:r>
      <w:r>
        <w:rPr>
          <w:color w:val="auto"/>
          <w:position w:val="8"/>
          <w:szCs w:val="21"/>
        </w:rPr>
        <w:t>0.1Leq</w:t>
      </w:r>
      <w:r>
        <w:rPr>
          <w:rFonts w:hint="eastAsia"/>
          <w:color w:val="auto"/>
          <w:position w:val="8"/>
          <w:szCs w:val="21"/>
          <w:lang w:val="en-US" w:eastAsia="zh-CN"/>
        </w:rPr>
        <w:t>b</w:t>
      </w:r>
      <w:r>
        <w:rPr>
          <w:color w:val="auto"/>
          <w:position w:val="8"/>
          <w:szCs w:val="21"/>
        </w:rPr>
        <w:t xml:space="preserve"> </w:t>
      </w:r>
      <w:r>
        <w:rPr>
          <w:color w:val="auto"/>
          <w:szCs w:val="21"/>
        </w:rPr>
        <w:t>)</w:t>
      </w:r>
    </w:p>
    <w:p>
      <w:pPr>
        <w:autoSpaceDE w:val="0"/>
        <w:autoSpaceDN w:val="0"/>
        <w:adjustRightInd w:val="0"/>
        <w:snapToGrid w:val="0"/>
        <w:ind w:firstLine="960" w:firstLineChars="400"/>
        <w:rPr>
          <w:bCs/>
          <w:color w:val="auto"/>
          <w:szCs w:val="21"/>
        </w:rPr>
      </w:pPr>
      <w:r>
        <w:rPr>
          <w:bCs/>
          <w:color w:val="auto"/>
          <w:szCs w:val="21"/>
        </w:rPr>
        <w:t>式中：Leq</w:t>
      </w:r>
      <w:r>
        <w:rPr>
          <w:rFonts w:hint="eastAsia"/>
          <w:bCs/>
          <w:color w:val="auto"/>
          <w:szCs w:val="21"/>
          <w:lang w:val="en-US" w:eastAsia="zh-CN"/>
        </w:rPr>
        <w:t>g</w:t>
      </w:r>
      <w:r>
        <w:rPr>
          <w:bCs/>
          <w:color w:val="auto"/>
          <w:szCs w:val="21"/>
        </w:rPr>
        <w:t>——</w:t>
      </w:r>
      <w:r>
        <w:rPr>
          <w:rFonts w:hint="eastAsia"/>
          <w:bCs/>
          <w:color w:val="auto"/>
          <w:szCs w:val="21"/>
        </w:rPr>
        <w:t>建设项目声源在预测点产生的噪声贡献值，dB；</w:t>
      </w:r>
    </w:p>
    <w:p>
      <w:pPr>
        <w:autoSpaceDE w:val="0"/>
        <w:autoSpaceDN w:val="0"/>
        <w:adjustRightInd w:val="0"/>
        <w:snapToGrid w:val="0"/>
        <w:ind w:firstLine="1680" w:firstLineChars="700"/>
        <w:rPr>
          <w:bCs/>
          <w:color w:val="auto"/>
          <w:szCs w:val="21"/>
        </w:rPr>
      </w:pPr>
      <w:r>
        <w:rPr>
          <w:bCs/>
          <w:color w:val="auto"/>
          <w:szCs w:val="21"/>
        </w:rPr>
        <w:t>Leq</w:t>
      </w:r>
      <w:r>
        <w:rPr>
          <w:rFonts w:hint="eastAsia"/>
          <w:bCs/>
          <w:color w:val="auto"/>
          <w:szCs w:val="21"/>
          <w:lang w:val="en-US" w:eastAsia="zh-CN"/>
        </w:rPr>
        <w:t>b</w:t>
      </w:r>
      <w:r>
        <w:rPr>
          <w:bCs/>
          <w:color w:val="auto"/>
          <w:szCs w:val="21"/>
        </w:rPr>
        <w:t>——</w:t>
      </w:r>
      <w:r>
        <w:rPr>
          <w:rFonts w:hint="eastAsia"/>
          <w:bCs/>
          <w:color w:val="auto"/>
          <w:szCs w:val="21"/>
        </w:rPr>
        <w:t>预测点的背景噪声值，dB</w:t>
      </w:r>
      <w:r>
        <w:rPr>
          <w:bCs/>
          <w:color w:val="auto"/>
          <w:szCs w:val="21"/>
        </w:rPr>
        <w:t>。</w:t>
      </w:r>
    </w:p>
    <w:p>
      <w:pPr>
        <w:autoSpaceDE w:val="0"/>
        <w:autoSpaceDN w:val="0"/>
        <w:adjustRightInd w:val="0"/>
        <w:snapToGrid w:val="0"/>
        <w:ind w:firstLine="480"/>
        <w:rPr>
          <w:bCs/>
          <w:color w:val="auto"/>
          <w:szCs w:val="21"/>
        </w:rPr>
      </w:pPr>
      <w:r>
        <w:rPr>
          <w:bCs/>
          <w:color w:val="auto"/>
          <w:szCs w:val="21"/>
        </w:rPr>
        <w:t>经预测，各噪声源对最近厂界的噪声贡献值如下：</w:t>
      </w:r>
    </w:p>
    <w:p>
      <w:pPr>
        <w:numPr>
          <w:ilvl w:val="0"/>
          <w:numId w:val="11"/>
        </w:numPr>
        <w:tabs>
          <w:tab w:val="left" w:pos="3395"/>
          <w:tab w:val="clear" w:pos="0"/>
        </w:tabs>
        <w:ind w:left="0" w:leftChars="0" w:firstLine="0" w:firstLineChars="0"/>
        <w:jc w:val="center"/>
        <w:rPr>
          <w:b/>
          <w:color w:val="auto"/>
          <w:szCs w:val="21"/>
        </w:rPr>
      </w:pPr>
      <w:r>
        <w:rPr>
          <w:b/>
          <w:bCs/>
          <w:color w:val="auto"/>
          <w:kern w:val="21"/>
        </w:rPr>
        <w:t>项目</w:t>
      </w:r>
      <w:r>
        <w:rPr>
          <w:b/>
          <w:color w:val="auto"/>
          <w:szCs w:val="21"/>
        </w:rPr>
        <w:t>建成后全厂噪声源分布</w:t>
      </w:r>
    </w:p>
    <w:tbl>
      <w:tblPr>
        <w:tblStyle w:val="51"/>
        <w:tblW w:w="89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8"/>
        <w:gridCol w:w="1684"/>
        <w:gridCol w:w="850"/>
        <w:gridCol w:w="1159"/>
        <w:gridCol w:w="1075"/>
        <w:gridCol w:w="1100"/>
        <w:gridCol w:w="1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68" w:type="dxa"/>
            <w:vMerge w:val="restart"/>
            <w:vAlign w:val="center"/>
          </w:tcPr>
          <w:p>
            <w:pPr>
              <w:pStyle w:val="197"/>
              <w:autoSpaceDE w:val="0"/>
              <w:autoSpaceDN w:val="0"/>
              <w:adjustRightInd w:val="0"/>
              <w:snapToGrid w:val="0"/>
              <w:ind w:firstLineChars="0"/>
              <w:jc w:val="center"/>
              <w:textAlignment w:val="baseline"/>
              <w:rPr>
                <w:color w:val="auto"/>
                <w:sz w:val="21"/>
                <w:szCs w:val="21"/>
              </w:rPr>
            </w:pPr>
            <w:r>
              <w:rPr>
                <w:color w:val="auto"/>
                <w:kern w:val="21"/>
                <w:sz w:val="21"/>
                <w:szCs w:val="21"/>
              </w:rPr>
              <w:t>主要噪声源</w:t>
            </w:r>
          </w:p>
        </w:tc>
        <w:tc>
          <w:tcPr>
            <w:tcW w:w="1684" w:type="dxa"/>
            <w:vMerge w:val="restart"/>
            <w:vAlign w:val="center"/>
          </w:tcPr>
          <w:p>
            <w:pPr>
              <w:pStyle w:val="197"/>
              <w:autoSpaceDE w:val="0"/>
              <w:autoSpaceDN w:val="0"/>
              <w:adjustRightInd w:val="0"/>
              <w:snapToGrid w:val="0"/>
              <w:ind w:firstLineChars="0"/>
              <w:jc w:val="center"/>
              <w:textAlignment w:val="baseline"/>
              <w:rPr>
                <w:color w:val="auto"/>
                <w:sz w:val="21"/>
                <w:szCs w:val="21"/>
              </w:rPr>
            </w:pPr>
            <w:r>
              <w:rPr>
                <w:color w:val="auto"/>
                <w:sz w:val="21"/>
                <w:szCs w:val="21"/>
              </w:rPr>
              <w:t>设备名称</w:t>
            </w:r>
          </w:p>
        </w:tc>
        <w:tc>
          <w:tcPr>
            <w:tcW w:w="850" w:type="dxa"/>
            <w:vMerge w:val="restart"/>
            <w:vAlign w:val="center"/>
          </w:tcPr>
          <w:p>
            <w:pPr>
              <w:pStyle w:val="197"/>
              <w:autoSpaceDE w:val="0"/>
              <w:autoSpaceDN w:val="0"/>
              <w:adjustRightInd w:val="0"/>
              <w:snapToGrid w:val="0"/>
              <w:ind w:firstLineChars="0"/>
              <w:jc w:val="center"/>
              <w:textAlignment w:val="baseline"/>
              <w:rPr>
                <w:color w:val="auto"/>
                <w:sz w:val="21"/>
                <w:szCs w:val="21"/>
              </w:rPr>
            </w:pPr>
            <w:r>
              <w:rPr>
                <w:color w:val="auto"/>
                <w:sz w:val="21"/>
                <w:szCs w:val="21"/>
              </w:rPr>
              <w:t>源强dB(A)</w:t>
            </w:r>
          </w:p>
        </w:tc>
        <w:tc>
          <w:tcPr>
            <w:tcW w:w="4459" w:type="dxa"/>
            <w:gridSpan w:val="4"/>
            <w:vAlign w:val="center"/>
          </w:tcPr>
          <w:p>
            <w:pPr>
              <w:pStyle w:val="197"/>
              <w:autoSpaceDE w:val="0"/>
              <w:autoSpaceDN w:val="0"/>
              <w:adjustRightInd w:val="0"/>
              <w:snapToGrid w:val="0"/>
              <w:ind w:firstLineChars="0"/>
              <w:jc w:val="center"/>
              <w:textAlignment w:val="baseline"/>
              <w:rPr>
                <w:color w:val="auto"/>
                <w:sz w:val="21"/>
                <w:szCs w:val="21"/>
              </w:rPr>
            </w:pPr>
            <w:r>
              <w:rPr>
                <w:color w:val="auto"/>
                <w:sz w:val="21"/>
                <w:szCs w:val="21"/>
              </w:rPr>
              <w:t>距最近厂界距离 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68" w:type="dxa"/>
            <w:vMerge w:val="continue"/>
            <w:vAlign w:val="center"/>
          </w:tcPr>
          <w:p>
            <w:pPr>
              <w:autoSpaceDE w:val="0"/>
              <w:autoSpaceDN w:val="0"/>
              <w:adjustRightInd w:val="0"/>
              <w:snapToGrid w:val="0"/>
              <w:spacing w:line="240" w:lineRule="auto"/>
              <w:ind w:firstLine="0" w:firstLineChars="0"/>
              <w:jc w:val="center"/>
              <w:textAlignment w:val="baseline"/>
              <w:rPr>
                <w:color w:val="auto"/>
                <w:sz w:val="21"/>
                <w:szCs w:val="21"/>
              </w:rPr>
            </w:pPr>
          </w:p>
        </w:tc>
        <w:tc>
          <w:tcPr>
            <w:tcW w:w="1684" w:type="dxa"/>
            <w:vMerge w:val="continue"/>
            <w:vAlign w:val="center"/>
          </w:tcPr>
          <w:p>
            <w:pPr>
              <w:autoSpaceDE w:val="0"/>
              <w:autoSpaceDN w:val="0"/>
              <w:adjustRightInd w:val="0"/>
              <w:snapToGrid w:val="0"/>
              <w:spacing w:line="240" w:lineRule="auto"/>
              <w:ind w:firstLine="0" w:firstLineChars="0"/>
              <w:jc w:val="center"/>
              <w:textAlignment w:val="baseline"/>
              <w:rPr>
                <w:color w:val="auto"/>
                <w:sz w:val="21"/>
                <w:szCs w:val="21"/>
              </w:rPr>
            </w:pPr>
          </w:p>
        </w:tc>
        <w:tc>
          <w:tcPr>
            <w:tcW w:w="850" w:type="dxa"/>
            <w:vMerge w:val="continue"/>
            <w:vAlign w:val="center"/>
          </w:tcPr>
          <w:p>
            <w:pPr>
              <w:autoSpaceDE w:val="0"/>
              <w:autoSpaceDN w:val="0"/>
              <w:adjustRightInd w:val="0"/>
              <w:snapToGrid w:val="0"/>
              <w:spacing w:line="240" w:lineRule="auto"/>
              <w:ind w:firstLine="0" w:firstLineChars="0"/>
              <w:jc w:val="center"/>
              <w:textAlignment w:val="baseline"/>
              <w:rPr>
                <w:color w:val="auto"/>
                <w:sz w:val="21"/>
                <w:szCs w:val="21"/>
              </w:rPr>
            </w:pPr>
          </w:p>
        </w:tc>
        <w:tc>
          <w:tcPr>
            <w:tcW w:w="1159" w:type="dxa"/>
            <w:vAlign w:val="center"/>
          </w:tcPr>
          <w:p>
            <w:pPr>
              <w:pStyle w:val="197"/>
              <w:autoSpaceDE w:val="0"/>
              <w:autoSpaceDN w:val="0"/>
              <w:adjustRightInd w:val="0"/>
              <w:snapToGrid w:val="0"/>
              <w:ind w:firstLineChars="0"/>
              <w:jc w:val="center"/>
              <w:textAlignment w:val="baseline"/>
              <w:rPr>
                <w:color w:val="auto"/>
                <w:sz w:val="21"/>
                <w:szCs w:val="21"/>
              </w:rPr>
            </w:pPr>
            <w:r>
              <w:rPr>
                <w:color w:val="auto"/>
                <w:sz w:val="21"/>
                <w:szCs w:val="21"/>
              </w:rPr>
              <w:t>北厂界</w:t>
            </w:r>
          </w:p>
        </w:tc>
        <w:tc>
          <w:tcPr>
            <w:tcW w:w="1075" w:type="dxa"/>
            <w:vAlign w:val="center"/>
          </w:tcPr>
          <w:p>
            <w:pPr>
              <w:pStyle w:val="197"/>
              <w:autoSpaceDE w:val="0"/>
              <w:autoSpaceDN w:val="0"/>
              <w:adjustRightInd w:val="0"/>
              <w:snapToGrid w:val="0"/>
              <w:ind w:firstLineChars="0"/>
              <w:jc w:val="center"/>
              <w:textAlignment w:val="baseline"/>
              <w:rPr>
                <w:color w:val="auto"/>
                <w:sz w:val="21"/>
                <w:szCs w:val="21"/>
              </w:rPr>
            </w:pPr>
            <w:r>
              <w:rPr>
                <w:color w:val="auto"/>
                <w:sz w:val="21"/>
                <w:szCs w:val="21"/>
              </w:rPr>
              <w:t>西厂界</w:t>
            </w:r>
          </w:p>
        </w:tc>
        <w:tc>
          <w:tcPr>
            <w:tcW w:w="1100" w:type="dxa"/>
            <w:vAlign w:val="center"/>
          </w:tcPr>
          <w:p>
            <w:pPr>
              <w:pStyle w:val="197"/>
              <w:autoSpaceDE w:val="0"/>
              <w:autoSpaceDN w:val="0"/>
              <w:adjustRightInd w:val="0"/>
              <w:snapToGrid w:val="0"/>
              <w:ind w:firstLineChars="0"/>
              <w:jc w:val="center"/>
              <w:textAlignment w:val="baseline"/>
              <w:rPr>
                <w:color w:val="auto"/>
                <w:sz w:val="21"/>
                <w:szCs w:val="21"/>
              </w:rPr>
            </w:pPr>
            <w:r>
              <w:rPr>
                <w:color w:val="auto"/>
                <w:sz w:val="21"/>
                <w:szCs w:val="21"/>
              </w:rPr>
              <w:t>南厂界</w:t>
            </w:r>
          </w:p>
        </w:tc>
        <w:tc>
          <w:tcPr>
            <w:tcW w:w="1125" w:type="dxa"/>
            <w:vAlign w:val="center"/>
          </w:tcPr>
          <w:p>
            <w:pPr>
              <w:pStyle w:val="197"/>
              <w:autoSpaceDE w:val="0"/>
              <w:autoSpaceDN w:val="0"/>
              <w:adjustRightInd w:val="0"/>
              <w:snapToGrid w:val="0"/>
              <w:ind w:firstLineChars="0"/>
              <w:jc w:val="center"/>
              <w:textAlignment w:val="baseline"/>
              <w:rPr>
                <w:color w:val="auto"/>
                <w:sz w:val="21"/>
                <w:szCs w:val="21"/>
              </w:rPr>
            </w:pPr>
            <w:r>
              <w:rPr>
                <w:color w:val="auto"/>
                <w:sz w:val="21"/>
                <w:szCs w:val="21"/>
              </w:rPr>
              <w:t>东厂界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1968"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color w:val="auto"/>
                <w:kern w:val="21"/>
                <w:sz w:val="21"/>
                <w:szCs w:val="21"/>
              </w:rPr>
              <w:t>粗格栅及进水泵房</w:t>
            </w:r>
          </w:p>
        </w:tc>
        <w:tc>
          <w:tcPr>
            <w:tcW w:w="1684" w:type="dxa"/>
            <w:vAlign w:val="center"/>
          </w:tcPr>
          <w:p>
            <w:pPr>
              <w:widowControl/>
              <w:autoSpaceDE w:val="0"/>
              <w:autoSpaceDN w:val="0"/>
              <w:adjustRightInd w:val="0"/>
              <w:snapToGrid w:val="0"/>
              <w:spacing w:line="240" w:lineRule="auto"/>
              <w:ind w:firstLine="0" w:firstLineChars="0"/>
              <w:jc w:val="center"/>
              <w:textAlignment w:val="baseline"/>
              <w:rPr>
                <w:color w:val="auto"/>
                <w:sz w:val="21"/>
                <w:szCs w:val="21"/>
              </w:rPr>
            </w:pPr>
            <w:r>
              <w:rPr>
                <w:color w:val="auto"/>
                <w:kern w:val="21"/>
                <w:sz w:val="21"/>
                <w:szCs w:val="21"/>
                <w:lang w:bidi="ar"/>
              </w:rPr>
              <w:t>潜水离心泵</w:t>
            </w:r>
          </w:p>
        </w:tc>
        <w:tc>
          <w:tcPr>
            <w:tcW w:w="850" w:type="dxa"/>
            <w:vAlign w:val="center"/>
          </w:tcPr>
          <w:p>
            <w:pPr>
              <w:spacing w:line="240" w:lineRule="auto"/>
              <w:ind w:firstLine="0" w:firstLineChars="0"/>
              <w:jc w:val="center"/>
              <w:rPr>
                <w:color w:val="auto"/>
                <w:sz w:val="21"/>
                <w:szCs w:val="21"/>
              </w:rPr>
            </w:pPr>
            <w:r>
              <w:rPr>
                <w:rFonts w:hint="eastAsia"/>
                <w:color w:val="auto"/>
                <w:kern w:val="21"/>
                <w:sz w:val="21"/>
                <w:szCs w:val="21"/>
              </w:rPr>
              <w:t>73</w:t>
            </w:r>
          </w:p>
        </w:tc>
        <w:tc>
          <w:tcPr>
            <w:tcW w:w="1159"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23.5</w:t>
            </w:r>
          </w:p>
        </w:tc>
        <w:tc>
          <w:tcPr>
            <w:tcW w:w="107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19.7</w:t>
            </w:r>
          </w:p>
        </w:tc>
        <w:tc>
          <w:tcPr>
            <w:tcW w:w="1100"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37.9</w:t>
            </w:r>
          </w:p>
        </w:tc>
        <w:tc>
          <w:tcPr>
            <w:tcW w:w="112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1968" w:type="dxa"/>
            <w:vMerge w:val="restart"/>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color w:val="auto"/>
                <w:kern w:val="21"/>
                <w:sz w:val="21"/>
                <w:szCs w:val="21"/>
              </w:rPr>
              <w:t>细格栅及调节池</w:t>
            </w:r>
          </w:p>
        </w:tc>
        <w:tc>
          <w:tcPr>
            <w:tcW w:w="1684"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color w:val="auto"/>
                <w:kern w:val="21"/>
                <w:sz w:val="21"/>
                <w:szCs w:val="21"/>
                <w:lang w:bidi="ar"/>
              </w:rPr>
              <w:t>潜水离心泵</w:t>
            </w:r>
          </w:p>
        </w:tc>
        <w:tc>
          <w:tcPr>
            <w:tcW w:w="850" w:type="dxa"/>
            <w:vAlign w:val="center"/>
          </w:tcPr>
          <w:p>
            <w:pPr>
              <w:spacing w:line="240" w:lineRule="auto"/>
              <w:ind w:firstLine="0" w:firstLineChars="0"/>
              <w:jc w:val="center"/>
              <w:rPr>
                <w:color w:val="auto"/>
                <w:sz w:val="21"/>
                <w:szCs w:val="21"/>
              </w:rPr>
            </w:pPr>
            <w:r>
              <w:rPr>
                <w:rFonts w:hint="eastAsia"/>
                <w:color w:val="auto"/>
                <w:kern w:val="21"/>
                <w:sz w:val="21"/>
                <w:szCs w:val="21"/>
              </w:rPr>
              <w:t>70</w:t>
            </w:r>
          </w:p>
        </w:tc>
        <w:tc>
          <w:tcPr>
            <w:tcW w:w="1159"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50.3</w:t>
            </w:r>
          </w:p>
        </w:tc>
        <w:tc>
          <w:tcPr>
            <w:tcW w:w="107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19.7</w:t>
            </w:r>
          </w:p>
        </w:tc>
        <w:tc>
          <w:tcPr>
            <w:tcW w:w="1100"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23.2</w:t>
            </w:r>
          </w:p>
        </w:tc>
        <w:tc>
          <w:tcPr>
            <w:tcW w:w="1125"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968" w:type="dxa"/>
            <w:vMerge w:val="continue"/>
            <w:vAlign w:val="center"/>
          </w:tcPr>
          <w:p>
            <w:pPr>
              <w:autoSpaceDE w:val="0"/>
              <w:autoSpaceDN w:val="0"/>
              <w:adjustRightInd w:val="0"/>
              <w:snapToGrid w:val="0"/>
              <w:spacing w:line="240" w:lineRule="auto"/>
              <w:ind w:firstLine="0" w:firstLineChars="0"/>
              <w:jc w:val="center"/>
              <w:textAlignment w:val="baseline"/>
              <w:rPr>
                <w:color w:val="auto"/>
                <w:sz w:val="21"/>
                <w:szCs w:val="21"/>
              </w:rPr>
            </w:pPr>
          </w:p>
        </w:tc>
        <w:tc>
          <w:tcPr>
            <w:tcW w:w="1684"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color w:val="auto"/>
                <w:kern w:val="21"/>
                <w:sz w:val="21"/>
                <w:szCs w:val="21"/>
              </w:rPr>
              <w:t>潜水搅拌机</w:t>
            </w:r>
          </w:p>
        </w:tc>
        <w:tc>
          <w:tcPr>
            <w:tcW w:w="850" w:type="dxa"/>
            <w:vAlign w:val="center"/>
          </w:tcPr>
          <w:p>
            <w:pPr>
              <w:spacing w:line="240" w:lineRule="auto"/>
              <w:ind w:firstLine="0" w:firstLineChars="0"/>
              <w:jc w:val="center"/>
              <w:rPr>
                <w:color w:val="auto"/>
                <w:sz w:val="21"/>
                <w:szCs w:val="21"/>
              </w:rPr>
            </w:pPr>
            <w:r>
              <w:rPr>
                <w:rFonts w:hint="eastAsia"/>
                <w:color w:val="auto"/>
                <w:kern w:val="21"/>
                <w:sz w:val="21"/>
                <w:szCs w:val="21"/>
              </w:rPr>
              <w:t>68</w:t>
            </w:r>
          </w:p>
        </w:tc>
        <w:tc>
          <w:tcPr>
            <w:tcW w:w="1159"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50.3</w:t>
            </w:r>
          </w:p>
        </w:tc>
        <w:tc>
          <w:tcPr>
            <w:tcW w:w="107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19.7</w:t>
            </w:r>
          </w:p>
        </w:tc>
        <w:tc>
          <w:tcPr>
            <w:tcW w:w="1100"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23.2</w:t>
            </w:r>
          </w:p>
        </w:tc>
        <w:tc>
          <w:tcPr>
            <w:tcW w:w="1125"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968" w:type="dxa"/>
            <w:vMerge w:val="restart"/>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color w:val="auto"/>
                <w:kern w:val="21"/>
                <w:sz w:val="21"/>
                <w:szCs w:val="21"/>
              </w:rPr>
              <w:t>混凝沉淀池</w:t>
            </w:r>
          </w:p>
        </w:tc>
        <w:tc>
          <w:tcPr>
            <w:tcW w:w="1684" w:type="dxa"/>
            <w:vAlign w:val="center"/>
          </w:tcPr>
          <w:p>
            <w:pPr>
              <w:autoSpaceDE w:val="0"/>
              <w:autoSpaceDN w:val="0"/>
              <w:adjustRightInd w:val="0"/>
              <w:snapToGrid w:val="0"/>
              <w:spacing w:line="240" w:lineRule="auto"/>
              <w:ind w:firstLine="0" w:firstLineChars="0"/>
              <w:jc w:val="center"/>
              <w:textAlignment w:val="baseline"/>
              <w:rPr>
                <w:color w:val="auto"/>
                <w:kern w:val="0"/>
                <w:sz w:val="21"/>
                <w:szCs w:val="21"/>
                <w:lang w:bidi="ar"/>
              </w:rPr>
            </w:pPr>
            <w:r>
              <w:rPr>
                <w:color w:val="auto"/>
                <w:kern w:val="21"/>
                <w:sz w:val="21"/>
                <w:szCs w:val="21"/>
              </w:rPr>
              <w:t>桁车式刮泥机</w:t>
            </w:r>
          </w:p>
        </w:tc>
        <w:tc>
          <w:tcPr>
            <w:tcW w:w="850" w:type="dxa"/>
            <w:vAlign w:val="center"/>
          </w:tcPr>
          <w:p>
            <w:pPr>
              <w:spacing w:line="240" w:lineRule="auto"/>
              <w:ind w:firstLine="0" w:firstLineChars="0"/>
              <w:jc w:val="center"/>
              <w:rPr>
                <w:color w:val="auto"/>
                <w:sz w:val="21"/>
                <w:szCs w:val="21"/>
              </w:rPr>
            </w:pPr>
            <w:r>
              <w:rPr>
                <w:rFonts w:hint="eastAsia"/>
                <w:color w:val="auto"/>
                <w:kern w:val="21"/>
                <w:sz w:val="21"/>
                <w:szCs w:val="21"/>
              </w:rPr>
              <w:t>60</w:t>
            </w:r>
          </w:p>
        </w:tc>
        <w:tc>
          <w:tcPr>
            <w:tcW w:w="1159"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25.5</w:t>
            </w:r>
          </w:p>
        </w:tc>
        <w:tc>
          <w:tcPr>
            <w:tcW w:w="107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164.7</w:t>
            </w:r>
          </w:p>
        </w:tc>
        <w:tc>
          <w:tcPr>
            <w:tcW w:w="1100"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24.3</w:t>
            </w:r>
          </w:p>
        </w:tc>
        <w:tc>
          <w:tcPr>
            <w:tcW w:w="1125"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968" w:type="dxa"/>
            <w:vMerge w:val="continue"/>
            <w:vAlign w:val="center"/>
          </w:tcPr>
          <w:p>
            <w:pPr>
              <w:autoSpaceDE w:val="0"/>
              <w:autoSpaceDN w:val="0"/>
              <w:adjustRightInd w:val="0"/>
              <w:snapToGrid w:val="0"/>
              <w:spacing w:line="240" w:lineRule="auto"/>
              <w:ind w:firstLine="0" w:firstLineChars="0"/>
              <w:jc w:val="center"/>
              <w:textAlignment w:val="baseline"/>
              <w:rPr>
                <w:color w:val="auto"/>
                <w:sz w:val="21"/>
                <w:szCs w:val="21"/>
              </w:rPr>
            </w:pPr>
          </w:p>
        </w:tc>
        <w:tc>
          <w:tcPr>
            <w:tcW w:w="1684" w:type="dxa"/>
            <w:vAlign w:val="center"/>
          </w:tcPr>
          <w:p>
            <w:pPr>
              <w:autoSpaceDE w:val="0"/>
              <w:autoSpaceDN w:val="0"/>
              <w:adjustRightInd w:val="0"/>
              <w:snapToGrid w:val="0"/>
              <w:spacing w:line="240" w:lineRule="auto"/>
              <w:ind w:firstLine="0" w:firstLineChars="0"/>
              <w:jc w:val="center"/>
              <w:textAlignment w:val="baseline"/>
              <w:rPr>
                <w:color w:val="auto"/>
                <w:kern w:val="0"/>
                <w:sz w:val="21"/>
                <w:szCs w:val="21"/>
                <w:lang w:bidi="ar"/>
              </w:rPr>
            </w:pPr>
            <w:r>
              <w:rPr>
                <w:color w:val="auto"/>
                <w:kern w:val="21"/>
                <w:sz w:val="21"/>
                <w:szCs w:val="21"/>
              </w:rPr>
              <w:t>排污泵、回流泵、冲洗泵等</w:t>
            </w:r>
          </w:p>
        </w:tc>
        <w:tc>
          <w:tcPr>
            <w:tcW w:w="850" w:type="dxa"/>
            <w:vAlign w:val="center"/>
          </w:tcPr>
          <w:p>
            <w:pPr>
              <w:spacing w:line="240" w:lineRule="auto"/>
              <w:ind w:firstLine="0" w:firstLineChars="0"/>
              <w:jc w:val="center"/>
              <w:rPr>
                <w:color w:val="auto"/>
                <w:sz w:val="21"/>
                <w:szCs w:val="21"/>
              </w:rPr>
            </w:pPr>
            <w:r>
              <w:rPr>
                <w:rFonts w:hint="eastAsia"/>
                <w:color w:val="auto"/>
                <w:kern w:val="21"/>
                <w:sz w:val="21"/>
                <w:szCs w:val="21"/>
              </w:rPr>
              <w:t>76.8</w:t>
            </w:r>
          </w:p>
        </w:tc>
        <w:tc>
          <w:tcPr>
            <w:tcW w:w="1159"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25.5</w:t>
            </w:r>
          </w:p>
        </w:tc>
        <w:tc>
          <w:tcPr>
            <w:tcW w:w="107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164.7</w:t>
            </w:r>
          </w:p>
        </w:tc>
        <w:tc>
          <w:tcPr>
            <w:tcW w:w="1100"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24.3</w:t>
            </w:r>
          </w:p>
        </w:tc>
        <w:tc>
          <w:tcPr>
            <w:tcW w:w="1125"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968" w:type="dxa"/>
            <w:vMerge w:val="restart"/>
            <w:vAlign w:val="center"/>
          </w:tcPr>
          <w:p>
            <w:pPr>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MBR膜池及设备间</w:t>
            </w:r>
          </w:p>
          <w:p>
            <w:pPr>
              <w:autoSpaceDE w:val="0"/>
              <w:autoSpaceDN w:val="0"/>
              <w:adjustRightInd w:val="0"/>
              <w:snapToGrid w:val="0"/>
              <w:spacing w:line="240" w:lineRule="auto"/>
              <w:ind w:firstLine="0" w:firstLineChars="0"/>
              <w:jc w:val="center"/>
              <w:textAlignment w:val="baseline"/>
              <w:rPr>
                <w:color w:val="auto"/>
                <w:sz w:val="21"/>
                <w:szCs w:val="21"/>
              </w:rPr>
            </w:pPr>
          </w:p>
        </w:tc>
        <w:tc>
          <w:tcPr>
            <w:tcW w:w="1684" w:type="dxa"/>
            <w:vAlign w:val="center"/>
          </w:tcPr>
          <w:p>
            <w:pPr>
              <w:widowControl/>
              <w:autoSpaceDE w:val="0"/>
              <w:autoSpaceDN w:val="0"/>
              <w:adjustRightInd w:val="0"/>
              <w:snapToGrid w:val="0"/>
              <w:spacing w:line="240" w:lineRule="auto"/>
              <w:ind w:firstLine="0" w:firstLineChars="0"/>
              <w:jc w:val="center"/>
              <w:textAlignment w:val="baseline"/>
              <w:rPr>
                <w:color w:val="auto"/>
                <w:kern w:val="0"/>
                <w:sz w:val="21"/>
                <w:szCs w:val="21"/>
                <w:lang w:bidi="ar"/>
              </w:rPr>
            </w:pPr>
            <w:r>
              <w:rPr>
                <w:color w:val="auto"/>
                <w:kern w:val="21"/>
                <w:sz w:val="21"/>
                <w:szCs w:val="21"/>
                <w:lang w:bidi="ar"/>
              </w:rPr>
              <w:t>各水泵、真空泵、加压泵等</w:t>
            </w:r>
          </w:p>
        </w:tc>
        <w:tc>
          <w:tcPr>
            <w:tcW w:w="850" w:type="dxa"/>
            <w:vAlign w:val="center"/>
          </w:tcPr>
          <w:p>
            <w:pPr>
              <w:spacing w:line="240" w:lineRule="auto"/>
              <w:ind w:firstLine="0" w:firstLineChars="0"/>
              <w:jc w:val="center"/>
              <w:rPr>
                <w:color w:val="auto"/>
                <w:sz w:val="21"/>
                <w:szCs w:val="21"/>
              </w:rPr>
            </w:pPr>
            <w:r>
              <w:rPr>
                <w:rFonts w:hint="eastAsia"/>
                <w:color w:val="auto"/>
                <w:kern w:val="21"/>
                <w:sz w:val="21"/>
                <w:szCs w:val="21"/>
              </w:rPr>
              <w:t>74.5</w:t>
            </w:r>
          </w:p>
        </w:tc>
        <w:tc>
          <w:tcPr>
            <w:tcW w:w="1159"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23.5</w:t>
            </w:r>
          </w:p>
        </w:tc>
        <w:tc>
          <w:tcPr>
            <w:tcW w:w="1075"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29.7</w:t>
            </w:r>
          </w:p>
        </w:tc>
        <w:tc>
          <w:tcPr>
            <w:tcW w:w="1100"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35</w:t>
            </w:r>
          </w:p>
        </w:tc>
        <w:tc>
          <w:tcPr>
            <w:tcW w:w="1125"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968" w:type="dxa"/>
            <w:vMerge w:val="continue"/>
            <w:vAlign w:val="center"/>
          </w:tcPr>
          <w:p>
            <w:pPr>
              <w:autoSpaceDE w:val="0"/>
              <w:autoSpaceDN w:val="0"/>
              <w:adjustRightInd w:val="0"/>
              <w:snapToGrid w:val="0"/>
              <w:spacing w:line="240" w:lineRule="auto"/>
              <w:ind w:firstLine="0" w:firstLineChars="0"/>
              <w:jc w:val="center"/>
              <w:textAlignment w:val="baseline"/>
              <w:rPr>
                <w:color w:val="auto"/>
                <w:sz w:val="21"/>
                <w:szCs w:val="21"/>
              </w:rPr>
            </w:pPr>
          </w:p>
        </w:tc>
        <w:tc>
          <w:tcPr>
            <w:tcW w:w="1684" w:type="dxa"/>
            <w:vAlign w:val="center"/>
          </w:tcPr>
          <w:p>
            <w:pPr>
              <w:widowControl/>
              <w:autoSpaceDE w:val="0"/>
              <w:autoSpaceDN w:val="0"/>
              <w:adjustRightInd w:val="0"/>
              <w:snapToGrid w:val="0"/>
              <w:spacing w:line="240" w:lineRule="auto"/>
              <w:ind w:firstLine="0" w:firstLineChars="0"/>
              <w:jc w:val="center"/>
              <w:textAlignment w:val="baseline"/>
              <w:rPr>
                <w:color w:val="auto"/>
                <w:kern w:val="0"/>
                <w:sz w:val="21"/>
                <w:szCs w:val="21"/>
                <w:lang w:bidi="ar"/>
              </w:rPr>
            </w:pPr>
            <w:r>
              <w:rPr>
                <w:color w:val="auto"/>
                <w:kern w:val="21"/>
                <w:sz w:val="21"/>
                <w:szCs w:val="21"/>
                <w:lang w:bidi="ar"/>
              </w:rPr>
              <w:t>空压机</w:t>
            </w:r>
          </w:p>
        </w:tc>
        <w:tc>
          <w:tcPr>
            <w:tcW w:w="850" w:type="dxa"/>
            <w:vAlign w:val="center"/>
          </w:tcPr>
          <w:p>
            <w:pPr>
              <w:spacing w:line="240" w:lineRule="auto"/>
              <w:ind w:firstLine="0" w:firstLineChars="0"/>
              <w:jc w:val="center"/>
              <w:rPr>
                <w:color w:val="auto"/>
                <w:sz w:val="21"/>
                <w:szCs w:val="21"/>
              </w:rPr>
            </w:pPr>
            <w:r>
              <w:rPr>
                <w:rFonts w:hint="eastAsia"/>
                <w:color w:val="auto"/>
                <w:kern w:val="21"/>
                <w:sz w:val="21"/>
                <w:szCs w:val="21"/>
              </w:rPr>
              <w:t>70</w:t>
            </w:r>
          </w:p>
        </w:tc>
        <w:tc>
          <w:tcPr>
            <w:tcW w:w="1159"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23.5</w:t>
            </w:r>
          </w:p>
        </w:tc>
        <w:tc>
          <w:tcPr>
            <w:tcW w:w="1075"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29.7</w:t>
            </w:r>
          </w:p>
        </w:tc>
        <w:tc>
          <w:tcPr>
            <w:tcW w:w="1100"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35</w:t>
            </w:r>
          </w:p>
        </w:tc>
        <w:tc>
          <w:tcPr>
            <w:tcW w:w="1125"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968" w:type="dxa"/>
            <w:vMerge w:val="continue"/>
            <w:vAlign w:val="center"/>
          </w:tcPr>
          <w:p>
            <w:pPr>
              <w:autoSpaceDE w:val="0"/>
              <w:autoSpaceDN w:val="0"/>
              <w:adjustRightInd w:val="0"/>
              <w:snapToGrid w:val="0"/>
              <w:spacing w:line="240" w:lineRule="auto"/>
              <w:ind w:firstLine="0" w:firstLineChars="0"/>
              <w:jc w:val="center"/>
              <w:textAlignment w:val="baseline"/>
              <w:rPr>
                <w:color w:val="auto"/>
                <w:sz w:val="21"/>
                <w:szCs w:val="21"/>
              </w:rPr>
            </w:pPr>
          </w:p>
        </w:tc>
        <w:tc>
          <w:tcPr>
            <w:tcW w:w="1684"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color w:val="auto"/>
                <w:kern w:val="21"/>
                <w:sz w:val="21"/>
                <w:szCs w:val="21"/>
              </w:rPr>
              <w:t>MBR池鼓风机</w:t>
            </w:r>
          </w:p>
        </w:tc>
        <w:tc>
          <w:tcPr>
            <w:tcW w:w="850" w:type="dxa"/>
            <w:vAlign w:val="center"/>
          </w:tcPr>
          <w:p>
            <w:pPr>
              <w:spacing w:line="240" w:lineRule="auto"/>
              <w:ind w:firstLine="0" w:firstLineChars="0"/>
              <w:jc w:val="center"/>
              <w:rPr>
                <w:color w:val="auto"/>
                <w:sz w:val="21"/>
                <w:szCs w:val="21"/>
              </w:rPr>
            </w:pPr>
            <w:r>
              <w:rPr>
                <w:rFonts w:hint="eastAsia"/>
                <w:color w:val="auto"/>
                <w:kern w:val="21"/>
                <w:sz w:val="21"/>
                <w:szCs w:val="21"/>
              </w:rPr>
              <w:t>69.8</w:t>
            </w:r>
          </w:p>
        </w:tc>
        <w:tc>
          <w:tcPr>
            <w:tcW w:w="1159"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23.5</w:t>
            </w:r>
          </w:p>
        </w:tc>
        <w:tc>
          <w:tcPr>
            <w:tcW w:w="1075"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29.7</w:t>
            </w:r>
          </w:p>
        </w:tc>
        <w:tc>
          <w:tcPr>
            <w:tcW w:w="1100"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35</w:t>
            </w:r>
          </w:p>
        </w:tc>
        <w:tc>
          <w:tcPr>
            <w:tcW w:w="1125" w:type="dxa"/>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rFonts w:hint="eastAsia"/>
                <w:color w:val="auto"/>
                <w:sz w:val="21"/>
                <w:szCs w:val="21"/>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968" w:type="dxa"/>
            <w:vMerge w:val="restart"/>
            <w:vAlign w:val="center"/>
          </w:tcPr>
          <w:p>
            <w:pPr>
              <w:autoSpaceDE w:val="0"/>
              <w:autoSpaceDN w:val="0"/>
              <w:adjustRightInd w:val="0"/>
              <w:snapToGrid w:val="0"/>
              <w:spacing w:line="240" w:lineRule="auto"/>
              <w:ind w:firstLine="0" w:firstLineChars="0"/>
              <w:jc w:val="center"/>
              <w:textAlignment w:val="baseline"/>
              <w:rPr>
                <w:color w:val="auto"/>
                <w:sz w:val="21"/>
                <w:szCs w:val="21"/>
              </w:rPr>
            </w:pPr>
            <w:r>
              <w:rPr>
                <w:color w:val="auto"/>
                <w:kern w:val="21"/>
                <w:sz w:val="21"/>
                <w:szCs w:val="21"/>
              </w:rPr>
              <w:t>污泥脱水车间</w:t>
            </w:r>
          </w:p>
        </w:tc>
        <w:tc>
          <w:tcPr>
            <w:tcW w:w="1684" w:type="dxa"/>
            <w:vAlign w:val="center"/>
          </w:tcPr>
          <w:p>
            <w:pPr>
              <w:autoSpaceDE w:val="0"/>
              <w:autoSpaceDN w:val="0"/>
              <w:adjustRightInd w:val="0"/>
              <w:snapToGrid w:val="0"/>
              <w:spacing w:line="240" w:lineRule="auto"/>
              <w:ind w:firstLine="0" w:firstLineChars="0"/>
              <w:jc w:val="center"/>
              <w:textAlignment w:val="baseline"/>
              <w:rPr>
                <w:color w:val="auto"/>
                <w:kern w:val="0"/>
                <w:sz w:val="21"/>
                <w:szCs w:val="21"/>
                <w:lang w:bidi="ar"/>
              </w:rPr>
            </w:pPr>
            <w:r>
              <w:rPr>
                <w:color w:val="auto"/>
                <w:kern w:val="21"/>
                <w:sz w:val="21"/>
                <w:szCs w:val="21"/>
              </w:rPr>
              <w:t>板框压滤机</w:t>
            </w:r>
          </w:p>
        </w:tc>
        <w:tc>
          <w:tcPr>
            <w:tcW w:w="850" w:type="dxa"/>
            <w:vAlign w:val="center"/>
          </w:tcPr>
          <w:p>
            <w:pPr>
              <w:spacing w:line="240" w:lineRule="auto"/>
              <w:ind w:firstLine="0" w:firstLineChars="0"/>
              <w:jc w:val="center"/>
              <w:rPr>
                <w:color w:val="auto"/>
                <w:sz w:val="21"/>
                <w:szCs w:val="21"/>
                <w:lang w:bidi="en-US"/>
              </w:rPr>
            </w:pPr>
            <w:r>
              <w:rPr>
                <w:rFonts w:hint="eastAsia"/>
                <w:color w:val="auto"/>
                <w:kern w:val="21"/>
                <w:sz w:val="21"/>
                <w:szCs w:val="21"/>
              </w:rPr>
              <w:t>65</w:t>
            </w:r>
          </w:p>
        </w:tc>
        <w:tc>
          <w:tcPr>
            <w:tcW w:w="1159"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47.3</w:t>
            </w:r>
          </w:p>
        </w:tc>
        <w:tc>
          <w:tcPr>
            <w:tcW w:w="107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32.6</w:t>
            </w:r>
          </w:p>
        </w:tc>
        <w:tc>
          <w:tcPr>
            <w:tcW w:w="1100"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15.2</w:t>
            </w:r>
          </w:p>
        </w:tc>
        <w:tc>
          <w:tcPr>
            <w:tcW w:w="112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968" w:type="dxa"/>
            <w:vMerge w:val="continue"/>
            <w:vAlign w:val="center"/>
          </w:tcPr>
          <w:p>
            <w:pPr>
              <w:autoSpaceDE w:val="0"/>
              <w:autoSpaceDN w:val="0"/>
              <w:adjustRightInd w:val="0"/>
              <w:snapToGrid w:val="0"/>
              <w:spacing w:line="240" w:lineRule="auto"/>
              <w:ind w:firstLine="0" w:firstLineChars="0"/>
              <w:jc w:val="center"/>
              <w:textAlignment w:val="baseline"/>
              <w:rPr>
                <w:color w:val="auto"/>
                <w:sz w:val="21"/>
                <w:szCs w:val="21"/>
              </w:rPr>
            </w:pPr>
          </w:p>
        </w:tc>
        <w:tc>
          <w:tcPr>
            <w:tcW w:w="1684" w:type="dxa"/>
            <w:vAlign w:val="center"/>
          </w:tcPr>
          <w:p>
            <w:pPr>
              <w:autoSpaceDE w:val="0"/>
              <w:autoSpaceDN w:val="0"/>
              <w:adjustRightInd w:val="0"/>
              <w:snapToGrid w:val="0"/>
              <w:spacing w:line="240" w:lineRule="auto"/>
              <w:ind w:firstLine="0" w:firstLineChars="0"/>
              <w:jc w:val="center"/>
              <w:textAlignment w:val="baseline"/>
              <w:rPr>
                <w:color w:val="auto"/>
                <w:kern w:val="0"/>
                <w:sz w:val="21"/>
                <w:szCs w:val="21"/>
                <w:lang w:bidi="ar"/>
              </w:rPr>
            </w:pPr>
            <w:r>
              <w:rPr>
                <w:color w:val="auto"/>
                <w:kern w:val="21"/>
                <w:sz w:val="21"/>
                <w:szCs w:val="21"/>
              </w:rPr>
              <w:t>离心泵</w:t>
            </w:r>
          </w:p>
        </w:tc>
        <w:tc>
          <w:tcPr>
            <w:tcW w:w="850" w:type="dxa"/>
            <w:vAlign w:val="center"/>
          </w:tcPr>
          <w:p>
            <w:pPr>
              <w:spacing w:line="240" w:lineRule="auto"/>
              <w:ind w:firstLine="0" w:firstLineChars="0"/>
              <w:jc w:val="center"/>
              <w:rPr>
                <w:color w:val="auto"/>
                <w:sz w:val="21"/>
                <w:szCs w:val="21"/>
                <w:lang w:bidi="en-US"/>
              </w:rPr>
            </w:pPr>
            <w:r>
              <w:rPr>
                <w:rFonts w:hint="eastAsia"/>
                <w:color w:val="auto"/>
                <w:kern w:val="21"/>
                <w:sz w:val="21"/>
                <w:szCs w:val="21"/>
              </w:rPr>
              <w:t>72</w:t>
            </w:r>
          </w:p>
        </w:tc>
        <w:tc>
          <w:tcPr>
            <w:tcW w:w="1159"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47.3</w:t>
            </w:r>
          </w:p>
        </w:tc>
        <w:tc>
          <w:tcPr>
            <w:tcW w:w="107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32.6</w:t>
            </w:r>
          </w:p>
        </w:tc>
        <w:tc>
          <w:tcPr>
            <w:tcW w:w="1100"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15.2</w:t>
            </w:r>
          </w:p>
        </w:tc>
        <w:tc>
          <w:tcPr>
            <w:tcW w:w="112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02" w:type="dxa"/>
            <w:gridSpan w:val="3"/>
            <w:vAlign w:val="center"/>
          </w:tcPr>
          <w:p>
            <w:pPr>
              <w:pStyle w:val="197"/>
              <w:autoSpaceDE w:val="0"/>
              <w:autoSpaceDN w:val="0"/>
              <w:adjustRightInd w:val="0"/>
              <w:snapToGrid w:val="0"/>
              <w:ind w:firstLineChars="0"/>
              <w:jc w:val="center"/>
              <w:textAlignment w:val="baseline"/>
              <w:rPr>
                <w:b/>
                <w:color w:val="auto"/>
                <w:sz w:val="21"/>
                <w:szCs w:val="21"/>
              </w:rPr>
            </w:pPr>
            <w:r>
              <w:rPr>
                <w:b/>
                <w:color w:val="auto"/>
                <w:sz w:val="21"/>
                <w:szCs w:val="21"/>
              </w:rPr>
              <w:t>叠加后的噪声贡献值</w:t>
            </w:r>
          </w:p>
        </w:tc>
        <w:tc>
          <w:tcPr>
            <w:tcW w:w="1159"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53.3</w:t>
            </w:r>
          </w:p>
        </w:tc>
        <w:tc>
          <w:tcPr>
            <w:tcW w:w="107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52.2</w:t>
            </w:r>
          </w:p>
        </w:tc>
        <w:tc>
          <w:tcPr>
            <w:tcW w:w="1100"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53.9</w:t>
            </w:r>
          </w:p>
        </w:tc>
        <w:tc>
          <w:tcPr>
            <w:tcW w:w="1125" w:type="dxa"/>
            <w:vAlign w:val="center"/>
          </w:tcPr>
          <w:p>
            <w:pPr>
              <w:pStyle w:val="197"/>
              <w:autoSpaceDE w:val="0"/>
              <w:autoSpaceDN w:val="0"/>
              <w:adjustRightInd w:val="0"/>
              <w:snapToGrid w:val="0"/>
              <w:ind w:firstLineChars="0"/>
              <w:jc w:val="center"/>
              <w:textAlignment w:val="baseline"/>
              <w:rPr>
                <w:color w:val="auto"/>
                <w:sz w:val="21"/>
                <w:szCs w:val="21"/>
              </w:rPr>
            </w:pPr>
            <w:r>
              <w:rPr>
                <w:rFonts w:hint="eastAsia"/>
                <w:color w:val="auto"/>
                <w:sz w:val="21"/>
                <w:szCs w:val="21"/>
              </w:rPr>
              <w:t>47.7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961" w:type="dxa"/>
            <w:gridSpan w:val="7"/>
            <w:vAlign w:val="center"/>
          </w:tcPr>
          <w:p>
            <w:pPr>
              <w:pStyle w:val="197"/>
              <w:autoSpaceDE w:val="0"/>
              <w:autoSpaceDN w:val="0"/>
              <w:adjustRightInd w:val="0"/>
              <w:snapToGrid w:val="0"/>
              <w:ind w:firstLineChars="0"/>
              <w:jc w:val="center"/>
              <w:textAlignment w:val="baseline"/>
              <w:rPr>
                <w:color w:val="auto"/>
                <w:sz w:val="21"/>
                <w:szCs w:val="21"/>
              </w:rPr>
            </w:pPr>
            <w:r>
              <w:rPr>
                <w:color w:val="auto"/>
                <w:sz w:val="21"/>
                <w:szCs w:val="21"/>
              </w:rPr>
              <w:t>注：按单台设备放置在车间边界最近距离计。</w:t>
            </w:r>
          </w:p>
        </w:tc>
      </w:tr>
    </w:tbl>
    <w:p>
      <w:pPr>
        <w:pStyle w:val="8"/>
        <w:spacing w:before="0" w:after="0" w:line="377" w:lineRule="auto"/>
        <w:ind w:firstLine="0" w:firstLineChars="0"/>
        <w:rPr>
          <w:rFonts w:ascii="Times New Roman" w:hAnsi="Times New Roman" w:eastAsia="宋体"/>
          <w:color w:val="auto"/>
          <w:kern w:val="21"/>
          <w:sz w:val="24"/>
          <w:szCs w:val="24"/>
        </w:rPr>
      </w:pPr>
      <w:bookmarkStart w:id="255" w:name="_Toc91582113"/>
      <w:bookmarkStart w:id="256" w:name="_Toc98063788"/>
      <w:bookmarkStart w:id="257" w:name="_Toc118261912"/>
      <w:bookmarkStart w:id="258" w:name="_Toc336264289"/>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4</w:t>
      </w:r>
      <w:r>
        <w:rPr>
          <w:rFonts w:ascii="Times New Roman" w:hAnsi="Times New Roman" w:eastAsia="宋体"/>
          <w:color w:val="auto"/>
          <w:kern w:val="21"/>
          <w:sz w:val="24"/>
          <w:szCs w:val="24"/>
        </w:rPr>
        <w:t>.3噪声影响分析</w:t>
      </w:r>
      <w:bookmarkEnd w:id="255"/>
      <w:bookmarkEnd w:id="256"/>
      <w:bookmarkEnd w:id="257"/>
      <w:bookmarkEnd w:id="258"/>
    </w:p>
    <w:p>
      <w:pPr>
        <w:ind w:firstLine="482"/>
        <w:rPr>
          <w:color w:val="auto"/>
        </w:rPr>
      </w:pPr>
      <w:r>
        <w:rPr>
          <w:color w:val="auto"/>
          <w:kern w:val="21"/>
        </w:rPr>
        <w:t>根据《环境影响评价技术导则声环境》（HJ2.4-2021），</w:t>
      </w:r>
      <w:r>
        <w:rPr>
          <w:rFonts w:hint="eastAsia"/>
          <w:color w:val="auto"/>
          <w:kern w:val="21"/>
          <w:lang w:eastAsia="zh-CN"/>
        </w:rPr>
        <w:t>项目预测和评价的内容主要为：</w:t>
      </w:r>
      <w:r>
        <w:rPr>
          <w:rFonts w:hint="eastAsia"/>
          <w:color w:val="auto"/>
          <w:kern w:val="21"/>
          <w:lang w:val="en-US" w:eastAsia="zh-CN"/>
        </w:rPr>
        <w:t>1、预测建设项目在施工期和运营期所有声环境保护目标处的噪声贡献值和预测值，评价其超标和达标情况</w:t>
      </w:r>
      <w:r>
        <w:rPr>
          <w:rFonts w:hint="eastAsia"/>
          <w:color w:val="auto"/>
          <w:kern w:val="21"/>
          <w:lang w:eastAsia="zh-CN"/>
        </w:rPr>
        <w:t>；</w:t>
      </w:r>
      <w:r>
        <w:rPr>
          <w:rFonts w:hint="eastAsia"/>
          <w:color w:val="auto"/>
          <w:kern w:val="21"/>
          <w:lang w:val="en-US" w:eastAsia="zh-CN"/>
        </w:rPr>
        <w:t>2、预测和评价建设项目在施工期和运营期厂界（场界、边界）噪声贡献值，评价其超标和达标情况。</w:t>
      </w:r>
    </w:p>
    <w:p>
      <w:pPr>
        <w:ind w:firstLine="480"/>
        <w:rPr>
          <w:color w:val="auto"/>
          <w:kern w:val="21"/>
        </w:rPr>
      </w:pPr>
      <w:r>
        <w:rPr>
          <w:rFonts w:hint="eastAsia"/>
          <w:color w:val="auto"/>
          <w:kern w:val="21"/>
          <w:lang w:val="en-US" w:eastAsia="zh-CN"/>
        </w:rPr>
        <w:t>根据项目周边情况，</w:t>
      </w:r>
      <w:r>
        <w:rPr>
          <w:color w:val="auto"/>
          <w:kern w:val="21"/>
        </w:rPr>
        <w:t>项目</w:t>
      </w:r>
      <w:r>
        <w:rPr>
          <w:rFonts w:hint="eastAsia"/>
          <w:color w:val="auto"/>
          <w:kern w:val="21"/>
          <w:lang w:val="en-US" w:eastAsia="zh-CN"/>
        </w:rPr>
        <w:t>200m</w:t>
      </w:r>
      <w:r>
        <w:rPr>
          <w:rFonts w:hint="eastAsia"/>
          <w:color w:val="auto"/>
          <w:kern w:val="21"/>
          <w:lang w:eastAsia="zh-CN"/>
        </w:rPr>
        <w:t>评价范围内无声环境保护目标</w:t>
      </w:r>
      <w:r>
        <w:rPr>
          <w:color w:val="auto"/>
          <w:kern w:val="21"/>
        </w:rPr>
        <w:t>，</w:t>
      </w:r>
      <w:r>
        <w:rPr>
          <w:rFonts w:hint="eastAsia"/>
          <w:color w:val="auto"/>
          <w:kern w:val="21"/>
          <w:lang w:eastAsia="zh-CN"/>
        </w:rPr>
        <w:t>因此本项目无需预测和评价声环境保护目标处噪声的贡献值和预测值，仅需对项目厂界噪声贡献值进行评价</w:t>
      </w:r>
      <w:r>
        <w:rPr>
          <w:color w:val="auto"/>
          <w:kern w:val="21"/>
        </w:rPr>
        <w:t>。</w:t>
      </w:r>
    </w:p>
    <w:p>
      <w:pPr>
        <w:ind w:firstLine="480"/>
        <w:rPr>
          <w:color w:val="auto"/>
          <w:kern w:val="21"/>
        </w:rPr>
      </w:pPr>
      <w:r>
        <w:rPr>
          <w:color w:val="auto"/>
          <w:kern w:val="21"/>
        </w:rPr>
        <w:t>从表5</w:t>
      </w:r>
      <w:r>
        <w:rPr>
          <w:rFonts w:hint="eastAsia"/>
          <w:color w:val="auto"/>
          <w:kern w:val="21"/>
          <w:lang w:val="en-US" w:eastAsia="zh-CN"/>
        </w:rPr>
        <w:t>-38</w:t>
      </w:r>
      <w:r>
        <w:rPr>
          <w:color w:val="auto"/>
          <w:kern w:val="21"/>
        </w:rPr>
        <w:t>可以看出，项目建成后设备噪声厂界</w:t>
      </w:r>
      <w:r>
        <w:rPr>
          <w:rFonts w:hint="eastAsia"/>
          <w:color w:val="auto"/>
          <w:kern w:val="21"/>
          <w:lang w:eastAsia="zh-CN"/>
        </w:rPr>
        <w:t>最大</w:t>
      </w:r>
      <w:r>
        <w:rPr>
          <w:color w:val="auto"/>
          <w:kern w:val="21"/>
        </w:rPr>
        <w:t>贡献值</w:t>
      </w:r>
      <w:r>
        <w:rPr>
          <w:rFonts w:hint="eastAsia"/>
          <w:color w:val="auto"/>
          <w:kern w:val="21"/>
          <w:lang w:val="en-US" w:eastAsia="zh-CN"/>
        </w:rPr>
        <w:t>53.9</w:t>
      </w:r>
      <w:r>
        <w:rPr>
          <w:rFonts w:hint="eastAsia"/>
          <w:color w:val="auto"/>
          <w:kern w:val="21"/>
        </w:rPr>
        <w:t>d</w:t>
      </w:r>
      <w:r>
        <w:rPr>
          <w:color w:val="auto"/>
          <w:kern w:val="21"/>
        </w:rPr>
        <w:t>B</w:t>
      </w:r>
      <w:r>
        <w:rPr>
          <w:rFonts w:hint="eastAsia"/>
          <w:color w:val="auto"/>
          <w:kern w:val="21"/>
        </w:rPr>
        <w:t>（</w:t>
      </w:r>
      <w:r>
        <w:rPr>
          <w:color w:val="auto"/>
          <w:kern w:val="21"/>
        </w:rPr>
        <w:t>A</w:t>
      </w:r>
      <w:r>
        <w:rPr>
          <w:rFonts w:hint="eastAsia"/>
          <w:color w:val="auto"/>
          <w:kern w:val="21"/>
        </w:rPr>
        <w:t>）</w:t>
      </w:r>
      <w:r>
        <w:rPr>
          <w:color w:val="auto"/>
          <w:kern w:val="21"/>
        </w:rPr>
        <w:t>，噪声</w:t>
      </w:r>
      <w:r>
        <w:rPr>
          <w:rFonts w:hint="eastAsia"/>
          <w:color w:val="auto"/>
          <w:kern w:val="21"/>
          <w:lang w:eastAsia="zh-CN"/>
        </w:rPr>
        <w:t>贡献值能</w:t>
      </w:r>
      <w:r>
        <w:rPr>
          <w:color w:val="auto"/>
          <w:kern w:val="21"/>
        </w:rPr>
        <w:t>达到《工业企业厂界环境噪声排放标准》（GB</w:t>
      </w:r>
      <w:r>
        <w:rPr>
          <w:rFonts w:hint="eastAsia"/>
          <w:color w:val="auto"/>
          <w:kern w:val="21"/>
          <w:lang w:val="en-US" w:eastAsia="zh-CN"/>
        </w:rPr>
        <w:t>12348</w:t>
      </w:r>
      <w:r>
        <w:rPr>
          <w:color w:val="auto"/>
          <w:kern w:val="21"/>
        </w:rPr>
        <w:t>-2008）</w:t>
      </w:r>
      <w:r>
        <w:rPr>
          <w:rFonts w:hint="eastAsia"/>
          <w:color w:val="auto"/>
          <w:kern w:val="21"/>
          <w:lang w:val="en-US" w:eastAsia="zh-CN"/>
        </w:rPr>
        <w:t>3</w:t>
      </w:r>
      <w:r>
        <w:rPr>
          <w:color w:val="auto"/>
          <w:kern w:val="21"/>
        </w:rPr>
        <w:t>类标准昼间</w:t>
      </w:r>
      <w:r>
        <w:rPr>
          <w:rFonts w:hint="eastAsia"/>
          <w:color w:val="auto"/>
          <w:kern w:val="21"/>
          <w:lang w:eastAsia="zh-CN"/>
        </w:rPr>
        <w:t>（≤</w:t>
      </w:r>
      <w:r>
        <w:rPr>
          <w:rFonts w:hint="eastAsia"/>
          <w:color w:val="auto"/>
          <w:kern w:val="21"/>
          <w:lang w:val="en-US" w:eastAsia="zh-CN"/>
        </w:rPr>
        <w:t>65</w:t>
      </w:r>
      <w:r>
        <w:rPr>
          <w:rFonts w:hint="eastAsia"/>
          <w:color w:val="auto"/>
          <w:kern w:val="21"/>
        </w:rPr>
        <w:t>d</w:t>
      </w:r>
      <w:r>
        <w:rPr>
          <w:color w:val="auto"/>
          <w:kern w:val="21"/>
        </w:rPr>
        <w:t>B</w:t>
      </w:r>
      <w:r>
        <w:rPr>
          <w:rFonts w:hint="eastAsia"/>
          <w:color w:val="auto"/>
          <w:kern w:val="21"/>
        </w:rPr>
        <w:t>（</w:t>
      </w:r>
      <w:r>
        <w:rPr>
          <w:color w:val="auto"/>
          <w:kern w:val="21"/>
        </w:rPr>
        <w:t>A</w:t>
      </w:r>
      <w:r>
        <w:rPr>
          <w:rFonts w:hint="eastAsia"/>
          <w:color w:val="auto"/>
          <w:kern w:val="21"/>
        </w:rPr>
        <w:t>）</w:t>
      </w:r>
      <w:r>
        <w:rPr>
          <w:rFonts w:hint="eastAsia"/>
          <w:color w:val="auto"/>
          <w:kern w:val="21"/>
          <w:lang w:eastAsia="zh-CN"/>
        </w:rPr>
        <w:t>）</w:t>
      </w:r>
      <w:r>
        <w:rPr>
          <w:color w:val="auto"/>
          <w:kern w:val="21"/>
        </w:rPr>
        <w:t>、夜间</w:t>
      </w:r>
      <w:r>
        <w:rPr>
          <w:rFonts w:hint="eastAsia"/>
          <w:color w:val="auto"/>
          <w:kern w:val="21"/>
          <w:lang w:eastAsia="zh-CN"/>
        </w:rPr>
        <w:t>（≤</w:t>
      </w:r>
      <w:r>
        <w:rPr>
          <w:rFonts w:hint="eastAsia"/>
          <w:color w:val="auto"/>
          <w:kern w:val="21"/>
          <w:lang w:val="en-US" w:eastAsia="zh-CN"/>
        </w:rPr>
        <w:t>55</w:t>
      </w:r>
      <w:r>
        <w:rPr>
          <w:rFonts w:hint="eastAsia"/>
          <w:color w:val="auto"/>
          <w:kern w:val="21"/>
        </w:rPr>
        <w:t>d</w:t>
      </w:r>
      <w:r>
        <w:rPr>
          <w:color w:val="auto"/>
          <w:kern w:val="21"/>
        </w:rPr>
        <w:t>B</w:t>
      </w:r>
      <w:r>
        <w:rPr>
          <w:rFonts w:hint="eastAsia"/>
          <w:color w:val="auto"/>
          <w:kern w:val="21"/>
        </w:rPr>
        <w:t>（</w:t>
      </w:r>
      <w:r>
        <w:rPr>
          <w:color w:val="auto"/>
          <w:kern w:val="21"/>
        </w:rPr>
        <w:t>A</w:t>
      </w:r>
      <w:r>
        <w:rPr>
          <w:rFonts w:hint="eastAsia"/>
          <w:color w:val="auto"/>
          <w:kern w:val="21"/>
        </w:rPr>
        <w:t>）</w:t>
      </w:r>
      <w:r>
        <w:rPr>
          <w:rFonts w:hint="eastAsia"/>
          <w:color w:val="auto"/>
          <w:kern w:val="21"/>
          <w:lang w:eastAsia="zh-CN"/>
        </w:rPr>
        <w:t>）</w:t>
      </w:r>
      <w:r>
        <w:rPr>
          <w:color w:val="auto"/>
          <w:kern w:val="21"/>
        </w:rPr>
        <w:t>的要求</w:t>
      </w:r>
      <w:r>
        <w:rPr>
          <w:rFonts w:hint="eastAsia"/>
          <w:color w:val="auto"/>
          <w:kern w:val="21"/>
          <w:lang w:eastAsia="zh-CN"/>
        </w:rPr>
        <w:t>，项目对声环境的影响较小</w:t>
      </w:r>
      <w:r>
        <w:rPr>
          <w:color w:val="auto"/>
          <w:kern w:val="21"/>
        </w:rPr>
        <w:t>。</w:t>
      </w:r>
    </w:p>
    <w:p>
      <w:pPr>
        <w:pStyle w:val="8"/>
        <w:spacing w:before="0" w:after="0" w:line="360" w:lineRule="auto"/>
        <w:ind w:firstLine="0" w:firstLineChars="0"/>
        <w:rPr>
          <w:rFonts w:ascii="Times New Roman" w:hAnsi="Times New Roman" w:eastAsia="宋体"/>
          <w:color w:val="auto"/>
          <w:kern w:val="21"/>
          <w:sz w:val="24"/>
          <w:szCs w:val="24"/>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4.</w:t>
      </w:r>
      <w:r>
        <w:rPr>
          <w:rFonts w:hint="eastAsia" w:ascii="Times New Roman" w:hAnsi="Times New Roman" w:eastAsia="宋体"/>
          <w:color w:val="auto"/>
          <w:kern w:val="21"/>
          <w:sz w:val="24"/>
          <w:szCs w:val="24"/>
        </w:rPr>
        <w:t>4</w:t>
      </w:r>
      <w:r>
        <w:rPr>
          <w:rFonts w:ascii="Times New Roman" w:hAnsi="Times New Roman" w:eastAsia="宋体"/>
          <w:color w:val="auto"/>
          <w:kern w:val="21"/>
          <w:sz w:val="24"/>
          <w:szCs w:val="24"/>
        </w:rPr>
        <w:t>小结</w:t>
      </w:r>
    </w:p>
    <w:p>
      <w:pPr>
        <w:ind w:firstLine="480"/>
        <w:rPr>
          <w:color w:val="auto"/>
          <w:kern w:val="21"/>
        </w:rPr>
      </w:pPr>
      <w:r>
        <w:rPr>
          <w:color w:val="auto"/>
          <w:kern w:val="21"/>
        </w:rPr>
        <w:t>项目的噪声源有限，通过采取隔声、减振、采用低噪声设备、消声等措施后，运营期厂界噪声的贡献</w:t>
      </w:r>
      <w:r>
        <w:rPr>
          <w:rFonts w:hint="eastAsia"/>
          <w:color w:val="auto"/>
          <w:kern w:val="21"/>
          <w:lang w:eastAsia="zh-CN"/>
        </w:rPr>
        <w:t>值</w:t>
      </w:r>
      <w:r>
        <w:rPr>
          <w:rFonts w:hint="eastAsia"/>
          <w:color w:val="auto"/>
          <w:kern w:val="21"/>
        </w:rPr>
        <w:t>满足</w:t>
      </w:r>
      <w:r>
        <w:rPr>
          <w:color w:val="auto"/>
          <w:kern w:val="21"/>
        </w:rPr>
        <w:t>《工业企业厂界环境噪声排放标准》（GB</w:t>
      </w:r>
      <w:r>
        <w:rPr>
          <w:rFonts w:hint="eastAsia"/>
          <w:color w:val="auto"/>
          <w:kern w:val="21"/>
          <w:lang w:val="en-US" w:eastAsia="zh-CN"/>
        </w:rPr>
        <w:t>12348</w:t>
      </w:r>
      <w:r>
        <w:rPr>
          <w:color w:val="auto"/>
          <w:kern w:val="21"/>
        </w:rPr>
        <w:t>-2008）</w:t>
      </w:r>
      <w:r>
        <w:rPr>
          <w:rFonts w:hint="eastAsia"/>
          <w:color w:val="auto"/>
          <w:lang w:val="en-US" w:eastAsia="zh-CN"/>
        </w:rPr>
        <w:t>3类</w:t>
      </w:r>
      <w:r>
        <w:rPr>
          <w:color w:val="auto"/>
          <w:kern w:val="21"/>
        </w:rPr>
        <w:t>标准</w:t>
      </w:r>
      <w:r>
        <w:rPr>
          <w:rFonts w:hint="eastAsia"/>
          <w:color w:val="auto"/>
          <w:kern w:val="21"/>
        </w:rPr>
        <w:t>要求，且</w:t>
      </w:r>
      <w:r>
        <w:rPr>
          <w:rFonts w:hint="eastAsia"/>
          <w:bCs/>
          <w:color w:val="auto"/>
          <w:kern w:val="21"/>
        </w:rPr>
        <w:t>距离本项目较近的迤周、外周、外干、迤干等村庄已全部拆除</w:t>
      </w:r>
      <w:r>
        <w:rPr>
          <w:color w:val="auto"/>
          <w:kern w:val="21"/>
        </w:rPr>
        <w:t>，</w:t>
      </w:r>
      <w:r>
        <w:rPr>
          <w:rFonts w:hint="eastAsia"/>
          <w:color w:val="auto"/>
          <w:kern w:val="21"/>
          <w:lang w:eastAsia="zh-CN"/>
        </w:rPr>
        <w:t>项目</w:t>
      </w:r>
      <w:r>
        <w:rPr>
          <w:rFonts w:hint="eastAsia"/>
          <w:color w:val="auto"/>
          <w:kern w:val="21"/>
          <w:lang w:val="en-US" w:eastAsia="zh-CN"/>
        </w:rPr>
        <w:t>200m评价范围内无声环境保护目标</w:t>
      </w:r>
      <w:r>
        <w:rPr>
          <w:rFonts w:hint="eastAsia"/>
          <w:color w:val="auto"/>
          <w:kern w:val="21"/>
        </w:rPr>
        <w:t>，</w:t>
      </w:r>
      <w:r>
        <w:rPr>
          <w:color w:val="auto"/>
          <w:kern w:val="21"/>
        </w:rPr>
        <w:t>因此</w:t>
      </w:r>
      <w:r>
        <w:rPr>
          <w:rFonts w:hint="eastAsia"/>
          <w:color w:val="auto"/>
          <w:kern w:val="21"/>
          <w:lang w:eastAsia="zh-CN"/>
        </w:rPr>
        <w:t>项目运营</w:t>
      </w:r>
      <w:r>
        <w:rPr>
          <w:color w:val="auto"/>
          <w:kern w:val="21"/>
        </w:rPr>
        <w:t>产生的噪声对</w:t>
      </w:r>
      <w:r>
        <w:rPr>
          <w:rFonts w:hint="eastAsia"/>
          <w:color w:val="auto"/>
          <w:kern w:val="21"/>
          <w:lang w:eastAsia="zh-CN"/>
        </w:rPr>
        <w:t>声环境</w:t>
      </w:r>
      <w:r>
        <w:rPr>
          <w:color w:val="auto"/>
          <w:kern w:val="21"/>
        </w:rPr>
        <w:t>的影响较小。</w:t>
      </w:r>
    </w:p>
    <w:p>
      <w:pPr>
        <w:pStyle w:val="8"/>
        <w:spacing w:before="0" w:after="0" w:line="360" w:lineRule="auto"/>
        <w:ind w:firstLine="0" w:firstLineChars="0"/>
        <w:rPr>
          <w:rFonts w:hint="eastAsia" w:ascii="Times New Roman" w:hAnsi="Times New Roman" w:eastAsia="宋体"/>
          <w:color w:val="auto"/>
          <w:kern w:val="21"/>
          <w:sz w:val="24"/>
          <w:szCs w:val="24"/>
          <w:lang w:eastAsia="zh-CN"/>
        </w:rPr>
      </w:pPr>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4.</w:t>
      </w:r>
      <w:r>
        <w:rPr>
          <w:rFonts w:hint="eastAsia" w:ascii="Times New Roman" w:hAnsi="Times New Roman" w:eastAsia="宋体"/>
          <w:color w:val="auto"/>
          <w:kern w:val="21"/>
          <w:sz w:val="24"/>
          <w:szCs w:val="24"/>
          <w:lang w:val="en-US" w:eastAsia="zh-CN"/>
        </w:rPr>
        <w:t>5</w:t>
      </w:r>
      <w:r>
        <w:rPr>
          <w:rFonts w:hint="eastAsia" w:ascii="Times New Roman" w:hAnsi="Times New Roman" w:eastAsia="宋体"/>
          <w:color w:val="auto"/>
          <w:kern w:val="21"/>
          <w:sz w:val="24"/>
          <w:szCs w:val="24"/>
          <w:lang w:eastAsia="zh-CN"/>
        </w:rPr>
        <w:t>声环境影响评价自查表</w:t>
      </w:r>
    </w:p>
    <w:p>
      <w:pPr>
        <w:numPr>
          <w:ilvl w:val="0"/>
          <w:numId w:val="11"/>
        </w:numPr>
        <w:tabs>
          <w:tab w:val="left" w:pos="3395"/>
          <w:tab w:val="clear" w:pos="0"/>
        </w:tabs>
        <w:ind w:left="0" w:leftChars="0" w:firstLine="0" w:firstLineChars="0"/>
        <w:jc w:val="center"/>
        <w:rPr>
          <w:rFonts w:eastAsia="宋体"/>
          <w:color w:val="auto"/>
          <w:kern w:val="21"/>
        </w:rPr>
      </w:pPr>
      <w:r>
        <w:rPr>
          <w:rFonts w:hint="eastAsia"/>
          <w:b/>
          <w:bCs/>
          <w:color w:val="auto"/>
          <w:kern w:val="21"/>
          <w:lang w:eastAsia="zh-CN"/>
        </w:rPr>
        <w:t>声环境影响评价自查表</w:t>
      </w:r>
    </w:p>
    <w:tbl>
      <w:tblPr>
        <w:tblStyle w:val="51"/>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01"/>
        <w:gridCol w:w="1410"/>
        <w:gridCol w:w="1090"/>
        <w:gridCol w:w="548"/>
        <w:gridCol w:w="315"/>
        <w:gridCol w:w="234"/>
        <w:gridCol w:w="1069"/>
        <w:gridCol w:w="678"/>
        <w:gridCol w:w="445"/>
        <w:gridCol w:w="549"/>
        <w:gridCol w:w="508"/>
        <w:gridCol w:w="11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2411" w:type="dxa"/>
            <w:gridSpan w:val="2"/>
            <w:tcBorders>
              <w:right w:val="single" w:color="000000" w:sz="4" w:space="0"/>
            </w:tcBorders>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工作内容</w:t>
            </w:r>
          </w:p>
        </w:tc>
        <w:tc>
          <w:tcPr>
            <w:tcW w:w="6563" w:type="dxa"/>
            <w:gridSpan w:val="10"/>
            <w:tcBorders>
              <w:lef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自查项目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5" w:hRule="atLeast"/>
        </w:trPr>
        <w:tc>
          <w:tcPr>
            <w:tcW w:w="1001" w:type="dxa"/>
            <w:vMerge w:val="restart"/>
            <w:tcBorders>
              <w:bottom w:val="single" w:color="000000" w:sz="4" w:space="0"/>
              <w:right w:val="single" w:color="000000" w:sz="4" w:space="0"/>
            </w:tcBorders>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评价等级与范围</w:t>
            </w:r>
          </w:p>
        </w:tc>
        <w:tc>
          <w:tcPr>
            <w:tcW w:w="1410" w:type="dxa"/>
            <w:tcBorders>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评价等级</w:t>
            </w:r>
          </w:p>
        </w:tc>
        <w:tc>
          <w:tcPr>
            <w:tcW w:w="6563" w:type="dxa"/>
            <w:gridSpan w:val="10"/>
            <w:tcBorders>
              <w:left w:val="single" w:color="000000" w:sz="4" w:space="0"/>
              <w:bottom w:val="single" w:color="000000" w:sz="4" w:space="0"/>
            </w:tcBorders>
            <w:vAlign w:val="center"/>
          </w:tcPr>
          <w:p>
            <w:pPr>
              <w:pStyle w:val="197"/>
              <w:keepNext w:val="0"/>
              <w:keepLines w:val="0"/>
              <w:pageBreakBefore w:val="0"/>
              <w:widowControl w:val="0"/>
              <w:tabs>
                <w:tab w:val="left" w:pos="2103"/>
                <w:tab w:val="left" w:pos="3635"/>
              </w:tabs>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一级□</w:t>
            </w:r>
            <w:r>
              <w:rPr>
                <w:color w:val="auto"/>
                <w:spacing w:val="0"/>
                <w:sz w:val="21"/>
                <w:szCs w:val="21"/>
              </w:rPr>
              <w:tab/>
            </w:r>
            <w:r>
              <w:rPr>
                <w:color w:val="auto"/>
                <w:spacing w:val="0"/>
                <w:sz w:val="21"/>
                <w:szCs w:val="21"/>
              </w:rPr>
              <w:t>二级□</w:t>
            </w:r>
            <w:r>
              <w:rPr>
                <w:color w:val="auto"/>
                <w:spacing w:val="0"/>
                <w:sz w:val="21"/>
                <w:szCs w:val="21"/>
              </w:rPr>
              <w:tab/>
            </w:r>
            <w:r>
              <w:rPr>
                <w:color w:val="auto"/>
                <w:spacing w:val="0"/>
                <w:sz w:val="21"/>
                <w:szCs w:val="21"/>
              </w:rPr>
              <w:t>三级</w:t>
            </w:r>
            <w:r>
              <w:rPr>
                <w:color w:val="auto"/>
                <w:spacing w:val="0"/>
                <w:sz w:val="21"/>
                <w:szCs w:val="21"/>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4" w:hRule="atLeast"/>
        </w:trPr>
        <w:tc>
          <w:tcPr>
            <w:tcW w:w="1001" w:type="dxa"/>
            <w:vMerge w:val="continue"/>
            <w:tcBorders>
              <w:top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评价范围</w:t>
            </w:r>
          </w:p>
        </w:tc>
        <w:tc>
          <w:tcPr>
            <w:tcW w:w="6563" w:type="dxa"/>
            <w:gridSpan w:val="10"/>
            <w:tcBorders>
              <w:top w:val="single" w:color="000000" w:sz="4" w:space="0"/>
              <w:left w:val="single" w:color="000000" w:sz="4" w:space="0"/>
              <w:bottom w:val="single" w:color="000000" w:sz="4" w:space="0"/>
            </w:tcBorders>
            <w:vAlign w:val="center"/>
          </w:tcPr>
          <w:p>
            <w:pPr>
              <w:pStyle w:val="197"/>
              <w:keepNext w:val="0"/>
              <w:keepLines w:val="0"/>
              <w:pageBreakBefore w:val="0"/>
              <w:widowControl w:val="0"/>
              <w:tabs>
                <w:tab w:val="left" w:pos="2384"/>
                <w:tab w:val="left" w:pos="5315"/>
              </w:tabs>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rFonts w:ascii="Times New Roman" w:hAnsi="Times New Roman" w:eastAsia="Times New Roman"/>
                <w:color w:val="auto"/>
                <w:spacing w:val="0"/>
                <w:sz w:val="21"/>
                <w:szCs w:val="21"/>
              </w:rPr>
              <w:t>200 m</w:t>
            </w:r>
            <w:r>
              <w:rPr>
                <w:color w:val="auto"/>
                <w:spacing w:val="0"/>
                <w:sz w:val="21"/>
                <w:szCs w:val="21"/>
              </w:rPr>
              <w:sym w:font="Wingdings 2" w:char="0052"/>
            </w:r>
            <w:r>
              <w:rPr>
                <w:color w:val="auto"/>
                <w:spacing w:val="0"/>
                <w:sz w:val="21"/>
                <w:szCs w:val="21"/>
              </w:rPr>
              <w:tab/>
            </w:r>
            <w:r>
              <w:rPr>
                <w:color w:val="auto"/>
                <w:spacing w:val="0"/>
                <w:sz w:val="21"/>
                <w:szCs w:val="21"/>
              </w:rPr>
              <w:t xml:space="preserve">大于 </w:t>
            </w:r>
            <w:r>
              <w:rPr>
                <w:rFonts w:ascii="Times New Roman" w:hAnsi="Times New Roman" w:eastAsia="Times New Roman"/>
                <w:color w:val="auto"/>
                <w:spacing w:val="0"/>
                <w:sz w:val="21"/>
                <w:szCs w:val="21"/>
              </w:rPr>
              <w:t>200 m</w:t>
            </w:r>
            <w:r>
              <w:rPr>
                <w:color w:val="auto"/>
                <w:spacing w:val="0"/>
                <w:sz w:val="21"/>
                <w:szCs w:val="21"/>
              </w:rPr>
              <w:t>□</w:t>
            </w:r>
            <w:r>
              <w:rPr>
                <w:color w:val="auto"/>
                <w:spacing w:val="0"/>
                <w:sz w:val="21"/>
                <w:szCs w:val="21"/>
              </w:rPr>
              <w:tab/>
            </w:r>
            <w:r>
              <w:rPr>
                <w:color w:val="auto"/>
                <w:spacing w:val="0"/>
                <w:sz w:val="21"/>
                <w:szCs w:val="21"/>
              </w:rPr>
              <w:t xml:space="preserve">小于 </w:t>
            </w:r>
            <w:r>
              <w:rPr>
                <w:rFonts w:ascii="Times New Roman" w:hAnsi="Times New Roman" w:eastAsia="Times New Roman"/>
                <w:color w:val="auto"/>
                <w:spacing w:val="0"/>
                <w:sz w:val="21"/>
                <w:szCs w:val="21"/>
              </w:rPr>
              <w:t>200 m</w:t>
            </w:r>
            <w:r>
              <w:rPr>
                <w:color w:val="auto"/>
                <w:spacing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72" w:hRule="atLeast"/>
        </w:trPr>
        <w:tc>
          <w:tcPr>
            <w:tcW w:w="1001" w:type="dxa"/>
            <w:tcBorders>
              <w:top w:val="single" w:color="000000" w:sz="4" w:space="0"/>
              <w:bottom w:val="single" w:color="000000" w:sz="4" w:space="0"/>
              <w:right w:val="single" w:color="000000" w:sz="4" w:space="0"/>
            </w:tcBorders>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评价因子</w:t>
            </w: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评价因子</w:t>
            </w:r>
          </w:p>
        </w:tc>
        <w:tc>
          <w:tcPr>
            <w:tcW w:w="1953" w:type="dxa"/>
            <w:gridSpan w:val="3"/>
            <w:tcBorders>
              <w:top w:val="single" w:color="000000" w:sz="4" w:space="0"/>
              <w:left w:val="single" w:color="000000" w:sz="4" w:space="0"/>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 xml:space="preserve">等效连续 </w:t>
            </w:r>
            <w:r>
              <w:rPr>
                <w:rFonts w:ascii="Times New Roman" w:hAnsi="Times New Roman" w:eastAsia="Times New Roman"/>
                <w:color w:val="auto"/>
                <w:spacing w:val="0"/>
                <w:sz w:val="21"/>
                <w:szCs w:val="21"/>
              </w:rPr>
              <w:t xml:space="preserve">A </w:t>
            </w:r>
            <w:r>
              <w:rPr>
                <w:color w:val="auto"/>
                <w:spacing w:val="0"/>
                <w:sz w:val="21"/>
                <w:szCs w:val="21"/>
              </w:rPr>
              <w:t>声级</w:t>
            </w:r>
            <w:r>
              <w:rPr>
                <w:color w:val="auto"/>
                <w:spacing w:val="0"/>
                <w:sz w:val="21"/>
                <w:szCs w:val="21"/>
              </w:rPr>
              <w:sym w:font="Wingdings 2" w:char="0052"/>
            </w:r>
          </w:p>
        </w:tc>
        <w:tc>
          <w:tcPr>
            <w:tcW w:w="1981" w:type="dxa"/>
            <w:gridSpan w:val="3"/>
            <w:tcBorders>
              <w:top w:val="single" w:color="000000" w:sz="4" w:space="0"/>
              <w:left w:val="nil"/>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 xml:space="preserve">最大 </w:t>
            </w:r>
            <w:r>
              <w:rPr>
                <w:rFonts w:ascii="Times New Roman" w:hAnsi="Times New Roman" w:eastAsia="Times New Roman"/>
                <w:color w:val="auto"/>
                <w:spacing w:val="0"/>
                <w:sz w:val="21"/>
                <w:szCs w:val="21"/>
              </w:rPr>
              <w:t xml:space="preserve">A </w:t>
            </w:r>
            <w:r>
              <w:rPr>
                <w:color w:val="auto"/>
                <w:spacing w:val="0"/>
                <w:sz w:val="21"/>
                <w:szCs w:val="21"/>
              </w:rPr>
              <w:t>声级□</w:t>
            </w:r>
          </w:p>
        </w:tc>
        <w:tc>
          <w:tcPr>
            <w:tcW w:w="2629" w:type="dxa"/>
            <w:gridSpan w:val="4"/>
            <w:tcBorders>
              <w:top w:val="single" w:color="000000" w:sz="4" w:space="0"/>
              <w:left w:val="nil"/>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计权等效连续感觉噪声级□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0" w:hRule="atLeast"/>
        </w:trPr>
        <w:tc>
          <w:tcPr>
            <w:tcW w:w="1001" w:type="dxa"/>
            <w:tcBorders>
              <w:top w:val="single" w:color="000000" w:sz="4" w:space="0"/>
              <w:bottom w:val="single" w:color="000000" w:sz="4" w:space="0"/>
              <w:right w:val="single" w:color="000000" w:sz="4" w:space="0"/>
            </w:tcBorders>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评价标准</w:t>
            </w: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评价标准</w:t>
            </w:r>
          </w:p>
        </w:tc>
        <w:tc>
          <w:tcPr>
            <w:tcW w:w="1953" w:type="dxa"/>
            <w:gridSpan w:val="3"/>
            <w:tcBorders>
              <w:top w:val="single" w:color="000000" w:sz="4" w:space="0"/>
              <w:left w:val="single" w:color="000000" w:sz="4" w:space="0"/>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pacing w:val="0"/>
                <w:sz w:val="21"/>
                <w:szCs w:val="21"/>
              </w:rPr>
            </w:pPr>
            <w:r>
              <w:rPr>
                <w:color w:val="auto"/>
                <w:spacing w:val="0"/>
                <w:sz w:val="21"/>
                <w:szCs w:val="21"/>
              </w:rPr>
              <w:t>国家标准</w:t>
            </w:r>
            <w:r>
              <w:rPr>
                <w:color w:val="auto"/>
                <w:spacing w:val="0"/>
                <w:sz w:val="21"/>
                <w:szCs w:val="21"/>
              </w:rPr>
              <w:sym w:font="Wingdings 2" w:char="0052"/>
            </w:r>
          </w:p>
        </w:tc>
        <w:tc>
          <w:tcPr>
            <w:tcW w:w="1981" w:type="dxa"/>
            <w:gridSpan w:val="3"/>
            <w:tcBorders>
              <w:top w:val="single" w:color="000000" w:sz="4" w:space="0"/>
              <w:left w:val="nil"/>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地方标准</w:t>
            </w:r>
            <w:r>
              <w:rPr>
                <w:color w:val="auto"/>
                <w:spacing w:val="0"/>
                <w:sz w:val="21"/>
                <w:szCs w:val="21"/>
              </w:rPr>
              <w:sym w:font="Wingdings 2" w:char="00A3"/>
            </w:r>
          </w:p>
        </w:tc>
        <w:tc>
          <w:tcPr>
            <w:tcW w:w="2629" w:type="dxa"/>
            <w:gridSpan w:val="4"/>
            <w:tcBorders>
              <w:top w:val="single" w:color="000000" w:sz="4" w:space="0"/>
              <w:left w:val="nil"/>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国外标准□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7" w:hRule="atLeast"/>
        </w:trPr>
        <w:tc>
          <w:tcPr>
            <w:tcW w:w="1001" w:type="dxa"/>
            <w:vMerge w:val="restart"/>
            <w:tcBorders>
              <w:top w:val="single" w:color="000000" w:sz="4" w:space="0"/>
              <w:bottom w:val="single" w:color="000000" w:sz="4" w:space="0"/>
              <w:right w:val="single" w:color="000000" w:sz="4" w:space="0"/>
            </w:tcBorders>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黑体"/>
                <w:color w:val="auto"/>
                <w:spacing w:val="0"/>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黑体"/>
                <w:color w:val="auto"/>
                <w:spacing w:val="0"/>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现状评价</w:t>
            </w: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环境功能区</w:t>
            </w:r>
          </w:p>
        </w:tc>
        <w:tc>
          <w:tcPr>
            <w:tcW w:w="109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rFonts w:ascii="Times New Roman" w:hAnsi="Times New Roman" w:eastAsia="Times New Roman"/>
                <w:color w:val="auto"/>
                <w:spacing w:val="0"/>
                <w:sz w:val="21"/>
                <w:szCs w:val="21"/>
              </w:rPr>
              <w:t xml:space="preserve">0 </w:t>
            </w:r>
            <w:r>
              <w:rPr>
                <w:color w:val="auto"/>
                <w:spacing w:val="0"/>
                <w:sz w:val="21"/>
                <w:szCs w:val="21"/>
              </w:rPr>
              <w:t>类区□</w:t>
            </w:r>
          </w:p>
        </w:tc>
        <w:tc>
          <w:tcPr>
            <w:tcW w:w="1097" w:type="dxa"/>
            <w:gridSpan w:val="3"/>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rFonts w:ascii="Times New Roman" w:hAnsi="Times New Roman" w:eastAsia="Times New Roman"/>
                <w:color w:val="auto"/>
                <w:spacing w:val="0"/>
                <w:sz w:val="21"/>
                <w:szCs w:val="21"/>
              </w:rPr>
              <w:t xml:space="preserve">1 </w:t>
            </w:r>
            <w:r>
              <w:rPr>
                <w:color w:val="auto"/>
                <w:spacing w:val="0"/>
                <w:sz w:val="21"/>
                <w:szCs w:val="21"/>
              </w:rPr>
              <w:t>类区□</w:t>
            </w:r>
          </w:p>
        </w:tc>
        <w:tc>
          <w:tcPr>
            <w:tcW w:w="1069"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rFonts w:ascii="Times New Roman" w:hAnsi="Times New Roman" w:eastAsia="Times New Roman"/>
                <w:color w:val="auto"/>
                <w:spacing w:val="0"/>
                <w:sz w:val="21"/>
                <w:szCs w:val="21"/>
              </w:rPr>
              <w:t xml:space="preserve">2 </w:t>
            </w:r>
            <w:r>
              <w:rPr>
                <w:color w:val="auto"/>
                <w:spacing w:val="0"/>
                <w:sz w:val="21"/>
                <w:szCs w:val="21"/>
              </w:rPr>
              <w:t>类区□</w:t>
            </w:r>
          </w:p>
        </w:tc>
        <w:tc>
          <w:tcPr>
            <w:tcW w:w="1123" w:type="dxa"/>
            <w:gridSpan w:val="2"/>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rFonts w:ascii="Times New Roman" w:hAnsi="Times New Roman" w:eastAsia="Times New Roman"/>
                <w:color w:val="auto"/>
                <w:spacing w:val="0"/>
                <w:sz w:val="21"/>
                <w:szCs w:val="21"/>
              </w:rPr>
              <w:t xml:space="preserve">3 </w:t>
            </w:r>
            <w:r>
              <w:rPr>
                <w:color w:val="auto"/>
                <w:spacing w:val="0"/>
                <w:sz w:val="21"/>
                <w:szCs w:val="21"/>
              </w:rPr>
              <w:t>类区</w:t>
            </w:r>
            <w:r>
              <w:rPr>
                <w:color w:val="auto"/>
                <w:spacing w:val="0"/>
                <w:sz w:val="21"/>
                <w:szCs w:val="21"/>
              </w:rPr>
              <w:sym w:font="Wingdings 2" w:char="0052"/>
            </w:r>
          </w:p>
        </w:tc>
        <w:tc>
          <w:tcPr>
            <w:tcW w:w="1057" w:type="dxa"/>
            <w:gridSpan w:val="2"/>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rFonts w:ascii="Times New Roman" w:hAnsi="Times New Roman" w:eastAsia="Times New Roman"/>
                <w:color w:val="auto"/>
                <w:spacing w:val="0"/>
                <w:sz w:val="21"/>
                <w:szCs w:val="21"/>
              </w:rPr>
              <w:t xml:space="preserve">4a </w:t>
            </w:r>
            <w:r>
              <w:rPr>
                <w:color w:val="auto"/>
                <w:spacing w:val="0"/>
                <w:sz w:val="21"/>
                <w:szCs w:val="21"/>
              </w:rPr>
              <w:t>类区</w:t>
            </w:r>
            <w:r>
              <w:rPr>
                <w:color w:val="auto"/>
                <w:spacing w:val="0"/>
                <w:sz w:val="21"/>
                <w:szCs w:val="21"/>
              </w:rPr>
              <w:sym w:font="Wingdings 2" w:char="0052"/>
            </w:r>
          </w:p>
        </w:tc>
        <w:tc>
          <w:tcPr>
            <w:tcW w:w="1127" w:type="dxa"/>
            <w:tcBorders>
              <w:top w:val="single" w:color="000000" w:sz="4" w:space="0"/>
              <w:left w:val="single" w:color="000000" w:sz="4" w:space="0"/>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rFonts w:ascii="Times New Roman" w:hAnsi="Times New Roman" w:eastAsia="Times New Roman"/>
                <w:color w:val="auto"/>
                <w:spacing w:val="0"/>
                <w:sz w:val="21"/>
                <w:szCs w:val="21"/>
              </w:rPr>
              <w:t xml:space="preserve">4b </w:t>
            </w:r>
            <w:r>
              <w:rPr>
                <w:color w:val="auto"/>
                <w:spacing w:val="0"/>
                <w:sz w:val="21"/>
                <w:szCs w:val="21"/>
              </w:rPr>
              <w:t>类区□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01" w:type="dxa"/>
            <w:vMerge w:val="continue"/>
            <w:tcBorders>
              <w:top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评价年度</w:t>
            </w:r>
          </w:p>
        </w:tc>
        <w:tc>
          <w:tcPr>
            <w:tcW w:w="1638" w:type="dxa"/>
            <w:gridSpan w:val="2"/>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初期□</w:t>
            </w:r>
          </w:p>
        </w:tc>
        <w:tc>
          <w:tcPr>
            <w:tcW w:w="1618" w:type="dxa"/>
            <w:gridSpan w:val="3"/>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近期□</w:t>
            </w:r>
          </w:p>
        </w:tc>
        <w:tc>
          <w:tcPr>
            <w:tcW w:w="1672" w:type="dxa"/>
            <w:gridSpan w:val="3"/>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中期□</w:t>
            </w:r>
          </w:p>
        </w:tc>
        <w:tc>
          <w:tcPr>
            <w:tcW w:w="1635" w:type="dxa"/>
            <w:gridSpan w:val="2"/>
            <w:tcBorders>
              <w:top w:val="single" w:color="000000" w:sz="4" w:space="0"/>
              <w:left w:val="single" w:color="000000" w:sz="4" w:space="0"/>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远期□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82" w:hRule="atLeast"/>
        </w:trPr>
        <w:tc>
          <w:tcPr>
            <w:tcW w:w="1001" w:type="dxa"/>
            <w:vMerge w:val="continue"/>
            <w:tcBorders>
              <w:top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现状调查方法</w:t>
            </w:r>
          </w:p>
        </w:tc>
        <w:tc>
          <w:tcPr>
            <w:tcW w:w="1953" w:type="dxa"/>
            <w:gridSpan w:val="3"/>
            <w:tcBorders>
              <w:top w:val="single" w:color="000000" w:sz="4" w:space="0"/>
              <w:left w:val="single" w:color="000000" w:sz="4" w:space="0"/>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现场实测法</w:t>
            </w:r>
            <w:r>
              <w:rPr>
                <w:color w:val="auto"/>
                <w:spacing w:val="0"/>
                <w:sz w:val="21"/>
                <w:szCs w:val="21"/>
              </w:rPr>
              <w:sym w:font="Wingdings 2" w:char="0052"/>
            </w:r>
          </w:p>
        </w:tc>
        <w:tc>
          <w:tcPr>
            <w:tcW w:w="2975" w:type="dxa"/>
            <w:gridSpan w:val="5"/>
            <w:tcBorders>
              <w:top w:val="single" w:color="000000" w:sz="4" w:space="0"/>
              <w:left w:val="nil"/>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现场实测加模型计算法□</w:t>
            </w:r>
          </w:p>
        </w:tc>
        <w:tc>
          <w:tcPr>
            <w:tcW w:w="1635" w:type="dxa"/>
            <w:gridSpan w:val="2"/>
            <w:tcBorders>
              <w:top w:val="single" w:color="000000" w:sz="4" w:space="0"/>
              <w:left w:val="nil"/>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收集资料□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4" w:hRule="atLeast"/>
        </w:trPr>
        <w:tc>
          <w:tcPr>
            <w:tcW w:w="1001" w:type="dxa"/>
            <w:vMerge w:val="continue"/>
            <w:tcBorders>
              <w:top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现状评价</w:t>
            </w:r>
          </w:p>
        </w:tc>
        <w:tc>
          <w:tcPr>
            <w:tcW w:w="1953" w:type="dxa"/>
            <w:gridSpan w:val="3"/>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达标百分比</w:t>
            </w:r>
          </w:p>
        </w:tc>
        <w:tc>
          <w:tcPr>
            <w:tcW w:w="4610" w:type="dxa"/>
            <w:gridSpan w:val="7"/>
            <w:tcBorders>
              <w:top w:val="single" w:color="000000" w:sz="4" w:space="0"/>
              <w:left w:val="single" w:color="000000" w:sz="4" w:space="0"/>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pacing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4" w:hRule="atLeast"/>
        </w:trPr>
        <w:tc>
          <w:tcPr>
            <w:tcW w:w="1001" w:type="dxa"/>
            <w:tcBorders>
              <w:top w:val="single" w:color="000000" w:sz="4" w:space="0"/>
              <w:bottom w:val="single" w:color="000000" w:sz="4" w:space="0"/>
              <w:right w:val="single" w:color="000000" w:sz="4" w:space="0"/>
            </w:tcBorders>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噪声源调查</w:t>
            </w: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噪声源调查方法</w:t>
            </w:r>
          </w:p>
        </w:tc>
        <w:tc>
          <w:tcPr>
            <w:tcW w:w="1953" w:type="dxa"/>
            <w:gridSpan w:val="3"/>
            <w:tcBorders>
              <w:top w:val="single" w:color="000000" w:sz="4" w:space="0"/>
              <w:left w:val="single" w:color="000000" w:sz="4" w:space="0"/>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pacing w:val="0"/>
                <w:sz w:val="21"/>
                <w:szCs w:val="21"/>
              </w:rPr>
            </w:pPr>
            <w:r>
              <w:rPr>
                <w:color w:val="auto"/>
                <w:spacing w:val="0"/>
                <w:sz w:val="21"/>
                <w:szCs w:val="21"/>
              </w:rPr>
              <w:t>现场实测</w:t>
            </w:r>
            <w:r>
              <w:rPr>
                <w:color w:val="auto"/>
                <w:spacing w:val="0"/>
                <w:sz w:val="21"/>
                <w:szCs w:val="21"/>
              </w:rPr>
              <w:sym w:font="Wingdings 2" w:char="0052"/>
            </w:r>
          </w:p>
        </w:tc>
        <w:tc>
          <w:tcPr>
            <w:tcW w:w="1981" w:type="dxa"/>
            <w:gridSpan w:val="3"/>
            <w:tcBorders>
              <w:top w:val="single" w:color="000000" w:sz="4" w:space="0"/>
              <w:left w:val="nil"/>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已有资料□</w:t>
            </w:r>
          </w:p>
        </w:tc>
        <w:tc>
          <w:tcPr>
            <w:tcW w:w="2629" w:type="dxa"/>
            <w:gridSpan w:val="4"/>
            <w:tcBorders>
              <w:top w:val="single" w:color="000000" w:sz="4" w:space="0"/>
              <w:left w:val="nil"/>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研究成果□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8" w:hRule="atLeast"/>
        </w:trPr>
        <w:tc>
          <w:tcPr>
            <w:tcW w:w="1001" w:type="dxa"/>
            <w:vMerge w:val="restart"/>
            <w:tcBorders>
              <w:top w:val="single" w:color="000000" w:sz="4" w:space="0"/>
              <w:bottom w:val="single" w:color="000000" w:sz="4" w:space="0"/>
              <w:right w:val="single" w:color="000000" w:sz="4" w:space="0"/>
            </w:tcBorders>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黑体"/>
                <w:color w:val="auto"/>
                <w:spacing w:val="0"/>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黑体"/>
                <w:color w:val="auto"/>
                <w:spacing w:val="0"/>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黑体"/>
                <w:color w:val="auto"/>
                <w:spacing w:val="0"/>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声环境影响预测与评价</w:t>
            </w: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预测模型</w:t>
            </w:r>
          </w:p>
        </w:tc>
        <w:tc>
          <w:tcPr>
            <w:tcW w:w="1953" w:type="dxa"/>
            <w:gridSpan w:val="3"/>
            <w:tcBorders>
              <w:top w:val="single" w:color="000000" w:sz="4" w:space="0"/>
              <w:left w:val="single" w:color="000000" w:sz="4" w:space="0"/>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pacing w:val="0"/>
                <w:sz w:val="21"/>
                <w:szCs w:val="21"/>
              </w:rPr>
            </w:pPr>
            <w:r>
              <w:rPr>
                <w:color w:val="auto"/>
                <w:spacing w:val="0"/>
                <w:sz w:val="21"/>
                <w:szCs w:val="21"/>
              </w:rPr>
              <w:t>导则推荐模型</w:t>
            </w:r>
            <w:r>
              <w:rPr>
                <w:color w:val="auto"/>
                <w:spacing w:val="0"/>
                <w:sz w:val="21"/>
                <w:szCs w:val="21"/>
              </w:rPr>
              <w:sym w:font="Wingdings 2" w:char="0052"/>
            </w:r>
          </w:p>
        </w:tc>
        <w:tc>
          <w:tcPr>
            <w:tcW w:w="4610" w:type="dxa"/>
            <w:gridSpan w:val="7"/>
            <w:tcBorders>
              <w:top w:val="single" w:color="000000" w:sz="4" w:space="0"/>
              <w:left w:val="nil"/>
              <w:bottom w:val="single" w:color="000000" w:sz="4" w:space="0"/>
            </w:tcBorders>
            <w:vAlign w:val="center"/>
          </w:tcPr>
          <w:p>
            <w:pPr>
              <w:pStyle w:val="197"/>
              <w:keepNext w:val="0"/>
              <w:keepLines w:val="0"/>
              <w:pageBreakBefore w:val="0"/>
              <w:widowControl w:val="0"/>
              <w:tabs>
                <w:tab w:val="left" w:pos="1633"/>
              </w:tabs>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olor w:val="auto"/>
                <w:spacing w:val="0"/>
                <w:sz w:val="21"/>
                <w:szCs w:val="21"/>
              </w:rPr>
            </w:pPr>
            <w:r>
              <w:rPr>
                <w:color w:val="auto"/>
                <w:spacing w:val="0"/>
                <w:sz w:val="21"/>
                <w:szCs w:val="21"/>
              </w:rPr>
              <w:t>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01" w:type="dxa"/>
            <w:vMerge w:val="continue"/>
            <w:tcBorders>
              <w:top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预测范围</w:t>
            </w:r>
          </w:p>
        </w:tc>
        <w:tc>
          <w:tcPr>
            <w:tcW w:w="1953" w:type="dxa"/>
            <w:gridSpan w:val="3"/>
            <w:tcBorders>
              <w:top w:val="single" w:color="000000" w:sz="4" w:space="0"/>
              <w:left w:val="single" w:color="000000" w:sz="4" w:space="0"/>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pacing w:val="0"/>
                <w:sz w:val="21"/>
                <w:szCs w:val="21"/>
              </w:rPr>
            </w:pPr>
            <w:r>
              <w:rPr>
                <w:rFonts w:ascii="Times New Roman" w:hAnsi="Times New Roman"/>
                <w:color w:val="auto"/>
                <w:spacing w:val="0"/>
                <w:sz w:val="21"/>
                <w:szCs w:val="21"/>
              </w:rPr>
              <w:t>200 m</w:t>
            </w:r>
            <w:r>
              <w:rPr>
                <w:color w:val="auto"/>
                <w:spacing w:val="0"/>
                <w:sz w:val="21"/>
                <w:szCs w:val="21"/>
              </w:rPr>
              <w:sym w:font="Wingdings 2" w:char="0052"/>
            </w:r>
          </w:p>
        </w:tc>
        <w:tc>
          <w:tcPr>
            <w:tcW w:w="1981" w:type="dxa"/>
            <w:gridSpan w:val="3"/>
            <w:tcBorders>
              <w:top w:val="single" w:color="000000" w:sz="4" w:space="0"/>
              <w:left w:val="nil"/>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 xml:space="preserve">大于 </w:t>
            </w:r>
            <w:r>
              <w:rPr>
                <w:rFonts w:ascii="Times New Roman" w:hAnsi="Times New Roman" w:eastAsia="Times New Roman"/>
                <w:color w:val="auto"/>
                <w:spacing w:val="0"/>
                <w:sz w:val="21"/>
                <w:szCs w:val="21"/>
              </w:rPr>
              <w:t>200 m</w:t>
            </w:r>
            <w:r>
              <w:rPr>
                <w:color w:val="auto"/>
                <w:spacing w:val="0"/>
                <w:sz w:val="21"/>
                <w:szCs w:val="21"/>
              </w:rPr>
              <w:t>□</w:t>
            </w:r>
          </w:p>
        </w:tc>
        <w:tc>
          <w:tcPr>
            <w:tcW w:w="2629" w:type="dxa"/>
            <w:gridSpan w:val="4"/>
            <w:tcBorders>
              <w:top w:val="single" w:color="000000" w:sz="4" w:space="0"/>
              <w:left w:val="nil"/>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 xml:space="preserve">小于 </w:t>
            </w:r>
            <w:r>
              <w:rPr>
                <w:rFonts w:ascii="Times New Roman" w:hAnsi="Times New Roman" w:eastAsia="Times New Roman"/>
                <w:color w:val="auto"/>
                <w:spacing w:val="0"/>
                <w:sz w:val="21"/>
                <w:szCs w:val="21"/>
              </w:rPr>
              <w:t>200 m</w:t>
            </w:r>
            <w:r>
              <w:rPr>
                <w:color w:val="auto"/>
                <w:spacing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01" w:type="dxa"/>
            <w:vMerge w:val="continue"/>
            <w:tcBorders>
              <w:top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预测因子</w:t>
            </w:r>
          </w:p>
        </w:tc>
        <w:tc>
          <w:tcPr>
            <w:tcW w:w="1953" w:type="dxa"/>
            <w:gridSpan w:val="3"/>
            <w:tcBorders>
              <w:top w:val="single" w:color="000000" w:sz="4" w:space="0"/>
              <w:left w:val="single" w:color="000000" w:sz="4" w:space="0"/>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 xml:space="preserve">等效连续 </w:t>
            </w:r>
            <w:r>
              <w:rPr>
                <w:rFonts w:ascii="Times New Roman" w:hAnsi="Times New Roman" w:eastAsia="Times New Roman"/>
                <w:color w:val="auto"/>
                <w:spacing w:val="0"/>
                <w:sz w:val="21"/>
                <w:szCs w:val="21"/>
              </w:rPr>
              <w:t xml:space="preserve">A </w:t>
            </w:r>
            <w:r>
              <w:rPr>
                <w:color w:val="auto"/>
                <w:spacing w:val="0"/>
                <w:sz w:val="21"/>
                <w:szCs w:val="21"/>
              </w:rPr>
              <w:t>声级</w:t>
            </w:r>
            <w:r>
              <w:rPr>
                <w:color w:val="auto"/>
                <w:spacing w:val="0"/>
                <w:sz w:val="21"/>
                <w:szCs w:val="21"/>
              </w:rPr>
              <w:sym w:font="Wingdings 2" w:char="0052"/>
            </w:r>
          </w:p>
        </w:tc>
        <w:tc>
          <w:tcPr>
            <w:tcW w:w="1981" w:type="dxa"/>
            <w:gridSpan w:val="3"/>
            <w:tcBorders>
              <w:top w:val="single" w:color="000000" w:sz="4" w:space="0"/>
              <w:left w:val="nil"/>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 xml:space="preserve">最大 </w:t>
            </w:r>
            <w:r>
              <w:rPr>
                <w:rFonts w:ascii="Times New Roman" w:hAnsi="Times New Roman" w:eastAsia="Times New Roman"/>
                <w:color w:val="auto"/>
                <w:spacing w:val="0"/>
                <w:sz w:val="21"/>
                <w:szCs w:val="21"/>
              </w:rPr>
              <w:t xml:space="preserve">A </w:t>
            </w:r>
            <w:r>
              <w:rPr>
                <w:color w:val="auto"/>
                <w:spacing w:val="0"/>
                <w:sz w:val="21"/>
                <w:szCs w:val="21"/>
              </w:rPr>
              <w:t>声级</w:t>
            </w:r>
            <w:r>
              <w:rPr>
                <w:color w:val="auto"/>
                <w:spacing w:val="0"/>
                <w:sz w:val="21"/>
                <w:szCs w:val="21"/>
              </w:rPr>
              <w:sym w:font="Wingdings 2" w:char="00A3"/>
            </w:r>
          </w:p>
        </w:tc>
        <w:tc>
          <w:tcPr>
            <w:tcW w:w="2629" w:type="dxa"/>
            <w:gridSpan w:val="4"/>
            <w:tcBorders>
              <w:top w:val="single" w:color="000000" w:sz="4" w:space="0"/>
              <w:left w:val="nil"/>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计权等效连续感觉噪声级□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0" w:hRule="atLeast"/>
        </w:trPr>
        <w:tc>
          <w:tcPr>
            <w:tcW w:w="1001" w:type="dxa"/>
            <w:vMerge w:val="continue"/>
            <w:tcBorders>
              <w:top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厂界噪声贡献值</w:t>
            </w:r>
          </w:p>
        </w:tc>
        <w:tc>
          <w:tcPr>
            <w:tcW w:w="1953" w:type="dxa"/>
            <w:gridSpan w:val="3"/>
            <w:tcBorders>
              <w:top w:val="single" w:color="000000" w:sz="4" w:space="0"/>
              <w:left w:val="single" w:color="000000" w:sz="4" w:space="0"/>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 xml:space="preserve">达标 </w:t>
            </w:r>
            <w:r>
              <w:rPr>
                <w:color w:val="auto"/>
                <w:spacing w:val="0"/>
                <w:sz w:val="21"/>
                <w:szCs w:val="21"/>
              </w:rPr>
              <w:sym w:font="Wingdings 2" w:char="0052"/>
            </w:r>
          </w:p>
        </w:tc>
        <w:tc>
          <w:tcPr>
            <w:tcW w:w="4610" w:type="dxa"/>
            <w:gridSpan w:val="7"/>
            <w:tcBorders>
              <w:top w:val="single" w:color="000000" w:sz="4" w:space="0"/>
              <w:left w:val="nil"/>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pacing w:val="0"/>
                <w:sz w:val="21"/>
                <w:szCs w:val="21"/>
              </w:rPr>
            </w:pPr>
            <w:r>
              <w:rPr>
                <w:color w:val="auto"/>
                <w:spacing w:val="0"/>
                <w:sz w:val="21"/>
                <w:szCs w:val="21"/>
              </w:rPr>
              <w:t>不达标□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27" w:hRule="atLeast"/>
        </w:trPr>
        <w:tc>
          <w:tcPr>
            <w:tcW w:w="1001" w:type="dxa"/>
            <w:vMerge w:val="continue"/>
            <w:tcBorders>
              <w:top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声环境保护目标处噪声值</w:t>
            </w:r>
          </w:p>
        </w:tc>
        <w:tc>
          <w:tcPr>
            <w:tcW w:w="1953" w:type="dxa"/>
            <w:gridSpan w:val="3"/>
            <w:tcBorders>
              <w:top w:val="single" w:color="000000" w:sz="4" w:space="0"/>
              <w:left w:val="single" w:color="000000" w:sz="4" w:space="0"/>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达标</w:t>
            </w:r>
            <w:r>
              <w:rPr>
                <w:color w:val="auto"/>
                <w:spacing w:val="0"/>
                <w:sz w:val="21"/>
                <w:szCs w:val="21"/>
              </w:rPr>
              <w:sym w:font="Wingdings 2" w:char="00A3"/>
            </w:r>
          </w:p>
        </w:tc>
        <w:tc>
          <w:tcPr>
            <w:tcW w:w="4610" w:type="dxa"/>
            <w:gridSpan w:val="7"/>
            <w:tcBorders>
              <w:top w:val="single" w:color="000000" w:sz="4" w:space="0"/>
              <w:left w:val="nil"/>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pacing w:val="0"/>
                <w:sz w:val="21"/>
                <w:szCs w:val="21"/>
              </w:rPr>
            </w:pPr>
            <w:r>
              <w:rPr>
                <w:color w:val="auto"/>
                <w:spacing w:val="0"/>
                <w:sz w:val="21"/>
                <w:szCs w:val="21"/>
              </w:rPr>
              <w:t>不达标□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7" w:hRule="atLeast"/>
        </w:trPr>
        <w:tc>
          <w:tcPr>
            <w:tcW w:w="1001" w:type="dxa"/>
            <w:vMerge w:val="restart"/>
            <w:tcBorders>
              <w:top w:val="single" w:color="000000" w:sz="4" w:space="0"/>
              <w:bottom w:val="single" w:color="000000" w:sz="4" w:space="0"/>
              <w:right w:val="single" w:color="000000" w:sz="4" w:space="0"/>
            </w:tcBorders>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黑体"/>
                <w:color w:val="auto"/>
                <w:spacing w:val="0"/>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环境监测计划</w:t>
            </w: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排放监测</w:t>
            </w:r>
          </w:p>
        </w:tc>
        <w:tc>
          <w:tcPr>
            <w:tcW w:w="3256" w:type="dxa"/>
            <w:gridSpan w:val="5"/>
            <w:tcBorders>
              <w:top w:val="single" w:color="000000" w:sz="4" w:space="0"/>
              <w:left w:val="single" w:color="000000" w:sz="4" w:space="0"/>
              <w:bottom w:val="single" w:color="000000" w:sz="4" w:space="0"/>
              <w:right w:val="nil"/>
            </w:tcBorders>
            <w:vAlign w:val="center"/>
          </w:tcPr>
          <w:p>
            <w:pPr>
              <w:pStyle w:val="197"/>
              <w:keepNext w:val="0"/>
              <w:keepLines w:val="0"/>
              <w:pageBreakBefore w:val="0"/>
              <w:widowControl w:val="0"/>
              <w:tabs>
                <w:tab w:val="left" w:pos="1621"/>
              </w:tabs>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厂界监测</w:t>
            </w:r>
            <w:r>
              <w:rPr>
                <w:color w:val="auto"/>
                <w:spacing w:val="0"/>
                <w:sz w:val="21"/>
                <w:szCs w:val="21"/>
              </w:rPr>
              <w:sym w:font="Wingdings 2" w:char="0052"/>
            </w:r>
            <w:r>
              <w:rPr>
                <w:color w:val="auto"/>
                <w:spacing w:val="0"/>
                <w:sz w:val="21"/>
                <w:szCs w:val="21"/>
              </w:rPr>
              <w:tab/>
            </w:r>
            <w:r>
              <w:rPr>
                <w:color w:val="auto"/>
                <w:spacing w:val="0"/>
                <w:sz w:val="21"/>
                <w:szCs w:val="21"/>
              </w:rPr>
              <w:t>固定位置监测□</w:t>
            </w:r>
          </w:p>
        </w:tc>
        <w:tc>
          <w:tcPr>
            <w:tcW w:w="2180" w:type="dxa"/>
            <w:gridSpan w:val="4"/>
            <w:tcBorders>
              <w:top w:val="single" w:color="000000" w:sz="4" w:space="0"/>
              <w:left w:val="nil"/>
              <w:bottom w:val="single" w:color="000000" w:sz="4" w:space="0"/>
              <w:right w:val="nil"/>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自动监测□ 手动监测</w:t>
            </w:r>
            <w:r>
              <w:rPr>
                <w:color w:val="auto"/>
                <w:spacing w:val="0"/>
                <w:sz w:val="21"/>
                <w:szCs w:val="21"/>
              </w:rPr>
              <w:sym w:font="Wingdings 2" w:char="0052"/>
            </w:r>
          </w:p>
        </w:tc>
        <w:tc>
          <w:tcPr>
            <w:tcW w:w="1127" w:type="dxa"/>
            <w:tcBorders>
              <w:top w:val="single" w:color="000000" w:sz="4" w:space="0"/>
              <w:left w:val="nil"/>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无监测□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28" w:hRule="atLeast"/>
        </w:trPr>
        <w:tc>
          <w:tcPr>
            <w:tcW w:w="1001" w:type="dxa"/>
            <w:vMerge w:val="continue"/>
            <w:tcBorders>
              <w:top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pacing w:val="0"/>
                <w:sz w:val="21"/>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声环境保护目标处噪声监测</w:t>
            </w:r>
          </w:p>
        </w:tc>
        <w:tc>
          <w:tcPr>
            <w:tcW w:w="3256" w:type="dxa"/>
            <w:gridSpan w:val="5"/>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tabs>
                <w:tab w:val="left" w:pos="2252"/>
              </w:tabs>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监测因子：（）</w:t>
            </w:r>
          </w:p>
        </w:tc>
        <w:tc>
          <w:tcPr>
            <w:tcW w:w="2180" w:type="dxa"/>
            <w:gridSpan w:val="4"/>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tabs>
                <w:tab w:val="left" w:pos="1735"/>
              </w:tabs>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监测点位数（）</w:t>
            </w:r>
          </w:p>
        </w:tc>
        <w:tc>
          <w:tcPr>
            <w:tcW w:w="1127" w:type="dxa"/>
            <w:tcBorders>
              <w:top w:val="single" w:color="000000" w:sz="4" w:space="0"/>
              <w:left w:val="single" w:color="000000" w:sz="4" w:space="0"/>
              <w:bottom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无监测□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4" w:hRule="atLeast"/>
        </w:trPr>
        <w:tc>
          <w:tcPr>
            <w:tcW w:w="1001" w:type="dxa"/>
            <w:tcBorders>
              <w:top w:val="single" w:color="000000" w:sz="4" w:space="0"/>
              <w:bottom w:val="single" w:color="000000" w:sz="4" w:space="0"/>
              <w:right w:val="single" w:color="000000" w:sz="4" w:space="0"/>
            </w:tcBorders>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评价结论</w:t>
            </w:r>
          </w:p>
        </w:tc>
        <w:tc>
          <w:tcPr>
            <w:tcW w:w="1410" w:type="dxa"/>
            <w:tcBorders>
              <w:top w:val="single" w:color="000000" w:sz="4" w:space="0"/>
              <w:left w:val="single" w:color="000000" w:sz="4" w:space="0"/>
              <w:bottom w:val="single" w:color="000000" w:sz="4" w:space="0"/>
              <w:right w:val="single" w:color="000000" w:sz="4" w:space="0"/>
            </w:tcBorders>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环境影响</w:t>
            </w:r>
          </w:p>
        </w:tc>
        <w:tc>
          <w:tcPr>
            <w:tcW w:w="6563" w:type="dxa"/>
            <w:gridSpan w:val="10"/>
            <w:tcBorders>
              <w:top w:val="single" w:color="000000" w:sz="4" w:space="0"/>
              <w:left w:val="single" w:color="000000" w:sz="4" w:space="0"/>
              <w:bottom w:val="single" w:color="000000" w:sz="4" w:space="0"/>
            </w:tcBorders>
            <w:vAlign w:val="center"/>
          </w:tcPr>
          <w:p>
            <w:pPr>
              <w:pStyle w:val="197"/>
              <w:keepNext w:val="0"/>
              <w:keepLines w:val="0"/>
              <w:pageBreakBefore w:val="0"/>
              <w:widowControl w:val="0"/>
              <w:tabs>
                <w:tab w:val="left" w:pos="1202"/>
              </w:tabs>
              <w:kinsoku/>
              <w:wordWrap/>
              <w:overflowPunct/>
              <w:topLinePunct w:val="0"/>
              <w:autoSpaceDE/>
              <w:autoSpaceDN/>
              <w:bidi w:val="0"/>
              <w:adjustRightInd/>
              <w:snapToGrid/>
              <w:spacing w:line="240" w:lineRule="auto"/>
              <w:ind w:left="0" w:right="0" w:firstLine="0" w:firstLineChars="0"/>
              <w:jc w:val="center"/>
              <w:textAlignment w:val="auto"/>
              <w:rPr>
                <w:color w:val="auto"/>
                <w:spacing w:val="0"/>
                <w:sz w:val="21"/>
                <w:szCs w:val="21"/>
              </w:rPr>
            </w:pPr>
            <w:r>
              <w:rPr>
                <w:color w:val="auto"/>
                <w:spacing w:val="0"/>
                <w:sz w:val="21"/>
                <w:szCs w:val="21"/>
              </w:rPr>
              <w:t>可行</w:t>
            </w:r>
            <w:r>
              <w:rPr>
                <w:color w:val="auto"/>
                <w:spacing w:val="0"/>
                <w:sz w:val="21"/>
                <w:szCs w:val="21"/>
              </w:rPr>
              <w:sym w:font="Wingdings 2" w:char="0052"/>
            </w:r>
            <w:r>
              <w:rPr>
                <w:color w:val="auto"/>
                <w:spacing w:val="0"/>
                <w:sz w:val="21"/>
                <w:szCs w:val="21"/>
              </w:rPr>
              <w:tab/>
            </w:r>
            <w:r>
              <w:rPr>
                <w:color w:val="auto"/>
                <w:spacing w:val="0"/>
                <w:sz w:val="21"/>
                <w:szCs w:val="21"/>
              </w:rPr>
              <w:t>不可行□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6" w:hRule="atLeast"/>
        </w:trPr>
        <w:tc>
          <w:tcPr>
            <w:tcW w:w="8974" w:type="dxa"/>
            <w:gridSpan w:val="12"/>
            <w:tcBorders>
              <w:top w:val="single" w:color="000000" w:sz="4" w:space="0"/>
            </w:tcBorders>
          </w:tcPr>
          <w:p>
            <w:pPr>
              <w:pStyle w:val="197"/>
              <w:keepNext w:val="0"/>
              <w:keepLines w:val="0"/>
              <w:pageBreakBefore w:val="0"/>
              <w:widowControl w:val="0"/>
              <w:tabs>
                <w:tab w:val="left" w:pos="3079"/>
              </w:tabs>
              <w:kinsoku/>
              <w:wordWrap/>
              <w:overflowPunct/>
              <w:topLinePunct w:val="0"/>
              <w:autoSpaceDE/>
              <w:autoSpaceDN/>
              <w:bidi w:val="0"/>
              <w:adjustRightInd/>
              <w:snapToGrid/>
              <w:spacing w:line="240" w:lineRule="auto"/>
              <w:ind w:left="0" w:right="0" w:firstLine="0" w:firstLineChars="0"/>
              <w:textAlignment w:val="auto"/>
              <w:rPr>
                <w:color w:val="auto"/>
                <w:spacing w:val="0"/>
                <w:sz w:val="21"/>
                <w:szCs w:val="21"/>
              </w:rPr>
            </w:pPr>
            <w:r>
              <w:rPr>
                <w:color w:val="auto"/>
                <w:spacing w:val="0"/>
                <w:sz w:val="21"/>
                <w:szCs w:val="21"/>
              </w:rPr>
              <w:t>注：“□” 为勾选项 ，可√ ；“（</w:t>
            </w:r>
            <w:r>
              <w:rPr>
                <w:color w:val="auto"/>
                <w:spacing w:val="0"/>
                <w:sz w:val="21"/>
                <w:szCs w:val="21"/>
              </w:rPr>
              <w:tab/>
            </w:r>
            <w:r>
              <w:rPr>
                <w:color w:val="auto"/>
                <w:spacing w:val="0"/>
                <w:sz w:val="21"/>
                <w:szCs w:val="21"/>
              </w:rPr>
              <w:t>）” 为内容填写项。</w:t>
            </w:r>
          </w:p>
        </w:tc>
      </w:tr>
    </w:tbl>
    <w:p>
      <w:pPr>
        <w:pStyle w:val="6"/>
        <w:spacing w:after="0"/>
        <w:rPr>
          <w:rFonts w:eastAsia="宋体"/>
          <w:color w:val="auto"/>
          <w:kern w:val="21"/>
        </w:rPr>
      </w:pPr>
      <w:bookmarkStart w:id="259" w:name="_Toc1297"/>
      <w:r>
        <w:rPr>
          <w:rFonts w:eastAsia="宋体"/>
          <w:color w:val="auto"/>
          <w:kern w:val="21"/>
        </w:rPr>
        <w:t>5.</w:t>
      </w:r>
      <w:r>
        <w:rPr>
          <w:rFonts w:hint="eastAsia" w:eastAsia="宋体"/>
          <w:color w:val="auto"/>
          <w:kern w:val="21"/>
        </w:rPr>
        <w:t>2</w:t>
      </w:r>
      <w:r>
        <w:rPr>
          <w:rFonts w:eastAsia="宋体"/>
          <w:color w:val="auto"/>
          <w:kern w:val="21"/>
        </w:rPr>
        <w:t>.</w:t>
      </w:r>
      <w:r>
        <w:rPr>
          <w:rFonts w:hint="eastAsia" w:eastAsia="宋体"/>
          <w:color w:val="auto"/>
          <w:kern w:val="21"/>
        </w:rPr>
        <w:t>5</w:t>
      </w:r>
      <w:r>
        <w:rPr>
          <w:rFonts w:eastAsia="宋体"/>
          <w:color w:val="auto"/>
          <w:kern w:val="21"/>
        </w:rPr>
        <w:t>运营期固废影响分析</w:t>
      </w:r>
      <w:bookmarkEnd w:id="259"/>
    </w:p>
    <w:p>
      <w:pPr>
        <w:pStyle w:val="8"/>
        <w:spacing w:before="0" w:after="0" w:line="360" w:lineRule="auto"/>
        <w:ind w:firstLine="0" w:firstLineChars="0"/>
        <w:rPr>
          <w:rFonts w:ascii="Times New Roman" w:hAnsi="Times New Roman" w:eastAsia="宋体"/>
          <w:color w:val="auto"/>
          <w:kern w:val="21"/>
          <w:sz w:val="24"/>
          <w:szCs w:val="24"/>
        </w:rPr>
      </w:pPr>
      <w:bookmarkStart w:id="260" w:name="_Toc112903104"/>
      <w:bookmarkStart w:id="261" w:name="_Toc112890491"/>
      <w:bookmarkStart w:id="262" w:name="_Toc113790839"/>
      <w:r>
        <w:rPr>
          <w:rFonts w:ascii="Times New Roman" w:hAnsi="Times New Roman" w:eastAsia="宋体"/>
          <w:color w:val="auto"/>
          <w:kern w:val="21"/>
          <w:sz w:val="24"/>
          <w:szCs w:val="24"/>
        </w:rPr>
        <w:t>5.</w:t>
      </w:r>
      <w:r>
        <w:rPr>
          <w:rFonts w:hint="eastAsia" w:ascii="Times New Roman" w:hAnsi="Times New Roman" w:eastAsia="宋体"/>
          <w:color w:val="auto"/>
          <w:kern w:val="21"/>
          <w:sz w:val="24"/>
          <w:szCs w:val="24"/>
        </w:rPr>
        <w:t>2</w:t>
      </w:r>
      <w:r>
        <w:rPr>
          <w:rFonts w:ascii="Times New Roman" w:hAnsi="Times New Roman" w:eastAsia="宋体"/>
          <w:color w:val="auto"/>
          <w:kern w:val="21"/>
          <w:sz w:val="24"/>
          <w:szCs w:val="24"/>
        </w:rPr>
        <w:t>.</w:t>
      </w:r>
      <w:r>
        <w:rPr>
          <w:rFonts w:hint="eastAsia" w:ascii="Times New Roman" w:hAnsi="Times New Roman" w:eastAsia="宋体"/>
          <w:color w:val="auto"/>
          <w:kern w:val="21"/>
          <w:sz w:val="24"/>
          <w:szCs w:val="24"/>
        </w:rPr>
        <w:t>5</w:t>
      </w:r>
      <w:r>
        <w:rPr>
          <w:rFonts w:ascii="Times New Roman" w:hAnsi="Times New Roman" w:eastAsia="宋体"/>
          <w:color w:val="auto"/>
          <w:kern w:val="21"/>
          <w:sz w:val="24"/>
          <w:szCs w:val="24"/>
        </w:rPr>
        <w:t>.1固废</w:t>
      </w:r>
      <w:bookmarkEnd w:id="260"/>
      <w:bookmarkEnd w:id="261"/>
      <w:bookmarkEnd w:id="262"/>
      <w:r>
        <w:rPr>
          <w:rFonts w:ascii="Times New Roman" w:hAnsi="Times New Roman" w:eastAsia="宋体"/>
          <w:color w:val="auto"/>
          <w:kern w:val="21"/>
          <w:sz w:val="24"/>
          <w:szCs w:val="24"/>
        </w:rPr>
        <w:t>产生情况</w:t>
      </w:r>
    </w:p>
    <w:p>
      <w:pPr>
        <w:ind w:firstLine="480"/>
        <w:rPr>
          <w:color w:val="auto"/>
          <w:kern w:val="21"/>
        </w:rPr>
      </w:pPr>
      <w:r>
        <w:rPr>
          <w:color w:val="auto"/>
          <w:kern w:val="21"/>
        </w:rPr>
        <w:t>本项目产生的固体废物主要有污水过程中产生的</w:t>
      </w:r>
      <w:r>
        <w:rPr>
          <w:rFonts w:hint="eastAsia"/>
          <w:color w:val="auto"/>
          <w:kern w:val="21"/>
        </w:rPr>
        <w:t>栅渣、污泥、职工的生活垃圾</w:t>
      </w:r>
      <w:r>
        <w:rPr>
          <w:rFonts w:hint="eastAsia"/>
          <w:color w:val="auto"/>
          <w:kern w:val="21"/>
          <w:lang w:eastAsia="zh-CN"/>
        </w:rPr>
        <w:t>、废活性炭</w:t>
      </w:r>
      <w:r>
        <w:rPr>
          <w:rFonts w:hint="eastAsia"/>
          <w:color w:val="auto"/>
          <w:kern w:val="21"/>
        </w:rPr>
        <w:t>、废机油</w:t>
      </w:r>
      <w:r>
        <w:rPr>
          <w:rFonts w:hint="eastAsia"/>
          <w:color w:val="auto"/>
          <w:kern w:val="21"/>
          <w:lang w:eastAsia="zh-CN"/>
        </w:rPr>
        <w:t>、</w:t>
      </w:r>
      <w:r>
        <w:rPr>
          <w:rFonts w:hint="eastAsia"/>
          <w:color w:val="auto"/>
          <w:kern w:val="21"/>
        </w:rPr>
        <w:t>废弃紫外光灯管</w:t>
      </w:r>
      <w:r>
        <w:rPr>
          <w:rFonts w:hint="eastAsia"/>
          <w:color w:val="auto"/>
          <w:kern w:val="21"/>
          <w:lang w:eastAsia="zh-CN"/>
        </w:rPr>
        <w:t>和在线监测设备废液</w:t>
      </w:r>
      <w:r>
        <w:rPr>
          <w:rFonts w:hint="eastAsia"/>
          <w:color w:val="auto"/>
          <w:kern w:val="21"/>
        </w:rPr>
        <w:t>。</w:t>
      </w:r>
      <w:r>
        <w:rPr>
          <w:color w:val="auto"/>
          <w:kern w:val="21"/>
        </w:rPr>
        <w:t>项目固废产生及处置情况见</w:t>
      </w:r>
      <w:r>
        <w:rPr>
          <w:rFonts w:hint="eastAsia"/>
          <w:color w:val="auto"/>
          <w:kern w:val="21"/>
          <w:lang w:eastAsia="zh-CN"/>
        </w:rPr>
        <w:t>下表</w:t>
      </w:r>
      <w:r>
        <w:rPr>
          <w:color w:val="auto"/>
          <w:kern w:val="21"/>
        </w:rPr>
        <w:t>。</w:t>
      </w:r>
    </w:p>
    <w:p>
      <w:pPr>
        <w:pStyle w:val="2"/>
        <w:rPr>
          <w:color w:val="auto"/>
          <w:kern w:val="21"/>
        </w:rPr>
      </w:pPr>
    </w:p>
    <w:p>
      <w:pPr>
        <w:rPr>
          <w:color w:val="auto"/>
          <w:kern w:val="21"/>
        </w:rPr>
      </w:pPr>
    </w:p>
    <w:p>
      <w:pPr>
        <w:pStyle w:val="2"/>
        <w:rPr>
          <w:color w:val="auto"/>
        </w:rPr>
      </w:pPr>
    </w:p>
    <w:p>
      <w:pPr>
        <w:numPr>
          <w:ilvl w:val="0"/>
          <w:numId w:val="11"/>
        </w:numPr>
        <w:tabs>
          <w:tab w:val="left" w:pos="3395"/>
          <w:tab w:val="clear" w:pos="0"/>
        </w:tabs>
        <w:ind w:left="0" w:leftChars="0" w:firstLine="0" w:firstLineChars="0"/>
        <w:jc w:val="center"/>
        <w:rPr>
          <w:b/>
          <w:bCs/>
          <w:color w:val="auto"/>
          <w:kern w:val="21"/>
        </w:rPr>
      </w:pPr>
      <w:r>
        <w:rPr>
          <w:b/>
          <w:bCs/>
          <w:color w:val="auto"/>
          <w:kern w:val="21"/>
        </w:rPr>
        <w:t>项目</w:t>
      </w:r>
      <w:r>
        <w:rPr>
          <w:b/>
          <w:color w:val="auto"/>
          <w:kern w:val="21"/>
        </w:rPr>
        <w:t>固体废物产生及处置情况</w:t>
      </w:r>
      <w:r>
        <w:rPr>
          <w:b/>
          <w:bCs/>
          <w:color w:val="auto"/>
          <w:kern w:val="21"/>
        </w:rPr>
        <w:t>表</w:t>
      </w:r>
    </w:p>
    <w:tbl>
      <w:tblPr>
        <w:tblStyle w:val="51"/>
        <w:tblpPr w:leftFromText="180" w:rightFromText="180" w:vertAnchor="text" w:tblpXSpec="center" w:tblpY="1"/>
        <w:tblOverlap w:val="never"/>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4"/>
        <w:gridCol w:w="1514"/>
        <w:gridCol w:w="922"/>
        <w:gridCol w:w="855"/>
        <w:gridCol w:w="1226"/>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7" w:hRule="atLeast"/>
        </w:trPr>
        <w:tc>
          <w:tcPr>
            <w:tcW w:w="484"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序号</w:t>
            </w:r>
          </w:p>
        </w:tc>
        <w:tc>
          <w:tcPr>
            <w:tcW w:w="1514"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产生源</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固废名称</w:t>
            </w:r>
          </w:p>
        </w:tc>
        <w:tc>
          <w:tcPr>
            <w:tcW w:w="855"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产生量</w:t>
            </w:r>
          </w:p>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（t/a）</w:t>
            </w:r>
          </w:p>
        </w:tc>
        <w:tc>
          <w:tcPr>
            <w:tcW w:w="1226"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固废属性</w:t>
            </w:r>
          </w:p>
        </w:tc>
        <w:tc>
          <w:tcPr>
            <w:tcW w:w="3300"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采取的利用或处置方式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1</w:t>
            </w:r>
          </w:p>
        </w:tc>
        <w:tc>
          <w:tcPr>
            <w:tcW w:w="1514"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格栅</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bCs/>
                <w:color w:val="auto"/>
                <w:kern w:val="21"/>
                <w:szCs w:val="21"/>
              </w:rPr>
            </w:pPr>
            <w:r>
              <w:rPr>
                <w:rFonts w:ascii="Times New Roman" w:hAnsi="Times New Roman"/>
                <w:bCs/>
                <w:color w:val="auto"/>
                <w:kern w:val="21"/>
                <w:szCs w:val="21"/>
              </w:rPr>
              <w:t>栅渣</w:t>
            </w:r>
          </w:p>
        </w:tc>
        <w:tc>
          <w:tcPr>
            <w:tcW w:w="855"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73</w:t>
            </w:r>
          </w:p>
        </w:tc>
        <w:tc>
          <w:tcPr>
            <w:tcW w:w="1226"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一般固废</w:t>
            </w:r>
          </w:p>
        </w:tc>
        <w:tc>
          <w:tcPr>
            <w:tcW w:w="3300" w:type="dxa"/>
            <w:vAlign w:val="center"/>
          </w:tcPr>
          <w:p>
            <w:pPr>
              <w:pStyle w:val="108"/>
              <w:tabs>
                <w:tab w:val="decimal" w:pos="2182"/>
                <w:tab w:val="left" w:pos="3393"/>
                <w:tab w:val="left" w:pos="5124"/>
              </w:tabs>
              <w:spacing w:before="0" w:after="0" w:afterLines="0"/>
              <w:jc w:val="center"/>
              <w:rPr>
                <w:rFonts w:ascii="Times New Roman" w:hAnsi="Times New Roman"/>
                <w:bCs/>
                <w:color w:val="auto"/>
                <w:kern w:val="21"/>
                <w:szCs w:val="21"/>
              </w:rPr>
            </w:pPr>
            <w:r>
              <w:rPr>
                <w:rFonts w:ascii="Times New Roman" w:hAnsi="Times New Roman"/>
                <w:color w:val="auto"/>
                <w:kern w:val="21"/>
                <w:szCs w:val="21"/>
              </w:rPr>
              <w:t>由环卫部门集中处置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8" w:hRule="atLeast"/>
        </w:trPr>
        <w:tc>
          <w:tcPr>
            <w:tcW w:w="484"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2</w:t>
            </w:r>
          </w:p>
        </w:tc>
        <w:tc>
          <w:tcPr>
            <w:tcW w:w="1514"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混凝沉淀池、</w:t>
            </w:r>
            <w:r>
              <w:rPr>
                <w:rFonts w:hint="eastAsia"/>
                <w:i w:val="0"/>
                <w:iCs/>
                <w:color w:val="auto"/>
                <w:kern w:val="21"/>
                <w:sz w:val="21"/>
                <w:szCs w:val="21"/>
              </w:rPr>
              <w:t>A</w:t>
            </w:r>
            <w:r>
              <w:rPr>
                <w:rFonts w:hint="eastAsia"/>
                <w:i w:val="0"/>
                <w:iCs/>
                <w:color w:val="auto"/>
                <w:kern w:val="21"/>
                <w:sz w:val="21"/>
                <w:szCs w:val="21"/>
                <w:vertAlign w:val="superscript"/>
              </w:rPr>
              <w:t>2</w:t>
            </w:r>
            <w:r>
              <w:rPr>
                <w:rFonts w:ascii="Times New Roman" w:hAnsi="Times New Roman"/>
                <w:color w:val="auto"/>
                <w:kern w:val="21"/>
                <w:sz w:val="21"/>
                <w:szCs w:val="21"/>
                <w:lang w:val="en-US"/>
              </w:rPr>
              <w:t>/</w:t>
            </w:r>
            <w:r>
              <w:rPr>
                <w:rFonts w:ascii="Times New Roman" w:hAnsi="Times New Roman"/>
                <w:color w:val="auto"/>
                <w:kern w:val="21"/>
                <w:szCs w:val="21"/>
                <w:lang w:val="en-US"/>
              </w:rPr>
              <w:t>O生化池、MBR膜池、污泥脱水车间</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污泥</w:t>
            </w:r>
          </w:p>
        </w:tc>
        <w:tc>
          <w:tcPr>
            <w:tcW w:w="855"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730</w:t>
            </w:r>
          </w:p>
        </w:tc>
        <w:tc>
          <w:tcPr>
            <w:tcW w:w="1226"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鉴别确定</w:t>
            </w:r>
          </w:p>
        </w:tc>
        <w:tc>
          <w:tcPr>
            <w:tcW w:w="3300"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hint="eastAsia"/>
                <w:color w:val="auto"/>
                <w:kern w:val="21"/>
                <w:szCs w:val="21"/>
                <w:lang w:val="en-US" w:eastAsia="zh-CN"/>
              </w:rPr>
              <w:t>定期</w:t>
            </w:r>
            <w:r>
              <w:rPr>
                <w:rFonts w:hint="eastAsia"/>
                <w:color w:val="auto"/>
                <w:kern w:val="21"/>
                <w:szCs w:val="21"/>
                <w:lang w:val="en-US"/>
              </w:rPr>
              <w:t>委托监测单位进行属性鉴别，若是危废则</w:t>
            </w:r>
            <w:r>
              <w:rPr>
                <w:rFonts w:hint="eastAsia"/>
                <w:color w:val="auto"/>
                <w:kern w:val="21"/>
                <w:szCs w:val="21"/>
                <w:lang w:val="en-US" w:eastAsia="zh-CN"/>
              </w:rPr>
              <w:t>暂存</w:t>
            </w:r>
            <w:r>
              <w:rPr>
                <w:rFonts w:hint="eastAsia"/>
                <w:color w:val="auto"/>
                <w:kern w:val="21"/>
                <w:szCs w:val="21"/>
                <w:lang w:val="en-US"/>
              </w:rPr>
              <w:t>污水厂危废暂存间，并委托资质单位处置，若是一般固废则送至楚雄市生活垃圾焚烧发电厂进行焚烧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3</w:t>
            </w:r>
          </w:p>
        </w:tc>
        <w:tc>
          <w:tcPr>
            <w:tcW w:w="1514"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生活办公</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生活垃圾</w:t>
            </w:r>
          </w:p>
        </w:tc>
        <w:tc>
          <w:tcPr>
            <w:tcW w:w="855"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1.64</w:t>
            </w:r>
          </w:p>
        </w:tc>
        <w:tc>
          <w:tcPr>
            <w:tcW w:w="1226"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一般固废</w:t>
            </w:r>
          </w:p>
        </w:tc>
        <w:tc>
          <w:tcPr>
            <w:tcW w:w="3300"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由环卫部门集中处置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4</w:t>
            </w:r>
          </w:p>
        </w:tc>
        <w:tc>
          <w:tcPr>
            <w:tcW w:w="1514"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活性炭吸附塔</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hint="eastAsia" w:ascii="Times New Roman" w:hAnsi="Times New Roman"/>
                <w:color w:val="auto"/>
                <w:kern w:val="21"/>
                <w:szCs w:val="21"/>
                <w:lang w:val="en-US" w:eastAsia="zh-CN"/>
              </w:rPr>
              <w:t>废活性炭</w:t>
            </w:r>
          </w:p>
        </w:tc>
        <w:tc>
          <w:tcPr>
            <w:tcW w:w="855"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1</w:t>
            </w:r>
          </w:p>
        </w:tc>
        <w:tc>
          <w:tcPr>
            <w:tcW w:w="1226" w:type="dxa"/>
            <w:vAlign w:val="center"/>
          </w:tcPr>
          <w:p>
            <w:pPr>
              <w:pStyle w:val="108"/>
              <w:tabs>
                <w:tab w:val="decimal" w:pos="2182"/>
                <w:tab w:val="left" w:pos="3393"/>
                <w:tab w:val="left" w:pos="5124"/>
              </w:tabs>
              <w:spacing w:before="0" w:after="0" w:afterLines="0"/>
              <w:jc w:val="center"/>
              <w:rPr>
                <w:rFonts w:hint="eastAsia" w:ascii="Times New Roman" w:hAnsi="Times New Roman"/>
                <w:color w:val="auto"/>
                <w:kern w:val="21"/>
                <w:szCs w:val="21"/>
                <w:lang w:val="en-US" w:eastAsia="zh-CN"/>
              </w:rPr>
            </w:pPr>
            <w:r>
              <w:rPr>
                <w:rFonts w:hint="eastAsia" w:ascii="Times New Roman" w:hAnsi="Times New Roman"/>
                <w:color w:val="auto"/>
                <w:kern w:val="21"/>
                <w:szCs w:val="21"/>
                <w:lang w:val="en-US" w:eastAsia="zh-CN"/>
              </w:rPr>
              <w:t>一般固废</w:t>
            </w:r>
          </w:p>
        </w:tc>
        <w:tc>
          <w:tcPr>
            <w:tcW w:w="3300" w:type="dxa"/>
            <w:vAlign w:val="center"/>
          </w:tcPr>
          <w:p>
            <w:pPr>
              <w:pStyle w:val="108"/>
              <w:tabs>
                <w:tab w:val="decimal" w:pos="2182"/>
                <w:tab w:val="left" w:pos="3393"/>
                <w:tab w:val="left" w:pos="5124"/>
              </w:tabs>
              <w:spacing w:before="0" w:after="0" w:afterLines="0"/>
              <w:jc w:val="center"/>
              <w:rPr>
                <w:rFonts w:hint="eastAsia" w:ascii="Times New Roman" w:hAnsi="Times New Roman"/>
                <w:color w:val="auto"/>
                <w:kern w:val="21"/>
                <w:szCs w:val="21"/>
                <w:lang w:val="en-US" w:eastAsia="zh-CN"/>
              </w:rPr>
            </w:pPr>
            <w:r>
              <w:rPr>
                <w:rFonts w:hint="eastAsia" w:ascii="Times New Roman" w:hAnsi="Times New Roman"/>
                <w:color w:val="auto"/>
                <w:kern w:val="21"/>
                <w:szCs w:val="21"/>
                <w:lang w:val="en-US" w:eastAsia="zh-CN"/>
              </w:rPr>
              <w:t>由设备厂家上门定期更换回收并再生处理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5</w:t>
            </w:r>
          </w:p>
        </w:tc>
        <w:tc>
          <w:tcPr>
            <w:tcW w:w="1514"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机修维护</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废机油</w:t>
            </w:r>
          </w:p>
        </w:tc>
        <w:tc>
          <w:tcPr>
            <w:tcW w:w="855"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0.005</w:t>
            </w:r>
          </w:p>
        </w:tc>
        <w:tc>
          <w:tcPr>
            <w:tcW w:w="1226"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危险废物900-214-08</w:t>
            </w:r>
          </w:p>
        </w:tc>
        <w:tc>
          <w:tcPr>
            <w:tcW w:w="3300" w:type="dxa"/>
            <w:vMerge w:val="restart"/>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hint="eastAsia" w:ascii="Times New Roman" w:hAnsi="Times New Roman"/>
                <w:color w:val="auto"/>
                <w:kern w:val="21"/>
                <w:szCs w:val="21"/>
                <w:lang w:val="en-US" w:eastAsia="zh-CN"/>
              </w:rPr>
              <w:t>暂存</w:t>
            </w:r>
            <w:r>
              <w:rPr>
                <w:rFonts w:ascii="Times New Roman" w:hAnsi="Times New Roman"/>
                <w:color w:val="auto"/>
                <w:kern w:val="21"/>
                <w:szCs w:val="21"/>
                <w:lang w:val="en-US"/>
              </w:rPr>
              <w:t>污水厂危废暂存间，委托资质单位清运处置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6</w:t>
            </w:r>
          </w:p>
        </w:tc>
        <w:tc>
          <w:tcPr>
            <w:tcW w:w="1514"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紫外消毒系统</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废紫外灯管</w:t>
            </w:r>
          </w:p>
        </w:tc>
        <w:tc>
          <w:tcPr>
            <w:tcW w:w="855"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0.1</w:t>
            </w:r>
          </w:p>
        </w:tc>
        <w:tc>
          <w:tcPr>
            <w:tcW w:w="1226"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hint="eastAsia" w:ascii="Times New Roman" w:hAnsi="Times New Roman"/>
                <w:color w:val="auto"/>
                <w:kern w:val="21"/>
                <w:szCs w:val="21"/>
                <w:lang w:val="en-US" w:eastAsia="zh-CN"/>
              </w:rPr>
              <w:t>危险废物900-023-29</w:t>
            </w:r>
          </w:p>
        </w:tc>
        <w:tc>
          <w:tcPr>
            <w:tcW w:w="3300" w:type="dxa"/>
            <w:vMerge w:val="continue"/>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trPr>
        <w:tc>
          <w:tcPr>
            <w:tcW w:w="484"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7</w:t>
            </w:r>
          </w:p>
        </w:tc>
        <w:tc>
          <w:tcPr>
            <w:tcW w:w="1514"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在线监测设备</w:t>
            </w:r>
          </w:p>
        </w:tc>
        <w:tc>
          <w:tcPr>
            <w:tcW w:w="922" w:type="dxa"/>
            <w:vAlign w:val="center"/>
          </w:tcPr>
          <w:p>
            <w:pPr>
              <w:pStyle w:val="108"/>
              <w:tabs>
                <w:tab w:val="decimal" w:pos="2182"/>
                <w:tab w:val="left" w:pos="3393"/>
                <w:tab w:val="left" w:pos="5124"/>
              </w:tabs>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废液</w:t>
            </w:r>
          </w:p>
        </w:tc>
        <w:tc>
          <w:tcPr>
            <w:tcW w:w="855" w:type="dxa"/>
            <w:vAlign w:val="center"/>
          </w:tcPr>
          <w:p>
            <w:pPr>
              <w:pStyle w:val="108"/>
              <w:tabs>
                <w:tab w:val="decimal" w:pos="2182"/>
                <w:tab w:val="left" w:pos="3393"/>
                <w:tab w:val="left" w:pos="5124"/>
              </w:tabs>
              <w:spacing w:before="0" w:after="0" w:afterLines="0"/>
              <w:jc w:val="center"/>
              <w:rPr>
                <w:rFonts w:hint="default"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0.1</w:t>
            </w:r>
          </w:p>
        </w:tc>
        <w:tc>
          <w:tcPr>
            <w:tcW w:w="1226"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hint="eastAsia" w:ascii="Times New Roman" w:hAnsi="Times New Roman"/>
                <w:color w:val="auto"/>
                <w:kern w:val="21"/>
                <w:szCs w:val="21"/>
                <w:lang w:val="en-US" w:eastAsia="zh-CN"/>
              </w:rPr>
              <w:t>危险废物900-047-49</w:t>
            </w:r>
          </w:p>
        </w:tc>
        <w:tc>
          <w:tcPr>
            <w:tcW w:w="3300" w:type="dxa"/>
            <w:vMerge w:val="continue"/>
            <w:vAlign w:val="center"/>
          </w:tcPr>
          <w:p>
            <w:pPr>
              <w:pStyle w:val="108"/>
              <w:tabs>
                <w:tab w:val="decimal" w:pos="2182"/>
                <w:tab w:val="left" w:pos="3393"/>
                <w:tab w:val="left" w:pos="5124"/>
              </w:tabs>
              <w:spacing w:before="0" w:after="0" w:afterLines="0"/>
              <w:jc w:val="center"/>
              <w:rPr>
                <w:rFonts w:hint="eastAsia" w:ascii="Times New Roman" w:hAnsi="Times New Roman"/>
                <w:color w:val="auto"/>
                <w:kern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54" w:hRule="atLeast"/>
        </w:trPr>
        <w:tc>
          <w:tcPr>
            <w:tcW w:w="1998" w:type="dxa"/>
            <w:gridSpan w:val="2"/>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合计</w:t>
            </w:r>
          </w:p>
        </w:tc>
        <w:tc>
          <w:tcPr>
            <w:tcW w:w="922"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p>
        </w:tc>
        <w:tc>
          <w:tcPr>
            <w:tcW w:w="855"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hint="eastAsia" w:ascii="Times New Roman" w:hAnsi="Times New Roman"/>
                <w:color w:val="auto"/>
                <w:kern w:val="21"/>
                <w:szCs w:val="21"/>
                <w:lang w:val="en-US"/>
              </w:rPr>
              <w:t>804.</w:t>
            </w:r>
            <w:r>
              <w:rPr>
                <w:rFonts w:hint="eastAsia" w:ascii="Times New Roman" w:hAnsi="Times New Roman"/>
                <w:color w:val="auto"/>
                <w:kern w:val="21"/>
                <w:szCs w:val="21"/>
                <w:lang w:val="en-US" w:eastAsia="zh-CN"/>
              </w:rPr>
              <w:t>8</w:t>
            </w:r>
            <w:r>
              <w:rPr>
                <w:rFonts w:hint="eastAsia" w:ascii="Times New Roman" w:hAnsi="Times New Roman"/>
                <w:color w:val="auto"/>
                <w:kern w:val="21"/>
                <w:szCs w:val="21"/>
                <w:lang w:val="en-US"/>
              </w:rPr>
              <w:t>45</w:t>
            </w:r>
          </w:p>
        </w:tc>
        <w:tc>
          <w:tcPr>
            <w:tcW w:w="1226"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p>
        </w:tc>
        <w:tc>
          <w:tcPr>
            <w:tcW w:w="3300" w:type="dxa"/>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p>
        </w:tc>
      </w:tr>
    </w:tbl>
    <w:p>
      <w:pPr>
        <w:pStyle w:val="8"/>
        <w:spacing w:before="0" w:after="0" w:line="360" w:lineRule="auto"/>
        <w:ind w:firstLine="0" w:firstLineChars="0"/>
        <w:rPr>
          <w:rStyle w:val="117"/>
          <w:rFonts w:ascii="Times New Roman" w:hAnsi="Times New Roman" w:eastAsia="宋体"/>
          <w:bCs w:val="0"/>
          <w:color w:val="auto"/>
          <w:kern w:val="21"/>
          <w:sz w:val="24"/>
          <w:szCs w:val="24"/>
        </w:rPr>
      </w:pPr>
      <w:r>
        <w:rPr>
          <w:rStyle w:val="117"/>
          <w:rFonts w:ascii="Times New Roman" w:hAnsi="Times New Roman" w:eastAsia="宋体"/>
          <w:bCs w:val="0"/>
          <w:color w:val="auto"/>
          <w:kern w:val="21"/>
          <w:sz w:val="24"/>
          <w:szCs w:val="24"/>
        </w:rPr>
        <w:t>5.</w:t>
      </w:r>
      <w:r>
        <w:rPr>
          <w:rStyle w:val="117"/>
          <w:rFonts w:hint="eastAsia" w:ascii="Times New Roman" w:hAnsi="Times New Roman" w:eastAsia="宋体"/>
          <w:bCs w:val="0"/>
          <w:color w:val="auto"/>
          <w:kern w:val="21"/>
          <w:sz w:val="24"/>
          <w:szCs w:val="24"/>
        </w:rPr>
        <w:t>2</w:t>
      </w:r>
      <w:r>
        <w:rPr>
          <w:rStyle w:val="117"/>
          <w:rFonts w:ascii="Times New Roman" w:hAnsi="Times New Roman" w:eastAsia="宋体"/>
          <w:bCs w:val="0"/>
          <w:color w:val="auto"/>
          <w:kern w:val="21"/>
          <w:sz w:val="24"/>
          <w:szCs w:val="24"/>
        </w:rPr>
        <w:t>.</w:t>
      </w:r>
      <w:r>
        <w:rPr>
          <w:rStyle w:val="117"/>
          <w:rFonts w:hint="eastAsia" w:ascii="Times New Roman" w:hAnsi="Times New Roman" w:eastAsia="宋体"/>
          <w:bCs w:val="0"/>
          <w:color w:val="auto"/>
          <w:kern w:val="21"/>
          <w:sz w:val="24"/>
          <w:szCs w:val="24"/>
        </w:rPr>
        <w:t>5</w:t>
      </w:r>
      <w:r>
        <w:rPr>
          <w:rStyle w:val="117"/>
          <w:rFonts w:ascii="Times New Roman" w:hAnsi="Times New Roman" w:eastAsia="宋体"/>
          <w:bCs w:val="0"/>
          <w:color w:val="auto"/>
          <w:kern w:val="21"/>
          <w:sz w:val="24"/>
          <w:szCs w:val="24"/>
        </w:rPr>
        <w:t>.2污泥环境影响分析</w:t>
      </w:r>
    </w:p>
    <w:p>
      <w:pPr>
        <w:widowControl/>
        <w:ind w:firstLine="480"/>
        <w:jc w:val="left"/>
        <w:rPr>
          <w:color w:val="auto"/>
          <w:kern w:val="21"/>
        </w:rPr>
      </w:pPr>
      <w:r>
        <w:rPr>
          <w:color w:val="auto"/>
          <w:kern w:val="21"/>
          <w:lang w:bidi="ar"/>
        </w:rPr>
        <w:t>项目运行期混凝沉淀池、</w:t>
      </w:r>
      <w:r>
        <w:rPr>
          <w:rFonts w:hint="eastAsia"/>
          <w:color w:val="auto"/>
          <w:kern w:val="21"/>
          <w:lang w:bidi="ar"/>
        </w:rPr>
        <w:t>A</w:t>
      </w:r>
      <w:r>
        <w:rPr>
          <w:rFonts w:hint="eastAsia"/>
          <w:color w:val="auto"/>
          <w:kern w:val="21"/>
          <w:vertAlign w:val="superscript"/>
          <w:lang w:bidi="ar"/>
        </w:rPr>
        <w:t>2</w:t>
      </w:r>
      <w:r>
        <w:rPr>
          <w:rFonts w:hint="eastAsia"/>
          <w:color w:val="auto"/>
          <w:kern w:val="21"/>
          <w:lang w:bidi="ar"/>
        </w:rPr>
        <w:t>/O</w:t>
      </w:r>
      <w:r>
        <w:rPr>
          <w:color w:val="auto"/>
          <w:kern w:val="21"/>
          <w:lang w:bidi="ar"/>
        </w:rPr>
        <w:t>生化池、MBR膜池产生的污泥经污泥脱水车间脱水处理后会产生污泥，厂区长期大量堆存污泥会产生一系列不良后果，主要表现为产生</w:t>
      </w:r>
      <w:r>
        <w:rPr>
          <w:rFonts w:hint="eastAsia"/>
          <w:color w:val="auto"/>
          <w:kern w:val="21"/>
          <w:lang w:eastAsia="zh-CN" w:bidi="ar"/>
        </w:rPr>
        <w:t>恶臭气体</w:t>
      </w:r>
      <w:r>
        <w:rPr>
          <w:color w:val="auto"/>
          <w:kern w:val="21"/>
          <w:lang w:bidi="ar"/>
        </w:rPr>
        <w:t>和遇雨污泥流失、下渗等，夏季还会孳生蚊蝇。污泥堆存产生的</w:t>
      </w:r>
      <w:r>
        <w:rPr>
          <w:rFonts w:hint="eastAsia"/>
          <w:color w:val="auto"/>
          <w:kern w:val="21"/>
          <w:lang w:eastAsia="zh-CN" w:bidi="ar"/>
        </w:rPr>
        <w:t>恶臭气体</w:t>
      </w:r>
      <w:r>
        <w:rPr>
          <w:color w:val="auto"/>
          <w:kern w:val="21"/>
          <w:lang w:bidi="ar"/>
        </w:rPr>
        <w:t>会对空气环境产生影响，污泥流失或渗漏将对地下水和地表水造成污染。因此，应尽量避免污泥在厂区长期堆存，并采取一定的防流失、防渗漏及堆场排水措施。针对污泥在厂内临时贮存堆放，</w:t>
      </w:r>
      <w:r>
        <w:rPr>
          <w:rFonts w:hint="eastAsia"/>
          <w:color w:val="auto"/>
          <w:kern w:val="21"/>
          <w:lang w:bidi="ar"/>
        </w:rPr>
        <w:t>建设单位已采取以下措施</w:t>
      </w:r>
      <w:r>
        <w:rPr>
          <w:color w:val="auto"/>
          <w:kern w:val="21"/>
          <w:lang w:bidi="ar"/>
        </w:rPr>
        <w:t>：</w:t>
      </w:r>
    </w:p>
    <w:p>
      <w:pPr>
        <w:widowControl/>
        <w:ind w:firstLine="480"/>
        <w:jc w:val="left"/>
        <w:rPr>
          <w:color w:val="auto"/>
          <w:kern w:val="21"/>
          <w:lang w:bidi="ar"/>
        </w:rPr>
      </w:pPr>
      <w:r>
        <w:rPr>
          <w:color w:val="auto"/>
          <w:kern w:val="21"/>
          <w:lang w:bidi="ar"/>
        </w:rPr>
        <w:t>①污泥脱水车间</w:t>
      </w:r>
      <w:r>
        <w:rPr>
          <w:rFonts w:hint="eastAsia"/>
          <w:color w:val="auto"/>
          <w:kern w:val="21"/>
          <w:lang w:bidi="ar"/>
        </w:rPr>
        <w:t>构筑物结构全部采用抗渗混凝土，抗渗等级P6。内外表面、中隔墙、底板上表面、顶板下表面，迎水面等采用高分子防水防腐涂料刷厚1.0mm（每平米约2kg）。压滤设备设置有</w:t>
      </w:r>
      <w:r>
        <w:rPr>
          <w:color w:val="auto"/>
          <w:kern w:val="21"/>
          <w:lang w:bidi="ar"/>
        </w:rPr>
        <w:t>滤液收集设施，</w:t>
      </w:r>
    </w:p>
    <w:p>
      <w:pPr>
        <w:widowControl/>
        <w:ind w:firstLine="480"/>
        <w:jc w:val="left"/>
        <w:rPr>
          <w:color w:val="auto"/>
          <w:kern w:val="21"/>
        </w:rPr>
      </w:pPr>
      <w:r>
        <w:rPr>
          <w:color w:val="auto"/>
          <w:kern w:val="21"/>
          <w:lang w:bidi="ar"/>
        </w:rPr>
        <w:t>②污泥脱水车间设计及建设时</w:t>
      </w:r>
      <w:r>
        <w:rPr>
          <w:rFonts w:hint="eastAsia"/>
          <w:color w:val="auto"/>
          <w:kern w:val="21"/>
          <w:lang w:bidi="ar"/>
        </w:rPr>
        <w:t>充分考虑了</w:t>
      </w:r>
      <w:r>
        <w:rPr>
          <w:color w:val="auto"/>
          <w:kern w:val="21"/>
          <w:lang w:bidi="ar"/>
        </w:rPr>
        <w:t>通风设施。污泥临时堆放时间不得超过5天，应及时外运处置，以减少污泥临时堆放量，缩短临时堆放时间，防止蚊蝇孳生和</w:t>
      </w:r>
      <w:r>
        <w:rPr>
          <w:rFonts w:hint="eastAsia"/>
          <w:color w:val="auto"/>
          <w:kern w:val="21"/>
          <w:lang w:eastAsia="zh-CN" w:bidi="ar"/>
        </w:rPr>
        <w:t>恶臭气体</w:t>
      </w:r>
      <w:r>
        <w:rPr>
          <w:color w:val="auto"/>
          <w:kern w:val="21"/>
          <w:lang w:bidi="ar"/>
        </w:rPr>
        <w:t>的产生。污水处理设施、污泥运输单位和污泥接收单位建立污泥转运联单制度，并定期将记录的联单结果上报地方相关主管部门。</w:t>
      </w:r>
    </w:p>
    <w:p>
      <w:pPr>
        <w:widowControl/>
        <w:ind w:firstLine="480"/>
        <w:jc w:val="left"/>
        <w:rPr>
          <w:color w:val="auto"/>
          <w:kern w:val="21"/>
        </w:rPr>
      </w:pPr>
      <w:r>
        <w:rPr>
          <w:color w:val="auto"/>
          <w:kern w:val="21"/>
          <w:lang w:bidi="ar"/>
        </w:rPr>
        <w:t>③污泥脱水车间</w:t>
      </w:r>
      <w:r>
        <w:rPr>
          <w:rFonts w:hint="eastAsia"/>
          <w:color w:val="auto"/>
          <w:kern w:val="21"/>
          <w:lang w:bidi="ar"/>
        </w:rPr>
        <w:t>设置有</w:t>
      </w:r>
      <w:r>
        <w:rPr>
          <w:color w:val="auto"/>
          <w:kern w:val="21"/>
          <w:lang w:bidi="ar"/>
        </w:rPr>
        <w:t>完善的排水设施，</w:t>
      </w:r>
      <w:r>
        <w:rPr>
          <w:rFonts w:hint="eastAsia"/>
          <w:color w:val="auto"/>
          <w:kern w:val="21"/>
          <w:lang w:bidi="ar"/>
        </w:rPr>
        <w:t>排水管网、工艺管道等均</w:t>
      </w:r>
      <w:r>
        <w:rPr>
          <w:color w:val="auto"/>
          <w:kern w:val="21"/>
          <w:lang w:bidi="ar"/>
        </w:rPr>
        <w:t>进行严格的防渗。</w:t>
      </w:r>
    </w:p>
    <w:p>
      <w:pPr>
        <w:widowControl/>
        <w:ind w:firstLine="480"/>
        <w:jc w:val="left"/>
        <w:rPr>
          <w:color w:val="auto"/>
          <w:kern w:val="21"/>
        </w:rPr>
      </w:pPr>
      <w:r>
        <w:rPr>
          <w:color w:val="auto"/>
          <w:kern w:val="21"/>
          <w:lang w:bidi="ar"/>
        </w:rPr>
        <w:t>④加强管理，脱水污泥在运输过程中应注意防渗漏。运输过程中应采用密闭车辆的方式，运输车辆不得超载。车辆驶出污水厂前必须对车轮、车身等进行清洗、消毒和喷洒除臭剂，按规定时间和行驶路线运输，进行全过程监控和管理，防止因暴露、洒落或滴漏造成的环境二次污染。杜绝随意倾倒、偷排污泥。</w:t>
      </w:r>
    </w:p>
    <w:p>
      <w:pPr>
        <w:widowControl/>
        <w:ind w:firstLine="480"/>
        <w:jc w:val="left"/>
        <w:rPr>
          <w:color w:val="auto"/>
          <w:kern w:val="21"/>
        </w:rPr>
      </w:pPr>
      <w:r>
        <w:rPr>
          <w:color w:val="auto"/>
          <w:kern w:val="21"/>
          <w:lang w:bidi="ar"/>
        </w:rPr>
        <w:fldChar w:fldCharType="begin"/>
      </w:r>
      <w:r>
        <w:rPr>
          <w:color w:val="auto"/>
          <w:kern w:val="21"/>
          <w:lang w:bidi="ar"/>
        </w:rPr>
        <w:instrText xml:space="preserve"> = 5 \* GB3 \* MERGEFORMAT </w:instrText>
      </w:r>
      <w:r>
        <w:rPr>
          <w:color w:val="auto"/>
          <w:kern w:val="21"/>
          <w:lang w:bidi="ar"/>
        </w:rPr>
        <w:fldChar w:fldCharType="separate"/>
      </w:r>
      <w:r>
        <w:rPr>
          <w:rFonts w:hint="eastAsia"/>
          <w:color w:val="auto"/>
        </w:rPr>
        <w:t>⑤</w:t>
      </w:r>
      <w:r>
        <w:rPr>
          <w:color w:val="auto"/>
          <w:kern w:val="21"/>
          <w:lang w:bidi="ar"/>
        </w:rPr>
        <w:fldChar w:fldCharType="end"/>
      </w:r>
      <w:r>
        <w:rPr>
          <w:color w:val="auto"/>
          <w:kern w:val="21"/>
          <w:lang w:bidi="ar"/>
        </w:rPr>
        <w:t>脱水车间周围</w:t>
      </w:r>
      <w:r>
        <w:rPr>
          <w:rFonts w:hint="eastAsia"/>
          <w:color w:val="auto"/>
          <w:kern w:val="21"/>
          <w:lang w:bidi="ar"/>
        </w:rPr>
        <w:t>均</w:t>
      </w:r>
      <w:r>
        <w:rPr>
          <w:color w:val="auto"/>
          <w:kern w:val="21"/>
          <w:lang w:bidi="ar"/>
        </w:rPr>
        <w:t>设置</w:t>
      </w:r>
      <w:r>
        <w:rPr>
          <w:rFonts w:hint="eastAsia"/>
          <w:color w:val="auto"/>
          <w:kern w:val="21"/>
          <w:lang w:bidi="ar"/>
        </w:rPr>
        <w:t>大面积</w:t>
      </w:r>
      <w:r>
        <w:rPr>
          <w:color w:val="auto"/>
          <w:kern w:val="21"/>
          <w:lang w:bidi="ar"/>
        </w:rPr>
        <w:t>绿化带，以降低</w:t>
      </w:r>
      <w:r>
        <w:rPr>
          <w:rFonts w:hint="eastAsia"/>
          <w:color w:val="auto"/>
          <w:kern w:val="21"/>
          <w:lang w:bidi="ar"/>
        </w:rPr>
        <w:t>臭气</w:t>
      </w:r>
      <w:r>
        <w:rPr>
          <w:color w:val="auto"/>
          <w:kern w:val="21"/>
          <w:lang w:bidi="ar"/>
        </w:rPr>
        <w:t>对周围环境的影响。</w:t>
      </w:r>
    </w:p>
    <w:p>
      <w:pPr>
        <w:widowControl/>
        <w:ind w:firstLine="480"/>
        <w:jc w:val="left"/>
        <w:rPr>
          <w:color w:val="auto"/>
          <w:kern w:val="21"/>
        </w:rPr>
      </w:pPr>
      <w:r>
        <w:rPr>
          <w:color w:val="auto"/>
          <w:kern w:val="21"/>
          <w:lang w:bidi="ar"/>
        </w:rPr>
        <w:t>采取上述措施后，污泥贮存与运输对周围环境影响较小，污泥应根据关于污（废）水处理设施产生污泥危险特性鉴别有关意见的函（环境保护部，环函</w:t>
      </w:r>
      <w:r>
        <w:rPr>
          <w:rFonts w:hint="eastAsia"/>
          <w:color w:val="auto"/>
          <w:kern w:val="21"/>
          <w:lang w:bidi="ar"/>
        </w:rPr>
        <w:t>[</w:t>
      </w:r>
      <w:r>
        <w:rPr>
          <w:color w:val="auto"/>
          <w:kern w:val="21"/>
          <w:lang w:bidi="ar"/>
        </w:rPr>
        <w:t>2010</w:t>
      </w:r>
      <w:r>
        <w:rPr>
          <w:rFonts w:hint="eastAsia"/>
          <w:color w:val="auto"/>
          <w:kern w:val="21"/>
          <w:lang w:bidi="ar"/>
        </w:rPr>
        <w:t>]</w:t>
      </w:r>
      <w:r>
        <w:rPr>
          <w:color w:val="auto"/>
          <w:kern w:val="21"/>
          <w:lang w:bidi="ar"/>
        </w:rPr>
        <w:t>129号），“专门处理工业废水（或同时处理少量生活污水）的处理设施产生的污泥，可能具有危险特性，应按《国家危险废物名录》、国家环境保护标准《危险废物鉴别技术规范》（HJ/T298-2007）和危险废物鉴别标准的规定，对污泥进行危险特性鉴别。鉴定属性结果如果属于危险废物，则委托有资质单位处置，如果不属于危险废物，按照一般工业固废要求进行污泥脱水并满足入场要求后</w:t>
      </w:r>
      <w:r>
        <w:rPr>
          <w:rFonts w:hint="eastAsia"/>
          <w:color w:val="auto"/>
          <w:kern w:val="21"/>
        </w:rPr>
        <w:t>由建设单位送至楚雄市生活垃圾焚烧发电厂进行焚烧。</w:t>
      </w:r>
    </w:p>
    <w:p>
      <w:pPr>
        <w:pStyle w:val="23"/>
        <w:spacing w:after="0" w:line="360" w:lineRule="auto"/>
        <w:ind w:left="0" w:leftChars="0" w:firstLine="480"/>
        <w:rPr>
          <w:color w:val="auto"/>
          <w:kern w:val="21"/>
          <w:highlight w:val="none"/>
          <w:lang w:bidi="ar"/>
        </w:rPr>
      </w:pPr>
      <w:r>
        <w:rPr>
          <w:color w:val="auto"/>
          <w:kern w:val="21"/>
          <w:highlight w:val="none"/>
        </w:rPr>
        <w:t>本项目为新建项目，污泥属性暂无法确定，为</w:t>
      </w:r>
      <w:r>
        <w:rPr>
          <w:color w:val="auto"/>
          <w:kern w:val="21"/>
        </w:rPr>
        <w:t>了保护环境及处于安全考虑，本评价将污泥按照危废进行管理，其贮存应满足</w:t>
      </w:r>
      <w:r>
        <w:rPr>
          <w:color w:val="auto"/>
          <w:kern w:val="21"/>
          <w:lang w:bidi="ar"/>
        </w:rPr>
        <w:t>《危险废物贮存污染控制标准》（GB18597-2001）及其修改单的要求。</w:t>
      </w:r>
      <w:r>
        <w:rPr>
          <w:rFonts w:hint="eastAsia"/>
          <w:color w:val="auto"/>
          <w:kern w:val="21"/>
          <w:lang w:bidi="ar"/>
        </w:rPr>
        <w:t>脱水后的污泥先存于泥斗，待存至一定数量进行属性鉴别，若是危废则</w:t>
      </w:r>
      <w:r>
        <w:rPr>
          <w:rFonts w:hint="eastAsia"/>
          <w:color w:val="auto"/>
          <w:kern w:val="21"/>
          <w:lang w:eastAsia="zh-CN" w:bidi="ar"/>
        </w:rPr>
        <w:t>暂存</w:t>
      </w:r>
      <w:r>
        <w:rPr>
          <w:rFonts w:hint="eastAsia"/>
          <w:color w:val="auto"/>
          <w:kern w:val="21"/>
          <w:lang w:bidi="ar"/>
        </w:rPr>
        <w:t>污水厂危废暂存间暂存，并委托资质单位处置，若是一般固废则通过泥斗卸落到污泥运输汽车车箱内，再运输至楚雄市生活垃圾焚烧发电厂进行焚烧。本项目拟将加药间北区</w:t>
      </w:r>
      <w:r>
        <w:rPr>
          <w:rFonts w:hint="eastAsia"/>
          <w:color w:val="auto"/>
          <w:kern w:val="21"/>
          <w:lang w:eastAsia="zh-CN" w:bidi="ar"/>
        </w:rPr>
        <w:t>设置</w:t>
      </w:r>
      <w:r>
        <w:rPr>
          <w:rFonts w:hint="eastAsia"/>
          <w:color w:val="auto"/>
          <w:kern w:val="21"/>
          <w:lang w:bidi="ar"/>
        </w:rPr>
        <w:t>为危废暂存间，占地面积25m</w:t>
      </w:r>
      <w:r>
        <w:rPr>
          <w:rFonts w:hint="eastAsia"/>
          <w:color w:val="auto"/>
          <w:kern w:val="21"/>
          <w:vertAlign w:val="superscript"/>
          <w:lang w:bidi="ar"/>
        </w:rPr>
        <w:t>2</w:t>
      </w:r>
      <w:r>
        <w:rPr>
          <w:rFonts w:hint="eastAsia"/>
          <w:color w:val="auto"/>
          <w:kern w:val="21"/>
          <w:lang w:bidi="ar"/>
        </w:rPr>
        <w:t>，容积约100m</w:t>
      </w:r>
      <w:r>
        <w:rPr>
          <w:rFonts w:hint="eastAsia"/>
          <w:color w:val="auto"/>
          <w:kern w:val="21"/>
          <w:vertAlign w:val="superscript"/>
          <w:lang w:bidi="ar"/>
        </w:rPr>
        <w:t>3</w:t>
      </w:r>
      <w:r>
        <w:rPr>
          <w:rFonts w:hint="eastAsia"/>
          <w:color w:val="auto"/>
          <w:kern w:val="21"/>
          <w:lang w:bidi="ar"/>
        </w:rPr>
        <w:t>，</w:t>
      </w:r>
      <w:r>
        <w:rPr>
          <w:color w:val="auto"/>
          <w:kern w:val="21"/>
          <w:lang w:bidi="ar"/>
        </w:rPr>
        <w:t>污泥经脱水后，含水率约50%，比重1.3t/m</w:t>
      </w:r>
      <w:r>
        <w:rPr>
          <w:color w:val="auto"/>
          <w:kern w:val="21"/>
          <w:vertAlign w:val="superscript"/>
          <w:lang w:bidi="ar"/>
        </w:rPr>
        <w:t>3</w:t>
      </w:r>
      <w:r>
        <w:rPr>
          <w:color w:val="auto"/>
          <w:kern w:val="21"/>
          <w:lang w:bidi="ar"/>
        </w:rPr>
        <w:t>，每天产生的干污泥为1.54m</w:t>
      </w:r>
      <w:r>
        <w:rPr>
          <w:color w:val="auto"/>
          <w:kern w:val="21"/>
          <w:vertAlign w:val="superscript"/>
          <w:lang w:bidi="ar"/>
        </w:rPr>
        <w:t>3</w:t>
      </w:r>
      <w:r>
        <w:rPr>
          <w:color w:val="auto"/>
          <w:kern w:val="21"/>
          <w:lang w:bidi="ar"/>
        </w:rPr>
        <w:t>/d</w:t>
      </w:r>
      <w:r>
        <w:rPr>
          <w:rFonts w:hint="eastAsia"/>
          <w:color w:val="auto"/>
          <w:kern w:val="21"/>
          <w:lang w:bidi="ar"/>
        </w:rPr>
        <w:t>，足够容纳50天的干污泥量。污泥暂存间须按照《危险废物贮存污染控制标准》（GB18597-2001）及其修改单的要求进行建设、管理。根据现场勘察，</w:t>
      </w:r>
      <w:r>
        <w:rPr>
          <w:rFonts w:hint="eastAsia"/>
          <w:color w:val="auto"/>
          <w:kern w:val="21"/>
          <w:highlight w:val="none"/>
          <w:lang w:bidi="ar"/>
        </w:rPr>
        <w:t>建设单位已从2020年11月开始委托资质单位对厂区污泥进行属性鉴别，均为一般工业固废，鉴定报告见附件10。</w:t>
      </w:r>
    </w:p>
    <w:p>
      <w:pPr>
        <w:widowControl/>
        <w:ind w:firstLine="480"/>
        <w:jc w:val="left"/>
        <w:rPr>
          <w:color w:val="auto"/>
        </w:rPr>
      </w:pPr>
      <w:r>
        <w:rPr>
          <w:color w:val="auto"/>
          <w:kern w:val="21"/>
          <w:highlight w:val="none"/>
          <w:lang w:bidi="ar"/>
        </w:rPr>
        <w:t>污泥临时堆放期间将会散发出</w:t>
      </w:r>
      <w:r>
        <w:rPr>
          <w:rFonts w:hint="eastAsia"/>
          <w:color w:val="auto"/>
          <w:kern w:val="21"/>
          <w:highlight w:val="none"/>
          <w:lang w:bidi="ar"/>
        </w:rPr>
        <w:t>臭气</w:t>
      </w:r>
      <w:r>
        <w:rPr>
          <w:color w:val="auto"/>
          <w:kern w:val="21"/>
          <w:highlight w:val="none"/>
          <w:lang w:bidi="ar"/>
        </w:rPr>
        <w:t>物质，会</w:t>
      </w:r>
      <w:r>
        <w:rPr>
          <w:color w:val="auto"/>
          <w:kern w:val="21"/>
          <w:lang w:bidi="ar"/>
        </w:rPr>
        <w:t>对污泥暂存设施周围环境产生一定的影响，因此项目运营期应加强管理，并及时对脱水的污泥进行处置，减少污水在厂内的贮存时间。经过采取相应措施后，污泥只要得到及时处置，对环境影响较小。</w:t>
      </w:r>
    </w:p>
    <w:p>
      <w:pPr>
        <w:pStyle w:val="8"/>
        <w:spacing w:before="0" w:after="0" w:line="360" w:lineRule="auto"/>
        <w:ind w:firstLine="0" w:firstLineChars="0"/>
        <w:rPr>
          <w:rStyle w:val="117"/>
          <w:rFonts w:ascii="Times New Roman" w:hAnsi="Times New Roman" w:eastAsia="宋体"/>
          <w:bCs w:val="0"/>
          <w:color w:val="auto"/>
          <w:kern w:val="21"/>
          <w:sz w:val="24"/>
          <w:szCs w:val="24"/>
        </w:rPr>
      </w:pPr>
      <w:r>
        <w:rPr>
          <w:rStyle w:val="117"/>
          <w:rFonts w:ascii="Times New Roman" w:hAnsi="Times New Roman" w:eastAsia="宋体"/>
          <w:bCs w:val="0"/>
          <w:color w:val="auto"/>
          <w:kern w:val="21"/>
          <w:sz w:val="24"/>
          <w:szCs w:val="24"/>
        </w:rPr>
        <w:t>5.</w:t>
      </w:r>
      <w:r>
        <w:rPr>
          <w:rStyle w:val="117"/>
          <w:rFonts w:hint="eastAsia" w:ascii="Times New Roman" w:hAnsi="Times New Roman" w:eastAsia="宋体"/>
          <w:bCs w:val="0"/>
          <w:color w:val="auto"/>
          <w:kern w:val="21"/>
          <w:sz w:val="24"/>
          <w:szCs w:val="24"/>
        </w:rPr>
        <w:t>2</w:t>
      </w:r>
      <w:r>
        <w:rPr>
          <w:rStyle w:val="117"/>
          <w:rFonts w:ascii="Times New Roman" w:hAnsi="Times New Roman" w:eastAsia="宋体"/>
          <w:bCs w:val="0"/>
          <w:color w:val="auto"/>
          <w:kern w:val="21"/>
          <w:sz w:val="24"/>
          <w:szCs w:val="24"/>
        </w:rPr>
        <w:t>.</w:t>
      </w:r>
      <w:r>
        <w:rPr>
          <w:rStyle w:val="117"/>
          <w:rFonts w:hint="eastAsia" w:ascii="Times New Roman" w:hAnsi="Times New Roman" w:eastAsia="宋体"/>
          <w:bCs w:val="0"/>
          <w:color w:val="auto"/>
          <w:kern w:val="21"/>
          <w:sz w:val="24"/>
          <w:szCs w:val="24"/>
        </w:rPr>
        <w:t>5</w:t>
      </w:r>
      <w:r>
        <w:rPr>
          <w:rStyle w:val="117"/>
          <w:rFonts w:ascii="Times New Roman" w:hAnsi="Times New Roman" w:eastAsia="宋体"/>
          <w:bCs w:val="0"/>
          <w:color w:val="auto"/>
          <w:kern w:val="21"/>
          <w:sz w:val="24"/>
          <w:szCs w:val="24"/>
        </w:rPr>
        <w:t>.3其它固体废物对环境的影响</w:t>
      </w:r>
    </w:p>
    <w:p>
      <w:pPr>
        <w:ind w:firstLine="480"/>
        <w:rPr>
          <w:color w:val="auto"/>
          <w:kern w:val="21"/>
        </w:rPr>
      </w:pPr>
      <w:r>
        <w:rPr>
          <w:color w:val="auto"/>
          <w:kern w:val="21"/>
        </w:rPr>
        <w:t>（1）栅渣</w:t>
      </w:r>
    </w:p>
    <w:p>
      <w:pPr>
        <w:ind w:firstLine="480"/>
        <w:rPr>
          <w:color w:val="auto"/>
          <w:kern w:val="21"/>
        </w:rPr>
      </w:pPr>
      <w:r>
        <w:rPr>
          <w:color w:val="auto"/>
          <w:kern w:val="21"/>
        </w:rPr>
        <w:t>本项目产生的栅渣</w:t>
      </w:r>
      <w:r>
        <w:rPr>
          <w:rFonts w:hint="eastAsia"/>
          <w:color w:val="auto"/>
          <w:kern w:val="21"/>
        </w:rPr>
        <w:t>属于一般工业固废，集中收集至厂区垃圾箱内，由当地环卫部门清运处置，</w:t>
      </w:r>
      <w:r>
        <w:rPr>
          <w:color w:val="auto"/>
          <w:kern w:val="21"/>
        </w:rPr>
        <w:t>对环境影响较小。</w:t>
      </w:r>
    </w:p>
    <w:p>
      <w:pPr>
        <w:ind w:firstLine="480"/>
        <w:rPr>
          <w:color w:val="auto"/>
          <w:kern w:val="21"/>
        </w:rPr>
      </w:pPr>
      <w:r>
        <w:rPr>
          <w:color w:val="auto"/>
          <w:kern w:val="21"/>
        </w:rPr>
        <w:t>（2）生活垃圾</w:t>
      </w:r>
    </w:p>
    <w:p>
      <w:pPr>
        <w:ind w:firstLine="480"/>
        <w:rPr>
          <w:color w:val="auto"/>
          <w:kern w:val="21"/>
        </w:rPr>
      </w:pPr>
      <w:r>
        <w:rPr>
          <w:color w:val="auto"/>
          <w:kern w:val="21"/>
        </w:rPr>
        <w:t>生活垃圾</w:t>
      </w:r>
      <w:r>
        <w:rPr>
          <w:rFonts w:hint="eastAsia"/>
          <w:color w:val="auto"/>
          <w:kern w:val="21"/>
        </w:rPr>
        <w:t>集中收集至厂区垃圾箱内，由当地环卫部门清运处置，</w:t>
      </w:r>
      <w:r>
        <w:rPr>
          <w:color w:val="auto"/>
          <w:kern w:val="21"/>
        </w:rPr>
        <w:t>对环境影响较小。</w:t>
      </w:r>
    </w:p>
    <w:p>
      <w:pPr>
        <w:ind w:firstLine="480"/>
        <w:rPr>
          <w:rFonts w:hint="eastAsia" w:eastAsia="宋体"/>
          <w:color w:val="auto"/>
          <w:kern w:val="21"/>
          <w:lang w:eastAsia="zh-CN"/>
        </w:rPr>
      </w:pPr>
      <w:r>
        <w:rPr>
          <w:rFonts w:hint="eastAsia"/>
          <w:color w:val="auto"/>
          <w:kern w:val="21"/>
          <w:lang w:eastAsia="zh-CN"/>
        </w:rPr>
        <w:t>（</w:t>
      </w:r>
      <w:r>
        <w:rPr>
          <w:rFonts w:hint="eastAsia"/>
          <w:color w:val="auto"/>
          <w:kern w:val="21"/>
          <w:lang w:val="en-US" w:eastAsia="zh-CN"/>
        </w:rPr>
        <w:t>3</w:t>
      </w:r>
      <w:r>
        <w:rPr>
          <w:rFonts w:hint="eastAsia"/>
          <w:color w:val="auto"/>
          <w:kern w:val="21"/>
          <w:lang w:eastAsia="zh-CN"/>
        </w:rPr>
        <w:t>）废活性炭</w:t>
      </w:r>
    </w:p>
    <w:p>
      <w:pPr>
        <w:ind w:firstLine="480"/>
        <w:rPr>
          <w:rFonts w:hint="eastAsia" w:eastAsia="宋体"/>
          <w:color w:val="auto"/>
          <w:kern w:val="21"/>
          <w:lang w:eastAsia="zh-CN"/>
        </w:rPr>
      </w:pPr>
      <w:r>
        <w:rPr>
          <w:rFonts w:hint="eastAsia"/>
          <w:color w:val="auto"/>
          <w:kern w:val="21"/>
          <w:lang w:eastAsia="zh-CN"/>
        </w:rPr>
        <w:t>废活性炭由设备厂家定期上门更换回收后再生处理，对环境影响较小。</w:t>
      </w:r>
    </w:p>
    <w:p>
      <w:pPr>
        <w:ind w:firstLine="480"/>
        <w:rPr>
          <w:color w:val="auto"/>
          <w:kern w:val="21"/>
        </w:rPr>
      </w:pPr>
      <w:r>
        <w:rPr>
          <w:rFonts w:hint="eastAsia"/>
          <w:color w:val="auto"/>
          <w:kern w:val="21"/>
        </w:rPr>
        <w:t>（</w:t>
      </w:r>
      <w:r>
        <w:rPr>
          <w:rFonts w:hint="eastAsia"/>
          <w:color w:val="auto"/>
          <w:kern w:val="21"/>
          <w:lang w:val="en-US" w:eastAsia="zh-CN"/>
        </w:rPr>
        <w:t>4</w:t>
      </w:r>
      <w:r>
        <w:rPr>
          <w:rFonts w:hint="eastAsia"/>
          <w:color w:val="auto"/>
          <w:kern w:val="21"/>
        </w:rPr>
        <w:t>）废机油</w:t>
      </w:r>
    </w:p>
    <w:p>
      <w:pPr>
        <w:ind w:firstLine="480"/>
        <w:rPr>
          <w:color w:val="auto"/>
          <w:kern w:val="21"/>
        </w:rPr>
      </w:pPr>
      <w:r>
        <w:rPr>
          <w:rFonts w:hint="eastAsia"/>
          <w:color w:val="auto"/>
          <w:kern w:val="21"/>
        </w:rPr>
        <w:t>本项目污水处理厂采取定期维护制度，由设备、管网等设备厂家定期上门维护，保障污水处理厂事故率降到最低，维护保养过程中产生的少量废机油</w:t>
      </w:r>
      <w:r>
        <w:rPr>
          <w:rFonts w:hint="eastAsia"/>
          <w:color w:val="auto"/>
          <w:kern w:val="21"/>
          <w:lang w:eastAsia="zh-CN"/>
        </w:rPr>
        <w:t>暂存危废暂存间</w:t>
      </w:r>
      <w:r>
        <w:rPr>
          <w:rFonts w:hint="eastAsia"/>
          <w:color w:val="auto"/>
          <w:kern w:val="21"/>
        </w:rPr>
        <w:t>。</w:t>
      </w:r>
    </w:p>
    <w:p>
      <w:pPr>
        <w:ind w:firstLine="480"/>
        <w:rPr>
          <w:color w:val="auto"/>
          <w:kern w:val="21"/>
        </w:rPr>
      </w:pPr>
      <w:r>
        <w:rPr>
          <w:rFonts w:hint="eastAsia"/>
          <w:color w:val="auto"/>
          <w:kern w:val="21"/>
        </w:rPr>
        <w:t>（</w:t>
      </w:r>
      <w:r>
        <w:rPr>
          <w:rFonts w:hint="eastAsia"/>
          <w:color w:val="auto"/>
          <w:kern w:val="21"/>
          <w:lang w:val="en-US" w:eastAsia="zh-CN"/>
        </w:rPr>
        <w:t>5</w:t>
      </w:r>
      <w:r>
        <w:rPr>
          <w:rFonts w:hint="eastAsia"/>
          <w:color w:val="auto"/>
          <w:kern w:val="21"/>
        </w:rPr>
        <w:t>）废紫外灯管</w:t>
      </w:r>
    </w:p>
    <w:p>
      <w:pPr>
        <w:ind w:firstLine="480"/>
        <w:rPr>
          <w:rFonts w:hint="eastAsia"/>
          <w:color w:val="auto"/>
          <w:kern w:val="21"/>
        </w:rPr>
      </w:pPr>
      <w:r>
        <w:rPr>
          <w:rFonts w:hint="eastAsia"/>
          <w:color w:val="auto"/>
          <w:kern w:val="21"/>
        </w:rPr>
        <w:t>废紫外灯管</w:t>
      </w:r>
      <w:r>
        <w:rPr>
          <w:rFonts w:hint="eastAsia"/>
          <w:color w:val="auto"/>
          <w:kern w:val="21"/>
          <w:lang w:eastAsia="zh-CN"/>
        </w:rPr>
        <w:t>使用</w:t>
      </w:r>
      <w:r>
        <w:rPr>
          <w:rFonts w:hint="eastAsia"/>
          <w:color w:val="auto"/>
          <w:kern w:val="21"/>
        </w:rPr>
        <w:t>密闭桶装收集，</w:t>
      </w:r>
      <w:r>
        <w:rPr>
          <w:rFonts w:hint="eastAsia"/>
          <w:color w:val="auto"/>
          <w:kern w:val="21"/>
          <w:lang w:eastAsia="zh-CN"/>
        </w:rPr>
        <w:t>暂存</w:t>
      </w:r>
      <w:r>
        <w:rPr>
          <w:rFonts w:hint="eastAsia"/>
          <w:color w:val="auto"/>
          <w:kern w:val="21"/>
        </w:rPr>
        <w:t>污水厂危废暂存间，委托资质单位清运处置，对环境影响较小。</w:t>
      </w:r>
    </w:p>
    <w:p>
      <w:pPr>
        <w:ind w:firstLine="480"/>
        <w:rPr>
          <w:rFonts w:hint="eastAsia"/>
          <w:color w:val="auto"/>
          <w:kern w:val="21"/>
          <w:lang w:eastAsia="zh-CN"/>
        </w:rPr>
      </w:pPr>
      <w:r>
        <w:rPr>
          <w:rFonts w:hint="eastAsia"/>
          <w:color w:val="auto"/>
          <w:kern w:val="21"/>
          <w:lang w:eastAsia="zh-CN"/>
        </w:rPr>
        <w:t>（</w:t>
      </w:r>
      <w:r>
        <w:rPr>
          <w:rFonts w:hint="eastAsia"/>
          <w:color w:val="auto"/>
          <w:kern w:val="21"/>
          <w:lang w:val="en-US" w:eastAsia="zh-CN"/>
        </w:rPr>
        <w:t>6</w:t>
      </w:r>
      <w:r>
        <w:rPr>
          <w:rFonts w:hint="eastAsia"/>
          <w:color w:val="auto"/>
          <w:kern w:val="21"/>
          <w:lang w:eastAsia="zh-CN"/>
        </w:rPr>
        <w:t>）在线监测设备废液</w:t>
      </w:r>
    </w:p>
    <w:p>
      <w:pPr>
        <w:ind w:firstLine="480"/>
        <w:rPr>
          <w:color w:val="auto"/>
          <w:kern w:val="21"/>
        </w:rPr>
      </w:pPr>
      <w:r>
        <w:rPr>
          <w:rFonts w:hint="eastAsia"/>
          <w:color w:val="auto"/>
          <w:kern w:val="21"/>
          <w:lang w:eastAsia="zh-CN"/>
        </w:rPr>
        <w:t>在线监测设备废液使用</w:t>
      </w:r>
      <w:r>
        <w:rPr>
          <w:rFonts w:hint="eastAsia"/>
          <w:color w:val="auto"/>
          <w:kern w:val="21"/>
        </w:rPr>
        <w:t>密闭桶装收集，</w:t>
      </w:r>
      <w:r>
        <w:rPr>
          <w:rFonts w:hint="eastAsia"/>
          <w:color w:val="auto"/>
          <w:kern w:val="21"/>
          <w:lang w:eastAsia="zh-CN"/>
        </w:rPr>
        <w:t>暂存</w:t>
      </w:r>
      <w:r>
        <w:rPr>
          <w:rFonts w:hint="eastAsia"/>
          <w:color w:val="auto"/>
          <w:kern w:val="21"/>
        </w:rPr>
        <w:t>污水厂危废暂存间，委托资质单位清运处置，对环境影响较小。</w:t>
      </w:r>
    </w:p>
    <w:p>
      <w:pPr>
        <w:pStyle w:val="8"/>
        <w:spacing w:before="0" w:after="0" w:line="360" w:lineRule="auto"/>
        <w:ind w:firstLine="0" w:firstLineChars="0"/>
        <w:rPr>
          <w:rStyle w:val="117"/>
          <w:rFonts w:ascii="Times New Roman" w:hAnsi="Times New Roman" w:eastAsia="宋体"/>
          <w:bCs/>
          <w:color w:val="auto"/>
          <w:kern w:val="21"/>
          <w:sz w:val="24"/>
          <w:szCs w:val="24"/>
        </w:rPr>
      </w:pPr>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2.</w:t>
      </w:r>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4</w:t>
      </w:r>
      <w:r>
        <w:rPr>
          <w:rStyle w:val="117"/>
          <w:rFonts w:ascii="Times New Roman" w:hAnsi="Times New Roman" w:eastAsia="宋体"/>
          <w:bCs/>
          <w:color w:val="auto"/>
          <w:kern w:val="21"/>
          <w:sz w:val="24"/>
          <w:szCs w:val="24"/>
        </w:rPr>
        <w:t>小结</w:t>
      </w:r>
    </w:p>
    <w:p>
      <w:pPr>
        <w:ind w:firstLine="480"/>
        <w:rPr>
          <w:color w:val="auto"/>
          <w:kern w:val="21"/>
        </w:rPr>
      </w:pPr>
      <w:r>
        <w:rPr>
          <w:rFonts w:hint="eastAsia"/>
          <w:color w:val="auto"/>
          <w:kern w:val="21"/>
        </w:rPr>
        <w:t>项目运行期产生的固体废弃物主要包括污废水处理系统产生的栅渣、污泥、工作人员产生的生活垃圾、废机油和废紫外灯管。其中：污废水处理系统产生的栅渣、员工生活垃圾等属于一般固废，集中收集至厂区垃圾箱内，由当地环卫部门清运处置；</w:t>
      </w:r>
      <w:r>
        <w:rPr>
          <w:rFonts w:hint="eastAsia"/>
          <w:color w:val="auto"/>
          <w:kern w:val="21"/>
          <w:lang w:eastAsia="zh-CN"/>
        </w:rPr>
        <w:t>废活性炭由设备厂家定期上门更换回收后再生处理；</w:t>
      </w:r>
      <w:r>
        <w:rPr>
          <w:rFonts w:hint="eastAsia"/>
          <w:color w:val="auto"/>
          <w:kern w:val="21"/>
        </w:rPr>
        <w:t>废机油</w:t>
      </w:r>
      <w:r>
        <w:rPr>
          <w:rFonts w:hint="eastAsia"/>
          <w:color w:val="auto"/>
          <w:kern w:val="21"/>
          <w:lang w:eastAsia="zh-CN"/>
        </w:rPr>
        <w:t>、</w:t>
      </w:r>
      <w:r>
        <w:rPr>
          <w:rFonts w:hint="eastAsia"/>
          <w:color w:val="auto"/>
          <w:kern w:val="21"/>
        </w:rPr>
        <w:t>废紫外灯管</w:t>
      </w:r>
      <w:r>
        <w:rPr>
          <w:rFonts w:hint="eastAsia"/>
          <w:color w:val="auto"/>
          <w:kern w:val="21"/>
          <w:lang w:eastAsia="zh-CN"/>
        </w:rPr>
        <w:t>、在线监测设备废液采用</w:t>
      </w:r>
      <w:r>
        <w:rPr>
          <w:rFonts w:hint="eastAsia"/>
          <w:color w:val="auto"/>
          <w:kern w:val="21"/>
        </w:rPr>
        <w:t>密闭桶装收集，</w:t>
      </w:r>
      <w:r>
        <w:rPr>
          <w:rFonts w:hint="eastAsia"/>
          <w:color w:val="auto"/>
          <w:kern w:val="21"/>
          <w:lang w:eastAsia="zh-CN"/>
        </w:rPr>
        <w:t>暂存</w:t>
      </w:r>
      <w:r>
        <w:rPr>
          <w:rFonts w:hint="eastAsia"/>
          <w:color w:val="auto"/>
          <w:kern w:val="21"/>
        </w:rPr>
        <w:t>污水厂危废暂存间，委托资质单位清运处置；污泥按规定频次委托监测单位进行属性鉴别，若是危废则</w:t>
      </w:r>
      <w:r>
        <w:rPr>
          <w:rFonts w:hint="eastAsia"/>
          <w:color w:val="auto"/>
          <w:kern w:val="21"/>
          <w:lang w:eastAsia="zh-CN"/>
        </w:rPr>
        <w:t>暂存</w:t>
      </w:r>
      <w:r>
        <w:rPr>
          <w:rFonts w:hint="eastAsia"/>
          <w:color w:val="auto"/>
          <w:kern w:val="21"/>
        </w:rPr>
        <w:t>污水厂危废暂存间，委托资质单位清运处置</w:t>
      </w:r>
      <w:r>
        <w:rPr>
          <w:rFonts w:hint="eastAsia"/>
          <w:color w:val="auto"/>
          <w:kern w:val="21"/>
          <w:lang w:eastAsia="zh-CN"/>
        </w:rPr>
        <w:t>，</w:t>
      </w:r>
      <w:r>
        <w:rPr>
          <w:rFonts w:hint="eastAsia"/>
          <w:color w:val="auto"/>
          <w:kern w:val="21"/>
        </w:rPr>
        <w:t>若是一般固废则送至楚雄市生活垃圾焚烧发电厂进行焚烧。总之，项目运营期产生的固体废物在采取本环评报告提出的环保措施的基础上合理处理处置，对周边环境造成的影响不大。</w:t>
      </w:r>
    </w:p>
    <w:p>
      <w:pPr>
        <w:pStyle w:val="6"/>
        <w:spacing w:after="0"/>
        <w:rPr>
          <w:rFonts w:eastAsia="宋体"/>
          <w:color w:val="auto"/>
          <w:kern w:val="21"/>
        </w:rPr>
      </w:pPr>
      <w:bookmarkStart w:id="263" w:name="_Toc6227"/>
      <w:r>
        <w:rPr>
          <w:rFonts w:eastAsia="宋体"/>
          <w:color w:val="auto"/>
          <w:kern w:val="21"/>
        </w:rPr>
        <w:t>5.</w:t>
      </w:r>
      <w:r>
        <w:rPr>
          <w:rFonts w:hint="eastAsia" w:eastAsia="宋体"/>
          <w:color w:val="auto"/>
          <w:kern w:val="21"/>
        </w:rPr>
        <w:t>2.</w:t>
      </w:r>
      <w:r>
        <w:rPr>
          <w:rFonts w:eastAsia="宋体"/>
          <w:color w:val="auto"/>
          <w:kern w:val="21"/>
        </w:rPr>
        <w:t>6生态环境影响分析</w:t>
      </w:r>
      <w:bookmarkEnd w:id="263"/>
    </w:p>
    <w:p>
      <w:pPr>
        <w:ind w:firstLine="480"/>
        <w:rPr>
          <w:color w:val="auto"/>
          <w:kern w:val="21"/>
        </w:rPr>
      </w:pPr>
      <w:r>
        <w:rPr>
          <w:color w:val="auto"/>
          <w:kern w:val="21"/>
        </w:rPr>
        <w:t>本项目生态影响主要体现在以下方面：由于土地利用格局的改变，区域自然体系的生态完整性将受到一定影响，即生产能力降低和稳定状况受到影响</w:t>
      </w:r>
      <w:r>
        <w:rPr>
          <w:bCs/>
          <w:color w:val="auto"/>
          <w:kern w:val="21"/>
        </w:rPr>
        <w:t>。</w:t>
      </w:r>
    </w:p>
    <w:p>
      <w:pPr>
        <w:pStyle w:val="8"/>
        <w:spacing w:before="0" w:after="0" w:line="360" w:lineRule="auto"/>
        <w:ind w:firstLine="0" w:firstLineChars="0"/>
        <w:rPr>
          <w:rStyle w:val="117"/>
          <w:rFonts w:ascii="Times New Roman" w:hAnsi="Times New Roman" w:eastAsia="宋体"/>
          <w:bCs/>
          <w:color w:val="auto"/>
          <w:kern w:val="21"/>
          <w:sz w:val="24"/>
          <w:szCs w:val="24"/>
        </w:rPr>
      </w:pPr>
      <w:bookmarkStart w:id="264" w:name="_Toc107557112"/>
      <w:bookmarkStart w:id="265" w:name="_Toc112890462"/>
      <w:bookmarkStart w:id="266" w:name="_Toc107556881"/>
      <w:bookmarkStart w:id="267" w:name="_Toc107650188"/>
      <w:bookmarkStart w:id="268" w:name="_Toc107557333"/>
      <w:bookmarkStart w:id="269" w:name="_Toc113790808"/>
      <w:bookmarkStart w:id="270" w:name="_Toc107649786"/>
      <w:bookmarkStart w:id="271" w:name="_Toc112903075"/>
      <w:bookmarkStart w:id="272" w:name="_Toc107650405"/>
      <w:bookmarkStart w:id="273" w:name="_Toc107546826"/>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2.</w:t>
      </w:r>
      <w:r>
        <w:rPr>
          <w:rStyle w:val="117"/>
          <w:rFonts w:ascii="Times New Roman" w:hAnsi="Times New Roman" w:eastAsia="宋体"/>
          <w:bCs/>
          <w:color w:val="auto"/>
          <w:kern w:val="21"/>
          <w:sz w:val="24"/>
          <w:szCs w:val="24"/>
        </w:rPr>
        <w:t>6.1</w:t>
      </w:r>
      <w:bookmarkEnd w:id="264"/>
      <w:bookmarkEnd w:id="265"/>
      <w:bookmarkEnd w:id="266"/>
      <w:bookmarkEnd w:id="267"/>
      <w:bookmarkEnd w:id="268"/>
      <w:bookmarkEnd w:id="269"/>
      <w:bookmarkEnd w:id="270"/>
      <w:bookmarkEnd w:id="271"/>
      <w:bookmarkEnd w:id="272"/>
      <w:bookmarkEnd w:id="273"/>
      <w:r>
        <w:rPr>
          <w:rStyle w:val="117"/>
          <w:rFonts w:ascii="Times New Roman" w:hAnsi="Times New Roman" w:eastAsia="宋体"/>
          <w:bCs/>
          <w:color w:val="auto"/>
          <w:kern w:val="21"/>
          <w:sz w:val="24"/>
          <w:szCs w:val="24"/>
        </w:rPr>
        <w:t>厂址区生态环境现状</w:t>
      </w:r>
    </w:p>
    <w:p>
      <w:pPr>
        <w:widowControl/>
        <w:ind w:firstLine="480"/>
        <w:jc w:val="left"/>
        <w:rPr>
          <w:color w:val="auto"/>
          <w:kern w:val="21"/>
          <w:lang w:bidi="ar"/>
        </w:rPr>
      </w:pPr>
      <w:r>
        <w:rPr>
          <w:color w:val="auto"/>
          <w:kern w:val="21"/>
        </w:rPr>
        <w:t>拟建项目西侧为林地，植物主要</w:t>
      </w:r>
      <w:r>
        <w:rPr>
          <w:color w:val="auto"/>
          <w:kern w:val="21"/>
          <w:lang w:bidi="ar"/>
        </w:rPr>
        <w:t>有桉树、合欢、火棘、女贞，艾蒿，鬼针草等，场地东侧东升路人工种植有香樟、侧柏等行道树，分布的植物也为当地分布较广、较常见的植物。评价区由于长期受人为开发活动的干扰影响，早已不存在大型野生动物栖息地，从整体上讲，评价区的野生动物种类贫乏、数量稀少、生物多样性水平低下，也未发现仅在当地分布的特有种类和珍稀物种。</w:t>
      </w:r>
    </w:p>
    <w:p>
      <w:pPr>
        <w:ind w:firstLine="480"/>
        <w:rPr>
          <w:color w:val="auto"/>
          <w:kern w:val="21"/>
        </w:rPr>
      </w:pPr>
      <w:r>
        <w:rPr>
          <w:color w:val="auto"/>
          <w:kern w:val="21"/>
        </w:rPr>
        <w:t>项目区由于周围人类活动频繁，评价区内没有珍稀野生动物和其它大型野生动物分布。从植被、动物的多样性和丰富度上分析区域内生态环境质量一般。</w:t>
      </w:r>
    </w:p>
    <w:p>
      <w:pPr>
        <w:pStyle w:val="8"/>
        <w:spacing w:before="0" w:after="0" w:line="360" w:lineRule="auto"/>
        <w:ind w:firstLine="0" w:firstLineChars="0"/>
        <w:rPr>
          <w:rStyle w:val="117"/>
          <w:rFonts w:ascii="Times New Roman" w:hAnsi="Times New Roman" w:eastAsia="宋体"/>
          <w:bCs/>
          <w:color w:val="auto"/>
          <w:kern w:val="21"/>
          <w:sz w:val="24"/>
          <w:szCs w:val="24"/>
        </w:rPr>
      </w:pPr>
      <w:bookmarkStart w:id="274" w:name="_Toc113790809"/>
      <w:bookmarkStart w:id="275" w:name="_Toc107650406"/>
      <w:bookmarkStart w:id="276" w:name="_Toc107546827"/>
      <w:bookmarkStart w:id="277" w:name="_Toc107650189"/>
      <w:bookmarkStart w:id="278" w:name="_Toc107649787"/>
      <w:bookmarkStart w:id="279" w:name="_Toc107556882"/>
      <w:bookmarkStart w:id="280" w:name="_Toc112890463"/>
      <w:bookmarkStart w:id="281" w:name="_Toc107557113"/>
      <w:bookmarkStart w:id="282" w:name="_Toc112903076"/>
      <w:bookmarkStart w:id="283" w:name="_Toc107557334"/>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2.</w:t>
      </w:r>
      <w:r>
        <w:rPr>
          <w:rStyle w:val="117"/>
          <w:rFonts w:ascii="Times New Roman" w:hAnsi="Times New Roman" w:eastAsia="宋体"/>
          <w:bCs/>
          <w:color w:val="auto"/>
          <w:kern w:val="21"/>
          <w:sz w:val="24"/>
          <w:szCs w:val="24"/>
        </w:rPr>
        <w:t>6.2对生态环境的影响</w:t>
      </w:r>
      <w:bookmarkEnd w:id="274"/>
      <w:bookmarkEnd w:id="275"/>
      <w:bookmarkEnd w:id="276"/>
      <w:bookmarkEnd w:id="277"/>
      <w:bookmarkEnd w:id="278"/>
      <w:bookmarkEnd w:id="279"/>
      <w:bookmarkEnd w:id="280"/>
      <w:bookmarkEnd w:id="281"/>
      <w:bookmarkEnd w:id="282"/>
      <w:bookmarkEnd w:id="283"/>
    </w:p>
    <w:p>
      <w:pPr>
        <w:ind w:firstLine="472" w:firstLineChars="196"/>
        <w:rPr>
          <w:b/>
          <w:color w:val="auto"/>
          <w:kern w:val="21"/>
        </w:rPr>
      </w:pPr>
      <w:r>
        <w:rPr>
          <w:b/>
          <w:color w:val="auto"/>
          <w:kern w:val="21"/>
        </w:rPr>
        <w:t>1、对植被和植物资源的影响</w:t>
      </w:r>
    </w:p>
    <w:p>
      <w:pPr>
        <w:ind w:firstLine="480"/>
        <w:rPr>
          <w:bCs/>
          <w:color w:val="auto"/>
          <w:kern w:val="21"/>
        </w:rPr>
      </w:pPr>
      <w:r>
        <w:rPr>
          <w:bCs/>
          <w:color w:val="auto"/>
          <w:kern w:val="21"/>
        </w:rPr>
        <w:t>根据现场调查，评价区内未发现珍稀濒危及属于国家级、省级重点保护的植物种类。项目区附近（西侧）主要分布有疏林、针阔混交林，次生林、低矮常绿植物，主要树种有</w:t>
      </w:r>
      <w:r>
        <w:rPr>
          <w:color w:val="auto"/>
          <w:kern w:val="21"/>
          <w:lang w:bidi="ar"/>
        </w:rPr>
        <w:t>桉树、合欢、火棘、女贞，艾蒿，鬼针草等</w:t>
      </w:r>
      <w:r>
        <w:rPr>
          <w:bCs/>
          <w:color w:val="auto"/>
          <w:kern w:val="21"/>
        </w:rPr>
        <w:t>，植被覆盖率约为60%~70%，植被一般。本项目建设不占用林地，</w:t>
      </w:r>
      <w:r>
        <w:rPr>
          <w:color w:val="auto"/>
          <w:kern w:val="21"/>
        </w:rPr>
        <w:t>未占用基本农田，占地性质为</w:t>
      </w:r>
      <w:r>
        <w:rPr>
          <w:bCs/>
          <w:color w:val="auto"/>
          <w:kern w:val="21"/>
        </w:rPr>
        <w:t>永久占用。</w:t>
      </w:r>
    </w:p>
    <w:p>
      <w:pPr>
        <w:ind w:firstLine="480"/>
        <w:rPr>
          <w:bCs/>
          <w:color w:val="auto"/>
          <w:kern w:val="21"/>
        </w:rPr>
      </w:pPr>
      <w:r>
        <w:rPr>
          <w:bCs/>
          <w:color w:val="auto"/>
          <w:kern w:val="21"/>
        </w:rPr>
        <w:t>项目占用的土地上的植被清除，对项目区整个区域的植被群落的物种多样性及结构稳定性影响较小。项目建成后实施的绿化，对于项目区的植被也起到一定的补偿作用。</w:t>
      </w:r>
    </w:p>
    <w:p>
      <w:pPr>
        <w:ind w:firstLine="482"/>
        <w:rPr>
          <w:b/>
          <w:bCs/>
          <w:color w:val="auto"/>
          <w:kern w:val="21"/>
        </w:rPr>
      </w:pPr>
      <w:bookmarkStart w:id="284" w:name="_Toc370456957"/>
      <w:r>
        <w:rPr>
          <w:b/>
          <w:bCs/>
          <w:color w:val="auto"/>
          <w:kern w:val="21"/>
        </w:rPr>
        <w:t>2、对野生动物的影响</w:t>
      </w:r>
      <w:bookmarkEnd w:id="284"/>
    </w:p>
    <w:p>
      <w:pPr>
        <w:ind w:firstLine="480"/>
        <w:rPr>
          <w:bCs/>
          <w:color w:val="auto"/>
          <w:kern w:val="21"/>
        </w:rPr>
      </w:pPr>
      <w:r>
        <w:rPr>
          <w:bCs/>
          <w:color w:val="auto"/>
          <w:kern w:val="21"/>
        </w:rPr>
        <w:t>根据现场调查，项目附近分布有一定的林地，受人类活动干扰较大，评价区内未发现国家级、省级重点保护的动物种类，项目区域内的动物为常见的动物种类，如鼠类、蛇类等。项目运行噪声等将对附近的野生动物带来一定的影响，主要影响为，项目占地和植被破坏减少了野生动物的栖息场所、食物源、活动范围；运行噪声等破坏了周围野生动物的栖息环境。周围野生动物受到影响后可能会趋避，原来生存在周围的部分野生动物由于生境和食物源减少而离开项目区，迁徙到周围区域，使得项目周围一定范围内的野生动物种类、数量减少。但由于项目区目前分布的野生动物种类多为常见的小型动物，该部分动物抵抗外来的干扰力较强，因此项目运行对野生动物的影响有限，仅对厂址周围较近的小范围内的野生动物种类结构和活动范围有影响，不会对区域大范围内的野生动物种类结构和活动范围造成影响。</w:t>
      </w:r>
    </w:p>
    <w:p>
      <w:pPr>
        <w:ind w:firstLine="480"/>
        <w:rPr>
          <w:color w:val="auto"/>
          <w:kern w:val="21"/>
        </w:rPr>
      </w:pPr>
      <w:r>
        <w:rPr>
          <w:color w:val="auto"/>
          <w:kern w:val="21"/>
        </w:rPr>
        <w:t>由于评价区植被均为次生植被，人类活动频繁，不具备大型哺乳动物生存的环境。项目建设会对评价区的小型动物有一定影响，项目建设会使这些动物会迁徙到周边的区域。因此，项目运营所产生的影响只是引起动物局部迁移，不会使评价区野生动物种类发生明显变化，其种群数量也不会发生明显变化。</w:t>
      </w:r>
    </w:p>
    <w:p>
      <w:pPr>
        <w:ind w:firstLine="482"/>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3、对青龙河、龙川江的水生态影响分析</w:t>
      </w:r>
    </w:p>
    <w:p>
      <w:pPr>
        <w:ind w:firstLine="480"/>
        <w:rPr>
          <w:rFonts w:hint="default" w:ascii="Times New Roman" w:hAnsi="Times New Roman" w:cs="Times New Roman"/>
          <w:color w:val="auto"/>
        </w:rPr>
      </w:pPr>
      <w:r>
        <w:rPr>
          <w:rFonts w:hint="default" w:ascii="Times New Roman" w:hAnsi="Times New Roman" w:cs="Times New Roman"/>
          <w:color w:val="auto"/>
          <w:lang w:eastAsia="zh-CN"/>
        </w:rPr>
        <w:t>本项目排放的废水为常温废水，与河流水体温度相近，不会造成河流水体升温；本项目废水</w:t>
      </w:r>
      <w:r>
        <w:rPr>
          <w:rFonts w:hint="eastAsia" w:cs="Times New Roman"/>
          <w:color w:val="auto"/>
          <w:lang w:eastAsia="zh-CN"/>
        </w:rPr>
        <w:t>正常</w:t>
      </w:r>
      <w:r>
        <w:rPr>
          <w:rFonts w:hint="default" w:ascii="Times New Roman" w:hAnsi="Times New Roman" w:cs="Times New Roman"/>
          <w:color w:val="auto"/>
          <w:lang w:eastAsia="zh-CN"/>
        </w:rPr>
        <w:t>排放对河流污染物的增加幅度较小，水质的变化幅度是鱼类可以接受的，也不会对其他水生生物、浮游藻类产生较大影响</w:t>
      </w:r>
      <w:r>
        <w:rPr>
          <w:rFonts w:hint="default" w:ascii="Times New Roman" w:hAnsi="Times New Roman" w:cs="Times New Roman"/>
          <w:color w:val="auto"/>
        </w:rPr>
        <w:t>。</w:t>
      </w:r>
    </w:p>
    <w:p>
      <w:pPr>
        <w:ind w:firstLine="480"/>
        <w:rPr>
          <w:bCs/>
          <w:color w:val="auto"/>
          <w:kern w:val="21"/>
        </w:rPr>
      </w:pPr>
      <w:r>
        <w:rPr>
          <w:rFonts w:hint="eastAsia"/>
          <w:bCs/>
          <w:color w:val="auto"/>
          <w:kern w:val="21"/>
          <w:lang w:eastAsia="zh-CN"/>
        </w:rPr>
        <w:t>综上所述</w:t>
      </w:r>
      <w:r>
        <w:rPr>
          <w:bCs/>
          <w:color w:val="auto"/>
          <w:kern w:val="21"/>
        </w:rPr>
        <w:t>，项目的建设和运行对</w:t>
      </w:r>
      <w:r>
        <w:rPr>
          <w:rFonts w:hint="eastAsia"/>
          <w:bCs/>
          <w:color w:val="auto"/>
          <w:kern w:val="21"/>
          <w:lang w:eastAsia="zh-CN"/>
        </w:rPr>
        <w:t>直接占用的陆生生态环境以及间接影响的水生生态环境</w:t>
      </w:r>
      <w:r>
        <w:rPr>
          <w:bCs/>
          <w:color w:val="auto"/>
          <w:kern w:val="21"/>
        </w:rPr>
        <w:t>的影响较小。</w:t>
      </w:r>
    </w:p>
    <w:p>
      <w:pPr>
        <w:pStyle w:val="8"/>
        <w:spacing w:before="0" w:after="0" w:line="360" w:lineRule="auto"/>
        <w:ind w:firstLine="0" w:firstLineChars="0"/>
        <w:rPr>
          <w:rStyle w:val="117"/>
          <w:rFonts w:hint="eastAsia" w:ascii="Times New Roman" w:hAnsi="Times New Roman" w:eastAsia="宋体"/>
          <w:bCs/>
          <w:color w:val="auto"/>
          <w:kern w:val="21"/>
          <w:sz w:val="24"/>
          <w:szCs w:val="24"/>
          <w:lang w:eastAsia="zh-CN"/>
        </w:rPr>
      </w:pPr>
      <w:bookmarkStart w:id="285" w:name="_Toc107105906"/>
      <w:bookmarkStart w:id="286" w:name="_Toc146453738"/>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2.</w:t>
      </w:r>
      <w:r>
        <w:rPr>
          <w:rStyle w:val="117"/>
          <w:rFonts w:ascii="Times New Roman" w:hAnsi="Times New Roman" w:eastAsia="宋体"/>
          <w:bCs/>
          <w:color w:val="auto"/>
          <w:kern w:val="21"/>
          <w:sz w:val="24"/>
          <w:szCs w:val="24"/>
        </w:rPr>
        <w:t>6.3</w:t>
      </w:r>
      <w:bookmarkEnd w:id="285"/>
      <w:bookmarkEnd w:id="286"/>
      <w:r>
        <w:rPr>
          <w:rStyle w:val="117"/>
          <w:rFonts w:hint="eastAsia" w:ascii="Times New Roman" w:hAnsi="Times New Roman" w:eastAsia="宋体"/>
          <w:bCs/>
          <w:color w:val="auto"/>
          <w:kern w:val="21"/>
          <w:sz w:val="24"/>
          <w:szCs w:val="24"/>
          <w:lang w:eastAsia="zh-CN"/>
        </w:rPr>
        <w:t>生态影响评价自查表</w:t>
      </w:r>
    </w:p>
    <w:p>
      <w:pPr>
        <w:numPr>
          <w:ilvl w:val="0"/>
          <w:numId w:val="11"/>
        </w:numPr>
        <w:tabs>
          <w:tab w:val="left" w:pos="3395"/>
          <w:tab w:val="clear" w:pos="0"/>
        </w:tabs>
        <w:ind w:left="0" w:leftChars="0" w:firstLine="0" w:firstLineChars="0"/>
        <w:jc w:val="center"/>
        <w:rPr>
          <w:rFonts w:hint="eastAsia" w:ascii="宋体" w:hAnsi="宋体" w:eastAsia="宋体" w:cs="宋体"/>
          <w:b/>
          <w:bCs/>
          <w:color w:val="auto"/>
        </w:rPr>
      </w:pPr>
      <w:r>
        <w:rPr>
          <w:rFonts w:hint="eastAsia" w:ascii="宋体" w:hAnsi="宋体" w:eastAsia="宋体" w:cs="宋体"/>
          <w:b/>
          <w:bCs/>
          <w:color w:val="auto"/>
          <w:lang w:eastAsia="zh-CN"/>
        </w:rPr>
        <w:t>生</w:t>
      </w:r>
      <w:r>
        <w:rPr>
          <w:rFonts w:hint="eastAsia" w:ascii="宋体" w:hAnsi="宋体" w:eastAsia="宋体" w:cs="宋体"/>
          <w:b/>
          <w:bCs/>
          <w:color w:val="auto"/>
        </w:rPr>
        <w:t>态</w:t>
      </w:r>
      <w:r>
        <w:rPr>
          <w:rFonts w:hint="eastAsia" w:ascii="宋体" w:hAnsi="宋体" w:eastAsia="宋体" w:cs="宋体"/>
          <w:b/>
          <w:bCs/>
          <w:color w:val="auto"/>
          <w:spacing w:val="-3"/>
        </w:rPr>
        <w:t>影</w:t>
      </w:r>
      <w:r>
        <w:rPr>
          <w:rFonts w:hint="eastAsia" w:ascii="宋体" w:hAnsi="宋体" w:eastAsia="宋体" w:cs="宋体"/>
          <w:b/>
          <w:bCs/>
          <w:color w:val="auto"/>
        </w:rPr>
        <w:t>响</w:t>
      </w:r>
      <w:r>
        <w:rPr>
          <w:rFonts w:hint="eastAsia" w:ascii="宋体" w:hAnsi="宋体" w:eastAsia="宋体" w:cs="宋体"/>
          <w:b/>
          <w:bCs/>
          <w:color w:val="auto"/>
          <w:spacing w:val="-3"/>
        </w:rPr>
        <w:t>评</w:t>
      </w:r>
      <w:r>
        <w:rPr>
          <w:rFonts w:hint="eastAsia" w:ascii="宋体" w:hAnsi="宋体" w:eastAsia="宋体" w:cs="宋体"/>
          <w:b/>
          <w:bCs/>
          <w:color w:val="auto"/>
        </w:rPr>
        <w:t>价</w:t>
      </w:r>
      <w:r>
        <w:rPr>
          <w:rFonts w:hint="eastAsia" w:ascii="宋体" w:hAnsi="宋体" w:eastAsia="宋体" w:cs="宋体"/>
          <w:b/>
          <w:bCs/>
          <w:color w:val="auto"/>
          <w:spacing w:val="-3"/>
        </w:rPr>
        <w:t>自</w:t>
      </w:r>
      <w:r>
        <w:rPr>
          <w:rFonts w:hint="eastAsia" w:ascii="宋体" w:hAnsi="宋体" w:eastAsia="宋体" w:cs="宋体"/>
          <w:b/>
          <w:bCs/>
          <w:color w:val="auto"/>
        </w:rPr>
        <w:t>查表</w:t>
      </w:r>
    </w:p>
    <w:tbl>
      <w:tblPr>
        <w:tblStyle w:val="51"/>
        <w:tblW w:w="9347"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6"/>
        <w:gridCol w:w="1409"/>
        <w:gridCol w:w="6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2405" w:type="dxa"/>
            <w:gridSpan w:val="2"/>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工作内容</w:t>
            </w:r>
          </w:p>
        </w:tc>
        <w:tc>
          <w:tcPr>
            <w:tcW w:w="6942"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996" w:type="dxa"/>
            <w:vMerge w:val="restart"/>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生态影响识别</w:t>
            </w:r>
          </w:p>
        </w:tc>
        <w:tc>
          <w:tcPr>
            <w:tcW w:w="1409"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生态保护目标</w:t>
            </w:r>
          </w:p>
        </w:tc>
        <w:tc>
          <w:tcPr>
            <w:tcW w:w="6942"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color w:val="auto"/>
                <w:sz w:val="21"/>
                <w:szCs w:val="21"/>
              </w:rPr>
            </w:pPr>
            <w:r>
              <w:rPr>
                <w:color w:val="auto"/>
                <w:sz w:val="21"/>
                <w:szCs w:val="21"/>
              </w:rPr>
              <w:t>重要物种□；国家公园□；自然保护区□；自然公园□；世界自然遗产□；生态保护红线□；重要生境□；其他具有重要生态功能、对保护生物多样性具有重要意义的区域□；其他</w:t>
            </w:r>
            <w:r>
              <w:rPr>
                <w:color w:val="auto"/>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99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p>
        </w:tc>
        <w:tc>
          <w:tcPr>
            <w:tcW w:w="1409"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影响方式</w:t>
            </w:r>
          </w:p>
        </w:tc>
        <w:tc>
          <w:tcPr>
            <w:tcW w:w="6942"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工程占用</w:t>
            </w:r>
            <w:r>
              <w:rPr>
                <w:color w:val="auto"/>
                <w:sz w:val="21"/>
                <w:szCs w:val="21"/>
              </w:rPr>
              <w:sym w:font="Wingdings 2" w:char="0052"/>
            </w:r>
            <w:r>
              <w:rPr>
                <w:color w:val="auto"/>
                <w:sz w:val="21"/>
                <w:szCs w:val="21"/>
              </w:rPr>
              <w:t>；施工活动干扰□；改变环境条件□；其他</w:t>
            </w:r>
            <w:r>
              <w:rPr>
                <w:color w:val="auto"/>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2" w:hRule="atLeast"/>
        </w:trPr>
        <w:tc>
          <w:tcPr>
            <w:tcW w:w="99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p>
        </w:tc>
        <w:tc>
          <w:tcPr>
            <w:tcW w:w="1409"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评价因子</w:t>
            </w:r>
          </w:p>
        </w:tc>
        <w:tc>
          <w:tcPr>
            <w:tcW w:w="6942" w:type="dxa"/>
          </w:tcPr>
          <w:p>
            <w:pPr>
              <w:pStyle w:val="197"/>
              <w:keepNext w:val="0"/>
              <w:keepLines w:val="0"/>
              <w:pageBreakBefore w:val="0"/>
              <w:widowControl w:val="0"/>
              <w:tabs>
                <w:tab w:val="left" w:pos="3092"/>
              </w:tabs>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物种□（</w:t>
            </w:r>
            <w:r>
              <w:rPr>
                <w:color w:val="auto"/>
                <w:sz w:val="21"/>
                <w:szCs w:val="21"/>
              </w:rPr>
              <w:tab/>
            </w:r>
            <w:r>
              <w:rPr>
                <w:color w:val="auto"/>
                <w:sz w:val="21"/>
                <w:szCs w:val="21"/>
              </w:rPr>
              <w:t>）</w:t>
            </w:r>
          </w:p>
          <w:p>
            <w:pPr>
              <w:pStyle w:val="197"/>
              <w:keepNext w:val="0"/>
              <w:keepLines w:val="0"/>
              <w:pageBreakBefore w:val="0"/>
              <w:widowControl w:val="0"/>
              <w:tabs>
                <w:tab w:val="left" w:pos="3092"/>
              </w:tabs>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生境□（</w:t>
            </w:r>
            <w:r>
              <w:rPr>
                <w:color w:val="auto"/>
                <w:sz w:val="21"/>
                <w:szCs w:val="21"/>
              </w:rPr>
              <w:tab/>
            </w:r>
            <w:r>
              <w:rPr>
                <w:color w:val="auto"/>
                <w:sz w:val="21"/>
                <w:szCs w:val="21"/>
              </w:rPr>
              <w:t>）</w:t>
            </w:r>
          </w:p>
          <w:p>
            <w:pPr>
              <w:pStyle w:val="197"/>
              <w:keepNext w:val="0"/>
              <w:keepLines w:val="0"/>
              <w:pageBreakBefore w:val="0"/>
              <w:widowControl w:val="0"/>
              <w:tabs>
                <w:tab w:val="left" w:pos="3092"/>
              </w:tabs>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生物群落□（</w:t>
            </w:r>
            <w:r>
              <w:rPr>
                <w:color w:val="auto"/>
                <w:sz w:val="21"/>
                <w:szCs w:val="21"/>
              </w:rPr>
              <w:tab/>
            </w:r>
            <w:r>
              <w:rPr>
                <w:color w:val="auto"/>
                <w:sz w:val="21"/>
                <w:szCs w:val="21"/>
              </w:rPr>
              <w:t>）</w:t>
            </w:r>
          </w:p>
          <w:p>
            <w:pPr>
              <w:pStyle w:val="197"/>
              <w:keepNext w:val="0"/>
              <w:keepLines w:val="0"/>
              <w:pageBreakBefore w:val="0"/>
              <w:widowControl w:val="0"/>
              <w:tabs>
                <w:tab w:val="left" w:pos="3092"/>
              </w:tabs>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生态系统□（</w:t>
            </w:r>
            <w:r>
              <w:rPr>
                <w:color w:val="auto"/>
                <w:sz w:val="21"/>
                <w:szCs w:val="21"/>
              </w:rPr>
              <w:tab/>
            </w:r>
            <w:r>
              <w:rPr>
                <w:color w:val="auto"/>
                <w:sz w:val="21"/>
                <w:szCs w:val="21"/>
              </w:rPr>
              <w:t>）</w:t>
            </w:r>
          </w:p>
          <w:p>
            <w:pPr>
              <w:pStyle w:val="197"/>
              <w:keepNext w:val="0"/>
              <w:keepLines w:val="0"/>
              <w:pageBreakBefore w:val="0"/>
              <w:widowControl w:val="0"/>
              <w:tabs>
                <w:tab w:val="left" w:pos="3092"/>
              </w:tabs>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生物多样性□（</w:t>
            </w:r>
            <w:r>
              <w:rPr>
                <w:color w:val="auto"/>
                <w:sz w:val="21"/>
                <w:szCs w:val="21"/>
              </w:rPr>
              <w:tab/>
            </w:r>
            <w:r>
              <w:rPr>
                <w:color w:val="auto"/>
                <w:sz w:val="21"/>
                <w:szCs w:val="21"/>
              </w:rPr>
              <w:t>）</w:t>
            </w:r>
          </w:p>
          <w:p>
            <w:pPr>
              <w:pStyle w:val="197"/>
              <w:keepNext w:val="0"/>
              <w:keepLines w:val="0"/>
              <w:pageBreakBefore w:val="0"/>
              <w:widowControl w:val="0"/>
              <w:tabs>
                <w:tab w:val="left" w:pos="3092"/>
              </w:tabs>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生态敏感区□（</w:t>
            </w:r>
            <w:r>
              <w:rPr>
                <w:color w:val="auto"/>
                <w:sz w:val="21"/>
                <w:szCs w:val="21"/>
              </w:rPr>
              <w:tab/>
            </w:r>
            <w:r>
              <w:rPr>
                <w:color w:val="auto"/>
                <w:sz w:val="21"/>
                <w:szCs w:val="21"/>
              </w:rPr>
              <w:t>）</w:t>
            </w:r>
          </w:p>
          <w:p>
            <w:pPr>
              <w:pStyle w:val="197"/>
              <w:keepNext w:val="0"/>
              <w:keepLines w:val="0"/>
              <w:pageBreakBefore w:val="0"/>
              <w:widowControl w:val="0"/>
              <w:tabs>
                <w:tab w:val="left" w:pos="3092"/>
              </w:tabs>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自然景观□（</w:t>
            </w:r>
            <w:r>
              <w:rPr>
                <w:color w:val="auto"/>
                <w:sz w:val="21"/>
                <w:szCs w:val="21"/>
              </w:rPr>
              <w:tab/>
            </w:r>
            <w:r>
              <w:rPr>
                <w:color w:val="auto"/>
                <w:sz w:val="21"/>
                <w:szCs w:val="21"/>
              </w:rPr>
              <w:t>）</w:t>
            </w:r>
          </w:p>
          <w:p>
            <w:pPr>
              <w:pStyle w:val="197"/>
              <w:keepNext w:val="0"/>
              <w:keepLines w:val="0"/>
              <w:pageBreakBefore w:val="0"/>
              <w:widowControl w:val="0"/>
              <w:tabs>
                <w:tab w:val="left" w:pos="3092"/>
              </w:tabs>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自然遗迹□（</w:t>
            </w:r>
            <w:r>
              <w:rPr>
                <w:color w:val="auto"/>
                <w:sz w:val="21"/>
                <w:szCs w:val="21"/>
              </w:rPr>
              <w:tab/>
            </w:r>
            <w:r>
              <w:rPr>
                <w:color w:val="auto"/>
                <w:sz w:val="21"/>
                <w:szCs w:val="21"/>
              </w:rPr>
              <w:t>）</w:t>
            </w:r>
          </w:p>
          <w:p>
            <w:pPr>
              <w:pStyle w:val="197"/>
              <w:keepNext w:val="0"/>
              <w:keepLines w:val="0"/>
              <w:pageBreakBefore w:val="0"/>
              <w:widowControl w:val="0"/>
              <w:tabs>
                <w:tab w:val="left" w:pos="3092"/>
              </w:tabs>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其他□（</w:t>
            </w:r>
            <w:r>
              <w:rPr>
                <w:color w:val="auto"/>
                <w:sz w:val="21"/>
                <w:szCs w:val="21"/>
              </w:rPr>
              <w:tab/>
            </w: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2405" w:type="dxa"/>
            <w:gridSpan w:val="2"/>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评价等级</w:t>
            </w:r>
          </w:p>
        </w:tc>
        <w:tc>
          <w:tcPr>
            <w:tcW w:w="6942"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一级□</w:t>
            </w:r>
            <w:r>
              <w:rPr>
                <w:color w:val="auto"/>
                <w:sz w:val="21"/>
                <w:szCs w:val="21"/>
              </w:rPr>
              <w:tab/>
            </w:r>
            <w:r>
              <w:rPr>
                <w:color w:val="auto"/>
                <w:sz w:val="21"/>
                <w:szCs w:val="21"/>
              </w:rPr>
              <w:t>二级□</w:t>
            </w:r>
            <w:r>
              <w:rPr>
                <w:color w:val="auto"/>
                <w:sz w:val="21"/>
                <w:szCs w:val="21"/>
              </w:rPr>
              <w:tab/>
            </w:r>
            <w:r>
              <w:rPr>
                <w:color w:val="auto"/>
                <w:sz w:val="21"/>
                <w:szCs w:val="21"/>
              </w:rPr>
              <w:t>三级□</w:t>
            </w:r>
            <w:r>
              <w:rPr>
                <w:rFonts w:hint="eastAsia"/>
                <w:color w:val="auto"/>
                <w:sz w:val="21"/>
                <w:szCs w:val="21"/>
                <w:lang w:val="en-US" w:eastAsia="zh-CN"/>
              </w:rPr>
              <w:t xml:space="preserve">  </w:t>
            </w:r>
            <w:r>
              <w:rPr>
                <w:color w:val="auto"/>
                <w:sz w:val="21"/>
                <w:szCs w:val="21"/>
              </w:rPr>
              <w:t>生态影响简单分析</w:t>
            </w:r>
            <w:r>
              <w:rPr>
                <w:color w:val="auto"/>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2405" w:type="dxa"/>
            <w:gridSpan w:val="2"/>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评价范围</w:t>
            </w:r>
          </w:p>
        </w:tc>
        <w:tc>
          <w:tcPr>
            <w:tcW w:w="6942"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Times New Roman"/>
                <w:color w:val="auto"/>
                <w:sz w:val="21"/>
                <w:szCs w:val="21"/>
              </w:rPr>
            </w:pPr>
            <w:r>
              <w:rPr>
                <w:color w:val="auto"/>
                <w:sz w:val="21"/>
                <w:szCs w:val="21"/>
              </w:rPr>
              <w:t>陆域面积</w:t>
            </w:r>
            <w:r>
              <w:rPr>
                <w:color w:val="auto"/>
                <w:spacing w:val="-92"/>
                <w:sz w:val="21"/>
                <w:szCs w:val="21"/>
              </w:rPr>
              <w:t>：</w:t>
            </w:r>
            <w:r>
              <w:rPr>
                <w:color w:val="auto"/>
                <w:sz w:val="21"/>
                <w:szCs w:val="21"/>
              </w:rPr>
              <w:t>（</w:t>
            </w:r>
            <w:r>
              <w:rPr>
                <w:rFonts w:hint="eastAsia"/>
                <w:color w:val="auto"/>
                <w:sz w:val="21"/>
                <w:szCs w:val="21"/>
                <w:lang w:val="en-US" w:eastAsia="zh-CN"/>
              </w:rPr>
              <w:t>0..0116</w:t>
            </w:r>
            <w:r>
              <w:rPr>
                <w:color w:val="auto"/>
                <w:sz w:val="21"/>
                <w:szCs w:val="21"/>
              </w:rPr>
              <w:t>）</w:t>
            </w:r>
            <w:r>
              <w:rPr>
                <w:rFonts w:ascii="Times New Roman" w:eastAsia="Times New Roman"/>
                <w:color w:val="auto"/>
                <w:spacing w:val="-2"/>
                <w:sz w:val="21"/>
                <w:szCs w:val="21"/>
              </w:rPr>
              <w:t>k</w:t>
            </w:r>
            <w:r>
              <w:rPr>
                <w:rFonts w:ascii="Times New Roman" w:eastAsia="Times New Roman"/>
                <w:color w:val="auto"/>
                <w:spacing w:val="-4"/>
                <w:sz w:val="21"/>
                <w:szCs w:val="21"/>
              </w:rPr>
              <w:t>m</w:t>
            </w:r>
            <w:r>
              <w:rPr>
                <w:rFonts w:ascii="Times New Roman" w:eastAsia="Times New Roman"/>
                <w:color w:val="auto"/>
                <w:w w:val="97"/>
                <w:sz w:val="21"/>
                <w:szCs w:val="21"/>
                <w:vertAlign w:val="superscript"/>
              </w:rPr>
              <w:t>2</w:t>
            </w:r>
            <w:r>
              <w:rPr>
                <w:color w:val="auto"/>
                <w:sz w:val="21"/>
                <w:szCs w:val="21"/>
                <w:vertAlign w:val="baseline"/>
              </w:rPr>
              <w:t>；水</w:t>
            </w:r>
            <w:r>
              <w:rPr>
                <w:color w:val="auto"/>
                <w:spacing w:val="2"/>
                <w:sz w:val="21"/>
                <w:szCs w:val="21"/>
                <w:vertAlign w:val="baseline"/>
              </w:rPr>
              <w:t>域</w:t>
            </w:r>
            <w:r>
              <w:rPr>
                <w:color w:val="auto"/>
                <w:sz w:val="21"/>
                <w:szCs w:val="21"/>
                <w:vertAlign w:val="baseline"/>
              </w:rPr>
              <w:t>面</w:t>
            </w:r>
            <w:r>
              <w:rPr>
                <w:color w:val="auto"/>
                <w:sz w:val="21"/>
                <w:szCs w:val="21"/>
              </w:rPr>
              <w:t>积</w:t>
            </w:r>
            <w:r>
              <w:rPr>
                <w:color w:val="auto"/>
                <w:spacing w:val="-92"/>
                <w:sz w:val="21"/>
                <w:szCs w:val="21"/>
              </w:rPr>
              <w:t>：</w:t>
            </w:r>
            <w:r>
              <w:rPr>
                <w:color w:val="auto"/>
                <w:sz w:val="21"/>
                <w:szCs w:val="21"/>
              </w:rPr>
              <w:t>（</w:t>
            </w:r>
            <w:r>
              <w:rPr>
                <w:rFonts w:hint="eastAsia"/>
                <w:color w:val="auto"/>
                <w:sz w:val="21"/>
                <w:szCs w:val="21"/>
                <w:lang w:val="en-US" w:eastAsia="zh-CN"/>
              </w:rPr>
              <w:t>0.499</w:t>
            </w:r>
            <w:r>
              <w:rPr>
                <w:color w:val="auto"/>
                <w:sz w:val="21"/>
                <w:szCs w:val="21"/>
              </w:rPr>
              <w:t>）</w:t>
            </w:r>
            <w:r>
              <w:rPr>
                <w:rFonts w:ascii="Times New Roman" w:eastAsia="Times New Roman"/>
                <w:color w:val="auto"/>
                <w:spacing w:val="-2"/>
                <w:sz w:val="21"/>
                <w:szCs w:val="21"/>
              </w:rPr>
              <w:t>k</w:t>
            </w:r>
            <w:r>
              <w:rPr>
                <w:rFonts w:ascii="Times New Roman" w:eastAsia="Times New Roman"/>
                <w:color w:val="auto"/>
                <w:spacing w:val="-4"/>
                <w:sz w:val="21"/>
                <w:szCs w:val="21"/>
              </w:rPr>
              <w:t>m</w:t>
            </w:r>
            <w:r>
              <w:rPr>
                <w:rFonts w:ascii="Times New Roman" w:eastAsia="Times New Roman"/>
                <w:color w:val="auto"/>
                <w:w w:val="97"/>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996" w:type="dxa"/>
            <w:vMerge w:val="restart"/>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pacing w:val="-5"/>
                <w:sz w:val="21"/>
                <w:szCs w:val="21"/>
              </w:rPr>
              <w:t>生态现状</w:t>
            </w:r>
            <w:r>
              <w:rPr>
                <w:color w:val="auto"/>
                <w:sz w:val="21"/>
                <w:szCs w:val="21"/>
              </w:rPr>
              <w:t>调查与评价</w:t>
            </w:r>
          </w:p>
        </w:tc>
        <w:tc>
          <w:tcPr>
            <w:tcW w:w="1409"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调查方法</w:t>
            </w:r>
          </w:p>
        </w:tc>
        <w:tc>
          <w:tcPr>
            <w:tcW w:w="6942"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color w:val="auto"/>
                <w:sz w:val="21"/>
                <w:szCs w:val="21"/>
              </w:rPr>
            </w:pPr>
            <w:r>
              <w:rPr>
                <w:color w:val="auto"/>
                <w:sz w:val="21"/>
                <w:szCs w:val="21"/>
              </w:rPr>
              <w:t>资料收集□；遥感调查□；调查样方、样线□；调查点位、断面□；专家和公众咨询法□；其他□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trPr>
        <w:tc>
          <w:tcPr>
            <w:tcW w:w="99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p>
        </w:tc>
        <w:tc>
          <w:tcPr>
            <w:tcW w:w="1409"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调查时间</w:t>
            </w:r>
          </w:p>
        </w:tc>
        <w:tc>
          <w:tcPr>
            <w:tcW w:w="6942"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color w:val="auto"/>
                <w:sz w:val="21"/>
                <w:szCs w:val="21"/>
              </w:rPr>
            </w:pPr>
            <w:r>
              <w:rPr>
                <w:color w:val="auto"/>
                <w:sz w:val="21"/>
                <w:szCs w:val="21"/>
              </w:rPr>
              <w:t xml:space="preserve">春季□；夏季□；秋季□；冬季□ </w:t>
            </w:r>
            <w:r>
              <w:rPr>
                <w:rFonts w:hint="eastAsia"/>
                <w:color w:val="auto"/>
                <w:sz w:val="21"/>
                <w:szCs w:val="21"/>
                <w:lang w:eastAsia="zh-CN"/>
              </w:rPr>
              <w:t>；</w:t>
            </w:r>
            <w:r>
              <w:rPr>
                <w:color w:val="auto"/>
                <w:sz w:val="21"/>
                <w:szCs w:val="21"/>
              </w:rPr>
              <w:t>丰水期□；枯水期□；平水期□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99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p>
        </w:tc>
        <w:tc>
          <w:tcPr>
            <w:tcW w:w="1409"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所在区域的</w:t>
            </w: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生态问题</w:t>
            </w:r>
          </w:p>
        </w:tc>
        <w:tc>
          <w:tcPr>
            <w:tcW w:w="6942"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color w:val="auto"/>
                <w:sz w:val="21"/>
                <w:szCs w:val="21"/>
              </w:rPr>
            </w:pPr>
            <w:r>
              <w:rPr>
                <w:color w:val="auto"/>
                <w:sz w:val="21"/>
                <w:szCs w:val="21"/>
              </w:rPr>
              <w:t>水土流失</w:t>
            </w:r>
            <w:r>
              <w:rPr>
                <w:color w:val="auto"/>
                <w:sz w:val="21"/>
                <w:szCs w:val="21"/>
              </w:rPr>
              <w:sym w:font="Wingdings 2" w:char="0052"/>
            </w:r>
            <w:r>
              <w:rPr>
                <w:color w:val="auto"/>
                <w:sz w:val="21"/>
                <w:szCs w:val="21"/>
              </w:rPr>
              <w:t>；沙漠化□；石漠化□；盐渍化□；生物入侵□；污染危害□；其他□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99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p>
        </w:tc>
        <w:tc>
          <w:tcPr>
            <w:tcW w:w="1409"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评价内容</w:t>
            </w:r>
          </w:p>
        </w:tc>
        <w:tc>
          <w:tcPr>
            <w:tcW w:w="6942"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color w:val="auto"/>
                <w:sz w:val="21"/>
                <w:szCs w:val="21"/>
              </w:rPr>
            </w:pPr>
            <w:r>
              <w:rPr>
                <w:color w:val="auto"/>
                <w:sz w:val="21"/>
                <w:szCs w:val="21"/>
              </w:rPr>
              <w:t>植被</w:t>
            </w:r>
            <w:r>
              <w:rPr>
                <w:rFonts w:ascii="Times New Roman" w:hAnsi="Times New Roman" w:eastAsia="Times New Roman"/>
                <w:color w:val="auto"/>
                <w:sz w:val="21"/>
                <w:szCs w:val="21"/>
              </w:rPr>
              <w:t>/</w:t>
            </w:r>
            <w:r>
              <w:rPr>
                <w:color w:val="auto"/>
                <w:sz w:val="21"/>
                <w:szCs w:val="21"/>
              </w:rPr>
              <w:t>植物群落□；土地利用□；生态系统□；生物多样性□；重要物种□；生态敏感区□；其他□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996" w:type="dxa"/>
            <w:vMerge w:val="restart"/>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pacing w:val="-5"/>
                <w:sz w:val="21"/>
                <w:szCs w:val="21"/>
              </w:rPr>
              <w:t>生态影响</w:t>
            </w:r>
            <w:r>
              <w:rPr>
                <w:color w:val="auto"/>
                <w:sz w:val="21"/>
                <w:szCs w:val="21"/>
              </w:rPr>
              <w:t>预测与评价</w:t>
            </w:r>
          </w:p>
        </w:tc>
        <w:tc>
          <w:tcPr>
            <w:tcW w:w="1409"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评价方法</w:t>
            </w:r>
          </w:p>
        </w:tc>
        <w:tc>
          <w:tcPr>
            <w:tcW w:w="6942"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color w:val="auto"/>
                <w:sz w:val="21"/>
                <w:szCs w:val="21"/>
              </w:rPr>
            </w:pPr>
            <w:r>
              <w:rPr>
                <w:color w:val="auto"/>
                <w:sz w:val="21"/>
                <w:szCs w:val="21"/>
              </w:rPr>
              <w:t>定性</w:t>
            </w:r>
            <w:r>
              <w:rPr>
                <w:color w:val="auto"/>
                <w:sz w:val="21"/>
                <w:szCs w:val="21"/>
              </w:rPr>
              <w:sym w:font="Wingdings 2" w:char="0052"/>
            </w:r>
            <w:r>
              <w:rPr>
                <w:color w:val="auto"/>
                <w:sz w:val="21"/>
                <w:szCs w:val="21"/>
              </w:rPr>
              <w:t>；定性和定量□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99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p>
        </w:tc>
        <w:tc>
          <w:tcPr>
            <w:tcW w:w="1409"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评价内容</w:t>
            </w:r>
          </w:p>
        </w:tc>
        <w:tc>
          <w:tcPr>
            <w:tcW w:w="6942" w:type="dxa"/>
            <w:vAlign w:val="center"/>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color w:val="auto"/>
                <w:sz w:val="21"/>
                <w:szCs w:val="21"/>
              </w:rPr>
            </w:pPr>
            <w:r>
              <w:rPr>
                <w:color w:val="auto"/>
                <w:sz w:val="21"/>
                <w:szCs w:val="21"/>
              </w:rPr>
              <w:t>植被</w:t>
            </w:r>
            <w:r>
              <w:rPr>
                <w:rFonts w:ascii="Times New Roman" w:hAnsi="Times New Roman" w:eastAsia="Times New Roman"/>
                <w:color w:val="auto"/>
                <w:sz w:val="21"/>
                <w:szCs w:val="21"/>
              </w:rPr>
              <w:t>/</w:t>
            </w:r>
            <w:r>
              <w:rPr>
                <w:color w:val="auto"/>
                <w:sz w:val="21"/>
                <w:szCs w:val="21"/>
              </w:rPr>
              <w:t>植物群落</w:t>
            </w:r>
            <w:r>
              <w:rPr>
                <w:color w:val="auto"/>
                <w:sz w:val="21"/>
                <w:szCs w:val="21"/>
              </w:rPr>
              <w:sym w:font="Wingdings 2" w:char="0052"/>
            </w:r>
            <w:r>
              <w:rPr>
                <w:color w:val="auto"/>
                <w:sz w:val="21"/>
                <w:szCs w:val="21"/>
              </w:rPr>
              <w:t>；土地利用□；生态系统□；生物多样性</w:t>
            </w:r>
            <w:r>
              <w:rPr>
                <w:color w:val="auto"/>
                <w:sz w:val="21"/>
                <w:szCs w:val="21"/>
              </w:rPr>
              <w:sym w:font="Wingdings 2" w:char="0052"/>
            </w:r>
            <w:r>
              <w:rPr>
                <w:color w:val="auto"/>
                <w:sz w:val="21"/>
                <w:szCs w:val="21"/>
              </w:rPr>
              <w:t>；重要物种□；生态敏感区□；生物入侵风险□；其他</w:t>
            </w:r>
            <w:r>
              <w:rPr>
                <w:color w:val="auto"/>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996" w:type="dxa"/>
            <w:vMerge w:val="restart"/>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ascii="黑体"/>
                <w:color w:val="auto"/>
                <w:sz w:val="21"/>
                <w:szCs w:val="21"/>
              </w:rPr>
            </w:pPr>
          </w:p>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生态保护对策措施</w:t>
            </w:r>
          </w:p>
        </w:tc>
        <w:tc>
          <w:tcPr>
            <w:tcW w:w="1409"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对策措施</w:t>
            </w:r>
          </w:p>
        </w:tc>
        <w:tc>
          <w:tcPr>
            <w:tcW w:w="6942"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避让□；减缓</w:t>
            </w:r>
            <w:r>
              <w:rPr>
                <w:color w:val="auto"/>
                <w:sz w:val="21"/>
                <w:szCs w:val="21"/>
              </w:rPr>
              <w:sym w:font="Wingdings 2" w:char="0052"/>
            </w:r>
            <w:r>
              <w:rPr>
                <w:color w:val="auto"/>
                <w:sz w:val="21"/>
                <w:szCs w:val="21"/>
              </w:rPr>
              <w:t>；生态修复</w:t>
            </w:r>
            <w:r>
              <w:rPr>
                <w:color w:val="auto"/>
                <w:sz w:val="21"/>
                <w:szCs w:val="21"/>
              </w:rPr>
              <w:sym w:font="Wingdings 2" w:char="0052"/>
            </w:r>
            <w:r>
              <w:rPr>
                <w:color w:val="auto"/>
                <w:sz w:val="21"/>
                <w:szCs w:val="21"/>
              </w:rPr>
              <w:t>；生态补偿</w:t>
            </w:r>
            <w:r>
              <w:rPr>
                <w:color w:val="auto"/>
                <w:sz w:val="21"/>
                <w:szCs w:val="21"/>
              </w:rPr>
              <w:sym w:font="Wingdings 2" w:char="0052"/>
            </w:r>
            <w:r>
              <w:rPr>
                <w:color w:val="auto"/>
                <w:sz w:val="21"/>
                <w:szCs w:val="21"/>
              </w:rPr>
              <w:t>；科研□；其他□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99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p>
        </w:tc>
        <w:tc>
          <w:tcPr>
            <w:tcW w:w="1409"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生态监测计划</w:t>
            </w:r>
          </w:p>
        </w:tc>
        <w:tc>
          <w:tcPr>
            <w:tcW w:w="6942"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全生命周期□；长期跟踪□；常规□；无</w:t>
            </w:r>
            <w:r>
              <w:rPr>
                <w:color w:val="auto"/>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99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p>
        </w:tc>
        <w:tc>
          <w:tcPr>
            <w:tcW w:w="1409"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环境管理</w:t>
            </w:r>
          </w:p>
        </w:tc>
        <w:tc>
          <w:tcPr>
            <w:tcW w:w="6942"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环境监理□；环境影响后评价□；其他□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996"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评价结论</w:t>
            </w:r>
          </w:p>
        </w:tc>
        <w:tc>
          <w:tcPr>
            <w:tcW w:w="1409"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生态影响</w:t>
            </w:r>
          </w:p>
        </w:tc>
        <w:tc>
          <w:tcPr>
            <w:tcW w:w="6942" w:type="dxa"/>
          </w:tcPr>
          <w:p>
            <w:pPr>
              <w:pStyle w:val="19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可行</w:t>
            </w:r>
            <w:r>
              <w:rPr>
                <w:color w:val="auto"/>
                <w:sz w:val="21"/>
                <w:szCs w:val="21"/>
              </w:rPr>
              <w:sym w:font="Wingdings 2" w:char="0052"/>
            </w:r>
            <w:r>
              <w:rPr>
                <w:color w:val="auto"/>
                <w:sz w:val="21"/>
                <w:szCs w:val="21"/>
              </w:rPr>
              <w:t>；不可行□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9347" w:type="dxa"/>
            <w:gridSpan w:val="3"/>
          </w:tcPr>
          <w:p>
            <w:pPr>
              <w:pStyle w:val="197"/>
              <w:keepNext w:val="0"/>
              <w:keepLines w:val="0"/>
              <w:pageBreakBefore w:val="0"/>
              <w:widowControl w:val="0"/>
              <w:tabs>
                <w:tab w:val="left" w:pos="3259"/>
              </w:tabs>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pacing w:val="0"/>
                <w:sz w:val="21"/>
                <w:szCs w:val="21"/>
              </w:rPr>
              <w:t>注： “□” 为勾选项 ，可√</w:t>
            </w:r>
            <w:r>
              <w:rPr>
                <w:rFonts w:hint="eastAsia"/>
                <w:color w:val="auto"/>
                <w:spacing w:val="0"/>
                <w:sz w:val="21"/>
                <w:szCs w:val="21"/>
                <w:lang w:eastAsia="zh-CN"/>
              </w:rPr>
              <w:t>；“（</w:t>
            </w:r>
            <w:r>
              <w:rPr>
                <w:rFonts w:hint="eastAsia"/>
                <w:color w:val="auto"/>
                <w:spacing w:val="0"/>
                <w:sz w:val="21"/>
                <w:szCs w:val="21"/>
                <w:lang w:val="en-US" w:eastAsia="zh-CN"/>
              </w:rPr>
              <w:t xml:space="preserve">  </w:t>
            </w:r>
            <w:r>
              <w:rPr>
                <w:rFonts w:hint="eastAsia"/>
                <w:color w:val="auto"/>
                <w:spacing w:val="0"/>
                <w:sz w:val="21"/>
                <w:szCs w:val="21"/>
                <w:lang w:eastAsia="zh-CN"/>
              </w:rPr>
              <w:t>）”</w:t>
            </w:r>
            <w:r>
              <w:rPr>
                <w:color w:val="auto"/>
                <w:spacing w:val="0"/>
                <w:sz w:val="21"/>
                <w:szCs w:val="21"/>
              </w:rPr>
              <w:t>为内容填写项。</w:t>
            </w:r>
          </w:p>
        </w:tc>
      </w:tr>
    </w:tbl>
    <w:p>
      <w:pPr>
        <w:pStyle w:val="6"/>
        <w:spacing w:after="0"/>
        <w:rPr>
          <w:rFonts w:eastAsia="宋体"/>
          <w:color w:val="auto"/>
          <w:kern w:val="21"/>
        </w:rPr>
      </w:pPr>
      <w:bookmarkStart w:id="287" w:name="_Toc30491"/>
      <w:r>
        <w:rPr>
          <w:rFonts w:eastAsia="宋体"/>
          <w:color w:val="auto"/>
          <w:kern w:val="21"/>
        </w:rPr>
        <w:t>5.</w:t>
      </w:r>
      <w:r>
        <w:rPr>
          <w:rFonts w:hint="eastAsia" w:eastAsia="宋体"/>
          <w:color w:val="auto"/>
          <w:kern w:val="21"/>
        </w:rPr>
        <w:t>2.</w:t>
      </w:r>
      <w:r>
        <w:rPr>
          <w:rFonts w:eastAsia="宋体"/>
          <w:color w:val="auto"/>
          <w:kern w:val="21"/>
        </w:rPr>
        <w:t>7土壤环境影响分析</w:t>
      </w:r>
      <w:bookmarkEnd w:id="287"/>
    </w:p>
    <w:p>
      <w:pPr>
        <w:pStyle w:val="8"/>
        <w:spacing w:before="0" w:after="0" w:line="360" w:lineRule="auto"/>
        <w:ind w:firstLine="0" w:firstLineChars="0"/>
        <w:rPr>
          <w:rStyle w:val="117"/>
          <w:rFonts w:ascii="Times New Roman" w:hAnsi="Times New Roman" w:eastAsia="宋体"/>
          <w:bCs/>
          <w:color w:val="auto"/>
          <w:kern w:val="21"/>
          <w:sz w:val="24"/>
          <w:szCs w:val="24"/>
        </w:rPr>
      </w:pPr>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2.</w:t>
      </w:r>
      <w:r>
        <w:rPr>
          <w:rStyle w:val="117"/>
          <w:rFonts w:ascii="Times New Roman" w:hAnsi="Times New Roman" w:eastAsia="宋体"/>
          <w:bCs/>
          <w:color w:val="auto"/>
          <w:kern w:val="21"/>
          <w:sz w:val="24"/>
          <w:szCs w:val="24"/>
        </w:rPr>
        <w:t>7.1概述</w:t>
      </w:r>
    </w:p>
    <w:p>
      <w:pPr>
        <w:widowControl/>
        <w:ind w:firstLine="480"/>
        <w:jc w:val="left"/>
        <w:rPr>
          <w:color w:val="auto"/>
          <w:kern w:val="21"/>
          <w:lang w:bidi="ar"/>
        </w:rPr>
      </w:pPr>
      <w:r>
        <w:rPr>
          <w:color w:val="auto"/>
          <w:kern w:val="21"/>
          <w:lang w:bidi="ar"/>
        </w:rPr>
        <w:t>根据对项目现场踏勘，项目区属红壤区，主要以黄棕</w:t>
      </w:r>
      <w:r>
        <w:rPr>
          <w:rFonts w:hint="eastAsia"/>
          <w:color w:val="auto"/>
          <w:kern w:val="21"/>
          <w:lang w:bidi="ar"/>
        </w:rPr>
        <w:t>、</w:t>
      </w:r>
      <w:r>
        <w:rPr>
          <w:color w:val="auto"/>
          <w:kern w:val="21"/>
          <w:lang w:bidi="ar"/>
        </w:rPr>
        <w:t>红壤为主，</w:t>
      </w:r>
      <w:r>
        <w:rPr>
          <w:rFonts w:hint="eastAsia"/>
          <w:color w:val="auto"/>
          <w:kern w:val="21"/>
          <w:lang w:bidi="ar"/>
        </w:rPr>
        <w:t>土壤类型图见附图11。</w:t>
      </w:r>
      <w:r>
        <w:rPr>
          <w:color w:val="auto"/>
          <w:kern w:val="21"/>
          <w:lang w:bidi="ar"/>
        </w:rPr>
        <w:t>本次评价按照《环境影响评价技术导则土壤环境（试行）》（HJ964-2018），对项目占地范围内的土壤环境进行了现状调查与评价。在调查的基础上，进行了土壤环境的现状调查与评价并提出保护措施。</w:t>
      </w:r>
    </w:p>
    <w:p>
      <w:pPr>
        <w:pStyle w:val="8"/>
        <w:spacing w:before="0" w:after="0" w:line="360" w:lineRule="auto"/>
        <w:ind w:firstLine="0" w:firstLineChars="0"/>
        <w:rPr>
          <w:rStyle w:val="117"/>
          <w:rFonts w:ascii="Times New Roman" w:hAnsi="Times New Roman" w:eastAsia="宋体"/>
          <w:bCs/>
          <w:color w:val="auto"/>
          <w:kern w:val="21"/>
          <w:sz w:val="24"/>
          <w:szCs w:val="24"/>
        </w:rPr>
      </w:pPr>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2.</w:t>
      </w:r>
      <w:r>
        <w:rPr>
          <w:rStyle w:val="117"/>
          <w:rFonts w:ascii="Times New Roman" w:hAnsi="Times New Roman" w:eastAsia="宋体"/>
          <w:bCs/>
          <w:color w:val="auto"/>
          <w:kern w:val="21"/>
          <w:sz w:val="24"/>
          <w:szCs w:val="24"/>
        </w:rPr>
        <w:t>7.2土壤环境质量现状</w:t>
      </w:r>
    </w:p>
    <w:p>
      <w:pPr>
        <w:widowControl/>
        <w:ind w:firstLine="480"/>
        <w:jc w:val="left"/>
        <w:rPr>
          <w:color w:val="auto"/>
          <w:kern w:val="21"/>
        </w:rPr>
      </w:pPr>
      <w:r>
        <w:rPr>
          <w:color w:val="auto"/>
          <w:kern w:val="21"/>
          <w:lang w:bidi="ar"/>
        </w:rPr>
        <w:t>本项目属于污染影响型，根据土壤导则相关规定，确定土壤评价等级为三级，根据4.2.6节土壤现状监测评价结果可知，拟建项目厂区土壤监测点的各污染物因子均能满足《土壤环境质量建设用地土壤污染风险管控标准》（试行）（GB36600-2018）中第二类用地的筛选值和管控值的要求</w:t>
      </w:r>
      <w:r>
        <w:rPr>
          <w:color w:val="auto"/>
          <w:kern w:val="21"/>
        </w:rPr>
        <w:t>，厂区土壤环境质量良好。</w:t>
      </w:r>
    </w:p>
    <w:p>
      <w:pPr>
        <w:pStyle w:val="8"/>
        <w:spacing w:before="0" w:after="0" w:line="360" w:lineRule="auto"/>
        <w:ind w:firstLine="0" w:firstLineChars="0"/>
        <w:rPr>
          <w:rStyle w:val="117"/>
          <w:rFonts w:ascii="Times New Roman" w:hAnsi="Times New Roman" w:eastAsia="宋体"/>
          <w:bCs/>
          <w:color w:val="auto"/>
          <w:kern w:val="21"/>
          <w:sz w:val="24"/>
          <w:szCs w:val="24"/>
        </w:rPr>
      </w:pPr>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2.</w:t>
      </w:r>
      <w:r>
        <w:rPr>
          <w:rStyle w:val="117"/>
          <w:rFonts w:ascii="Times New Roman" w:hAnsi="Times New Roman" w:eastAsia="宋体"/>
          <w:bCs/>
          <w:color w:val="auto"/>
          <w:kern w:val="21"/>
          <w:sz w:val="24"/>
          <w:szCs w:val="24"/>
        </w:rPr>
        <w:t>7.3土壤环境影响识别</w:t>
      </w:r>
    </w:p>
    <w:p>
      <w:pPr>
        <w:widowControl/>
        <w:ind w:firstLine="480"/>
        <w:jc w:val="left"/>
        <w:rPr>
          <w:color w:val="auto"/>
          <w:kern w:val="21"/>
        </w:rPr>
      </w:pPr>
      <w:r>
        <w:rPr>
          <w:color w:val="auto"/>
          <w:kern w:val="21"/>
          <w:lang w:bidi="ar"/>
        </w:rPr>
        <w:t>本项目主要在运营期可能对土壤环境产生影响，产生影响的主要是污水预处理区（细格栅间及调节池、混凝沉淀池及水解酸化池），生化处理系统（A</w:t>
      </w:r>
      <w:r>
        <w:rPr>
          <w:color w:val="auto"/>
          <w:kern w:val="21"/>
          <w:vertAlign w:val="superscript"/>
          <w:lang w:bidi="ar"/>
        </w:rPr>
        <w:t>2</w:t>
      </w:r>
      <w:r>
        <w:rPr>
          <w:color w:val="auto"/>
          <w:kern w:val="21"/>
          <w:lang w:bidi="ar"/>
        </w:rPr>
        <w:t>/O生化池），深度处理系统（</w:t>
      </w:r>
      <w:r>
        <w:rPr>
          <w:color w:val="auto"/>
          <w:kern w:val="21"/>
        </w:rPr>
        <w:t>MBR膜池及设备间</w:t>
      </w:r>
      <w:r>
        <w:rPr>
          <w:color w:val="auto"/>
          <w:kern w:val="21"/>
          <w:lang w:bidi="ar"/>
        </w:rPr>
        <w:t>），污泥处理系统（污泥脱水车间）、储泥池各污水处理设施防渗层破损等形成垂直入渗对土壤造成影响以及水泵损坏排水不畅引起的污水地面漫流对区域土壤造成污染。项目土壤环境影响类型与影响途径见</w:t>
      </w:r>
      <w:r>
        <w:rPr>
          <w:rFonts w:hint="eastAsia"/>
          <w:color w:val="auto"/>
          <w:kern w:val="21"/>
          <w:lang w:eastAsia="zh-CN" w:bidi="ar"/>
        </w:rPr>
        <w:t>下表</w:t>
      </w:r>
      <w:r>
        <w:rPr>
          <w:color w:val="auto"/>
          <w:kern w:val="21"/>
          <w:lang w:bidi="ar"/>
        </w:rPr>
        <w:t>。</w:t>
      </w:r>
    </w:p>
    <w:p>
      <w:pPr>
        <w:numPr>
          <w:ilvl w:val="0"/>
          <w:numId w:val="11"/>
        </w:numPr>
        <w:tabs>
          <w:tab w:val="left" w:pos="3395"/>
          <w:tab w:val="clear" w:pos="0"/>
        </w:tabs>
        <w:ind w:left="0" w:leftChars="0" w:firstLine="0" w:firstLineChars="0"/>
        <w:jc w:val="center"/>
        <w:rPr>
          <w:b/>
          <w:bCs/>
          <w:color w:val="auto"/>
          <w:kern w:val="21"/>
          <w:lang w:bidi="ar"/>
        </w:rPr>
      </w:pPr>
      <w:r>
        <w:rPr>
          <w:b/>
          <w:bCs/>
          <w:color w:val="auto"/>
          <w:kern w:val="21"/>
          <w:lang w:bidi="ar"/>
        </w:rPr>
        <w:t>项目</w:t>
      </w:r>
      <w:r>
        <w:rPr>
          <w:rFonts w:hint="eastAsia" w:ascii="宋体" w:hAnsi="宋体" w:eastAsia="宋体" w:cs="宋体"/>
          <w:b/>
          <w:bCs/>
          <w:color w:val="auto"/>
          <w:spacing w:val="-3"/>
        </w:rPr>
        <w:t>土壤</w:t>
      </w:r>
      <w:r>
        <w:rPr>
          <w:b/>
          <w:bCs/>
          <w:color w:val="auto"/>
          <w:kern w:val="21"/>
          <w:lang w:bidi="ar"/>
        </w:rPr>
        <w:t>环境影响类型与影响途径表</w:t>
      </w:r>
    </w:p>
    <w:tbl>
      <w:tblPr>
        <w:tblStyle w:val="51"/>
        <w:tblW w:w="9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332"/>
        <w:gridCol w:w="2232"/>
        <w:gridCol w:w="2112"/>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不同时段</w:t>
            </w:r>
          </w:p>
        </w:tc>
        <w:tc>
          <w:tcPr>
            <w:tcW w:w="5676" w:type="dxa"/>
            <w:gridSpan w:val="3"/>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污染影响型</w:t>
            </w:r>
          </w:p>
        </w:tc>
        <w:tc>
          <w:tcPr>
            <w:tcW w:w="214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33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大气沉降</w:t>
            </w:r>
          </w:p>
        </w:tc>
        <w:tc>
          <w:tcPr>
            <w:tcW w:w="223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地面漫流</w:t>
            </w:r>
          </w:p>
        </w:tc>
        <w:tc>
          <w:tcPr>
            <w:tcW w:w="211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垂直入渗</w:t>
            </w:r>
          </w:p>
        </w:tc>
        <w:tc>
          <w:tcPr>
            <w:tcW w:w="2148" w:type="dxa"/>
            <w:vAlign w:val="center"/>
          </w:tcPr>
          <w:p>
            <w:pPr>
              <w:pStyle w:val="23"/>
              <w:spacing w:after="0" w:line="240" w:lineRule="auto"/>
              <w:ind w:left="0" w:leftChars="0"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建设期</w:t>
            </w:r>
          </w:p>
        </w:tc>
        <w:tc>
          <w:tcPr>
            <w:tcW w:w="133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rPr>
              <w:t>/</w:t>
            </w:r>
          </w:p>
        </w:tc>
        <w:tc>
          <w:tcPr>
            <w:tcW w:w="223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211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214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运营期</w:t>
            </w:r>
          </w:p>
        </w:tc>
        <w:tc>
          <w:tcPr>
            <w:tcW w:w="133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223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rPr>
              <w:t>√</w:t>
            </w:r>
          </w:p>
        </w:tc>
        <w:tc>
          <w:tcPr>
            <w:tcW w:w="211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rPr>
              <w:t>√</w:t>
            </w:r>
          </w:p>
        </w:tc>
        <w:tc>
          <w:tcPr>
            <w:tcW w:w="2148" w:type="dxa"/>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服务期满</w:t>
            </w:r>
          </w:p>
        </w:tc>
        <w:tc>
          <w:tcPr>
            <w:tcW w:w="1332" w:type="dxa"/>
            <w:vAlign w:val="center"/>
          </w:tcPr>
          <w:p>
            <w:pPr>
              <w:pStyle w:val="23"/>
              <w:spacing w:after="0" w:line="240" w:lineRule="auto"/>
              <w:ind w:left="0" w:leftChars="0" w:firstLine="0" w:firstLineChars="0"/>
              <w:jc w:val="center"/>
              <w:rPr>
                <w:color w:val="auto"/>
                <w:kern w:val="21"/>
                <w:sz w:val="21"/>
                <w:szCs w:val="21"/>
                <w:lang w:bidi="ar"/>
              </w:rPr>
            </w:pPr>
          </w:p>
        </w:tc>
        <w:tc>
          <w:tcPr>
            <w:tcW w:w="2232" w:type="dxa"/>
            <w:vAlign w:val="center"/>
          </w:tcPr>
          <w:p>
            <w:pPr>
              <w:pStyle w:val="23"/>
              <w:spacing w:after="0" w:line="240" w:lineRule="auto"/>
              <w:ind w:left="0" w:leftChars="0" w:firstLine="0" w:firstLineChars="0"/>
              <w:jc w:val="center"/>
              <w:rPr>
                <w:color w:val="auto"/>
                <w:kern w:val="21"/>
                <w:sz w:val="21"/>
                <w:szCs w:val="21"/>
                <w:lang w:bidi="ar"/>
              </w:rPr>
            </w:pPr>
          </w:p>
        </w:tc>
        <w:tc>
          <w:tcPr>
            <w:tcW w:w="2112" w:type="dxa"/>
            <w:vAlign w:val="center"/>
          </w:tcPr>
          <w:p>
            <w:pPr>
              <w:pStyle w:val="23"/>
              <w:spacing w:after="0" w:line="240" w:lineRule="auto"/>
              <w:ind w:left="0" w:leftChars="0" w:firstLine="0" w:firstLineChars="0"/>
              <w:jc w:val="center"/>
              <w:rPr>
                <w:color w:val="auto"/>
                <w:kern w:val="21"/>
                <w:sz w:val="21"/>
                <w:szCs w:val="21"/>
                <w:lang w:bidi="ar"/>
              </w:rPr>
            </w:pPr>
          </w:p>
        </w:tc>
        <w:tc>
          <w:tcPr>
            <w:tcW w:w="2148" w:type="dxa"/>
            <w:vAlign w:val="center"/>
          </w:tcPr>
          <w:p>
            <w:pPr>
              <w:pStyle w:val="23"/>
              <w:spacing w:after="0" w:line="240" w:lineRule="auto"/>
              <w:ind w:left="0" w:leftChars="0"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7" w:type="dxa"/>
            <w:gridSpan w:val="5"/>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注：在可能产生的土壤环境影响类型打“</w:t>
            </w:r>
            <w:r>
              <w:rPr>
                <w:color w:val="auto"/>
                <w:kern w:val="21"/>
                <w:sz w:val="21"/>
                <w:szCs w:val="21"/>
              </w:rPr>
              <w:t>√</w:t>
            </w:r>
            <w:r>
              <w:rPr>
                <w:color w:val="auto"/>
                <w:kern w:val="21"/>
                <w:sz w:val="21"/>
                <w:szCs w:val="21"/>
                <w:lang w:bidi="ar"/>
              </w:rPr>
              <w:t>”，列表为涵盖的可自行设计。</w:t>
            </w:r>
          </w:p>
        </w:tc>
      </w:tr>
    </w:tbl>
    <w:p>
      <w:pPr>
        <w:widowControl/>
        <w:ind w:firstLine="480"/>
        <w:jc w:val="left"/>
        <w:rPr>
          <w:color w:val="auto"/>
          <w:kern w:val="21"/>
        </w:rPr>
      </w:pPr>
      <w:r>
        <w:rPr>
          <w:color w:val="auto"/>
          <w:kern w:val="21"/>
          <w:lang w:bidi="ar"/>
        </w:rPr>
        <w:t>本项目对土壤的影响影响因子详见</w:t>
      </w:r>
      <w:r>
        <w:rPr>
          <w:rFonts w:hint="eastAsia"/>
          <w:color w:val="auto"/>
          <w:kern w:val="21"/>
          <w:lang w:eastAsia="zh-CN" w:bidi="ar"/>
        </w:rPr>
        <w:t>下表</w:t>
      </w:r>
      <w:r>
        <w:rPr>
          <w:color w:val="auto"/>
          <w:kern w:val="21"/>
          <w:lang w:bidi="ar"/>
        </w:rPr>
        <w:t>。</w:t>
      </w:r>
    </w:p>
    <w:p>
      <w:pPr>
        <w:numPr>
          <w:ilvl w:val="0"/>
          <w:numId w:val="11"/>
        </w:numPr>
        <w:tabs>
          <w:tab w:val="left" w:pos="3395"/>
          <w:tab w:val="clear" w:pos="0"/>
        </w:tabs>
        <w:ind w:left="0" w:leftChars="0" w:firstLine="0" w:firstLineChars="0"/>
        <w:jc w:val="center"/>
        <w:rPr>
          <w:b/>
          <w:bCs/>
          <w:color w:val="auto"/>
          <w:kern w:val="21"/>
          <w:lang w:bidi="ar"/>
        </w:rPr>
      </w:pPr>
      <w:r>
        <w:rPr>
          <w:b/>
          <w:bCs/>
          <w:color w:val="auto"/>
          <w:kern w:val="21"/>
          <w:lang w:bidi="ar"/>
        </w:rPr>
        <w:t>污染影响型建设项目土壤环境影响源及影响因子表</w:t>
      </w:r>
    </w:p>
    <w:tbl>
      <w:tblPr>
        <w:tblStyle w:val="51"/>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2112"/>
        <w:gridCol w:w="1308"/>
        <w:gridCol w:w="1762"/>
        <w:gridCol w:w="107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73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污染源</w:t>
            </w:r>
          </w:p>
        </w:tc>
        <w:tc>
          <w:tcPr>
            <w:tcW w:w="211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工艺流程/节点</w:t>
            </w:r>
          </w:p>
        </w:tc>
        <w:tc>
          <w:tcPr>
            <w:tcW w:w="130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污染途径</w:t>
            </w:r>
          </w:p>
        </w:tc>
        <w:tc>
          <w:tcPr>
            <w:tcW w:w="176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全部污染物指标</w:t>
            </w:r>
          </w:p>
        </w:tc>
        <w:tc>
          <w:tcPr>
            <w:tcW w:w="107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特征因子</w:t>
            </w:r>
          </w:p>
        </w:tc>
        <w:tc>
          <w:tcPr>
            <w:tcW w:w="105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污水预处理区</w:t>
            </w:r>
          </w:p>
        </w:tc>
        <w:tc>
          <w:tcPr>
            <w:tcW w:w="211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调节池、混凝沉淀池及水解酸化池</w:t>
            </w:r>
          </w:p>
        </w:tc>
        <w:tc>
          <w:tcPr>
            <w:tcW w:w="1308" w:type="dxa"/>
            <w:vMerge w:val="restart"/>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地面漫流、垂直入渗</w:t>
            </w:r>
          </w:p>
          <w:p>
            <w:pPr>
              <w:pStyle w:val="23"/>
              <w:spacing w:after="0" w:line="240" w:lineRule="auto"/>
              <w:ind w:left="0" w:leftChars="0" w:firstLine="0" w:firstLineChars="0"/>
              <w:jc w:val="center"/>
              <w:rPr>
                <w:color w:val="auto"/>
                <w:kern w:val="21"/>
                <w:sz w:val="21"/>
                <w:szCs w:val="21"/>
                <w:lang w:bidi="ar"/>
              </w:rPr>
            </w:pPr>
          </w:p>
        </w:tc>
        <w:tc>
          <w:tcPr>
            <w:tcW w:w="1762"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氨氮、总磷、BOD</w:t>
            </w:r>
            <w:r>
              <w:rPr>
                <w:color w:val="auto"/>
                <w:kern w:val="21"/>
                <w:sz w:val="21"/>
                <w:szCs w:val="21"/>
                <w:vertAlign w:val="subscript"/>
                <w:lang w:bidi="ar"/>
              </w:rPr>
              <w:t>5</w:t>
            </w:r>
            <w:r>
              <w:rPr>
                <w:color w:val="auto"/>
                <w:kern w:val="21"/>
                <w:sz w:val="21"/>
                <w:szCs w:val="21"/>
                <w:lang w:bidi="ar"/>
              </w:rPr>
              <w:t>、COD</w:t>
            </w:r>
            <w:r>
              <w:rPr>
                <w:color w:val="auto"/>
                <w:kern w:val="21"/>
                <w:sz w:val="21"/>
                <w:szCs w:val="21"/>
                <w:vertAlign w:val="subscript"/>
                <w:lang w:bidi="ar"/>
              </w:rPr>
              <w:t>Cr</w:t>
            </w:r>
            <w:r>
              <w:rPr>
                <w:color w:val="auto"/>
                <w:kern w:val="21"/>
                <w:sz w:val="21"/>
                <w:szCs w:val="21"/>
                <w:lang w:bidi="ar"/>
              </w:rPr>
              <w:t>、SS、氟化物</w:t>
            </w:r>
          </w:p>
        </w:tc>
        <w:tc>
          <w:tcPr>
            <w:tcW w:w="1070"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氨氮</w:t>
            </w:r>
            <w:r>
              <w:rPr>
                <w:rFonts w:hint="eastAsia"/>
                <w:color w:val="auto"/>
                <w:kern w:val="21"/>
                <w:sz w:val="21"/>
                <w:szCs w:val="21"/>
                <w:lang w:bidi="ar"/>
              </w:rPr>
              <w:t>、氟化物</w:t>
            </w:r>
          </w:p>
        </w:tc>
        <w:tc>
          <w:tcPr>
            <w:tcW w:w="1056"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生化处理系统（</w:t>
            </w:r>
            <w:r>
              <w:rPr>
                <w:rFonts w:hint="eastAsia"/>
                <w:i w:val="0"/>
                <w:iCs/>
                <w:color w:val="auto"/>
                <w:kern w:val="21"/>
                <w:sz w:val="21"/>
                <w:szCs w:val="21"/>
              </w:rPr>
              <w:t>A</w:t>
            </w:r>
            <w:r>
              <w:rPr>
                <w:rFonts w:hint="eastAsia"/>
                <w:i w:val="0"/>
                <w:iCs/>
                <w:color w:val="auto"/>
                <w:kern w:val="21"/>
                <w:sz w:val="21"/>
                <w:szCs w:val="21"/>
                <w:vertAlign w:val="superscript"/>
              </w:rPr>
              <w:t>2</w:t>
            </w:r>
            <w:r>
              <w:rPr>
                <w:color w:val="auto"/>
                <w:kern w:val="21"/>
                <w:sz w:val="21"/>
                <w:szCs w:val="21"/>
                <w:lang w:bidi="ar"/>
              </w:rPr>
              <w:t>/O生化池）</w:t>
            </w:r>
          </w:p>
        </w:tc>
        <w:tc>
          <w:tcPr>
            <w:tcW w:w="211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生化处理</w:t>
            </w:r>
          </w:p>
        </w:tc>
        <w:tc>
          <w:tcPr>
            <w:tcW w:w="1308" w:type="dxa"/>
            <w:vMerge w:val="continue"/>
            <w:vAlign w:val="center"/>
          </w:tcPr>
          <w:p>
            <w:pPr>
              <w:widowControl/>
              <w:spacing w:line="240" w:lineRule="auto"/>
              <w:ind w:firstLine="0" w:firstLineChars="0"/>
              <w:jc w:val="center"/>
              <w:rPr>
                <w:color w:val="auto"/>
                <w:kern w:val="21"/>
                <w:sz w:val="21"/>
                <w:szCs w:val="21"/>
                <w:lang w:bidi="ar"/>
              </w:rPr>
            </w:pPr>
          </w:p>
        </w:tc>
        <w:tc>
          <w:tcPr>
            <w:tcW w:w="1762"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70"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56" w:type="dxa"/>
            <w:vMerge w:val="continue"/>
            <w:vAlign w:val="center"/>
          </w:tcPr>
          <w:p>
            <w:pPr>
              <w:pStyle w:val="23"/>
              <w:spacing w:after="0" w:line="240" w:lineRule="auto"/>
              <w:ind w:left="0" w:leftChars="0"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rPr>
              <w:t>MBR膜池及设备间</w:t>
            </w:r>
          </w:p>
        </w:tc>
        <w:tc>
          <w:tcPr>
            <w:tcW w:w="211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污水深度处理</w:t>
            </w:r>
          </w:p>
        </w:tc>
        <w:tc>
          <w:tcPr>
            <w:tcW w:w="1308"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762"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70"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56" w:type="dxa"/>
            <w:vMerge w:val="continue"/>
            <w:vAlign w:val="center"/>
          </w:tcPr>
          <w:p>
            <w:pPr>
              <w:pStyle w:val="23"/>
              <w:spacing w:after="0" w:line="240" w:lineRule="auto"/>
              <w:ind w:left="0" w:leftChars="0"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污泥脱水车间</w:t>
            </w:r>
          </w:p>
        </w:tc>
        <w:tc>
          <w:tcPr>
            <w:tcW w:w="2112"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污泥脱水</w:t>
            </w:r>
          </w:p>
        </w:tc>
        <w:tc>
          <w:tcPr>
            <w:tcW w:w="1308"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762"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70"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56" w:type="dxa"/>
            <w:vMerge w:val="continue"/>
            <w:vAlign w:val="center"/>
          </w:tcPr>
          <w:p>
            <w:pPr>
              <w:pStyle w:val="23"/>
              <w:spacing w:after="0" w:line="240" w:lineRule="auto"/>
              <w:ind w:left="0" w:leftChars="0" w:firstLine="0" w:firstLineChars="0"/>
              <w:jc w:val="center"/>
              <w:rPr>
                <w:color w:val="auto"/>
                <w:kern w:val="21"/>
                <w:sz w:val="21"/>
                <w:szCs w:val="21"/>
                <w:lang w:bidi="ar"/>
              </w:rPr>
            </w:pPr>
          </w:p>
        </w:tc>
      </w:tr>
    </w:tbl>
    <w:p>
      <w:pPr>
        <w:pStyle w:val="8"/>
        <w:spacing w:before="0" w:after="0" w:line="360" w:lineRule="auto"/>
        <w:ind w:firstLine="0" w:firstLineChars="0"/>
        <w:rPr>
          <w:rStyle w:val="117"/>
          <w:rFonts w:ascii="Times New Roman" w:hAnsi="Times New Roman" w:eastAsia="宋体"/>
          <w:bCs/>
          <w:color w:val="auto"/>
          <w:kern w:val="21"/>
          <w:sz w:val="24"/>
          <w:szCs w:val="24"/>
        </w:rPr>
      </w:pPr>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2.</w:t>
      </w:r>
      <w:r>
        <w:rPr>
          <w:rStyle w:val="117"/>
          <w:rFonts w:ascii="Times New Roman" w:hAnsi="Times New Roman" w:eastAsia="宋体"/>
          <w:bCs/>
          <w:color w:val="auto"/>
          <w:kern w:val="21"/>
          <w:sz w:val="24"/>
          <w:szCs w:val="24"/>
        </w:rPr>
        <w:t>7.4土壤环境影响分析</w:t>
      </w:r>
    </w:p>
    <w:p>
      <w:pPr>
        <w:widowControl/>
        <w:ind w:firstLine="480"/>
        <w:jc w:val="left"/>
        <w:rPr>
          <w:color w:val="auto"/>
          <w:kern w:val="21"/>
          <w:lang w:bidi="ar"/>
        </w:rPr>
      </w:pPr>
      <w:r>
        <w:rPr>
          <w:color w:val="auto"/>
          <w:kern w:val="21"/>
          <w:lang w:bidi="ar"/>
        </w:rPr>
        <w:t>项目运行期对土壤造成污染的主要是各污水处理设施防渗层破损形成垂直入渗对土壤造成影响，以及水泵损坏排水不畅引起的污水地面漫流对厂区及周边土壤造成污染。</w:t>
      </w:r>
    </w:p>
    <w:p>
      <w:pPr>
        <w:widowControl/>
        <w:ind w:firstLine="480"/>
        <w:jc w:val="left"/>
        <w:rPr>
          <w:bCs/>
          <w:color w:val="auto"/>
          <w:kern w:val="21"/>
        </w:rPr>
      </w:pPr>
      <w:r>
        <w:rPr>
          <w:bCs/>
          <w:color w:val="auto"/>
          <w:kern w:val="21"/>
          <w:lang w:bidi="ar"/>
        </w:rPr>
        <w:t>（1）垂直入渗途径影响</w:t>
      </w:r>
    </w:p>
    <w:p>
      <w:pPr>
        <w:widowControl/>
        <w:ind w:firstLine="480"/>
        <w:jc w:val="left"/>
        <w:rPr>
          <w:color w:val="auto"/>
          <w:kern w:val="21"/>
        </w:rPr>
      </w:pPr>
      <w:r>
        <w:rPr>
          <w:bCs/>
          <w:color w:val="auto"/>
          <w:kern w:val="21"/>
          <w:lang w:bidi="ar"/>
        </w:rPr>
        <w:t>垂直入渗途径影响</w:t>
      </w:r>
      <w:r>
        <w:rPr>
          <w:color w:val="auto"/>
          <w:kern w:val="21"/>
          <w:lang w:bidi="ar"/>
        </w:rPr>
        <w:t>主要是各污水处理设施防渗层破损造成污染物垂直入渗对土壤造成影响。项目设置的调节池、混凝沉淀池、水解酸化池、</w:t>
      </w:r>
      <w:r>
        <w:rPr>
          <w:color w:val="auto"/>
          <w:kern w:val="21"/>
        </w:rPr>
        <w:t>A</w:t>
      </w:r>
      <w:r>
        <w:rPr>
          <w:color w:val="auto"/>
          <w:kern w:val="21"/>
          <w:vertAlign w:val="superscript"/>
        </w:rPr>
        <w:t>2</w:t>
      </w:r>
      <w:r>
        <w:rPr>
          <w:color w:val="auto"/>
          <w:kern w:val="21"/>
        </w:rPr>
        <w:t>/O生化池、</w:t>
      </w:r>
      <w:r>
        <w:rPr>
          <w:color w:val="auto"/>
          <w:kern w:val="21"/>
          <w:lang w:bidi="ar"/>
        </w:rPr>
        <w:t>MBR膜池、储泥池为半地埋式结构，各污水池和储泥池防渗层破损时，污水中的污染物随污水入渗将污染池子下方及周围的土壤。污水中主要污染物为SS、氨氮、CODcr、总磷等，若大量SS进入土壤环境将会造成土壤胶结，影响其通气透气性，进而抑制土壤中细菌活动，降低土壤酶活性。若大量氨氮、CODcr、总磷</w:t>
      </w:r>
      <w:r>
        <w:rPr>
          <w:rFonts w:hint="eastAsia"/>
          <w:color w:val="auto"/>
          <w:kern w:val="21"/>
          <w:lang w:bidi="ar"/>
        </w:rPr>
        <w:t>、氟化物</w:t>
      </w:r>
      <w:r>
        <w:rPr>
          <w:color w:val="auto"/>
          <w:kern w:val="21"/>
          <w:lang w:bidi="ar"/>
        </w:rPr>
        <w:t>进入土壤，引起土壤物理、化学、生物等方面特性的改变，导致质量下降。为防止污水入渗对土壤的污染，对各污水处理池及储泥池采取重点防渗措施，在运营过程中对各污水处理池及储泥池的防渗情况进行定期检查，发现防渗层破损，须及时采取措施进行处理。项目对污水处理系统均采取重点防渗措施，在运营过程中对防渗系统加强管理、定期维护，保证措施正常发挥作用后，项目对土壤环境的影响较小。</w:t>
      </w:r>
    </w:p>
    <w:p>
      <w:pPr>
        <w:pStyle w:val="23"/>
        <w:spacing w:after="0" w:line="360" w:lineRule="auto"/>
        <w:ind w:left="0" w:leftChars="0" w:firstLine="480"/>
        <w:rPr>
          <w:bCs/>
          <w:color w:val="auto"/>
          <w:kern w:val="21"/>
          <w:lang w:bidi="ar"/>
        </w:rPr>
      </w:pPr>
      <w:r>
        <w:rPr>
          <w:bCs/>
          <w:color w:val="auto"/>
          <w:kern w:val="21"/>
          <w:lang w:bidi="ar"/>
        </w:rPr>
        <w:t>（2）地面漫流途径影响</w:t>
      </w:r>
    </w:p>
    <w:p>
      <w:pPr>
        <w:pStyle w:val="23"/>
        <w:spacing w:after="0" w:line="360" w:lineRule="auto"/>
        <w:ind w:left="0" w:leftChars="0" w:firstLine="480"/>
        <w:rPr>
          <w:color w:val="auto"/>
          <w:kern w:val="21"/>
          <w:lang w:bidi="ar"/>
        </w:rPr>
      </w:pPr>
      <w:r>
        <w:rPr>
          <w:color w:val="auto"/>
          <w:kern w:val="21"/>
          <w:lang w:bidi="ar"/>
        </w:rPr>
        <w:t>地面漫流影响主要是水泵损坏排水不畅引起的污水漫溢流出污水处理设施，从而产生污水地面漫流导致土壤污染。</w:t>
      </w:r>
    </w:p>
    <w:p>
      <w:pPr>
        <w:widowControl/>
        <w:ind w:firstLine="480"/>
        <w:jc w:val="left"/>
        <w:rPr>
          <w:color w:val="auto"/>
          <w:kern w:val="21"/>
          <w:lang w:bidi="ar"/>
        </w:rPr>
      </w:pPr>
      <w:r>
        <w:rPr>
          <w:color w:val="auto"/>
          <w:kern w:val="21"/>
          <w:lang w:bidi="ar"/>
        </w:rPr>
        <w:t>根据项目可研，进水泵房、</w:t>
      </w:r>
      <w:r>
        <w:rPr>
          <w:rFonts w:hint="eastAsia"/>
          <w:color w:val="auto"/>
          <w:kern w:val="21"/>
          <w:lang w:bidi="ar"/>
        </w:rPr>
        <w:t>A</w:t>
      </w:r>
      <w:r>
        <w:rPr>
          <w:rFonts w:hint="eastAsia"/>
          <w:color w:val="auto"/>
          <w:kern w:val="21"/>
          <w:vertAlign w:val="superscript"/>
          <w:lang w:bidi="ar"/>
        </w:rPr>
        <w:t>2</w:t>
      </w:r>
      <w:r>
        <w:rPr>
          <w:rFonts w:hint="eastAsia"/>
          <w:color w:val="auto"/>
          <w:kern w:val="21"/>
          <w:lang w:bidi="ar"/>
        </w:rPr>
        <w:t>/O</w:t>
      </w:r>
      <w:r>
        <w:rPr>
          <w:color w:val="auto"/>
          <w:kern w:val="21"/>
          <w:lang w:bidi="ar"/>
        </w:rPr>
        <w:t>生化池及MBR膜池的水泵均设有备用水泵，水泵损坏导致的排水不畅引起的污水漫溢流出污水处理设施的可能性较小。</w:t>
      </w:r>
    </w:p>
    <w:p>
      <w:pPr>
        <w:pStyle w:val="8"/>
        <w:spacing w:before="0" w:after="0" w:line="360" w:lineRule="auto"/>
        <w:ind w:firstLine="0" w:firstLineChars="0"/>
        <w:rPr>
          <w:rStyle w:val="117"/>
          <w:rFonts w:ascii="Times New Roman" w:hAnsi="Times New Roman" w:eastAsia="宋体"/>
          <w:bCs/>
          <w:color w:val="auto"/>
          <w:kern w:val="21"/>
          <w:sz w:val="24"/>
          <w:szCs w:val="24"/>
        </w:rPr>
      </w:pPr>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2.</w:t>
      </w:r>
      <w:r>
        <w:rPr>
          <w:rStyle w:val="117"/>
          <w:rFonts w:ascii="Times New Roman" w:hAnsi="Times New Roman" w:eastAsia="宋体"/>
          <w:bCs/>
          <w:color w:val="auto"/>
          <w:kern w:val="21"/>
          <w:sz w:val="24"/>
          <w:szCs w:val="24"/>
        </w:rPr>
        <w:t>7.5土壤环境保护措施</w:t>
      </w:r>
    </w:p>
    <w:p>
      <w:pPr>
        <w:widowControl/>
        <w:ind w:firstLine="480"/>
        <w:jc w:val="left"/>
        <w:rPr>
          <w:color w:val="auto"/>
          <w:kern w:val="21"/>
        </w:rPr>
      </w:pPr>
      <w:r>
        <w:rPr>
          <w:color w:val="auto"/>
          <w:kern w:val="21"/>
          <w:lang w:bidi="ar"/>
        </w:rPr>
        <w:t>针对工程可能发生的土壤污染，按照“源头控制、分区防渗”相结合的原则，从污染物的产生、入侵、扩散进行控制。</w:t>
      </w:r>
    </w:p>
    <w:p>
      <w:pPr>
        <w:pStyle w:val="23"/>
        <w:numPr>
          <w:ilvl w:val="0"/>
          <w:numId w:val="14"/>
        </w:numPr>
        <w:spacing w:after="0" w:line="360" w:lineRule="auto"/>
        <w:ind w:left="0" w:leftChars="0" w:firstLine="480"/>
        <w:rPr>
          <w:color w:val="auto"/>
          <w:kern w:val="21"/>
          <w:lang w:bidi="ar"/>
        </w:rPr>
      </w:pPr>
      <w:r>
        <w:rPr>
          <w:color w:val="auto"/>
          <w:kern w:val="21"/>
          <w:lang w:bidi="ar"/>
        </w:rPr>
        <w:t>源头控制措施：加强管理，保证污水处理设施正常运行以及及时对损坏的设备进行修复，最大限度减少由于设备损坏引起的排水不畅，导致的污水漫溢流出污水处理设施，对土壤造成污染。</w:t>
      </w:r>
    </w:p>
    <w:p>
      <w:pPr>
        <w:pStyle w:val="23"/>
        <w:spacing w:after="0" w:line="360" w:lineRule="auto"/>
        <w:ind w:left="480" w:firstLine="0" w:firstLineChars="0"/>
        <w:rPr>
          <w:color w:val="auto"/>
          <w:kern w:val="21"/>
        </w:rPr>
      </w:pPr>
      <w:r>
        <w:rPr>
          <w:color w:val="auto"/>
          <w:kern w:val="21"/>
          <w:lang w:bidi="ar"/>
        </w:rPr>
        <w:t>（2）分区防渗措施</w:t>
      </w:r>
    </w:p>
    <w:p>
      <w:pPr>
        <w:widowControl/>
        <w:ind w:firstLine="480"/>
        <w:jc w:val="left"/>
        <w:rPr>
          <w:color w:val="auto"/>
          <w:kern w:val="21"/>
        </w:rPr>
      </w:pPr>
      <w:r>
        <w:rPr>
          <w:color w:val="auto"/>
          <w:kern w:val="21"/>
          <w:lang w:bidi="ar"/>
        </w:rPr>
        <w:t>根据项目平面布置，将项目分为重点防渗区、一般防渗区和简单防渗区，项目区按不同的防渗要求进行了分区防渗，防止污水下渗对土壤环境产生影响，正常情况下项目对土壤环境不会产生影响。</w:t>
      </w:r>
    </w:p>
    <w:p>
      <w:pPr>
        <w:pStyle w:val="8"/>
        <w:spacing w:before="0" w:after="0" w:line="360" w:lineRule="auto"/>
        <w:ind w:firstLine="0" w:firstLineChars="0"/>
        <w:rPr>
          <w:rStyle w:val="117"/>
          <w:rFonts w:ascii="Times New Roman" w:hAnsi="Times New Roman" w:eastAsia="宋体"/>
          <w:bCs/>
          <w:color w:val="auto"/>
          <w:kern w:val="21"/>
          <w:sz w:val="24"/>
          <w:szCs w:val="24"/>
        </w:rPr>
      </w:pPr>
      <w:r>
        <w:rPr>
          <w:rStyle w:val="117"/>
          <w:rFonts w:ascii="Times New Roman" w:hAnsi="Times New Roman" w:eastAsia="宋体"/>
          <w:bCs/>
          <w:color w:val="auto"/>
          <w:kern w:val="21"/>
          <w:sz w:val="24"/>
          <w:szCs w:val="24"/>
        </w:rPr>
        <w:t>5.</w:t>
      </w:r>
      <w:r>
        <w:rPr>
          <w:rStyle w:val="117"/>
          <w:rFonts w:hint="eastAsia" w:ascii="Times New Roman" w:hAnsi="Times New Roman" w:eastAsia="宋体"/>
          <w:bCs/>
          <w:color w:val="auto"/>
          <w:kern w:val="21"/>
          <w:sz w:val="24"/>
          <w:szCs w:val="24"/>
        </w:rPr>
        <w:t>2.</w:t>
      </w:r>
      <w:r>
        <w:rPr>
          <w:rStyle w:val="117"/>
          <w:rFonts w:ascii="Times New Roman" w:hAnsi="Times New Roman" w:eastAsia="宋体"/>
          <w:bCs/>
          <w:color w:val="auto"/>
          <w:kern w:val="21"/>
          <w:sz w:val="24"/>
          <w:szCs w:val="24"/>
        </w:rPr>
        <w:t>7.6小结</w:t>
      </w:r>
    </w:p>
    <w:p>
      <w:pPr>
        <w:widowControl/>
        <w:ind w:firstLine="480"/>
        <w:jc w:val="left"/>
        <w:rPr>
          <w:color w:val="auto"/>
          <w:kern w:val="21"/>
        </w:rPr>
      </w:pPr>
      <w:r>
        <w:rPr>
          <w:color w:val="auto"/>
          <w:kern w:val="21"/>
          <w:lang w:bidi="ar"/>
        </w:rPr>
        <w:t>（1）根据《环境影响评价技术导则土壤环境（试行）》（HJ964-2018）划分，本项目土壤评价等级为三级。</w:t>
      </w:r>
    </w:p>
    <w:p>
      <w:pPr>
        <w:widowControl/>
        <w:ind w:firstLine="480"/>
        <w:jc w:val="left"/>
        <w:rPr>
          <w:color w:val="auto"/>
          <w:kern w:val="21"/>
          <w:lang w:bidi="ar"/>
        </w:rPr>
      </w:pPr>
      <w:r>
        <w:rPr>
          <w:color w:val="auto"/>
          <w:kern w:val="21"/>
          <w:lang w:bidi="ar"/>
        </w:rPr>
        <w:t>（2）监测结果表明，项目区各监测点各项监测指标均能达到《土壤环境质量建设用地土壤污染风险管控标准（试行）》（GB/36600-2018）中的风险筛选值和管制值标准。</w:t>
      </w:r>
    </w:p>
    <w:p>
      <w:pPr>
        <w:pStyle w:val="23"/>
        <w:spacing w:after="0" w:line="360" w:lineRule="auto"/>
        <w:ind w:left="0" w:leftChars="0" w:firstLine="480"/>
        <w:rPr>
          <w:color w:val="auto"/>
          <w:kern w:val="21"/>
        </w:rPr>
      </w:pPr>
      <w:r>
        <w:rPr>
          <w:color w:val="auto"/>
          <w:kern w:val="21"/>
          <w:lang w:bidi="ar"/>
        </w:rPr>
        <w:t>（3）项目土壤环境影响评价自查表见下表。</w:t>
      </w:r>
    </w:p>
    <w:p>
      <w:pPr>
        <w:numPr>
          <w:ilvl w:val="0"/>
          <w:numId w:val="11"/>
        </w:numPr>
        <w:tabs>
          <w:tab w:val="left" w:pos="3395"/>
          <w:tab w:val="clear" w:pos="0"/>
        </w:tabs>
        <w:ind w:left="0" w:leftChars="0" w:firstLine="0" w:firstLineChars="0"/>
        <w:jc w:val="center"/>
        <w:rPr>
          <w:b/>
          <w:color w:val="auto"/>
          <w:kern w:val="21"/>
        </w:rPr>
      </w:pPr>
      <w:r>
        <w:rPr>
          <w:b/>
          <w:color w:val="auto"/>
          <w:kern w:val="21"/>
        </w:rPr>
        <w:t>项目土壤环境影响评价自查表</w:t>
      </w:r>
    </w:p>
    <w:tbl>
      <w:tblPr>
        <w:tblStyle w:val="51"/>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955"/>
        <w:gridCol w:w="1417"/>
        <w:gridCol w:w="615"/>
        <w:gridCol w:w="873"/>
        <w:gridCol w:w="1017"/>
        <w:gridCol w:w="472"/>
        <w:gridCol w:w="1559"/>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gridSpan w:val="2"/>
            <w:vAlign w:val="center"/>
          </w:tcPr>
          <w:p>
            <w:pPr>
              <w:spacing w:line="240" w:lineRule="auto"/>
              <w:ind w:firstLine="0" w:firstLineChars="0"/>
              <w:jc w:val="center"/>
              <w:rPr>
                <w:color w:val="auto"/>
                <w:kern w:val="21"/>
                <w:sz w:val="21"/>
                <w:szCs w:val="21"/>
              </w:rPr>
            </w:pPr>
            <w:r>
              <w:rPr>
                <w:color w:val="auto"/>
                <w:kern w:val="21"/>
                <w:sz w:val="21"/>
                <w:szCs w:val="21"/>
              </w:rPr>
              <w:t>工作内容</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完成情况</w:t>
            </w:r>
          </w:p>
        </w:tc>
        <w:tc>
          <w:tcPr>
            <w:tcW w:w="849" w:type="dxa"/>
            <w:vAlign w:val="center"/>
          </w:tcPr>
          <w:p>
            <w:pPr>
              <w:spacing w:line="240" w:lineRule="auto"/>
              <w:ind w:firstLine="0" w:firstLineChars="0"/>
              <w:jc w:val="center"/>
              <w:rPr>
                <w:color w:val="auto"/>
                <w:kern w:val="21"/>
                <w:sz w:val="21"/>
                <w:szCs w:val="21"/>
              </w:rPr>
            </w:pPr>
            <w:r>
              <w:rPr>
                <w:color w:val="auto"/>
                <w:kern w:val="21"/>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vAlign w:val="center"/>
          </w:tcPr>
          <w:p>
            <w:pPr>
              <w:spacing w:line="240" w:lineRule="auto"/>
              <w:ind w:firstLine="0" w:firstLineChars="0"/>
              <w:jc w:val="center"/>
              <w:rPr>
                <w:color w:val="auto"/>
                <w:kern w:val="21"/>
                <w:sz w:val="21"/>
                <w:szCs w:val="21"/>
              </w:rPr>
            </w:pPr>
          </w:p>
          <w:p>
            <w:pPr>
              <w:spacing w:line="240" w:lineRule="auto"/>
              <w:ind w:firstLine="0" w:firstLineChars="0"/>
              <w:jc w:val="center"/>
              <w:rPr>
                <w:color w:val="auto"/>
                <w:kern w:val="21"/>
                <w:sz w:val="21"/>
                <w:szCs w:val="21"/>
              </w:rPr>
            </w:pPr>
          </w:p>
          <w:p>
            <w:pPr>
              <w:spacing w:line="240" w:lineRule="auto"/>
              <w:ind w:firstLine="0" w:firstLineChars="0"/>
              <w:jc w:val="center"/>
              <w:rPr>
                <w:color w:val="auto"/>
                <w:kern w:val="21"/>
                <w:sz w:val="21"/>
                <w:szCs w:val="21"/>
              </w:rPr>
            </w:pPr>
          </w:p>
          <w:p>
            <w:pPr>
              <w:spacing w:line="240" w:lineRule="auto"/>
              <w:ind w:firstLine="0" w:firstLineChars="0"/>
              <w:jc w:val="center"/>
              <w:rPr>
                <w:color w:val="auto"/>
                <w:kern w:val="21"/>
                <w:sz w:val="21"/>
                <w:szCs w:val="21"/>
              </w:rPr>
            </w:pPr>
            <w:r>
              <w:rPr>
                <w:color w:val="auto"/>
                <w:kern w:val="21"/>
                <w:sz w:val="21"/>
                <w:szCs w:val="21"/>
              </w:rPr>
              <w:t>影响识别</w:t>
            </w: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影响类型</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污染影响型</w:t>
            </w:r>
            <w:r>
              <w:rPr>
                <w:rFonts w:hint="eastAsia"/>
                <w:color w:val="auto"/>
                <w:kern w:val="21"/>
                <w:sz w:val="21"/>
                <w:szCs w:val="21"/>
              </w:rPr>
              <w:sym w:font="Wingdings 2" w:char="0052"/>
            </w:r>
            <w:r>
              <w:rPr>
                <w:color w:val="auto"/>
                <w:kern w:val="21"/>
                <w:sz w:val="21"/>
                <w:szCs w:val="21"/>
              </w:rPr>
              <w:t>；生态影响型□；两种兼有□</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土地利用类型</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建设用地</w:t>
            </w:r>
            <w:r>
              <w:rPr>
                <w:rFonts w:hint="eastAsia"/>
                <w:color w:val="auto"/>
                <w:kern w:val="21"/>
                <w:sz w:val="21"/>
                <w:szCs w:val="21"/>
              </w:rPr>
              <w:t>□</w:t>
            </w:r>
            <w:r>
              <w:rPr>
                <w:color w:val="auto"/>
                <w:kern w:val="21"/>
                <w:sz w:val="21"/>
                <w:szCs w:val="21"/>
              </w:rPr>
              <w:t>；农用地□；未利用地</w:t>
            </w:r>
            <w:r>
              <w:rPr>
                <w:color w:val="auto"/>
                <w:kern w:val="21"/>
                <w:sz w:val="21"/>
                <w:szCs w:val="21"/>
              </w:rPr>
              <w:sym w:font="Wingdings 2" w:char="0052"/>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占地规模</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1.1642hm</w:t>
            </w:r>
            <w:r>
              <w:rPr>
                <w:color w:val="auto"/>
                <w:kern w:val="21"/>
                <w:sz w:val="21"/>
                <w:szCs w:val="21"/>
                <w:vertAlign w:val="superscript"/>
              </w:rPr>
              <w:t>2</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敏感目标信息</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敏感目标</w:t>
            </w:r>
            <w:r>
              <w:rPr>
                <w:rFonts w:hint="eastAsia"/>
                <w:color w:val="auto"/>
                <w:kern w:val="21"/>
                <w:sz w:val="21"/>
                <w:szCs w:val="21"/>
              </w:rPr>
              <w:t>（）</w:t>
            </w:r>
            <w:r>
              <w:rPr>
                <w:color w:val="auto"/>
                <w:kern w:val="21"/>
                <w:sz w:val="21"/>
                <w:szCs w:val="21"/>
              </w:rPr>
              <w:t>、方位</w:t>
            </w:r>
            <w:r>
              <w:rPr>
                <w:rFonts w:hint="eastAsia"/>
                <w:color w:val="auto"/>
                <w:kern w:val="21"/>
                <w:sz w:val="21"/>
                <w:szCs w:val="21"/>
              </w:rPr>
              <w:t>（）</w:t>
            </w:r>
            <w:r>
              <w:rPr>
                <w:color w:val="auto"/>
                <w:kern w:val="21"/>
                <w:sz w:val="21"/>
                <w:szCs w:val="21"/>
              </w:rPr>
              <w:t>、距离</w:t>
            </w:r>
            <w:r>
              <w:rPr>
                <w:rFonts w:hint="eastAsia"/>
                <w:color w:val="auto"/>
                <w:kern w:val="21"/>
                <w:sz w:val="21"/>
                <w:szCs w:val="21"/>
              </w:rPr>
              <w:t>（）</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影响途径</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大气沉降□；地面漫流</w:t>
            </w:r>
            <w:r>
              <w:rPr>
                <w:color w:val="auto"/>
                <w:kern w:val="21"/>
                <w:sz w:val="21"/>
                <w:szCs w:val="21"/>
              </w:rPr>
              <w:sym w:font="Wingdings 2" w:char="0052"/>
            </w:r>
            <w:r>
              <w:rPr>
                <w:color w:val="auto"/>
                <w:kern w:val="21"/>
                <w:sz w:val="21"/>
                <w:szCs w:val="21"/>
              </w:rPr>
              <w:t>；垂直入渗</w:t>
            </w:r>
            <w:r>
              <w:rPr>
                <w:color w:val="auto"/>
                <w:kern w:val="21"/>
                <w:sz w:val="21"/>
                <w:szCs w:val="21"/>
              </w:rPr>
              <w:sym w:font="Wingdings 2" w:char="0052"/>
            </w:r>
            <w:r>
              <w:rPr>
                <w:color w:val="auto"/>
                <w:kern w:val="21"/>
                <w:sz w:val="21"/>
                <w:szCs w:val="21"/>
              </w:rPr>
              <w:t>；地下水位□；其他□</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全部污染物</w:t>
            </w:r>
          </w:p>
        </w:tc>
        <w:tc>
          <w:tcPr>
            <w:tcW w:w="5953" w:type="dxa"/>
            <w:gridSpan w:val="6"/>
            <w:vAlign w:val="center"/>
          </w:tcPr>
          <w:p>
            <w:pPr>
              <w:spacing w:line="240" w:lineRule="auto"/>
              <w:ind w:firstLine="0" w:firstLineChars="0"/>
              <w:jc w:val="center"/>
              <w:rPr>
                <w:color w:val="auto"/>
                <w:kern w:val="21"/>
                <w:sz w:val="21"/>
                <w:szCs w:val="21"/>
              </w:rPr>
            </w:pP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特征污染物</w:t>
            </w:r>
          </w:p>
        </w:tc>
        <w:tc>
          <w:tcPr>
            <w:tcW w:w="5953" w:type="dxa"/>
            <w:gridSpan w:val="6"/>
            <w:vAlign w:val="center"/>
          </w:tcPr>
          <w:p>
            <w:pPr>
              <w:spacing w:line="240" w:lineRule="auto"/>
              <w:ind w:firstLine="0" w:firstLineChars="0"/>
              <w:jc w:val="center"/>
              <w:rPr>
                <w:color w:val="auto"/>
                <w:kern w:val="21"/>
                <w:sz w:val="21"/>
                <w:szCs w:val="21"/>
              </w:rPr>
            </w:pP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所属土壤环境影响评价项目类别</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I类□；II类</w:t>
            </w:r>
            <w:r>
              <w:rPr>
                <w:rFonts w:hint="eastAsia"/>
                <w:color w:val="auto"/>
                <w:kern w:val="21"/>
                <w:sz w:val="21"/>
                <w:szCs w:val="21"/>
              </w:rPr>
              <w:t>□</w:t>
            </w:r>
            <w:r>
              <w:rPr>
                <w:color w:val="auto"/>
                <w:kern w:val="21"/>
                <w:sz w:val="21"/>
                <w:szCs w:val="21"/>
              </w:rPr>
              <w:t>；III类□；IV类□</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敏感程度</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敏感□；较敏感□；不敏感</w:t>
            </w:r>
            <w:r>
              <w:rPr>
                <w:rFonts w:hint="eastAsia"/>
                <w:color w:val="auto"/>
                <w:kern w:val="21"/>
                <w:sz w:val="21"/>
                <w:szCs w:val="21"/>
              </w:rPr>
              <w:sym w:font="Wingdings 2" w:char="0052"/>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gridSpan w:val="2"/>
            <w:vAlign w:val="center"/>
          </w:tcPr>
          <w:p>
            <w:pPr>
              <w:spacing w:line="240" w:lineRule="auto"/>
              <w:ind w:firstLine="0" w:firstLineChars="0"/>
              <w:jc w:val="center"/>
              <w:rPr>
                <w:color w:val="auto"/>
                <w:kern w:val="21"/>
                <w:sz w:val="21"/>
                <w:szCs w:val="21"/>
              </w:rPr>
            </w:pPr>
            <w:r>
              <w:rPr>
                <w:color w:val="auto"/>
                <w:kern w:val="21"/>
                <w:sz w:val="21"/>
                <w:szCs w:val="21"/>
              </w:rPr>
              <w:t>评价工作等级</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一级□；二级□；三级</w:t>
            </w:r>
            <w:r>
              <w:rPr>
                <w:rFonts w:hint="eastAsia"/>
                <w:color w:val="auto"/>
                <w:kern w:val="21"/>
                <w:sz w:val="21"/>
                <w:szCs w:val="21"/>
              </w:rPr>
              <w:sym w:font="Wingdings 2" w:char="0052"/>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现状调查内容</w:t>
            </w: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资料收集</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a□</w:t>
            </w:r>
            <w:r>
              <w:rPr>
                <w:rFonts w:hint="eastAsia"/>
                <w:color w:val="auto"/>
                <w:kern w:val="21"/>
                <w:sz w:val="21"/>
                <w:szCs w:val="21"/>
              </w:rPr>
              <w:t>；</w:t>
            </w:r>
            <w:r>
              <w:rPr>
                <w:color w:val="auto"/>
                <w:kern w:val="21"/>
                <w:sz w:val="21"/>
                <w:szCs w:val="21"/>
              </w:rPr>
              <w:t>b</w:t>
            </w:r>
            <w:r>
              <w:rPr>
                <w:rFonts w:hint="eastAsia"/>
                <w:color w:val="auto"/>
                <w:kern w:val="21"/>
                <w:sz w:val="21"/>
                <w:szCs w:val="21"/>
              </w:rPr>
              <w:t>□；</w:t>
            </w:r>
            <w:r>
              <w:rPr>
                <w:color w:val="auto"/>
                <w:kern w:val="21"/>
                <w:sz w:val="21"/>
                <w:szCs w:val="21"/>
              </w:rPr>
              <w:t>c□</w:t>
            </w:r>
            <w:r>
              <w:rPr>
                <w:rFonts w:hint="eastAsia"/>
                <w:color w:val="auto"/>
                <w:kern w:val="21"/>
                <w:sz w:val="21"/>
                <w:szCs w:val="21"/>
              </w:rPr>
              <w:t>；</w:t>
            </w:r>
            <w:r>
              <w:rPr>
                <w:color w:val="auto"/>
                <w:kern w:val="21"/>
                <w:sz w:val="21"/>
                <w:szCs w:val="21"/>
              </w:rPr>
              <w:t>d</w:t>
            </w:r>
            <w:r>
              <w:rPr>
                <w:rFonts w:hint="eastAsia"/>
                <w:color w:val="auto"/>
                <w:kern w:val="21"/>
                <w:sz w:val="21"/>
                <w:szCs w:val="21"/>
              </w:rPr>
              <w:t>□；</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理化特性</w:t>
            </w:r>
          </w:p>
        </w:tc>
        <w:tc>
          <w:tcPr>
            <w:tcW w:w="5953" w:type="dxa"/>
            <w:gridSpan w:val="6"/>
            <w:vAlign w:val="center"/>
          </w:tcPr>
          <w:p>
            <w:pPr>
              <w:spacing w:line="240" w:lineRule="auto"/>
              <w:ind w:firstLine="0" w:firstLineChars="0"/>
              <w:jc w:val="center"/>
              <w:rPr>
                <w:color w:val="auto"/>
                <w:kern w:val="21"/>
                <w:sz w:val="21"/>
                <w:szCs w:val="21"/>
              </w:rPr>
            </w:pP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现状监测点位</w:t>
            </w:r>
          </w:p>
        </w:tc>
        <w:tc>
          <w:tcPr>
            <w:tcW w:w="1417" w:type="dxa"/>
            <w:vAlign w:val="center"/>
          </w:tcPr>
          <w:p>
            <w:pPr>
              <w:spacing w:line="240" w:lineRule="auto"/>
              <w:ind w:firstLine="0" w:firstLineChars="0"/>
              <w:jc w:val="center"/>
              <w:rPr>
                <w:color w:val="auto"/>
                <w:kern w:val="21"/>
                <w:sz w:val="21"/>
                <w:szCs w:val="21"/>
              </w:rPr>
            </w:pPr>
          </w:p>
        </w:tc>
        <w:tc>
          <w:tcPr>
            <w:tcW w:w="1488" w:type="dxa"/>
            <w:gridSpan w:val="2"/>
            <w:vAlign w:val="center"/>
          </w:tcPr>
          <w:p>
            <w:pPr>
              <w:spacing w:line="240" w:lineRule="auto"/>
              <w:ind w:firstLine="0" w:firstLineChars="0"/>
              <w:jc w:val="center"/>
              <w:rPr>
                <w:color w:val="auto"/>
                <w:kern w:val="21"/>
                <w:sz w:val="21"/>
                <w:szCs w:val="21"/>
              </w:rPr>
            </w:pPr>
            <w:r>
              <w:rPr>
                <w:color w:val="auto"/>
                <w:kern w:val="21"/>
                <w:sz w:val="21"/>
                <w:szCs w:val="21"/>
              </w:rPr>
              <w:t>占地范围内</w:t>
            </w:r>
          </w:p>
        </w:tc>
        <w:tc>
          <w:tcPr>
            <w:tcW w:w="1489" w:type="dxa"/>
            <w:gridSpan w:val="2"/>
            <w:vAlign w:val="center"/>
          </w:tcPr>
          <w:p>
            <w:pPr>
              <w:spacing w:line="240" w:lineRule="auto"/>
              <w:ind w:firstLine="0" w:firstLineChars="0"/>
              <w:jc w:val="center"/>
              <w:rPr>
                <w:color w:val="auto"/>
                <w:kern w:val="21"/>
                <w:sz w:val="21"/>
                <w:szCs w:val="21"/>
              </w:rPr>
            </w:pPr>
            <w:r>
              <w:rPr>
                <w:color w:val="auto"/>
                <w:kern w:val="21"/>
                <w:sz w:val="21"/>
                <w:szCs w:val="21"/>
              </w:rPr>
              <w:t>占地范围外</w:t>
            </w:r>
          </w:p>
        </w:tc>
        <w:tc>
          <w:tcPr>
            <w:tcW w:w="1559" w:type="dxa"/>
            <w:vAlign w:val="center"/>
          </w:tcPr>
          <w:p>
            <w:pPr>
              <w:spacing w:line="240" w:lineRule="auto"/>
              <w:ind w:firstLine="0" w:firstLineChars="0"/>
              <w:jc w:val="center"/>
              <w:rPr>
                <w:color w:val="auto"/>
                <w:kern w:val="21"/>
                <w:sz w:val="21"/>
                <w:szCs w:val="21"/>
              </w:rPr>
            </w:pPr>
            <w:r>
              <w:rPr>
                <w:color w:val="auto"/>
                <w:kern w:val="21"/>
                <w:sz w:val="21"/>
                <w:szCs w:val="21"/>
              </w:rPr>
              <w:t>深度</w:t>
            </w:r>
          </w:p>
        </w:tc>
        <w:tc>
          <w:tcPr>
            <w:tcW w:w="849"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点位布置图见附图4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Merge w:val="continue"/>
            <w:vAlign w:val="center"/>
          </w:tcPr>
          <w:p>
            <w:pPr>
              <w:spacing w:line="240" w:lineRule="auto"/>
              <w:ind w:firstLine="0" w:firstLineChars="0"/>
              <w:jc w:val="center"/>
              <w:rPr>
                <w:color w:val="auto"/>
                <w:kern w:val="21"/>
                <w:sz w:val="21"/>
                <w:szCs w:val="21"/>
              </w:rPr>
            </w:pPr>
          </w:p>
        </w:tc>
        <w:tc>
          <w:tcPr>
            <w:tcW w:w="1417" w:type="dxa"/>
            <w:vAlign w:val="center"/>
          </w:tcPr>
          <w:p>
            <w:pPr>
              <w:spacing w:line="240" w:lineRule="auto"/>
              <w:ind w:firstLine="0" w:firstLineChars="0"/>
              <w:jc w:val="center"/>
              <w:rPr>
                <w:color w:val="auto"/>
                <w:kern w:val="21"/>
                <w:sz w:val="21"/>
                <w:szCs w:val="21"/>
              </w:rPr>
            </w:pPr>
            <w:r>
              <w:rPr>
                <w:color w:val="auto"/>
                <w:kern w:val="21"/>
                <w:sz w:val="21"/>
                <w:szCs w:val="21"/>
              </w:rPr>
              <w:t>表层样点数</w:t>
            </w:r>
          </w:p>
        </w:tc>
        <w:tc>
          <w:tcPr>
            <w:tcW w:w="1488" w:type="dxa"/>
            <w:gridSpan w:val="2"/>
            <w:vAlign w:val="center"/>
          </w:tcPr>
          <w:p>
            <w:pPr>
              <w:spacing w:line="240" w:lineRule="auto"/>
              <w:ind w:firstLine="0" w:firstLineChars="0"/>
              <w:jc w:val="center"/>
              <w:rPr>
                <w:color w:val="auto"/>
                <w:kern w:val="21"/>
                <w:sz w:val="21"/>
                <w:szCs w:val="21"/>
              </w:rPr>
            </w:pPr>
            <w:r>
              <w:rPr>
                <w:color w:val="auto"/>
                <w:kern w:val="21"/>
                <w:sz w:val="21"/>
                <w:szCs w:val="21"/>
              </w:rPr>
              <w:t>3</w:t>
            </w:r>
          </w:p>
        </w:tc>
        <w:tc>
          <w:tcPr>
            <w:tcW w:w="1489" w:type="dxa"/>
            <w:gridSpan w:val="2"/>
            <w:vAlign w:val="center"/>
          </w:tcPr>
          <w:p>
            <w:pPr>
              <w:spacing w:line="240" w:lineRule="auto"/>
              <w:ind w:firstLine="0" w:firstLineChars="0"/>
              <w:jc w:val="center"/>
              <w:rPr>
                <w:color w:val="auto"/>
                <w:kern w:val="21"/>
                <w:sz w:val="21"/>
                <w:szCs w:val="21"/>
              </w:rPr>
            </w:pPr>
            <w:r>
              <w:rPr>
                <w:color w:val="auto"/>
                <w:kern w:val="21"/>
                <w:sz w:val="21"/>
                <w:szCs w:val="21"/>
              </w:rPr>
              <w:t>0</w:t>
            </w:r>
          </w:p>
        </w:tc>
        <w:tc>
          <w:tcPr>
            <w:tcW w:w="1559" w:type="dxa"/>
            <w:vAlign w:val="center"/>
          </w:tcPr>
          <w:p>
            <w:pPr>
              <w:spacing w:line="240" w:lineRule="auto"/>
              <w:ind w:firstLine="0" w:firstLineChars="0"/>
              <w:jc w:val="center"/>
              <w:rPr>
                <w:color w:val="auto"/>
                <w:kern w:val="21"/>
                <w:sz w:val="21"/>
                <w:szCs w:val="21"/>
              </w:rPr>
            </w:pPr>
            <w:r>
              <w:rPr>
                <w:color w:val="auto"/>
                <w:kern w:val="21"/>
                <w:sz w:val="21"/>
                <w:szCs w:val="21"/>
              </w:rPr>
              <w:t>0-0.2m</w:t>
            </w:r>
          </w:p>
        </w:tc>
        <w:tc>
          <w:tcPr>
            <w:tcW w:w="849" w:type="dxa"/>
            <w:vMerge w:val="continue"/>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Merge w:val="continue"/>
            <w:vAlign w:val="center"/>
          </w:tcPr>
          <w:p>
            <w:pPr>
              <w:spacing w:line="240" w:lineRule="auto"/>
              <w:ind w:firstLine="0" w:firstLineChars="0"/>
              <w:jc w:val="center"/>
              <w:rPr>
                <w:color w:val="auto"/>
                <w:kern w:val="21"/>
                <w:sz w:val="21"/>
                <w:szCs w:val="21"/>
              </w:rPr>
            </w:pPr>
          </w:p>
        </w:tc>
        <w:tc>
          <w:tcPr>
            <w:tcW w:w="1417" w:type="dxa"/>
            <w:vAlign w:val="center"/>
          </w:tcPr>
          <w:p>
            <w:pPr>
              <w:spacing w:line="240" w:lineRule="auto"/>
              <w:ind w:firstLine="0" w:firstLineChars="0"/>
              <w:jc w:val="center"/>
              <w:rPr>
                <w:color w:val="auto"/>
                <w:kern w:val="21"/>
                <w:sz w:val="21"/>
                <w:szCs w:val="21"/>
              </w:rPr>
            </w:pPr>
            <w:r>
              <w:rPr>
                <w:color w:val="auto"/>
                <w:kern w:val="21"/>
                <w:sz w:val="21"/>
                <w:szCs w:val="21"/>
              </w:rPr>
              <w:t>柱状样点数</w:t>
            </w:r>
          </w:p>
        </w:tc>
        <w:tc>
          <w:tcPr>
            <w:tcW w:w="1488" w:type="dxa"/>
            <w:gridSpan w:val="2"/>
            <w:vAlign w:val="center"/>
          </w:tcPr>
          <w:p>
            <w:pPr>
              <w:spacing w:line="240" w:lineRule="auto"/>
              <w:ind w:firstLine="0" w:firstLineChars="0"/>
              <w:jc w:val="center"/>
              <w:rPr>
                <w:color w:val="auto"/>
                <w:kern w:val="21"/>
                <w:sz w:val="21"/>
                <w:szCs w:val="21"/>
              </w:rPr>
            </w:pPr>
            <w:r>
              <w:rPr>
                <w:color w:val="auto"/>
                <w:kern w:val="21"/>
                <w:sz w:val="21"/>
                <w:szCs w:val="21"/>
              </w:rPr>
              <w:t>0</w:t>
            </w:r>
          </w:p>
        </w:tc>
        <w:tc>
          <w:tcPr>
            <w:tcW w:w="1489" w:type="dxa"/>
            <w:gridSpan w:val="2"/>
            <w:vAlign w:val="center"/>
          </w:tcPr>
          <w:p>
            <w:pPr>
              <w:spacing w:line="240" w:lineRule="auto"/>
              <w:ind w:firstLine="0" w:firstLineChars="0"/>
              <w:jc w:val="center"/>
              <w:rPr>
                <w:color w:val="auto"/>
                <w:kern w:val="21"/>
                <w:sz w:val="21"/>
                <w:szCs w:val="21"/>
              </w:rPr>
            </w:pPr>
            <w:r>
              <w:rPr>
                <w:color w:val="auto"/>
                <w:kern w:val="21"/>
                <w:sz w:val="21"/>
                <w:szCs w:val="21"/>
              </w:rPr>
              <w:t>0</w:t>
            </w:r>
          </w:p>
        </w:tc>
        <w:tc>
          <w:tcPr>
            <w:tcW w:w="1559" w:type="dxa"/>
            <w:vAlign w:val="center"/>
          </w:tcPr>
          <w:p>
            <w:pPr>
              <w:spacing w:line="240" w:lineRule="auto"/>
              <w:ind w:firstLine="0" w:firstLineChars="0"/>
              <w:jc w:val="center"/>
              <w:rPr>
                <w:color w:val="auto"/>
                <w:kern w:val="21"/>
                <w:sz w:val="21"/>
                <w:szCs w:val="21"/>
              </w:rPr>
            </w:pPr>
            <w:r>
              <w:rPr>
                <w:color w:val="auto"/>
                <w:kern w:val="21"/>
                <w:sz w:val="21"/>
                <w:szCs w:val="21"/>
              </w:rPr>
              <w:t>/</w:t>
            </w:r>
          </w:p>
        </w:tc>
        <w:tc>
          <w:tcPr>
            <w:tcW w:w="849" w:type="dxa"/>
            <w:vMerge w:val="continue"/>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现状监测因子</w:t>
            </w:r>
          </w:p>
        </w:tc>
        <w:tc>
          <w:tcPr>
            <w:tcW w:w="5953" w:type="dxa"/>
            <w:gridSpan w:val="6"/>
            <w:vAlign w:val="center"/>
          </w:tcPr>
          <w:p>
            <w:pPr>
              <w:spacing w:line="240" w:lineRule="auto"/>
              <w:ind w:firstLine="0" w:firstLineChars="0"/>
              <w:rPr>
                <w:color w:val="auto"/>
                <w:kern w:val="21"/>
                <w:sz w:val="21"/>
                <w:szCs w:val="21"/>
              </w:rPr>
            </w:pPr>
            <w:r>
              <w:rPr>
                <w:rFonts w:hint="eastAsia"/>
                <w:color w:val="auto"/>
                <w:kern w:val="21"/>
                <w:sz w:val="21"/>
                <w:szCs w:val="21"/>
              </w:rPr>
              <w:t>（</w:t>
            </w:r>
            <w:r>
              <w:rPr>
                <w:color w:val="auto"/>
                <w:kern w:val="21"/>
                <w:sz w:val="21"/>
                <w:szCs w:val="21"/>
              </w:rPr>
              <w:t>1）重金属：砷、镉、六价铬、铜、铅、汞、镍共7项。</w:t>
            </w:r>
          </w:p>
          <w:p>
            <w:pPr>
              <w:spacing w:line="240" w:lineRule="auto"/>
              <w:ind w:firstLine="0" w:firstLineChars="0"/>
              <w:rPr>
                <w:color w:val="auto"/>
                <w:kern w:val="21"/>
                <w:sz w:val="21"/>
                <w:szCs w:val="21"/>
              </w:rPr>
            </w:pPr>
            <w:r>
              <w:rPr>
                <w:rFonts w:hint="eastAsia"/>
                <w:color w:val="auto"/>
                <w:kern w:val="21"/>
                <w:sz w:val="21"/>
                <w:szCs w:val="21"/>
              </w:rPr>
              <w:t>（</w:t>
            </w:r>
            <w:r>
              <w:rPr>
                <w:color w:val="auto"/>
                <w:kern w:val="21"/>
                <w:sz w:val="21"/>
                <w:szCs w:val="21"/>
              </w:rPr>
              <w:t>2）挥发性有机物：四氯化碳、氯仿、氯甲烷、1</w:t>
            </w:r>
            <w:r>
              <w:rPr>
                <w:rFonts w:hint="eastAsia"/>
                <w:color w:val="auto"/>
                <w:kern w:val="21"/>
                <w:sz w:val="21"/>
                <w:szCs w:val="21"/>
              </w:rPr>
              <w:t>，</w:t>
            </w:r>
            <w:r>
              <w:rPr>
                <w:color w:val="auto"/>
                <w:kern w:val="21"/>
                <w:sz w:val="21"/>
                <w:szCs w:val="21"/>
              </w:rPr>
              <w:t>1-二氯乙烷、1</w:t>
            </w:r>
            <w:r>
              <w:rPr>
                <w:rFonts w:hint="eastAsia"/>
                <w:color w:val="auto"/>
                <w:kern w:val="21"/>
                <w:sz w:val="21"/>
                <w:szCs w:val="21"/>
              </w:rPr>
              <w:t>，</w:t>
            </w:r>
            <w:r>
              <w:rPr>
                <w:color w:val="auto"/>
                <w:kern w:val="21"/>
                <w:sz w:val="21"/>
                <w:szCs w:val="21"/>
              </w:rPr>
              <w:t>2-二氯乙烷、1</w:t>
            </w:r>
            <w:r>
              <w:rPr>
                <w:rFonts w:hint="eastAsia"/>
                <w:color w:val="auto"/>
                <w:kern w:val="21"/>
                <w:sz w:val="21"/>
                <w:szCs w:val="21"/>
              </w:rPr>
              <w:t>，</w:t>
            </w:r>
            <w:r>
              <w:rPr>
                <w:color w:val="auto"/>
                <w:kern w:val="21"/>
                <w:sz w:val="21"/>
                <w:szCs w:val="21"/>
              </w:rPr>
              <w:t>1-二氯乙烯、顺-1</w:t>
            </w:r>
            <w:r>
              <w:rPr>
                <w:rFonts w:hint="eastAsia"/>
                <w:color w:val="auto"/>
                <w:kern w:val="21"/>
                <w:sz w:val="21"/>
                <w:szCs w:val="21"/>
              </w:rPr>
              <w:t>，</w:t>
            </w:r>
            <w:r>
              <w:rPr>
                <w:color w:val="auto"/>
                <w:kern w:val="21"/>
                <w:sz w:val="21"/>
                <w:szCs w:val="21"/>
              </w:rPr>
              <w:t>2-二氯乙烯、反-1</w:t>
            </w:r>
            <w:r>
              <w:rPr>
                <w:rFonts w:hint="eastAsia"/>
                <w:color w:val="auto"/>
                <w:kern w:val="21"/>
                <w:sz w:val="21"/>
                <w:szCs w:val="21"/>
              </w:rPr>
              <w:t>，</w:t>
            </w:r>
            <w:r>
              <w:rPr>
                <w:color w:val="auto"/>
                <w:kern w:val="21"/>
                <w:sz w:val="21"/>
                <w:szCs w:val="21"/>
              </w:rPr>
              <w:t>2-二氯乙烯、二氯甲烷、1</w:t>
            </w:r>
            <w:r>
              <w:rPr>
                <w:rFonts w:hint="eastAsia"/>
                <w:color w:val="auto"/>
                <w:kern w:val="21"/>
                <w:sz w:val="21"/>
                <w:szCs w:val="21"/>
              </w:rPr>
              <w:t>，</w:t>
            </w:r>
            <w:r>
              <w:rPr>
                <w:color w:val="auto"/>
                <w:kern w:val="21"/>
                <w:sz w:val="21"/>
                <w:szCs w:val="21"/>
              </w:rPr>
              <w:t>2-二氯丙烷、1</w:t>
            </w:r>
            <w:r>
              <w:rPr>
                <w:rFonts w:hint="eastAsia"/>
                <w:color w:val="auto"/>
                <w:kern w:val="21"/>
                <w:sz w:val="21"/>
                <w:szCs w:val="21"/>
              </w:rPr>
              <w:t>，</w:t>
            </w:r>
            <w:r>
              <w:rPr>
                <w:color w:val="auto"/>
                <w:kern w:val="21"/>
                <w:sz w:val="21"/>
                <w:szCs w:val="21"/>
              </w:rPr>
              <w:t>1</w:t>
            </w:r>
            <w:r>
              <w:rPr>
                <w:rFonts w:hint="eastAsia"/>
                <w:color w:val="auto"/>
                <w:kern w:val="21"/>
                <w:sz w:val="21"/>
                <w:szCs w:val="21"/>
              </w:rPr>
              <w:t>，</w:t>
            </w:r>
            <w:r>
              <w:rPr>
                <w:color w:val="auto"/>
                <w:kern w:val="21"/>
                <w:sz w:val="21"/>
                <w:szCs w:val="21"/>
              </w:rPr>
              <w:t>1</w:t>
            </w:r>
            <w:r>
              <w:rPr>
                <w:rFonts w:hint="eastAsia"/>
                <w:color w:val="auto"/>
                <w:kern w:val="21"/>
                <w:sz w:val="21"/>
                <w:szCs w:val="21"/>
              </w:rPr>
              <w:t>，</w:t>
            </w:r>
            <w:r>
              <w:rPr>
                <w:color w:val="auto"/>
                <w:kern w:val="21"/>
                <w:sz w:val="21"/>
                <w:szCs w:val="21"/>
              </w:rPr>
              <w:t>2-四氯乙烷、1</w:t>
            </w:r>
            <w:r>
              <w:rPr>
                <w:rFonts w:hint="eastAsia"/>
                <w:color w:val="auto"/>
                <w:kern w:val="21"/>
                <w:sz w:val="21"/>
                <w:szCs w:val="21"/>
              </w:rPr>
              <w:t>，</w:t>
            </w:r>
            <w:r>
              <w:rPr>
                <w:color w:val="auto"/>
                <w:kern w:val="21"/>
                <w:sz w:val="21"/>
                <w:szCs w:val="21"/>
              </w:rPr>
              <w:t>1</w:t>
            </w:r>
            <w:r>
              <w:rPr>
                <w:rFonts w:hint="eastAsia"/>
                <w:color w:val="auto"/>
                <w:kern w:val="21"/>
                <w:sz w:val="21"/>
                <w:szCs w:val="21"/>
              </w:rPr>
              <w:t>，</w:t>
            </w:r>
            <w:r>
              <w:rPr>
                <w:color w:val="auto"/>
                <w:kern w:val="21"/>
                <w:sz w:val="21"/>
                <w:szCs w:val="21"/>
              </w:rPr>
              <w:t>2</w:t>
            </w:r>
            <w:r>
              <w:rPr>
                <w:rFonts w:hint="eastAsia"/>
                <w:color w:val="auto"/>
                <w:kern w:val="21"/>
                <w:sz w:val="21"/>
                <w:szCs w:val="21"/>
              </w:rPr>
              <w:t>，</w:t>
            </w:r>
            <w:r>
              <w:rPr>
                <w:color w:val="auto"/>
                <w:kern w:val="21"/>
                <w:sz w:val="21"/>
                <w:szCs w:val="21"/>
              </w:rPr>
              <w:t>2-四氯乙烷、四氯乙烯、1</w:t>
            </w:r>
            <w:r>
              <w:rPr>
                <w:rFonts w:hint="eastAsia"/>
                <w:color w:val="auto"/>
                <w:kern w:val="21"/>
                <w:sz w:val="21"/>
                <w:szCs w:val="21"/>
              </w:rPr>
              <w:t>，</w:t>
            </w:r>
            <w:r>
              <w:rPr>
                <w:color w:val="auto"/>
                <w:kern w:val="21"/>
                <w:sz w:val="21"/>
                <w:szCs w:val="21"/>
              </w:rPr>
              <w:t>1</w:t>
            </w:r>
            <w:r>
              <w:rPr>
                <w:rFonts w:hint="eastAsia"/>
                <w:color w:val="auto"/>
                <w:kern w:val="21"/>
                <w:sz w:val="21"/>
                <w:szCs w:val="21"/>
              </w:rPr>
              <w:t>，</w:t>
            </w:r>
            <w:r>
              <w:rPr>
                <w:color w:val="auto"/>
                <w:kern w:val="21"/>
                <w:sz w:val="21"/>
                <w:szCs w:val="21"/>
              </w:rPr>
              <w:t>1-三氯乙烷、1</w:t>
            </w:r>
            <w:r>
              <w:rPr>
                <w:rFonts w:hint="eastAsia"/>
                <w:color w:val="auto"/>
                <w:kern w:val="21"/>
                <w:sz w:val="21"/>
                <w:szCs w:val="21"/>
              </w:rPr>
              <w:t>，</w:t>
            </w:r>
            <w:r>
              <w:rPr>
                <w:color w:val="auto"/>
                <w:kern w:val="21"/>
                <w:sz w:val="21"/>
                <w:szCs w:val="21"/>
              </w:rPr>
              <w:t>1</w:t>
            </w:r>
            <w:r>
              <w:rPr>
                <w:rFonts w:hint="eastAsia"/>
                <w:color w:val="auto"/>
                <w:kern w:val="21"/>
                <w:sz w:val="21"/>
                <w:szCs w:val="21"/>
              </w:rPr>
              <w:t>，</w:t>
            </w:r>
            <w:r>
              <w:rPr>
                <w:color w:val="auto"/>
                <w:kern w:val="21"/>
                <w:sz w:val="21"/>
                <w:szCs w:val="21"/>
              </w:rPr>
              <w:t>2-三氯乙烷、三氯乙烯、1</w:t>
            </w:r>
            <w:r>
              <w:rPr>
                <w:rFonts w:hint="eastAsia"/>
                <w:color w:val="auto"/>
                <w:kern w:val="21"/>
                <w:sz w:val="21"/>
                <w:szCs w:val="21"/>
              </w:rPr>
              <w:t>，</w:t>
            </w:r>
            <w:r>
              <w:rPr>
                <w:color w:val="auto"/>
                <w:kern w:val="21"/>
                <w:sz w:val="21"/>
                <w:szCs w:val="21"/>
              </w:rPr>
              <w:t>2</w:t>
            </w:r>
            <w:r>
              <w:rPr>
                <w:rFonts w:hint="eastAsia"/>
                <w:color w:val="auto"/>
                <w:kern w:val="21"/>
                <w:sz w:val="21"/>
                <w:szCs w:val="21"/>
              </w:rPr>
              <w:t>，</w:t>
            </w:r>
            <w:r>
              <w:rPr>
                <w:color w:val="auto"/>
                <w:kern w:val="21"/>
                <w:sz w:val="21"/>
                <w:szCs w:val="21"/>
              </w:rPr>
              <w:t>3-三氯丙烷、氯乙烯、苯、氯苯、1</w:t>
            </w:r>
            <w:r>
              <w:rPr>
                <w:rFonts w:hint="eastAsia"/>
                <w:color w:val="auto"/>
                <w:kern w:val="21"/>
                <w:sz w:val="21"/>
                <w:szCs w:val="21"/>
              </w:rPr>
              <w:t>，</w:t>
            </w:r>
            <w:r>
              <w:rPr>
                <w:color w:val="auto"/>
                <w:kern w:val="21"/>
                <w:sz w:val="21"/>
                <w:szCs w:val="21"/>
              </w:rPr>
              <w:t>2-二氯苯、1</w:t>
            </w:r>
            <w:r>
              <w:rPr>
                <w:rFonts w:hint="eastAsia"/>
                <w:color w:val="auto"/>
                <w:kern w:val="21"/>
                <w:sz w:val="21"/>
                <w:szCs w:val="21"/>
              </w:rPr>
              <w:t>，</w:t>
            </w:r>
            <w:r>
              <w:rPr>
                <w:color w:val="auto"/>
                <w:kern w:val="21"/>
                <w:sz w:val="21"/>
                <w:szCs w:val="21"/>
              </w:rPr>
              <w:t>4-二氯苯、乙苯、苯乙烯、甲苯、间二甲苯+对二甲苯、邻二甲苯，共27项。</w:t>
            </w:r>
          </w:p>
          <w:p>
            <w:pPr>
              <w:spacing w:line="240" w:lineRule="auto"/>
              <w:ind w:firstLine="0" w:firstLineChars="0"/>
              <w:rPr>
                <w:color w:val="auto"/>
                <w:kern w:val="21"/>
                <w:sz w:val="21"/>
                <w:szCs w:val="21"/>
              </w:rPr>
            </w:pPr>
            <w:r>
              <w:rPr>
                <w:rFonts w:hint="eastAsia"/>
                <w:color w:val="auto"/>
                <w:kern w:val="21"/>
                <w:sz w:val="21"/>
                <w:szCs w:val="21"/>
              </w:rPr>
              <w:t>（</w:t>
            </w:r>
            <w:r>
              <w:rPr>
                <w:color w:val="auto"/>
                <w:kern w:val="21"/>
                <w:sz w:val="21"/>
                <w:szCs w:val="21"/>
              </w:rPr>
              <w:t>3）半挥发性有机物：硝基苯、苯胺、2-氯酚、苯并[a]蒽、苯并[a]芘、苯并[b]荧蒽、苯并[k]荧蒽、䓛、二苯并[a</w:t>
            </w:r>
            <w:r>
              <w:rPr>
                <w:rFonts w:hint="eastAsia"/>
                <w:color w:val="auto"/>
                <w:kern w:val="21"/>
                <w:sz w:val="21"/>
                <w:szCs w:val="21"/>
              </w:rPr>
              <w:t>，</w:t>
            </w:r>
            <w:r>
              <w:rPr>
                <w:color w:val="auto"/>
                <w:kern w:val="21"/>
                <w:sz w:val="21"/>
                <w:szCs w:val="21"/>
              </w:rPr>
              <w:t>h]蒽、茚并[1</w:t>
            </w:r>
            <w:r>
              <w:rPr>
                <w:rFonts w:hint="eastAsia"/>
                <w:color w:val="auto"/>
                <w:kern w:val="21"/>
                <w:sz w:val="21"/>
                <w:szCs w:val="21"/>
              </w:rPr>
              <w:t>，</w:t>
            </w:r>
            <w:r>
              <w:rPr>
                <w:color w:val="auto"/>
                <w:kern w:val="21"/>
                <w:sz w:val="21"/>
                <w:szCs w:val="21"/>
              </w:rPr>
              <w:t>2</w:t>
            </w:r>
            <w:r>
              <w:rPr>
                <w:rFonts w:hint="eastAsia"/>
                <w:color w:val="auto"/>
                <w:kern w:val="21"/>
                <w:sz w:val="21"/>
                <w:szCs w:val="21"/>
              </w:rPr>
              <w:t>，</w:t>
            </w:r>
            <w:r>
              <w:rPr>
                <w:color w:val="auto"/>
                <w:kern w:val="21"/>
                <w:sz w:val="21"/>
                <w:szCs w:val="21"/>
              </w:rPr>
              <w:t>3-cd]芘、萘，共11项。</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现状评价</w:t>
            </w: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评价因子</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评价标准</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GB15618□</w:t>
            </w:r>
            <w:r>
              <w:rPr>
                <w:rFonts w:hint="eastAsia"/>
                <w:color w:val="auto"/>
                <w:kern w:val="21"/>
                <w:sz w:val="21"/>
                <w:szCs w:val="21"/>
              </w:rPr>
              <w:t>；</w:t>
            </w:r>
            <w:r>
              <w:rPr>
                <w:color w:val="auto"/>
                <w:kern w:val="21"/>
                <w:sz w:val="21"/>
                <w:szCs w:val="21"/>
              </w:rPr>
              <w:t>GB36600</w:t>
            </w:r>
            <w:r>
              <w:rPr>
                <w:rFonts w:hint="eastAsia"/>
                <w:color w:val="auto"/>
                <w:kern w:val="21"/>
                <w:sz w:val="21"/>
                <w:szCs w:val="21"/>
              </w:rPr>
              <w:t>□；</w:t>
            </w:r>
            <w:r>
              <w:rPr>
                <w:color w:val="auto"/>
                <w:kern w:val="21"/>
                <w:sz w:val="21"/>
                <w:szCs w:val="21"/>
              </w:rPr>
              <w:t>表D.1□；表D.2□；其他□</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现状评价结论</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本项目占地范围内土壤45项监测因子监测结果均低于《建设用地土壤污染风险管控标准</w:t>
            </w:r>
            <w:r>
              <w:rPr>
                <w:rFonts w:hint="eastAsia"/>
                <w:color w:val="auto"/>
                <w:kern w:val="21"/>
                <w:sz w:val="21"/>
                <w:szCs w:val="21"/>
              </w:rPr>
              <w:t>（</w:t>
            </w:r>
            <w:r>
              <w:rPr>
                <w:color w:val="auto"/>
                <w:kern w:val="21"/>
                <w:sz w:val="21"/>
                <w:szCs w:val="21"/>
              </w:rPr>
              <w:t>试行）》</w:t>
            </w:r>
            <w:r>
              <w:rPr>
                <w:rFonts w:hint="eastAsia"/>
                <w:color w:val="auto"/>
                <w:kern w:val="21"/>
                <w:sz w:val="21"/>
                <w:szCs w:val="21"/>
              </w:rPr>
              <w:t>（</w:t>
            </w:r>
            <w:r>
              <w:rPr>
                <w:color w:val="auto"/>
                <w:kern w:val="21"/>
                <w:sz w:val="21"/>
                <w:szCs w:val="21"/>
              </w:rPr>
              <w:t>GB36600-2018）中第二类用地标准值筛选值和管制值。</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影响预测</w:t>
            </w: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预测因子</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预测方法</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附录E□；附录F□；其他</w:t>
            </w:r>
            <w:r>
              <w:rPr>
                <w:rFonts w:hint="eastAsia"/>
                <w:color w:val="auto"/>
                <w:kern w:val="21"/>
                <w:sz w:val="21"/>
                <w:szCs w:val="21"/>
              </w:rPr>
              <w:t>（）</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预测分析内容</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影响范围</w:t>
            </w:r>
            <w:r>
              <w:rPr>
                <w:rFonts w:hint="eastAsia"/>
                <w:color w:val="auto"/>
                <w:kern w:val="21"/>
                <w:sz w:val="21"/>
                <w:szCs w:val="21"/>
              </w:rPr>
              <w:t>（）</w:t>
            </w:r>
          </w:p>
          <w:p>
            <w:pPr>
              <w:spacing w:line="240" w:lineRule="auto"/>
              <w:ind w:firstLine="0" w:firstLineChars="0"/>
              <w:jc w:val="center"/>
              <w:rPr>
                <w:color w:val="auto"/>
                <w:kern w:val="21"/>
                <w:sz w:val="21"/>
                <w:szCs w:val="21"/>
              </w:rPr>
            </w:pPr>
            <w:r>
              <w:rPr>
                <w:color w:val="auto"/>
                <w:kern w:val="21"/>
                <w:sz w:val="21"/>
                <w:szCs w:val="21"/>
              </w:rPr>
              <w:t>影响程度</w:t>
            </w:r>
            <w:r>
              <w:rPr>
                <w:rFonts w:hint="eastAsia"/>
                <w:color w:val="auto"/>
                <w:kern w:val="21"/>
                <w:sz w:val="21"/>
                <w:szCs w:val="21"/>
              </w:rPr>
              <w:t>（）</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预测结论</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达标结论：a</w:t>
            </w:r>
            <w:r>
              <w:rPr>
                <w:rFonts w:hint="eastAsia"/>
                <w:color w:val="auto"/>
                <w:kern w:val="21"/>
                <w:sz w:val="21"/>
                <w:szCs w:val="21"/>
              </w:rPr>
              <w:t>□；</w:t>
            </w:r>
            <w:r>
              <w:rPr>
                <w:color w:val="auto"/>
                <w:kern w:val="21"/>
                <w:sz w:val="21"/>
                <w:szCs w:val="21"/>
              </w:rPr>
              <w:t>b□</w:t>
            </w:r>
            <w:r>
              <w:rPr>
                <w:rFonts w:hint="eastAsia"/>
                <w:color w:val="auto"/>
                <w:kern w:val="21"/>
                <w:sz w:val="21"/>
                <w:szCs w:val="21"/>
              </w:rPr>
              <w:t>；</w:t>
            </w:r>
            <w:r>
              <w:rPr>
                <w:color w:val="auto"/>
                <w:kern w:val="21"/>
                <w:sz w:val="21"/>
                <w:szCs w:val="21"/>
              </w:rPr>
              <w:t>c□</w:t>
            </w:r>
            <w:r>
              <w:rPr>
                <w:rFonts w:hint="eastAsia"/>
                <w:color w:val="auto"/>
                <w:kern w:val="21"/>
                <w:sz w:val="21"/>
                <w:szCs w:val="21"/>
              </w:rPr>
              <w:t>；</w:t>
            </w:r>
          </w:p>
          <w:p>
            <w:pPr>
              <w:spacing w:line="240" w:lineRule="auto"/>
              <w:ind w:firstLine="0" w:firstLineChars="0"/>
              <w:jc w:val="center"/>
              <w:rPr>
                <w:color w:val="auto"/>
                <w:kern w:val="21"/>
                <w:sz w:val="21"/>
                <w:szCs w:val="21"/>
              </w:rPr>
            </w:pPr>
            <w:r>
              <w:rPr>
                <w:color w:val="auto"/>
                <w:kern w:val="21"/>
                <w:sz w:val="21"/>
                <w:szCs w:val="21"/>
              </w:rPr>
              <w:t>不达标结论：a□</w:t>
            </w:r>
            <w:r>
              <w:rPr>
                <w:rFonts w:hint="eastAsia"/>
                <w:color w:val="auto"/>
                <w:kern w:val="21"/>
                <w:sz w:val="21"/>
                <w:szCs w:val="21"/>
              </w:rPr>
              <w:t>；</w:t>
            </w:r>
            <w:r>
              <w:rPr>
                <w:color w:val="auto"/>
                <w:kern w:val="21"/>
                <w:sz w:val="21"/>
                <w:szCs w:val="21"/>
              </w:rPr>
              <w:t>b□</w:t>
            </w:r>
            <w:r>
              <w:rPr>
                <w:rFonts w:hint="eastAsia"/>
                <w:color w:val="auto"/>
                <w:kern w:val="21"/>
                <w:sz w:val="21"/>
                <w:szCs w:val="21"/>
              </w:rPr>
              <w:t>；</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防治措施</w:t>
            </w: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防控措施</w:t>
            </w:r>
          </w:p>
        </w:tc>
        <w:tc>
          <w:tcPr>
            <w:tcW w:w="5953" w:type="dxa"/>
            <w:gridSpan w:val="6"/>
            <w:vAlign w:val="center"/>
          </w:tcPr>
          <w:p>
            <w:pPr>
              <w:spacing w:line="240" w:lineRule="auto"/>
              <w:ind w:firstLine="0" w:firstLineChars="0"/>
              <w:jc w:val="center"/>
              <w:rPr>
                <w:color w:val="auto"/>
                <w:kern w:val="21"/>
                <w:sz w:val="21"/>
                <w:szCs w:val="21"/>
              </w:rPr>
            </w:pPr>
            <w:r>
              <w:rPr>
                <w:color w:val="auto"/>
                <w:kern w:val="21"/>
                <w:sz w:val="21"/>
                <w:szCs w:val="21"/>
              </w:rPr>
              <w:t>土壤环境质量现状保障</w:t>
            </w:r>
            <w:r>
              <w:rPr>
                <w:rFonts w:hint="eastAsia"/>
                <w:color w:val="auto"/>
                <w:kern w:val="21"/>
                <w:sz w:val="21"/>
                <w:szCs w:val="21"/>
              </w:rPr>
              <w:sym w:font="Wingdings 2" w:char="0052"/>
            </w:r>
            <w:r>
              <w:rPr>
                <w:color w:val="auto"/>
                <w:kern w:val="21"/>
                <w:sz w:val="21"/>
                <w:szCs w:val="21"/>
              </w:rPr>
              <w:t>；源头控制</w:t>
            </w:r>
            <w:r>
              <w:rPr>
                <w:rFonts w:hint="eastAsia"/>
                <w:color w:val="auto"/>
                <w:kern w:val="21"/>
                <w:sz w:val="21"/>
                <w:szCs w:val="21"/>
              </w:rPr>
              <w:sym w:font="Wingdings 2" w:char="0052"/>
            </w:r>
            <w:r>
              <w:rPr>
                <w:color w:val="auto"/>
                <w:kern w:val="21"/>
                <w:sz w:val="21"/>
                <w:szCs w:val="21"/>
              </w:rPr>
              <w:t>；过程防控</w:t>
            </w:r>
            <w:r>
              <w:rPr>
                <w:rFonts w:hint="eastAsia"/>
                <w:color w:val="auto"/>
                <w:kern w:val="21"/>
                <w:sz w:val="21"/>
                <w:szCs w:val="21"/>
              </w:rPr>
              <w:sym w:font="Wingdings 2" w:char="0052"/>
            </w:r>
            <w:r>
              <w:rPr>
                <w:color w:val="auto"/>
                <w:kern w:val="21"/>
                <w:sz w:val="21"/>
                <w:szCs w:val="21"/>
              </w:rPr>
              <w:t>；其他</w:t>
            </w:r>
            <w:r>
              <w:rPr>
                <w:rFonts w:hint="eastAsia"/>
                <w:color w:val="auto"/>
                <w:kern w:val="21"/>
                <w:sz w:val="21"/>
                <w:szCs w:val="21"/>
              </w:rPr>
              <w:t>（）</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跟踪监测</w:t>
            </w:r>
          </w:p>
        </w:tc>
        <w:tc>
          <w:tcPr>
            <w:tcW w:w="2032" w:type="dxa"/>
            <w:gridSpan w:val="2"/>
            <w:vAlign w:val="center"/>
          </w:tcPr>
          <w:p>
            <w:pPr>
              <w:spacing w:line="240" w:lineRule="auto"/>
              <w:ind w:firstLine="0" w:firstLineChars="0"/>
              <w:jc w:val="center"/>
              <w:rPr>
                <w:color w:val="auto"/>
                <w:kern w:val="21"/>
                <w:sz w:val="21"/>
                <w:szCs w:val="21"/>
              </w:rPr>
            </w:pPr>
            <w:r>
              <w:rPr>
                <w:color w:val="auto"/>
                <w:kern w:val="21"/>
                <w:sz w:val="21"/>
                <w:szCs w:val="21"/>
              </w:rPr>
              <w:t>监测点数</w:t>
            </w:r>
          </w:p>
        </w:tc>
        <w:tc>
          <w:tcPr>
            <w:tcW w:w="1890" w:type="dxa"/>
            <w:gridSpan w:val="2"/>
            <w:vAlign w:val="center"/>
          </w:tcPr>
          <w:p>
            <w:pPr>
              <w:spacing w:line="240" w:lineRule="auto"/>
              <w:ind w:firstLine="0" w:firstLineChars="0"/>
              <w:jc w:val="center"/>
              <w:rPr>
                <w:color w:val="auto"/>
                <w:kern w:val="21"/>
                <w:sz w:val="21"/>
                <w:szCs w:val="21"/>
              </w:rPr>
            </w:pPr>
            <w:r>
              <w:rPr>
                <w:color w:val="auto"/>
                <w:kern w:val="21"/>
                <w:sz w:val="21"/>
                <w:szCs w:val="21"/>
              </w:rPr>
              <w:t>监测指标</w:t>
            </w:r>
          </w:p>
        </w:tc>
        <w:tc>
          <w:tcPr>
            <w:tcW w:w="2031" w:type="dxa"/>
            <w:gridSpan w:val="2"/>
            <w:vAlign w:val="center"/>
          </w:tcPr>
          <w:p>
            <w:pPr>
              <w:spacing w:line="240" w:lineRule="auto"/>
              <w:ind w:firstLine="0" w:firstLineChars="0"/>
              <w:jc w:val="center"/>
              <w:rPr>
                <w:color w:val="auto"/>
                <w:kern w:val="21"/>
                <w:sz w:val="21"/>
                <w:szCs w:val="21"/>
              </w:rPr>
            </w:pPr>
            <w:r>
              <w:rPr>
                <w:color w:val="auto"/>
                <w:kern w:val="21"/>
                <w:sz w:val="21"/>
                <w:szCs w:val="21"/>
              </w:rPr>
              <w:t>监测频次</w:t>
            </w: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Merge w:val="continue"/>
            <w:vAlign w:val="center"/>
          </w:tcPr>
          <w:p>
            <w:pPr>
              <w:spacing w:line="240" w:lineRule="auto"/>
              <w:ind w:firstLine="0" w:firstLineChars="0"/>
              <w:jc w:val="center"/>
              <w:rPr>
                <w:color w:val="auto"/>
                <w:kern w:val="21"/>
                <w:sz w:val="21"/>
                <w:szCs w:val="21"/>
              </w:rPr>
            </w:pPr>
          </w:p>
        </w:tc>
        <w:tc>
          <w:tcPr>
            <w:tcW w:w="2032" w:type="dxa"/>
            <w:gridSpan w:val="2"/>
            <w:vAlign w:val="center"/>
          </w:tcPr>
          <w:p>
            <w:pPr>
              <w:spacing w:line="240" w:lineRule="auto"/>
              <w:ind w:firstLine="0" w:firstLineChars="0"/>
              <w:jc w:val="center"/>
              <w:rPr>
                <w:color w:val="auto"/>
                <w:kern w:val="21"/>
                <w:sz w:val="21"/>
                <w:szCs w:val="21"/>
              </w:rPr>
            </w:pPr>
          </w:p>
        </w:tc>
        <w:tc>
          <w:tcPr>
            <w:tcW w:w="1890" w:type="dxa"/>
            <w:gridSpan w:val="2"/>
            <w:vAlign w:val="center"/>
          </w:tcPr>
          <w:p>
            <w:pPr>
              <w:spacing w:line="240" w:lineRule="auto"/>
              <w:ind w:firstLine="0" w:firstLineChars="0"/>
              <w:jc w:val="center"/>
              <w:rPr>
                <w:color w:val="auto"/>
                <w:kern w:val="21"/>
                <w:sz w:val="21"/>
                <w:szCs w:val="21"/>
              </w:rPr>
            </w:pPr>
          </w:p>
        </w:tc>
        <w:tc>
          <w:tcPr>
            <w:tcW w:w="2031" w:type="dxa"/>
            <w:gridSpan w:val="2"/>
            <w:vAlign w:val="center"/>
          </w:tcPr>
          <w:p>
            <w:pPr>
              <w:spacing w:line="240" w:lineRule="auto"/>
              <w:ind w:firstLine="0" w:firstLineChars="0"/>
              <w:jc w:val="center"/>
              <w:rPr>
                <w:color w:val="auto"/>
                <w:kern w:val="21"/>
                <w:sz w:val="21"/>
                <w:szCs w:val="21"/>
              </w:rPr>
            </w:pP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pPr>
              <w:spacing w:line="240" w:lineRule="auto"/>
              <w:ind w:firstLine="0" w:firstLineChars="0"/>
              <w:jc w:val="center"/>
              <w:rPr>
                <w:color w:val="auto"/>
                <w:kern w:val="21"/>
                <w:sz w:val="21"/>
                <w:szCs w:val="21"/>
              </w:rPr>
            </w:pPr>
          </w:p>
        </w:tc>
        <w:tc>
          <w:tcPr>
            <w:tcW w:w="1955" w:type="dxa"/>
            <w:vAlign w:val="center"/>
          </w:tcPr>
          <w:p>
            <w:pPr>
              <w:spacing w:line="240" w:lineRule="auto"/>
              <w:ind w:firstLine="0" w:firstLineChars="0"/>
              <w:jc w:val="center"/>
              <w:rPr>
                <w:color w:val="auto"/>
                <w:kern w:val="21"/>
                <w:sz w:val="21"/>
                <w:szCs w:val="21"/>
              </w:rPr>
            </w:pPr>
            <w:r>
              <w:rPr>
                <w:color w:val="auto"/>
                <w:kern w:val="21"/>
                <w:sz w:val="21"/>
                <w:szCs w:val="21"/>
              </w:rPr>
              <w:t>信息公开指标</w:t>
            </w:r>
          </w:p>
        </w:tc>
        <w:tc>
          <w:tcPr>
            <w:tcW w:w="5953" w:type="dxa"/>
            <w:gridSpan w:val="6"/>
            <w:vAlign w:val="center"/>
          </w:tcPr>
          <w:p>
            <w:pPr>
              <w:spacing w:line="240" w:lineRule="auto"/>
              <w:ind w:firstLine="0" w:firstLineChars="0"/>
              <w:jc w:val="center"/>
              <w:rPr>
                <w:color w:val="auto"/>
                <w:kern w:val="21"/>
                <w:sz w:val="21"/>
                <w:szCs w:val="21"/>
              </w:rPr>
            </w:pPr>
          </w:p>
        </w:tc>
        <w:tc>
          <w:tcPr>
            <w:tcW w:w="849" w:type="dxa"/>
            <w:vAlign w:val="center"/>
          </w:tcPr>
          <w:p>
            <w:pPr>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1" w:type="dxa"/>
            <w:gridSpan w:val="2"/>
            <w:vAlign w:val="center"/>
          </w:tcPr>
          <w:p>
            <w:pPr>
              <w:spacing w:line="240" w:lineRule="auto"/>
              <w:ind w:firstLine="0" w:firstLineChars="0"/>
              <w:jc w:val="center"/>
              <w:rPr>
                <w:color w:val="auto"/>
                <w:kern w:val="21"/>
                <w:sz w:val="21"/>
                <w:szCs w:val="21"/>
              </w:rPr>
            </w:pPr>
            <w:r>
              <w:rPr>
                <w:color w:val="auto"/>
                <w:kern w:val="21"/>
                <w:sz w:val="21"/>
                <w:szCs w:val="21"/>
              </w:rPr>
              <w:t>评价结论</w:t>
            </w:r>
          </w:p>
        </w:tc>
        <w:tc>
          <w:tcPr>
            <w:tcW w:w="5953" w:type="dxa"/>
            <w:gridSpan w:val="6"/>
            <w:vAlign w:val="center"/>
          </w:tcPr>
          <w:p>
            <w:pPr>
              <w:spacing w:line="240" w:lineRule="auto"/>
              <w:ind w:firstLine="0" w:firstLineChars="0"/>
              <w:rPr>
                <w:color w:val="auto"/>
                <w:kern w:val="21"/>
                <w:sz w:val="21"/>
                <w:szCs w:val="21"/>
              </w:rPr>
            </w:pPr>
            <w:r>
              <w:rPr>
                <w:rFonts w:hint="eastAsia"/>
                <w:color w:val="auto"/>
                <w:kern w:val="21"/>
                <w:sz w:val="21"/>
                <w:szCs w:val="21"/>
              </w:rPr>
              <w:t>（</w:t>
            </w:r>
            <w:r>
              <w:rPr>
                <w:color w:val="auto"/>
                <w:kern w:val="21"/>
                <w:sz w:val="21"/>
                <w:szCs w:val="21"/>
              </w:rPr>
              <w:t>1）根据《环境影响评价技术导则土壤环境</w:t>
            </w:r>
            <w:r>
              <w:rPr>
                <w:rFonts w:hint="eastAsia"/>
                <w:color w:val="auto"/>
                <w:kern w:val="21"/>
                <w:sz w:val="21"/>
                <w:szCs w:val="21"/>
              </w:rPr>
              <w:t>□</w:t>
            </w:r>
            <w:r>
              <w:rPr>
                <w:color w:val="auto"/>
                <w:kern w:val="21"/>
                <w:sz w:val="21"/>
                <w:szCs w:val="21"/>
              </w:rPr>
              <w:t>试行）》</w:t>
            </w:r>
            <w:r>
              <w:rPr>
                <w:rFonts w:hint="eastAsia"/>
                <w:color w:val="auto"/>
                <w:kern w:val="21"/>
                <w:sz w:val="21"/>
                <w:szCs w:val="21"/>
              </w:rPr>
              <w:t>（</w:t>
            </w:r>
            <w:r>
              <w:rPr>
                <w:color w:val="auto"/>
                <w:kern w:val="21"/>
                <w:sz w:val="21"/>
                <w:szCs w:val="21"/>
              </w:rPr>
              <w:t>HJ964-2018）划分，本项目土壤评价等级为三级。</w:t>
            </w:r>
          </w:p>
          <w:p>
            <w:pPr>
              <w:spacing w:line="240" w:lineRule="auto"/>
              <w:ind w:firstLine="0" w:firstLineChars="0"/>
              <w:rPr>
                <w:color w:val="auto"/>
                <w:kern w:val="21"/>
                <w:sz w:val="21"/>
                <w:szCs w:val="21"/>
              </w:rPr>
            </w:pPr>
            <w:r>
              <w:rPr>
                <w:rFonts w:hint="eastAsia"/>
                <w:color w:val="auto"/>
                <w:kern w:val="21"/>
                <w:sz w:val="21"/>
                <w:szCs w:val="21"/>
              </w:rPr>
              <w:t>（</w:t>
            </w:r>
            <w:r>
              <w:rPr>
                <w:color w:val="auto"/>
                <w:kern w:val="21"/>
                <w:sz w:val="21"/>
                <w:szCs w:val="21"/>
              </w:rPr>
              <w:t>2）监测结果表明，工项目占地区域内各监测点各项监测指标均能达到《土壤环境质量建设用地土壤污染风险管控标准</w:t>
            </w:r>
            <w:r>
              <w:rPr>
                <w:rFonts w:hint="eastAsia"/>
                <w:color w:val="auto"/>
                <w:kern w:val="21"/>
                <w:sz w:val="21"/>
                <w:szCs w:val="21"/>
              </w:rPr>
              <w:t>（</w:t>
            </w:r>
            <w:r>
              <w:rPr>
                <w:color w:val="auto"/>
                <w:kern w:val="21"/>
                <w:sz w:val="21"/>
                <w:szCs w:val="21"/>
              </w:rPr>
              <w:t>试行）》</w:t>
            </w:r>
            <w:r>
              <w:rPr>
                <w:rFonts w:hint="eastAsia"/>
                <w:color w:val="auto"/>
                <w:kern w:val="21"/>
                <w:sz w:val="21"/>
                <w:szCs w:val="21"/>
              </w:rPr>
              <w:t>（</w:t>
            </w:r>
            <w:r>
              <w:rPr>
                <w:color w:val="auto"/>
                <w:kern w:val="21"/>
                <w:sz w:val="21"/>
                <w:szCs w:val="21"/>
              </w:rPr>
              <w:t>GB/36600-2018）中的风险筛选值和管制值标准。</w:t>
            </w:r>
          </w:p>
        </w:tc>
        <w:tc>
          <w:tcPr>
            <w:tcW w:w="849" w:type="dxa"/>
            <w:vAlign w:val="center"/>
          </w:tcPr>
          <w:p>
            <w:pPr>
              <w:spacing w:line="240" w:lineRule="auto"/>
              <w:ind w:firstLine="0" w:firstLineChars="0"/>
              <w:jc w:val="center"/>
              <w:rPr>
                <w:color w:val="auto"/>
                <w:kern w:val="21"/>
                <w:sz w:val="21"/>
                <w:szCs w:val="21"/>
              </w:rPr>
            </w:pPr>
          </w:p>
        </w:tc>
      </w:tr>
    </w:tbl>
    <w:p>
      <w:pPr>
        <w:widowControl/>
        <w:ind w:firstLine="480"/>
        <w:jc w:val="left"/>
        <w:rPr>
          <w:color w:val="auto"/>
          <w:kern w:val="21"/>
          <w:lang w:bidi="ar"/>
        </w:rPr>
      </w:pPr>
    </w:p>
    <w:p>
      <w:pPr>
        <w:widowControl/>
        <w:topLinePunct/>
        <w:autoSpaceDE w:val="0"/>
        <w:adjustRightInd w:val="0"/>
        <w:snapToGrid w:val="0"/>
        <w:spacing w:before="15600" w:beforeLines="5000"/>
        <w:ind w:firstLine="0" w:firstLineChars="0"/>
        <w:outlineLvl w:val="0"/>
        <w:rPr>
          <w:b/>
          <w:bCs/>
          <w:color w:val="auto"/>
          <w:kern w:val="21"/>
          <w:sz w:val="32"/>
          <w:szCs w:val="32"/>
        </w:rPr>
      </w:pPr>
      <w:bookmarkStart w:id="288" w:name="_Toc7367"/>
      <w:r>
        <w:rPr>
          <w:rFonts w:hint="eastAsia"/>
          <w:b/>
          <w:bCs/>
          <w:color w:val="auto"/>
          <w:kern w:val="21"/>
          <w:sz w:val="32"/>
          <w:szCs w:val="32"/>
        </w:rPr>
        <w:t>6</w:t>
      </w:r>
      <w:r>
        <w:rPr>
          <w:b/>
          <w:bCs/>
          <w:color w:val="auto"/>
          <w:kern w:val="21"/>
          <w:sz w:val="32"/>
          <w:szCs w:val="32"/>
        </w:rPr>
        <w:t>环境风险分析</w:t>
      </w:r>
      <w:bookmarkEnd w:id="288"/>
    </w:p>
    <w:p>
      <w:pPr>
        <w:widowControl/>
        <w:topLinePunct/>
        <w:autoSpaceDE w:val="0"/>
        <w:adjustRightInd w:val="0"/>
        <w:snapToGrid w:val="0"/>
        <w:ind w:firstLine="0" w:firstLineChars="0"/>
        <w:outlineLvl w:val="1"/>
        <w:rPr>
          <w:b/>
          <w:bCs/>
          <w:color w:val="auto"/>
          <w:kern w:val="21"/>
          <w:sz w:val="28"/>
          <w:szCs w:val="28"/>
        </w:rPr>
      </w:pPr>
      <w:bookmarkStart w:id="289" w:name="_Toc682"/>
      <w:r>
        <w:rPr>
          <w:rFonts w:hint="eastAsia"/>
          <w:b/>
          <w:bCs/>
          <w:color w:val="auto"/>
          <w:kern w:val="21"/>
          <w:sz w:val="28"/>
          <w:szCs w:val="28"/>
        </w:rPr>
        <w:t>6</w:t>
      </w:r>
      <w:r>
        <w:rPr>
          <w:b/>
          <w:bCs/>
          <w:color w:val="auto"/>
          <w:kern w:val="21"/>
          <w:sz w:val="28"/>
          <w:szCs w:val="28"/>
        </w:rPr>
        <w:t>.1概述</w:t>
      </w:r>
      <w:bookmarkEnd w:id="289"/>
    </w:p>
    <w:p>
      <w:pPr>
        <w:widowControl/>
        <w:topLinePunct/>
        <w:autoSpaceDE w:val="0"/>
        <w:adjustRightInd w:val="0"/>
        <w:snapToGrid w:val="0"/>
        <w:ind w:firstLine="480"/>
        <w:rPr>
          <w:color w:val="auto"/>
          <w:kern w:val="21"/>
        </w:rPr>
      </w:pPr>
      <w:r>
        <w:rPr>
          <w:color w:val="auto"/>
          <w:kern w:val="21"/>
        </w:rPr>
        <w:t>本次评价主要依据《建设项目环境风险评价技术导则》（HJ169-2018）的要求进行评价。环境风险评价的目的是通过分析建设项目运营期内可能发生的事故类型和对环境的影响程度和范围，以确定项目风险可承受程度，从而为工程设计提供参考依据。根据建设方提供的资料及项目特性，项目具有一定的事故风险，需要进行必要的环境事故风险分析，并在此基础上提出降低事故风险的措施，以确保事故时项目区内外的环境质量仍符合功能类别要求，项目厂区内的人员及周边影响区内人群及生物的健康和生命安全有所保障。</w:t>
      </w:r>
    </w:p>
    <w:p>
      <w:pPr>
        <w:widowControl/>
        <w:topLinePunct/>
        <w:autoSpaceDE w:val="0"/>
        <w:adjustRightInd w:val="0"/>
        <w:snapToGrid w:val="0"/>
        <w:ind w:firstLine="0" w:firstLineChars="0"/>
        <w:outlineLvl w:val="1"/>
        <w:rPr>
          <w:rFonts w:hint="eastAsia" w:eastAsia="宋体"/>
          <w:b/>
          <w:bCs/>
          <w:color w:val="auto"/>
          <w:kern w:val="21"/>
          <w:sz w:val="28"/>
          <w:szCs w:val="28"/>
          <w:lang w:eastAsia="zh-CN"/>
        </w:rPr>
      </w:pPr>
      <w:bookmarkStart w:id="290" w:name="_Toc13689"/>
      <w:r>
        <w:rPr>
          <w:rFonts w:hint="eastAsia"/>
          <w:b/>
          <w:bCs/>
          <w:color w:val="auto"/>
          <w:kern w:val="21"/>
          <w:sz w:val="28"/>
          <w:szCs w:val="28"/>
        </w:rPr>
        <w:t>6</w:t>
      </w:r>
      <w:r>
        <w:rPr>
          <w:b/>
          <w:bCs/>
          <w:color w:val="auto"/>
          <w:kern w:val="21"/>
          <w:sz w:val="28"/>
          <w:szCs w:val="28"/>
        </w:rPr>
        <w:t>.</w:t>
      </w:r>
      <w:r>
        <w:rPr>
          <w:rFonts w:hint="eastAsia"/>
          <w:b/>
          <w:bCs/>
          <w:color w:val="auto"/>
          <w:kern w:val="21"/>
          <w:sz w:val="28"/>
          <w:szCs w:val="28"/>
          <w:lang w:val="en-US" w:eastAsia="zh-CN"/>
        </w:rPr>
        <w:t>2</w:t>
      </w:r>
      <w:r>
        <w:rPr>
          <w:rFonts w:hint="eastAsia"/>
          <w:b/>
          <w:bCs/>
          <w:color w:val="auto"/>
          <w:kern w:val="21"/>
          <w:sz w:val="28"/>
          <w:szCs w:val="28"/>
          <w:lang w:eastAsia="zh-CN"/>
        </w:rPr>
        <w:t>评价依据</w:t>
      </w:r>
      <w:bookmarkEnd w:id="290"/>
    </w:p>
    <w:p>
      <w:pPr>
        <w:widowControl/>
        <w:topLinePunct/>
        <w:autoSpaceDE w:val="0"/>
        <w:adjustRightInd w:val="0"/>
        <w:snapToGrid w:val="0"/>
        <w:ind w:firstLine="0" w:firstLineChars="0"/>
        <w:outlineLvl w:val="2"/>
        <w:rPr>
          <w:rFonts w:hint="eastAsia" w:eastAsia="宋体"/>
          <w:b/>
          <w:bCs/>
          <w:color w:val="auto"/>
          <w:kern w:val="21"/>
          <w:lang w:eastAsia="zh-CN"/>
        </w:rPr>
      </w:pPr>
      <w:bookmarkStart w:id="291" w:name="_Toc29722"/>
      <w:r>
        <w:rPr>
          <w:rFonts w:hint="eastAsia"/>
          <w:b/>
          <w:bCs/>
          <w:color w:val="auto"/>
          <w:kern w:val="21"/>
        </w:rPr>
        <w:t>6</w:t>
      </w:r>
      <w:r>
        <w:rPr>
          <w:b/>
          <w:bCs/>
          <w:color w:val="auto"/>
          <w:kern w:val="21"/>
        </w:rPr>
        <w:t>.2.1风险</w:t>
      </w:r>
      <w:r>
        <w:rPr>
          <w:rFonts w:hint="eastAsia"/>
          <w:b/>
          <w:bCs/>
          <w:color w:val="auto"/>
          <w:kern w:val="21"/>
          <w:lang w:eastAsia="zh-CN"/>
        </w:rPr>
        <w:t>调查</w:t>
      </w:r>
      <w:bookmarkEnd w:id="291"/>
    </w:p>
    <w:p>
      <w:pPr>
        <w:adjustRightInd w:val="0"/>
        <w:snapToGrid w:val="0"/>
        <w:ind w:firstLine="480"/>
        <w:rPr>
          <w:rFonts w:hint="eastAsia" w:eastAsia="宋体"/>
          <w:bCs/>
          <w:color w:val="auto"/>
          <w:kern w:val="21"/>
          <w:lang w:val="en-US" w:eastAsia="zh-CN"/>
        </w:rPr>
      </w:pPr>
      <w:r>
        <w:rPr>
          <w:rFonts w:hint="eastAsia"/>
          <w:bCs/>
          <w:color w:val="auto"/>
          <w:kern w:val="21"/>
          <w:lang w:val="en-US" w:eastAsia="zh-CN"/>
        </w:rPr>
        <w:t>1、建设项目风险源调查</w:t>
      </w:r>
    </w:p>
    <w:p>
      <w:pPr>
        <w:adjustRightInd w:val="0"/>
        <w:snapToGrid w:val="0"/>
        <w:ind w:firstLine="480"/>
        <w:rPr>
          <w:rFonts w:hint="eastAsia"/>
          <w:bCs/>
          <w:color w:val="auto"/>
          <w:kern w:val="21"/>
          <w:lang w:val="en-US" w:eastAsia="zh-CN"/>
        </w:rPr>
      </w:pPr>
      <w:r>
        <w:rPr>
          <w:rFonts w:hint="eastAsia"/>
          <w:bCs/>
          <w:color w:val="auto"/>
          <w:kern w:val="21"/>
          <w:lang w:val="en-US" w:eastAsia="zh-CN"/>
        </w:rPr>
        <w:t xml:space="preserve"> 根据项目原辅料、生产工艺、产排污情况可知，项目涉及的危险物质主要为次氯酸钠，使用玻璃钢立罐贮存，储存在项目MBR膜池及设备间。</w:t>
      </w:r>
    </w:p>
    <w:p>
      <w:pPr>
        <w:pStyle w:val="180"/>
        <w:widowControl/>
        <w:numPr>
          <w:ilvl w:val="0"/>
          <w:numId w:val="15"/>
        </w:numPr>
        <w:autoSpaceDE w:val="0"/>
        <w:adjustRightInd w:val="0"/>
        <w:snapToGrid w:val="0"/>
        <w:spacing w:line="360" w:lineRule="auto"/>
        <w:ind w:left="0" w:leftChars="0" w:firstLine="0" w:firstLineChars="0"/>
        <w:jc w:val="center"/>
        <w:textAlignment w:val="baseline"/>
        <w:rPr>
          <w:b/>
          <w:bCs/>
          <w:color w:val="auto"/>
          <w:kern w:val="21"/>
          <w:sz w:val="24"/>
          <w:szCs w:val="24"/>
          <w:lang w:bidi="ar"/>
        </w:rPr>
      </w:pPr>
      <w:r>
        <w:rPr>
          <w:b/>
          <w:bCs/>
          <w:color w:val="auto"/>
          <w:kern w:val="21"/>
          <w:sz w:val="24"/>
          <w:szCs w:val="24"/>
          <w:lang w:bidi="ar"/>
        </w:rPr>
        <w:t>次氯酸钠理化性质</w:t>
      </w:r>
      <w:r>
        <w:rPr>
          <w:rFonts w:hint="eastAsia"/>
          <w:b/>
          <w:bCs/>
          <w:color w:val="auto"/>
          <w:kern w:val="21"/>
          <w:sz w:val="24"/>
          <w:szCs w:val="24"/>
          <w:lang w:eastAsia="zh-CN" w:bidi="ar"/>
        </w:rPr>
        <w:t>及危险特性</w:t>
      </w:r>
      <w:r>
        <w:rPr>
          <w:b/>
          <w:bCs/>
          <w:color w:val="auto"/>
          <w:kern w:val="21"/>
          <w:sz w:val="24"/>
          <w:szCs w:val="24"/>
          <w:lang w:bidi="ar"/>
        </w:rPr>
        <w:t>表</w:t>
      </w:r>
    </w:p>
    <w:tbl>
      <w:tblPr>
        <w:tblStyle w:val="51"/>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279"/>
        <w:gridCol w:w="1074"/>
        <w:gridCol w:w="48"/>
        <w:gridCol w:w="263"/>
        <w:gridCol w:w="994"/>
        <w:gridCol w:w="252"/>
        <w:gridCol w:w="297"/>
        <w:gridCol w:w="291"/>
        <w:gridCol w:w="9"/>
        <w:gridCol w:w="501"/>
        <w:gridCol w:w="25"/>
        <w:gridCol w:w="245"/>
        <w:gridCol w:w="884"/>
        <w:gridCol w:w="8"/>
        <w:gridCol w:w="1054"/>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标识</w:t>
            </w: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中文名</w:t>
            </w:r>
          </w:p>
        </w:tc>
        <w:tc>
          <w:tcPr>
            <w:tcW w:w="2631" w:type="dxa"/>
            <w:gridSpan w:val="5"/>
            <w:vAlign w:val="center"/>
          </w:tcPr>
          <w:p>
            <w:pPr>
              <w:pStyle w:val="208"/>
              <w:adjustRightInd w:val="0"/>
              <w:snapToGrid w:val="0"/>
              <w:spacing w:before="0" w:after="0"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eastAsia="zh-CN"/>
              </w:rPr>
              <w:t>次氯酸钠</w:t>
            </w:r>
          </w:p>
        </w:tc>
        <w:tc>
          <w:tcPr>
            <w:tcW w:w="2252" w:type="dxa"/>
            <w:gridSpan w:val="7"/>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危险货物编号</w:t>
            </w:r>
          </w:p>
        </w:tc>
        <w:tc>
          <w:tcPr>
            <w:tcW w:w="2006" w:type="dxa"/>
            <w:gridSpan w:val="3"/>
            <w:vAlign w:val="center"/>
          </w:tcPr>
          <w:p>
            <w:pPr>
              <w:pStyle w:val="208"/>
              <w:adjustRightInd w:val="0"/>
              <w:snapToGrid w:val="0"/>
              <w:spacing w:before="0" w:after="0"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rPr>
              <w:t>8</w:t>
            </w:r>
            <w:r>
              <w:rPr>
                <w:rFonts w:hint="eastAsia" w:cs="Times New Roman"/>
                <w:color w:val="auto"/>
                <w:sz w:val="21"/>
                <w:szCs w:val="21"/>
                <w:lang w:val="en-US" w:eastAsia="zh-CN"/>
              </w:rPr>
              <w:t>3501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英文名</w:t>
            </w:r>
          </w:p>
        </w:tc>
        <w:tc>
          <w:tcPr>
            <w:tcW w:w="2631" w:type="dxa"/>
            <w:gridSpan w:val="5"/>
            <w:vAlign w:val="center"/>
          </w:tcPr>
          <w:p>
            <w:pPr>
              <w:pStyle w:val="208"/>
              <w:adjustRightInd w:val="0"/>
              <w:snapToGrid w:val="0"/>
              <w:spacing w:before="0" w:after="0"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Sodium hypochlorite solution</w:t>
            </w:r>
          </w:p>
        </w:tc>
        <w:tc>
          <w:tcPr>
            <w:tcW w:w="2252" w:type="dxa"/>
            <w:gridSpan w:val="7"/>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UN编号</w:t>
            </w:r>
          </w:p>
        </w:tc>
        <w:tc>
          <w:tcPr>
            <w:tcW w:w="2006" w:type="dxa"/>
            <w:gridSpan w:val="3"/>
            <w:vAlign w:val="center"/>
          </w:tcPr>
          <w:p>
            <w:pPr>
              <w:pStyle w:val="208"/>
              <w:adjustRightInd w:val="0"/>
              <w:snapToGrid w:val="0"/>
              <w:spacing w:before="0" w:after="0"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分子式</w:t>
            </w:r>
          </w:p>
        </w:tc>
        <w:tc>
          <w:tcPr>
            <w:tcW w:w="1122" w:type="dxa"/>
            <w:gridSpan w:val="2"/>
            <w:vAlign w:val="center"/>
          </w:tcPr>
          <w:p>
            <w:pPr>
              <w:pStyle w:val="208"/>
              <w:adjustRightInd w:val="0"/>
              <w:snapToGrid w:val="0"/>
              <w:spacing w:before="0" w:after="0" w:line="240" w:lineRule="auto"/>
              <w:ind w:firstLine="0" w:firstLineChars="0"/>
              <w:jc w:val="center"/>
              <w:rPr>
                <w:rFonts w:hint="default" w:cs="Times New Roman"/>
                <w:color w:val="auto"/>
                <w:sz w:val="21"/>
                <w:szCs w:val="21"/>
                <w:lang w:val="en-US"/>
              </w:rPr>
            </w:pPr>
            <w:r>
              <w:rPr>
                <w:rFonts w:hint="eastAsia" w:cs="Times New Roman"/>
                <w:color w:val="auto"/>
                <w:sz w:val="21"/>
                <w:szCs w:val="21"/>
                <w:lang w:val="en-US" w:eastAsia="zh-CN"/>
              </w:rPr>
              <w:t>NaCl</w:t>
            </w:r>
            <w:r>
              <w:rPr>
                <w:rFonts w:hint="eastAsia" w:cs="Times New Roman"/>
                <w:color w:val="auto"/>
                <w:sz w:val="21"/>
                <w:szCs w:val="21"/>
                <w:vertAlign w:val="baseline"/>
                <w:lang w:val="en-US" w:eastAsia="zh-CN"/>
              </w:rPr>
              <w:t>O</w:t>
            </w:r>
          </w:p>
        </w:tc>
        <w:tc>
          <w:tcPr>
            <w:tcW w:w="1257" w:type="dxa"/>
            <w:gridSpan w:val="2"/>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分子量</w:t>
            </w:r>
          </w:p>
        </w:tc>
        <w:tc>
          <w:tcPr>
            <w:tcW w:w="1350" w:type="dxa"/>
            <w:gridSpan w:val="5"/>
            <w:vAlign w:val="center"/>
          </w:tcPr>
          <w:p>
            <w:pPr>
              <w:pStyle w:val="208"/>
              <w:adjustRightInd w:val="0"/>
              <w:snapToGrid w:val="0"/>
              <w:spacing w:before="0" w:after="0"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74.44</w:t>
            </w:r>
          </w:p>
        </w:tc>
        <w:tc>
          <w:tcPr>
            <w:tcW w:w="1162" w:type="dxa"/>
            <w:gridSpan w:val="4"/>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CAS号</w:t>
            </w:r>
          </w:p>
        </w:tc>
        <w:tc>
          <w:tcPr>
            <w:tcW w:w="1998" w:type="dxa"/>
            <w:gridSpan w:val="2"/>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76</w:t>
            </w:r>
            <w:r>
              <w:rPr>
                <w:rFonts w:hint="eastAsia" w:cs="Times New Roman"/>
                <w:color w:val="auto"/>
                <w:sz w:val="21"/>
                <w:szCs w:val="21"/>
                <w:lang w:val="en-US" w:eastAsia="zh-CN"/>
              </w:rPr>
              <w:t>81</w:t>
            </w:r>
            <w:r>
              <w:rPr>
                <w:rFonts w:hint="eastAsia" w:cs="Times New Roman"/>
                <w:color w:val="auto"/>
                <w:sz w:val="21"/>
                <w:szCs w:val="21"/>
              </w:rPr>
              <w:t>-</w:t>
            </w:r>
            <w:r>
              <w:rPr>
                <w:rFonts w:hint="eastAsia" w:cs="Times New Roman"/>
                <w:color w:val="auto"/>
                <w:sz w:val="21"/>
                <w:szCs w:val="21"/>
                <w:lang w:val="en-US" w:eastAsia="zh-CN"/>
              </w:rPr>
              <w:t>52</w:t>
            </w:r>
            <w:r>
              <w:rPr>
                <w:rFonts w:hint="eastAsia" w:cs="Times New Roman"/>
                <w:color w:val="auto"/>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理化性质</w:t>
            </w: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外观与性状</w:t>
            </w:r>
          </w:p>
        </w:tc>
        <w:tc>
          <w:tcPr>
            <w:tcW w:w="6889" w:type="dxa"/>
            <w:gridSpan w:val="15"/>
            <w:vAlign w:val="center"/>
          </w:tcPr>
          <w:p>
            <w:pPr>
              <w:pStyle w:val="208"/>
              <w:adjustRightInd w:val="0"/>
              <w:snapToGrid w:val="0"/>
              <w:spacing w:before="0" w:after="0" w:line="240" w:lineRule="auto"/>
              <w:ind w:firstLine="0" w:firstLineChars="0"/>
              <w:jc w:val="left"/>
              <w:rPr>
                <w:rFonts w:hint="default" w:eastAsia="宋体" w:cs="Times New Roman"/>
                <w:color w:val="auto"/>
                <w:sz w:val="21"/>
                <w:szCs w:val="21"/>
                <w:lang w:val="en-US" w:eastAsia="zh-CN"/>
              </w:rPr>
            </w:pPr>
            <w:r>
              <w:rPr>
                <w:rFonts w:hint="eastAsia" w:cs="Times New Roman"/>
                <w:color w:val="auto"/>
                <w:sz w:val="21"/>
                <w:szCs w:val="21"/>
                <w:lang w:val="en-US" w:eastAsia="zh-CN"/>
              </w:rPr>
              <w:t>微黄色溶液，有似氯气的气味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熔点（℃）</w:t>
            </w:r>
          </w:p>
        </w:tc>
        <w:tc>
          <w:tcPr>
            <w:tcW w:w="1074" w:type="dxa"/>
            <w:vAlign w:val="center"/>
          </w:tcPr>
          <w:p>
            <w:pPr>
              <w:pStyle w:val="208"/>
              <w:adjustRightInd w:val="0"/>
              <w:snapToGrid w:val="0"/>
              <w:spacing w:before="0" w:after="0"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-6</w:t>
            </w:r>
          </w:p>
        </w:tc>
        <w:tc>
          <w:tcPr>
            <w:tcW w:w="1854" w:type="dxa"/>
            <w:gridSpan w:val="5"/>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相对密度（水=1）</w:t>
            </w:r>
          </w:p>
        </w:tc>
        <w:tc>
          <w:tcPr>
            <w:tcW w:w="1071" w:type="dxa"/>
            <w:gridSpan w:val="5"/>
            <w:vAlign w:val="center"/>
          </w:tcPr>
          <w:p>
            <w:pPr>
              <w:pStyle w:val="208"/>
              <w:adjustRightInd w:val="0"/>
              <w:snapToGrid w:val="0"/>
              <w:spacing w:before="0" w:after="0"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rPr>
              <w:t>1</w:t>
            </w:r>
            <w:r>
              <w:rPr>
                <w:rFonts w:hint="eastAsia" w:cs="Times New Roman"/>
                <w:color w:val="auto"/>
                <w:sz w:val="21"/>
                <w:szCs w:val="21"/>
                <w:lang w:val="en-US" w:eastAsia="zh-CN"/>
              </w:rPr>
              <w:t>.10</w:t>
            </w:r>
          </w:p>
        </w:tc>
        <w:tc>
          <w:tcPr>
            <w:tcW w:w="1946" w:type="dxa"/>
            <w:gridSpan w:val="3"/>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相对密度（空气=1）</w:t>
            </w:r>
          </w:p>
        </w:tc>
        <w:tc>
          <w:tcPr>
            <w:tcW w:w="944" w:type="dxa"/>
            <w:vAlign w:val="center"/>
          </w:tcPr>
          <w:p>
            <w:pPr>
              <w:pStyle w:val="208"/>
              <w:adjustRightInd w:val="0"/>
              <w:snapToGrid w:val="0"/>
              <w:spacing w:before="0" w:after="0"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eastAsia="zh-CN"/>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沸点（℃）</w:t>
            </w:r>
          </w:p>
        </w:tc>
        <w:tc>
          <w:tcPr>
            <w:tcW w:w="1074" w:type="dxa"/>
            <w:vAlign w:val="center"/>
          </w:tcPr>
          <w:p>
            <w:pPr>
              <w:pStyle w:val="208"/>
              <w:adjustRightInd w:val="0"/>
              <w:snapToGrid w:val="0"/>
              <w:spacing w:before="0" w:after="0"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102.2</w:t>
            </w:r>
          </w:p>
        </w:tc>
        <w:tc>
          <w:tcPr>
            <w:tcW w:w="2680" w:type="dxa"/>
            <w:gridSpan w:val="9"/>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饱和蒸气压（kPa）</w:t>
            </w:r>
          </w:p>
        </w:tc>
        <w:tc>
          <w:tcPr>
            <w:tcW w:w="3135" w:type="dxa"/>
            <w:gridSpan w:val="5"/>
            <w:vAlign w:val="center"/>
          </w:tcPr>
          <w:p>
            <w:pPr>
              <w:pStyle w:val="208"/>
              <w:adjustRightInd w:val="0"/>
              <w:snapToGrid w:val="0"/>
              <w:spacing w:before="0" w:after="0" w:line="240" w:lineRule="auto"/>
              <w:ind w:firstLine="0" w:firstLineChars="0"/>
              <w:jc w:val="center"/>
              <w:rPr>
                <w:rFonts w:hint="eastAsia" w:eastAsia="宋体" w:cs="Times New Roman"/>
                <w:color w:val="auto"/>
                <w:sz w:val="21"/>
                <w:szCs w:val="21"/>
                <w:lang w:eastAsia="zh-CN"/>
              </w:rPr>
            </w:pPr>
            <w:r>
              <w:rPr>
                <w:rFonts w:hint="eastAsia" w:cs="Times New Roman"/>
                <w:color w:val="auto"/>
                <w:sz w:val="21"/>
                <w:szCs w:val="21"/>
                <w:lang w:eastAsia="zh-CN"/>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溶解性</w:t>
            </w:r>
          </w:p>
        </w:tc>
        <w:tc>
          <w:tcPr>
            <w:tcW w:w="6889" w:type="dxa"/>
            <w:gridSpan w:val="15"/>
            <w:vAlign w:val="center"/>
          </w:tcPr>
          <w:p>
            <w:pPr>
              <w:pStyle w:val="208"/>
              <w:adjustRightInd w:val="0"/>
              <w:snapToGrid w:val="0"/>
              <w:spacing w:before="0" w:after="0" w:line="240" w:lineRule="auto"/>
              <w:ind w:firstLine="0" w:firstLineChars="0"/>
              <w:jc w:val="left"/>
              <w:rPr>
                <w:rFonts w:hint="eastAsia" w:eastAsia="宋体" w:cs="Times New Roman"/>
                <w:color w:val="auto"/>
                <w:sz w:val="21"/>
                <w:szCs w:val="21"/>
                <w:lang w:eastAsia="zh-CN"/>
              </w:rPr>
            </w:pPr>
            <w:r>
              <w:rPr>
                <w:rFonts w:hint="eastAsia" w:cs="Times New Roman"/>
                <w:color w:val="auto"/>
                <w:sz w:val="21"/>
                <w:szCs w:val="21"/>
                <w:lang w:eastAsia="zh-CN"/>
              </w:rPr>
              <w:t>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毒性及危害</w:t>
            </w: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侵入途径</w:t>
            </w:r>
          </w:p>
        </w:tc>
        <w:tc>
          <w:tcPr>
            <w:tcW w:w="6889" w:type="dxa"/>
            <w:gridSpan w:val="15"/>
            <w:vAlign w:val="center"/>
          </w:tcPr>
          <w:p>
            <w:pPr>
              <w:pStyle w:val="208"/>
              <w:adjustRightInd w:val="0"/>
              <w:snapToGrid w:val="0"/>
              <w:spacing w:before="0" w:after="0" w:line="240" w:lineRule="auto"/>
              <w:ind w:firstLine="0" w:firstLineChars="0"/>
              <w:jc w:val="left"/>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危险性类别</w:t>
            </w:r>
          </w:p>
        </w:tc>
        <w:tc>
          <w:tcPr>
            <w:tcW w:w="6889" w:type="dxa"/>
            <w:gridSpan w:val="15"/>
            <w:vAlign w:val="center"/>
          </w:tcPr>
          <w:p>
            <w:pPr>
              <w:pStyle w:val="208"/>
              <w:adjustRightInd w:val="0"/>
              <w:snapToGrid w:val="0"/>
              <w:spacing w:before="0" w:after="0" w:line="240" w:lineRule="auto"/>
              <w:ind w:firstLine="0" w:firstLineChars="0"/>
              <w:jc w:val="left"/>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急性毒性</w:t>
            </w:r>
          </w:p>
        </w:tc>
        <w:tc>
          <w:tcPr>
            <w:tcW w:w="6889" w:type="dxa"/>
            <w:gridSpan w:val="15"/>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LD</w:t>
            </w:r>
            <w:r>
              <w:rPr>
                <w:rFonts w:hint="eastAsia" w:cs="Times New Roman"/>
                <w:color w:val="auto"/>
                <w:sz w:val="21"/>
                <w:szCs w:val="21"/>
                <w:vertAlign w:val="subscript"/>
              </w:rPr>
              <w:t>50</w:t>
            </w:r>
            <w:r>
              <w:rPr>
                <w:rFonts w:hint="eastAsia" w:cs="Times New Roman"/>
                <w:color w:val="auto"/>
                <w:sz w:val="21"/>
                <w:szCs w:val="21"/>
              </w:rPr>
              <w:t>：</w:t>
            </w:r>
            <w:r>
              <w:rPr>
                <w:rFonts w:hint="eastAsia" w:cs="Times New Roman"/>
                <w:color w:val="auto"/>
                <w:sz w:val="21"/>
                <w:szCs w:val="21"/>
                <w:lang w:val="en-US" w:eastAsia="zh-CN"/>
              </w:rPr>
              <w:t>8500</w:t>
            </w:r>
            <w:r>
              <w:rPr>
                <w:rFonts w:hint="eastAsia" w:cs="Times New Roman"/>
                <w:color w:val="auto"/>
                <w:sz w:val="21"/>
                <w:szCs w:val="21"/>
              </w:rPr>
              <w:t>mg/kg（</w:t>
            </w:r>
            <w:r>
              <w:rPr>
                <w:rFonts w:hint="eastAsia" w:cs="Times New Roman"/>
                <w:color w:val="auto"/>
                <w:sz w:val="21"/>
                <w:szCs w:val="21"/>
                <w:lang w:eastAsia="zh-CN"/>
              </w:rPr>
              <w:t>小</w:t>
            </w:r>
            <w:r>
              <w:rPr>
                <w:rFonts w:hint="eastAsia" w:cs="Times New Roman"/>
                <w:color w:val="auto"/>
                <w:sz w:val="21"/>
                <w:szCs w:val="21"/>
              </w:rPr>
              <w:t>鼠经口）</w:t>
            </w:r>
          </w:p>
          <w:p>
            <w:pPr>
              <w:pStyle w:val="208"/>
              <w:adjustRightInd w:val="0"/>
              <w:snapToGrid w:val="0"/>
              <w:spacing w:before="0" w:after="0" w:line="240" w:lineRule="auto"/>
              <w:ind w:firstLine="0" w:firstLineChars="0"/>
              <w:jc w:val="left"/>
              <w:rPr>
                <w:rFonts w:hint="eastAsia" w:eastAsia="宋体" w:cs="Times New Roman"/>
                <w:color w:val="auto"/>
                <w:sz w:val="21"/>
                <w:szCs w:val="21"/>
                <w:lang w:eastAsia="zh-CN"/>
              </w:rPr>
            </w:pPr>
            <w:r>
              <w:rPr>
                <w:rFonts w:hint="eastAsia" w:cs="Times New Roman"/>
                <w:color w:val="auto"/>
                <w:sz w:val="21"/>
                <w:szCs w:val="21"/>
              </w:rPr>
              <w:t>LC</w:t>
            </w:r>
            <w:r>
              <w:rPr>
                <w:rFonts w:hint="eastAsia" w:cs="Times New Roman"/>
                <w:color w:val="auto"/>
                <w:sz w:val="21"/>
                <w:szCs w:val="21"/>
                <w:vertAlign w:val="subscript"/>
              </w:rPr>
              <w:t>50</w:t>
            </w:r>
            <w:r>
              <w:rPr>
                <w:rFonts w:hint="eastAsia" w:cs="Times New Roman"/>
                <w:color w:val="auto"/>
                <w:sz w:val="21"/>
                <w:szCs w:val="21"/>
              </w:rPr>
              <w:t>：</w:t>
            </w:r>
            <w:r>
              <w:rPr>
                <w:rFonts w:hint="eastAsia" w:cs="Times New Roman"/>
                <w:color w:val="auto"/>
                <w:sz w:val="21"/>
                <w:szCs w:val="21"/>
                <w:lang w:eastAsia="zh-CN"/>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健康危害</w:t>
            </w:r>
          </w:p>
        </w:tc>
        <w:tc>
          <w:tcPr>
            <w:tcW w:w="6889" w:type="dxa"/>
            <w:gridSpan w:val="15"/>
            <w:vAlign w:val="center"/>
          </w:tcPr>
          <w:p>
            <w:pPr>
              <w:pStyle w:val="208"/>
              <w:adjustRightInd w:val="0"/>
              <w:snapToGrid w:val="0"/>
              <w:spacing w:before="0" w:after="0" w:line="240" w:lineRule="auto"/>
              <w:ind w:firstLine="0" w:firstLineChars="0"/>
              <w:jc w:val="left"/>
              <w:rPr>
                <w:rFonts w:hint="eastAsia" w:eastAsia="宋体" w:cs="Times New Roman"/>
                <w:color w:val="auto"/>
                <w:sz w:val="21"/>
                <w:szCs w:val="21"/>
                <w:lang w:eastAsia="zh-CN"/>
              </w:rPr>
            </w:pPr>
            <w:r>
              <w:rPr>
                <w:rFonts w:hint="eastAsia" w:cs="Times New Roman"/>
                <w:color w:val="auto"/>
                <w:sz w:val="21"/>
                <w:szCs w:val="21"/>
                <w:lang w:eastAsia="zh-CN"/>
              </w:rPr>
              <w:t>经常用手接触本品的工人，手掌大量出汗，指甲变薄，毛发脱落。本品有致敏作用。本品放出的游离氯有可能引起中毒。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环境危害</w:t>
            </w:r>
          </w:p>
        </w:tc>
        <w:tc>
          <w:tcPr>
            <w:tcW w:w="6889" w:type="dxa"/>
            <w:gridSpan w:val="15"/>
            <w:vAlign w:val="center"/>
          </w:tcPr>
          <w:p>
            <w:pPr>
              <w:pStyle w:val="208"/>
              <w:adjustRightInd w:val="0"/>
              <w:snapToGrid w:val="0"/>
              <w:spacing w:before="0" w:after="0" w:line="240" w:lineRule="auto"/>
              <w:ind w:firstLine="0" w:firstLineChars="0"/>
              <w:jc w:val="left"/>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燃爆危险</w:t>
            </w:r>
          </w:p>
        </w:tc>
        <w:tc>
          <w:tcPr>
            <w:tcW w:w="6889" w:type="dxa"/>
            <w:gridSpan w:val="15"/>
            <w:vAlign w:val="center"/>
          </w:tcPr>
          <w:p>
            <w:pPr>
              <w:pStyle w:val="208"/>
              <w:adjustRightInd w:val="0"/>
              <w:snapToGrid w:val="0"/>
              <w:spacing w:before="0" w:after="0" w:line="240" w:lineRule="auto"/>
              <w:ind w:firstLine="0" w:firstLineChars="0"/>
              <w:jc w:val="left"/>
              <w:rPr>
                <w:rFonts w:hint="eastAsia" w:eastAsia="宋体" w:cs="Times New Roman"/>
                <w:color w:val="auto"/>
                <w:sz w:val="21"/>
                <w:szCs w:val="21"/>
                <w:lang w:eastAsia="zh-CN"/>
              </w:rPr>
            </w:pPr>
            <w:r>
              <w:rPr>
                <w:rFonts w:hint="eastAsia" w:cs="Times New Roman"/>
                <w:color w:val="auto"/>
                <w:sz w:val="21"/>
                <w:szCs w:val="21"/>
              </w:rPr>
              <w:t>本品</w:t>
            </w:r>
            <w:r>
              <w:rPr>
                <w:rFonts w:hint="eastAsia" w:cs="Times New Roman"/>
                <w:color w:val="auto"/>
                <w:sz w:val="21"/>
                <w:szCs w:val="21"/>
                <w:lang w:eastAsia="zh-CN"/>
              </w:rPr>
              <w:t>不</w:t>
            </w:r>
            <w:r>
              <w:rPr>
                <w:rFonts w:hint="eastAsia" w:cs="Times New Roman"/>
                <w:color w:val="auto"/>
                <w:sz w:val="21"/>
                <w:szCs w:val="21"/>
              </w:rPr>
              <w:t>燃，具有腐蚀性</w:t>
            </w:r>
            <w:r>
              <w:rPr>
                <w:rFonts w:hint="eastAsia" w:cs="Times New Roman"/>
                <w:color w:val="auto"/>
                <w:sz w:val="21"/>
                <w:szCs w:val="21"/>
                <w:lang w:eastAsia="zh-CN"/>
              </w:rPr>
              <w:t>，</w:t>
            </w:r>
            <w:r>
              <w:rPr>
                <w:rFonts w:hint="eastAsia" w:cs="Times New Roman"/>
                <w:color w:val="auto"/>
                <w:sz w:val="21"/>
                <w:szCs w:val="21"/>
              </w:rPr>
              <w:t>可致人体灼伤</w:t>
            </w:r>
            <w:r>
              <w:rPr>
                <w:rFonts w:hint="eastAsia" w:cs="Times New Roman"/>
                <w:color w:val="auto"/>
                <w:sz w:val="21"/>
                <w:szCs w:val="21"/>
                <w:lang w:eastAsia="zh-CN"/>
              </w:rPr>
              <w:t>，具有致敏性。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燃烧爆炸危险性</w:t>
            </w: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燃烧性</w:t>
            </w:r>
          </w:p>
        </w:tc>
        <w:tc>
          <w:tcPr>
            <w:tcW w:w="1385" w:type="dxa"/>
            <w:gridSpan w:val="3"/>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无意义</w:t>
            </w:r>
          </w:p>
        </w:tc>
        <w:tc>
          <w:tcPr>
            <w:tcW w:w="1843" w:type="dxa"/>
            <w:gridSpan w:val="5"/>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燃烧分解物</w:t>
            </w:r>
          </w:p>
        </w:tc>
        <w:tc>
          <w:tcPr>
            <w:tcW w:w="3661" w:type="dxa"/>
            <w:gridSpan w:val="7"/>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闪点（℃）</w:t>
            </w:r>
          </w:p>
        </w:tc>
        <w:tc>
          <w:tcPr>
            <w:tcW w:w="1385" w:type="dxa"/>
            <w:gridSpan w:val="3"/>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无意义</w:t>
            </w:r>
          </w:p>
        </w:tc>
        <w:tc>
          <w:tcPr>
            <w:tcW w:w="1834" w:type="dxa"/>
            <w:gridSpan w:val="4"/>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爆炸上限（v%）</w:t>
            </w:r>
          </w:p>
        </w:tc>
        <w:tc>
          <w:tcPr>
            <w:tcW w:w="3670" w:type="dxa"/>
            <w:gridSpan w:val="8"/>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引燃温度（℃）</w:t>
            </w:r>
          </w:p>
        </w:tc>
        <w:tc>
          <w:tcPr>
            <w:tcW w:w="1385" w:type="dxa"/>
            <w:gridSpan w:val="3"/>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无意义</w:t>
            </w:r>
          </w:p>
        </w:tc>
        <w:tc>
          <w:tcPr>
            <w:tcW w:w="1834" w:type="dxa"/>
            <w:gridSpan w:val="4"/>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爆炸下限（v%）</w:t>
            </w:r>
          </w:p>
        </w:tc>
        <w:tc>
          <w:tcPr>
            <w:tcW w:w="3670" w:type="dxa"/>
            <w:gridSpan w:val="8"/>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危险特性</w:t>
            </w:r>
          </w:p>
        </w:tc>
        <w:tc>
          <w:tcPr>
            <w:tcW w:w="6889" w:type="dxa"/>
            <w:gridSpan w:val="15"/>
            <w:vAlign w:val="center"/>
          </w:tcPr>
          <w:p>
            <w:pPr>
              <w:pStyle w:val="208"/>
              <w:adjustRightInd w:val="0"/>
              <w:snapToGrid w:val="0"/>
              <w:spacing w:before="0" w:after="0" w:line="240" w:lineRule="auto"/>
              <w:ind w:firstLine="0" w:firstLineChars="0"/>
              <w:jc w:val="left"/>
              <w:rPr>
                <w:rFonts w:hint="eastAsia" w:eastAsia="宋体" w:cs="Times New Roman"/>
                <w:color w:val="auto"/>
                <w:sz w:val="21"/>
                <w:szCs w:val="21"/>
                <w:lang w:eastAsia="zh-CN"/>
              </w:rPr>
            </w:pPr>
            <w:r>
              <w:rPr>
                <w:rFonts w:hint="eastAsia" w:cs="Times New Roman"/>
                <w:color w:val="auto"/>
                <w:sz w:val="21"/>
                <w:szCs w:val="21"/>
                <w:lang w:eastAsia="zh-CN"/>
              </w:rPr>
              <w:t>受高热分解产生有毒的腐蚀性烟气。具有腐蚀性。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禁忌物</w:t>
            </w:r>
          </w:p>
        </w:tc>
        <w:tc>
          <w:tcPr>
            <w:tcW w:w="6889" w:type="dxa"/>
            <w:gridSpan w:val="15"/>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灭火方法</w:t>
            </w:r>
          </w:p>
        </w:tc>
        <w:tc>
          <w:tcPr>
            <w:tcW w:w="6889" w:type="dxa"/>
            <w:gridSpan w:val="15"/>
            <w:vAlign w:val="center"/>
          </w:tcPr>
          <w:p>
            <w:pPr>
              <w:pStyle w:val="208"/>
              <w:adjustRightInd w:val="0"/>
              <w:snapToGrid w:val="0"/>
              <w:spacing w:before="0" w:after="0" w:line="240" w:lineRule="auto"/>
              <w:ind w:firstLine="0" w:firstLineChars="0"/>
              <w:jc w:val="left"/>
              <w:rPr>
                <w:rFonts w:hint="eastAsia" w:eastAsia="宋体" w:cs="Times New Roman"/>
                <w:color w:val="auto"/>
                <w:sz w:val="21"/>
                <w:szCs w:val="21"/>
                <w:lang w:eastAsia="zh-CN"/>
              </w:rPr>
            </w:pPr>
            <w:r>
              <w:rPr>
                <w:rFonts w:hint="eastAsia" w:cs="Times New Roman"/>
                <w:color w:val="auto"/>
                <w:sz w:val="21"/>
                <w:szCs w:val="21"/>
                <w:lang w:eastAsia="zh-CN"/>
              </w:rPr>
              <w:t>采用雾状水、二氧化碳、砂土灭火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restart"/>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急救措施</w:t>
            </w: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皮肤接触</w:t>
            </w:r>
          </w:p>
        </w:tc>
        <w:tc>
          <w:tcPr>
            <w:tcW w:w="6889" w:type="dxa"/>
            <w:gridSpan w:val="15"/>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脱去污染的衣着，用大量流动清水</w:t>
            </w:r>
            <w:r>
              <w:rPr>
                <w:rFonts w:hint="eastAsia" w:cs="Times New Roman"/>
                <w:color w:val="auto"/>
                <w:sz w:val="21"/>
                <w:szCs w:val="21"/>
                <w:lang w:eastAsia="zh-CN"/>
              </w:rPr>
              <w:t>冲洗</w:t>
            </w:r>
            <w:r>
              <w:rPr>
                <w:rFonts w:hint="eastAsia"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眼睛接触</w:t>
            </w:r>
          </w:p>
        </w:tc>
        <w:tc>
          <w:tcPr>
            <w:tcW w:w="6889" w:type="dxa"/>
            <w:gridSpan w:val="15"/>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提起眼脸，用流动清水或生理盐水</w:t>
            </w:r>
            <w:r>
              <w:rPr>
                <w:rFonts w:hint="eastAsia" w:cs="Times New Roman"/>
                <w:color w:val="auto"/>
                <w:sz w:val="21"/>
                <w:szCs w:val="21"/>
                <w:lang w:eastAsia="zh-CN"/>
              </w:rPr>
              <w:t>冲洗</w:t>
            </w:r>
            <w:r>
              <w:rPr>
                <w:rFonts w:hint="eastAsia" w:cs="Times New Roman"/>
                <w:color w:val="auto"/>
                <w:sz w:val="21"/>
                <w:szCs w:val="21"/>
              </w:rPr>
              <w:t>。就医。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吸入</w:t>
            </w:r>
          </w:p>
        </w:tc>
        <w:tc>
          <w:tcPr>
            <w:tcW w:w="6889" w:type="dxa"/>
            <w:gridSpan w:val="15"/>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rPr>
              <w:t>迅速脱离现场至空气新鲜处。保持呼吸道畅通。如呼吸困难，给输氧。如呼吸停止，立即进行人工呼吸。就医。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41" w:type="dxa"/>
            <w:vMerge w:val="continue"/>
            <w:vAlign w:val="center"/>
          </w:tcPr>
          <w:p>
            <w:pPr>
              <w:pStyle w:val="208"/>
              <w:adjustRightInd w:val="0"/>
              <w:snapToGrid w:val="0"/>
              <w:spacing w:before="0" w:after="0" w:line="240" w:lineRule="auto"/>
              <w:ind w:firstLine="0" w:firstLineChars="0"/>
              <w:jc w:val="center"/>
              <w:rPr>
                <w:rFonts w:cs="Times New Roman"/>
                <w:color w:val="auto"/>
                <w:sz w:val="21"/>
                <w:szCs w:val="21"/>
              </w:rPr>
            </w:pPr>
          </w:p>
        </w:tc>
        <w:tc>
          <w:tcPr>
            <w:tcW w:w="1279"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食入</w:t>
            </w:r>
          </w:p>
        </w:tc>
        <w:tc>
          <w:tcPr>
            <w:tcW w:w="6889" w:type="dxa"/>
            <w:gridSpan w:val="15"/>
            <w:vAlign w:val="center"/>
          </w:tcPr>
          <w:p>
            <w:pPr>
              <w:pStyle w:val="208"/>
              <w:adjustRightInd w:val="0"/>
              <w:snapToGrid w:val="0"/>
              <w:spacing w:before="0" w:after="0" w:line="240" w:lineRule="auto"/>
              <w:ind w:firstLine="0" w:firstLineChars="0"/>
              <w:jc w:val="left"/>
              <w:rPr>
                <w:rFonts w:cs="Times New Roman"/>
                <w:color w:val="auto"/>
                <w:sz w:val="21"/>
                <w:szCs w:val="21"/>
              </w:rPr>
            </w:pPr>
            <w:r>
              <w:rPr>
                <w:rFonts w:hint="eastAsia" w:cs="Times New Roman"/>
                <w:color w:val="auto"/>
                <w:sz w:val="21"/>
                <w:szCs w:val="21"/>
                <w:lang w:eastAsia="zh-CN"/>
              </w:rPr>
              <w:t>饮足量温水，催吐。就医</w:t>
            </w:r>
            <w:r>
              <w:rPr>
                <w:rFonts w:hint="eastAsia"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泄露应急处置</w:t>
            </w:r>
          </w:p>
        </w:tc>
        <w:tc>
          <w:tcPr>
            <w:tcW w:w="8168" w:type="dxa"/>
            <w:gridSpan w:val="16"/>
            <w:vAlign w:val="center"/>
          </w:tcPr>
          <w:p>
            <w:pPr>
              <w:pStyle w:val="151"/>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迅速撤离泄漏污染区人员至安全区，并进行隔离，严格限制出入。建议应急处理人员戴自给正压式呼吸器，穿防酸碱工作服。</w:t>
            </w:r>
            <w:r>
              <w:rPr>
                <w:rFonts w:hint="eastAsia" w:ascii="Times New Roman" w:hAnsi="Times New Roman" w:eastAsia="宋体" w:cs="Times New Roman"/>
                <w:color w:val="auto"/>
                <w:sz w:val="21"/>
                <w:szCs w:val="21"/>
              </w:rPr>
              <w:t>不要直接接触泄漏物。</w:t>
            </w:r>
            <w:r>
              <w:rPr>
                <w:rFonts w:ascii="Times New Roman" w:hAnsi="Times New Roman" w:eastAsia="宋体" w:cs="Times New Roman"/>
                <w:color w:val="auto"/>
                <w:sz w:val="21"/>
                <w:szCs w:val="21"/>
              </w:rPr>
              <w:t>尽可能切断泄漏源。小量泄漏：</w:t>
            </w:r>
            <w:r>
              <w:rPr>
                <w:rFonts w:hint="eastAsia" w:ascii="Times New Roman" w:hAnsi="Times New Roman" w:eastAsia="宋体" w:cs="Times New Roman"/>
                <w:color w:val="auto"/>
                <w:sz w:val="21"/>
                <w:szCs w:val="21"/>
              </w:rPr>
              <w:t>用砂土、</w:t>
            </w:r>
            <w:r>
              <w:rPr>
                <w:rFonts w:hint="eastAsia" w:ascii="Times New Roman" w:hAnsi="Times New Roman" w:eastAsia="宋体" w:cs="Times New Roman"/>
                <w:color w:val="auto"/>
                <w:sz w:val="21"/>
                <w:szCs w:val="21"/>
                <w:lang w:eastAsia="zh-CN"/>
              </w:rPr>
              <w:t>蛭石或其他惰性材料吸收</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大量泄漏：构筑围堤或挖坑收容。</w:t>
            </w:r>
            <w:r>
              <w:rPr>
                <w:rFonts w:hint="eastAsia" w:ascii="Times New Roman" w:hAnsi="Times New Roman" w:eastAsia="宋体" w:cs="Times New Roman"/>
                <w:color w:val="auto"/>
                <w:sz w:val="21"/>
                <w:szCs w:val="21"/>
                <w:lang w:eastAsia="zh-CN"/>
              </w:rPr>
              <w:t>用泡沫覆盖，降低蒸气灾害。</w:t>
            </w:r>
            <w:r>
              <w:rPr>
                <w:rFonts w:ascii="Times New Roman" w:hAnsi="Times New Roman" w:eastAsia="宋体" w:cs="Times New Roman"/>
                <w:color w:val="auto"/>
                <w:sz w:val="21"/>
                <w:szCs w:val="21"/>
              </w:rPr>
              <w:t>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208"/>
              <w:adjustRightInd w:val="0"/>
              <w:snapToGrid w:val="0"/>
              <w:spacing w:before="0" w:after="0" w:line="240" w:lineRule="auto"/>
              <w:ind w:firstLine="0" w:firstLineChars="0"/>
              <w:jc w:val="center"/>
              <w:rPr>
                <w:rFonts w:cs="Times New Roman"/>
                <w:color w:val="auto"/>
                <w:sz w:val="21"/>
                <w:szCs w:val="21"/>
              </w:rPr>
            </w:pPr>
            <w:r>
              <w:rPr>
                <w:rFonts w:hint="eastAsia" w:cs="Times New Roman"/>
                <w:color w:val="auto"/>
                <w:sz w:val="21"/>
                <w:szCs w:val="21"/>
              </w:rPr>
              <w:t>储运注意事项</w:t>
            </w:r>
          </w:p>
        </w:tc>
        <w:tc>
          <w:tcPr>
            <w:tcW w:w="8168" w:type="dxa"/>
            <w:gridSpan w:val="16"/>
            <w:vAlign w:val="center"/>
          </w:tcPr>
          <w:p>
            <w:pPr>
              <w:pStyle w:val="151"/>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储存于阴凉、通风的库房。</w:t>
            </w:r>
            <w:r>
              <w:rPr>
                <w:rFonts w:hint="eastAsia" w:ascii="Times New Roman" w:hAnsi="Times New Roman" w:eastAsia="宋体" w:cs="Times New Roman"/>
                <w:color w:val="auto"/>
                <w:kern w:val="2"/>
                <w:sz w:val="21"/>
                <w:szCs w:val="21"/>
                <w:lang w:eastAsia="zh-CN"/>
              </w:rPr>
              <w:t>远离火种、热源。</w:t>
            </w:r>
            <w:r>
              <w:rPr>
                <w:rFonts w:hint="eastAsia" w:ascii="Times New Roman" w:hAnsi="Times New Roman" w:eastAsia="宋体" w:cs="Times New Roman"/>
                <w:color w:val="auto"/>
                <w:kern w:val="2"/>
                <w:sz w:val="21"/>
                <w:szCs w:val="21"/>
              </w:rPr>
              <w:t>库温不超过3</w:t>
            </w:r>
            <w:r>
              <w:rPr>
                <w:rFonts w:hint="eastAsia" w:ascii="Times New Roman" w:hAnsi="Times New Roman" w:eastAsia="宋体" w:cs="Times New Roman"/>
                <w:color w:val="auto"/>
                <w:kern w:val="2"/>
                <w:sz w:val="21"/>
                <w:szCs w:val="21"/>
                <w:lang w:val="en-US" w:eastAsia="zh-CN"/>
              </w:rPr>
              <w:t>0</w:t>
            </w:r>
            <w:r>
              <w:rPr>
                <w:rFonts w:hint="eastAsia" w:ascii="Times New Roman" w:hAnsi="Times New Roman" w:eastAsia="宋体" w:cs="Times New Roman"/>
                <w:color w:val="auto"/>
                <w:kern w:val="2"/>
                <w:sz w:val="21"/>
                <w:szCs w:val="21"/>
              </w:rPr>
              <w:t>℃，。应与碱类分开存放，切忌混储。储区应备有泄漏应急处理设备和合适的收容材料。</w:t>
            </w:r>
          </w:p>
        </w:tc>
      </w:tr>
    </w:tbl>
    <w:p>
      <w:pPr>
        <w:pStyle w:val="23"/>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color w:val="auto"/>
          <w:lang w:val="en-US" w:eastAsia="zh-CN"/>
        </w:rPr>
      </w:pPr>
      <w:r>
        <w:rPr>
          <w:rFonts w:hint="eastAsia"/>
          <w:bCs/>
          <w:color w:val="auto"/>
          <w:kern w:val="21"/>
          <w:lang w:val="en-US" w:eastAsia="zh-CN"/>
        </w:rPr>
        <w:t>2、环境敏感目标调查</w:t>
      </w:r>
    </w:p>
    <w:p>
      <w:pPr>
        <w:adjustRightInd w:val="0"/>
        <w:snapToGrid w:val="0"/>
        <w:ind w:firstLine="480"/>
        <w:rPr>
          <w:rFonts w:hint="eastAsia" w:eastAsia="宋体"/>
          <w:bCs/>
          <w:color w:val="auto"/>
          <w:kern w:val="21"/>
          <w:lang w:eastAsia="zh-CN"/>
        </w:rPr>
      </w:pPr>
      <w:r>
        <w:rPr>
          <w:rFonts w:hint="eastAsia"/>
          <w:color w:val="auto"/>
        </w:rPr>
        <w:t>本次评价调查了厂址周边地表水体及其环境功能、下游环境敏感目标；地下水环境敏感特征等</w:t>
      </w:r>
      <w:r>
        <w:rPr>
          <w:rFonts w:hint="eastAsia"/>
          <w:color w:val="auto"/>
          <w:lang w:eastAsia="zh-CN"/>
        </w:rPr>
        <w:t>，详见下表</w:t>
      </w:r>
      <w:r>
        <w:rPr>
          <w:rFonts w:hint="eastAsia"/>
          <w:color w:val="auto"/>
        </w:rPr>
        <w:t>。</w:t>
      </w:r>
    </w:p>
    <w:p>
      <w:pPr>
        <w:pStyle w:val="180"/>
        <w:widowControl/>
        <w:numPr>
          <w:ilvl w:val="0"/>
          <w:numId w:val="15"/>
        </w:numPr>
        <w:autoSpaceDE w:val="0"/>
        <w:adjustRightInd w:val="0"/>
        <w:snapToGrid w:val="0"/>
        <w:spacing w:line="360" w:lineRule="auto"/>
        <w:ind w:left="0" w:leftChars="0" w:firstLine="0" w:firstLineChars="0"/>
        <w:jc w:val="center"/>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建设项目环境敏感目标特征表</w:t>
      </w:r>
    </w:p>
    <w:tbl>
      <w:tblPr>
        <w:tblStyle w:val="51"/>
        <w:tblW w:w="4910" w:type="pct"/>
        <w:jc w:val="center"/>
        <w:tblLayout w:type="autofit"/>
        <w:tblCellMar>
          <w:top w:w="0" w:type="dxa"/>
          <w:left w:w="108" w:type="dxa"/>
          <w:bottom w:w="0" w:type="dxa"/>
          <w:right w:w="108" w:type="dxa"/>
        </w:tblCellMar>
      </w:tblPr>
      <w:tblGrid>
        <w:gridCol w:w="744"/>
        <w:gridCol w:w="789"/>
        <w:gridCol w:w="1802"/>
        <w:gridCol w:w="415"/>
        <w:gridCol w:w="708"/>
        <w:gridCol w:w="873"/>
        <w:gridCol w:w="482"/>
        <w:gridCol w:w="1437"/>
        <w:gridCol w:w="1344"/>
        <w:gridCol w:w="749"/>
      </w:tblGrid>
      <w:tr>
        <w:tblPrEx>
          <w:tblCellMar>
            <w:top w:w="0" w:type="dxa"/>
            <w:left w:w="108" w:type="dxa"/>
            <w:bottom w:w="0" w:type="dxa"/>
            <w:right w:w="108" w:type="dxa"/>
          </w:tblCellMar>
        </w:tblPrEx>
        <w:trPr>
          <w:trHeight w:val="284"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类别</w:t>
            </w:r>
          </w:p>
        </w:tc>
        <w:tc>
          <w:tcPr>
            <w:tcW w:w="4601" w:type="pct"/>
            <w:gridSpan w:val="9"/>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环境敏感特征</w:t>
            </w:r>
          </w:p>
        </w:tc>
      </w:tr>
      <w:tr>
        <w:tblPrEx>
          <w:tblCellMar>
            <w:top w:w="0" w:type="dxa"/>
            <w:left w:w="108" w:type="dxa"/>
            <w:bottom w:w="0" w:type="dxa"/>
            <w:right w:w="108" w:type="dxa"/>
          </w:tblCellMar>
        </w:tblPrEx>
        <w:trPr>
          <w:trHeight w:val="284" w:hRule="atLeast"/>
          <w:jc w:val="center"/>
        </w:trPr>
        <w:tc>
          <w:tcPr>
            <w:tcW w:w="398" w:type="pct"/>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环境空气</w:t>
            </w:r>
          </w:p>
        </w:tc>
        <w:tc>
          <w:tcPr>
            <w:tcW w:w="4601" w:type="pct"/>
            <w:gridSpan w:val="9"/>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lang w:eastAsia="zh-CN"/>
              </w:rPr>
            </w:pPr>
            <w:r>
              <w:rPr>
                <w:rFonts w:hint="eastAsia" w:hAnsi="宋体"/>
                <w:color w:val="auto"/>
                <w:kern w:val="0"/>
                <w:sz w:val="21"/>
                <w:szCs w:val="21"/>
                <w:lang w:eastAsia="zh-CN"/>
              </w:rPr>
              <w:t>不设置评价范围，无环境敏感目标</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00" w:type="pct"/>
            <w:gridSpan w:val="8"/>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rPr>
            </w:pPr>
            <w:r>
              <w:rPr>
                <w:rFonts w:hAnsi="宋体"/>
                <w:b/>
                <w:bCs/>
                <w:color w:val="auto"/>
                <w:kern w:val="0"/>
                <w:sz w:val="21"/>
                <w:szCs w:val="21"/>
              </w:rPr>
              <w:t>大气环境敏感程度</w:t>
            </w:r>
            <w:r>
              <w:rPr>
                <w:b/>
                <w:bCs/>
                <w:color w:val="auto"/>
                <w:kern w:val="0"/>
                <w:sz w:val="21"/>
                <w:szCs w:val="21"/>
              </w:rPr>
              <w:t>E</w:t>
            </w:r>
            <w:r>
              <w:rPr>
                <w:rFonts w:hAnsi="宋体"/>
                <w:b/>
                <w:bCs/>
                <w:color w:val="auto"/>
                <w:kern w:val="0"/>
                <w:sz w:val="21"/>
                <w:szCs w:val="21"/>
              </w:rPr>
              <w:t>值</w:t>
            </w:r>
          </w:p>
        </w:tc>
        <w:tc>
          <w:tcPr>
            <w:tcW w:w="40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0"/>
                <w:sz w:val="21"/>
                <w:szCs w:val="21"/>
                <w:lang w:eastAsia="zh-CN"/>
              </w:rPr>
            </w:pPr>
            <w:r>
              <w:rPr>
                <w:b/>
                <w:bCs/>
                <w:color w:val="auto"/>
                <w:kern w:val="0"/>
                <w:sz w:val="21"/>
                <w:szCs w:val="21"/>
              </w:rPr>
              <w:t>E</w:t>
            </w:r>
            <w:r>
              <w:rPr>
                <w:rFonts w:hint="eastAsia"/>
                <w:b/>
                <w:bCs/>
                <w:color w:val="auto"/>
                <w:kern w:val="0"/>
                <w:sz w:val="21"/>
                <w:szCs w:val="21"/>
                <w:lang w:val="en-US" w:eastAsia="zh-CN"/>
              </w:rPr>
              <w:t>3</w:t>
            </w:r>
          </w:p>
        </w:tc>
      </w:tr>
      <w:tr>
        <w:tblPrEx>
          <w:tblCellMar>
            <w:top w:w="0" w:type="dxa"/>
            <w:left w:w="108" w:type="dxa"/>
            <w:bottom w:w="0" w:type="dxa"/>
            <w:right w:w="108" w:type="dxa"/>
          </w:tblCellMar>
        </w:tblPrEx>
        <w:trPr>
          <w:trHeight w:val="284" w:hRule="atLeast"/>
          <w:jc w:val="center"/>
        </w:trPr>
        <w:tc>
          <w:tcPr>
            <w:tcW w:w="398" w:type="pct"/>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地表水</w:t>
            </w:r>
          </w:p>
        </w:tc>
        <w:tc>
          <w:tcPr>
            <w:tcW w:w="4601" w:type="pct"/>
            <w:gridSpan w:val="9"/>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受纳水体</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序号</w:t>
            </w:r>
          </w:p>
        </w:tc>
        <w:tc>
          <w:tcPr>
            <w:tcW w:w="1186" w:type="pct"/>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受纳水体名称</w:t>
            </w:r>
          </w:p>
        </w:tc>
        <w:tc>
          <w:tcPr>
            <w:tcW w:w="1872" w:type="pct"/>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排放点水域环境功能</w:t>
            </w:r>
          </w:p>
        </w:tc>
        <w:tc>
          <w:tcPr>
            <w:tcW w:w="1119"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24h</w:t>
            </w:r>
            <w:r>
              <w:rPr>
                <w:rFonts w:hAnsi="宋体"/>
                <w:color w:val="auto"/>
                <w:kern w:val="0"/>
                <w:sz w:val="21"/>
                <w:szCs w:val="21"/>
              </w:rPr>
              <w:t>内流经范围</w:t>
            </w:r>
            <w:r>
              <w:rPr>
                <w:color w:val="auto"/>
                <w:kern w:val="0"/>
                <w:sz w:val="21"/>
                <w:szCs w:val="21"/>
              </w:rPr>
              <w:t>/km</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1</w:t>
            </w:r>
          </w:p>
        </w:tc>
        <w:tc>
          <w:tcPr>
            <w:tcW w:w="1186" w:type="pct"/>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lang w:eastAsia="zh-CN"/>
              </w:rPr>
            </w:pPr>
            <w:r>
              <w:rPr>
                <w:rFonts w:hint="eastAsia" w:hAnsi="宋体"/>
                <w:color w:val="auto"/>
                <w:kern w:val="0"/>
                <w:sz w:val="21"/>
                <w:szCs w:val="21"/>
                <w:lang w:eastAsia="zh-CN"/>
              </w:rPr>
              <w:t>青龙河</w:t>
            </w:r>
          </w:p>
        </w:tc>
        <w:tc>
          <w:tcPr>
            <w:tcW w:w="1872" w:type="pct"/>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Ⅳ类</w:t>
            </w:r>
          </w:p>
        </w:tc>
        <w:tc>
          <w:tcPr>
            <w:tcW w:w="1119"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hAnsi="宋体"/>
                <w:color w:val="auto"/>
                <w:kern w:val="0"/>
                <w:sz w:val="21"/>
                <w:szCs w:val="21"/>
                <w:lang w:val="en-US" w:eastAsia="zh-CN"/>
              </w:rPr>
              <w:t>2.07</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601" w:type="pct"/>
            <w:gridSpan w:val="9"/>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内陆水体排放点下游</w:t>
            </w:r>
            <w:r>
              <w:rPr>
                <w:color w:val="auto"/>
                <w:kern w:val="0"/>
                <w:sz w:val="21"/>
                <w:szCs w:val="21"/>
              </w:rPr>
              <w:t>10km</w:t>
            </w:r>
            <w:r>
              <w:rPr>
                <w:rFonts w:hAnsi="宋体"/>
                <w:color w:val="auto"/>
                <w:kern w:val="0"/>
                <w:sz w:val="21"/>
                <w:szCs w:val="21"/>
              </w:rPr>
              <w:t>范围内敏感目标</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序号</w:t>
            </w:r>
          </w:p>
        </w:tc>
        <w:tc>
          <w:tcPr>
            <w:tcW w:w="1186" w:type="pct"/>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敏感目标名称</w:t>
            </w:r>
          </w:p>
        </w:tc>
        <w:tc>
          <w:tcPr>
            <w:tcW w:w="1104" w:type="pct"/>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环境敏感特征</w:t>
            </w:r>
          </w:p>
        </w:tc>
        <w:tc>
          <w:tcPr>
            <w:tcW w:w="767"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水质目标</w:t>
            </w:r>
          </w:p>
        </w:tc>
        <w:tc>
          <w:tcPr>
            <w:tcW w:w="1119"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与排放点距离</w:t>
            </w:r>
            <w:r>
              <w:rPr>
                <w:color w:val="auto"/>
                <w:kern w:val="0"/>
                <w:sz w:val="21"/>
                <w:szCs w:val="21"/>
              </w:rPr>
              <w:t>/m</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1</w:t>
            </w:r>
          </w:p>
        </w:tc>
        <w:tc>
          <w:tcPr>
            <w:tcW w:w="1186" w:type="pct"/>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lang w:eastAsia="zh-CN"/>
              </w:rPr>
            </w:pPr>
            <w:r>
              <w:rPr>
                <w:rFonts w:hint="eastAsia" w:hAnsi="宋体"/>
                <w:color w:val="auto"/>
                <w:kern w:val="0"/>
                <w:sz w:val="21"/>
                <w:szCs w:val="21"/>
                <w:lang w:eastAsia="zh-CN"/>
              </w:rPr>
              <w:t>龙川江</w:t>
            </w:r>
          </w:p>
        </w:tc>
        <w:tc>
          <w:tcPr>
            <w:tcW w:w="1104" w:type="pct"/>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w:t>
            </w:r>
          </w:p>
        </w:tc>
        <w:tc>
          <w:tcPr>
            <w:tcW w:w="767"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Ⅳ类</w:t>
            </w:r>
          </w:p>
        </w:tc>
        <w:tc>
          <w:tcPr>
            <w:tcW w:w="1119"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3420</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3481" w:type="pct"/>
            <w:gridSpan w:val="7"/>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rPr>
            </w:pPr>
            <w:r>
              <w:rPr>
                <w:rFonts w:hAnsi="宋体"/>
                <w:b/>
                <w:bCs/>
                <w:color w:val="auto"/>
                <w:kern w:val="0"/>
                <w:sz w:val="21"/>
                <w:szCs w:val="21"/>
              </w:rPr>
              <w:t>地表水环境敏感程度</w:t>
            </w:r>
            <w:r>
              <w:rPr>
                <w:b/>
                <w:bCs/>
                <w:color w:val="auto"/>
                <w:kern w:val="0"/>
                <w:sz w:val="21"/>
                <w:szCs w:val="21"/>
              </w:rPr>
              <w:t>E</w:t>
            </w:r>
            <w:r>
              <w:rPr>
                <w:rFonts w:hAnsi="宋体"/>
                <w:b/>
                <w:bCs/>
                <w:color w:val="auto"/>
                <w:kern w:val="0"/>
                <w:sz w:val="21"/>
                <w:szCs w:val="21"/>
              </w:rPr>
              <w:t>值</w:t>
            </w:r>
          </w:p>
        </w:tc>
        <w:tc>
          <w:tcPr>
            <w:tcW w:w="1119"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rPr>
            </w:pPr>
            <w:r>
              <w:rPr>
                <w:b/>
                <w:bCs/>
                <w:color w:val="auto"/>
                <w:kern w:val="0"/>
                <w:sz w:val="21"/>
                <w:szCs w:val="21"/>
              </w:rPr>
              <w:t>E3</w:t>
            </w:r>
          </w:p>
        </w:tc>
      </w:tr>
      <w:tr>
        <w:tblPrEx>
          <w:tblCellMar>
            <w:top w:w="0" w:type="dxa"/>
            <w:left w:w="108" w:type="dxa"/>
            <w:bottom w:w="0" w:type="dxa"/>
            <w:right w:w="108" w:type="dxa"/>
          </w:tblCellMar>
        </w:tblPrEx>
        <w:trPr>
          <w:trHeight w:val="284" w:hRule="atLeast"/>
          <w:jc w:val="center"/>
        </w:trPr>
        <w:tc>
          <w:tcPr>
            <w:tcW w:w="398" w:type="pct"/>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地下</w:t>
            </w:r>
            <w:r>
              <w:rPr>
                <w:color w:val="auto"/>
                <w:kern w:val="0"/>
                <w:sz w:val="21"/>
                <w:szCs w:val="21"/>
              </w:rPr>
              <w:t xml:space="preserve"> </w:t>
            </w:r>
            <w:r>
              <w:rPr>
                <w:rFonts w:hAnsi="宋体"/>
                <w:color w:val="auto"/>
                <w:kern w:val="0"/>
                <w:sz w:val="21"/>
                <w:szCs w:val="21"/>
              </w:rPr>
              <w:t>水</w:t>
            </w: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序号</w:t>
            </w:r>
          </w:p>
        </w:tc>
        <w:tc>
          <w:tcPr>
            <w:tcW w:w="964"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环境</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敏感区名称</w:t>
            </w:r>
          </w:p>
        </w:tc>
        <w:tc>
          <w:tcPr>
            <w:tcW w:w="601"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环境</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敏感特征</w:t>
            </w:r>
          </w:p>
        </w:tc>
        <w:tc>
          <w:tcPr>
            <w:tcW w:w="467"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水质</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目标</w:t>
            </w:r>
          </w:p>
        </w:tc>
        <w:tc>
          <w:tcPr>
            <w:tcW w:w="1024"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包气带防污性能</w:t>
            </w:r>
          </w:p>
        </w:tc>
        <w:tc>
          <w:tcPr>
            <w:tcW w:w="1119"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Ansi="宋体"/>
                <w:color w:val="auto"/>
                <w:kern w:val="0"/>
                <w:sz w:val="21"/>
                <w:szCs w:val="21"/>
              </w:rPr>
              <w:t>与下游厂界距离</w:t>
            </w:r>
            <w:r>
              <w:rPr>
                <w:color w:val="auto"/>
                <w:kern w:val="0"/>
                <w:sz w:val="21"/>
                <w:szCs w:val="21"/>
              </w:rPr>
              <w:t>/m</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1</w:t>
            </w:r>
          </w:p>
        </w:tc>
        <w:tc>
          <w:tcPr>
            <w:tcW w:w="964" w:type="pct"/>
            <w:tcBorders>
              <w:top w:val="nil"/>
              <w:left w:val="nil"/>
              <w:bottom w:val="single" w:color="auto" w:sz="4" w:space="0"/>
              <w:right w:val="single" w:color="auto" w:sz="4" w:space="0"/>
            </w:tcBorders>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11"/>
                <w:sz w:val="21"/>
                <w:szCs w:val="21"/>
              </w:rPr>
              <w:t>上平凹屯泉点</w:t>
            </w:r>
          </w:p>
        </w:tc>
        <w:tc>
          <w:tcPr>
            <w:tcW w:w="601"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不敏感</w:t>
            </w:r>
          </w:p>
        </w:tc>
        <w:tc>
          <w:tcPr>
            <w:tcW w:w="467"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III类</w:t>
            </w:r>
          </w:p>
        </w:tc>
        <w:tc>
          <w:tcPr>
            <w:tcW w:w="1024"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D2</w:t>
            </w:r>
          </w:p>
        </w:tc>
        <w:tc>
          <w:tcPr>
            <w:tcW w:w="1119" w:type="pct"/>
            <w:gridSpan w:val="2"/>
            <w:tcBorders>
              <w:top w:val="single" w:color="auto" w:sz="4" w:space="0"/>
              <w:left w:val="nil"/>
              <w:bottom w:val="single" w:color="auto" w:sz="4" w:space="0"/>
              <w:right w:val="single" w:color="auto" w:sz="4" w:space="0"/>
            </w:tcBorders>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pacing w:val="-4"/>
                <w:sz w:val="21"/>
                <w:szCs w:val="21"/>
              </w:rPr>
              <w:t>27</w:t>
            </w:r>
            <w:r>
              <w:rPr>
                <w:rFonts w:hint="eastAsia"/>
                <w:color w:val="auto"/>
                <w:spacing w:val="-4"/>
                <w:sz w:val="21"/>
                <w:szCs w:val="21"/>
                <w:lang w:val="en-US" w:eastAsia="zh-CN"/>
              </w:rPr>
              <w:t>00</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2</w:t>
            </w:r>
          </w:p>
        </w:tc>
        <w:tc>
          <w:tcPr>
            <w:tcW w:w="964" w:type="pct"/>
            <w:tcBorders>
              <w:top w:val="nil"/>
              <w:left w:val="nil"/>
              <w:bottom w:val="single" w:color="auto" w:sz="4" w:space="0"/>
              <w:right w:val="single" w:color="auto" w:sz="4" w:space="0"/>
            </w:tcBorders>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pacing w:val="7"/>
                <w:sz w:val="21"/>
                <w:szCs w:val="21"/>
              </w:rPr>
              <w:t>罗刀凹泉点</w:t>
            </w:r>
          </w:p>
        </w:tc>
        <w:tc>
          <w:tcPr>
            <w:tcW w:w="601"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不敏感</w:t>
            </w:r>
          </w:p>
        </w:tc>
        <w:tc>
          <w:tcPr>
            <w:tcW w:w="467"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III类</w:t>
            </w:r>
          </w:p>
        </w:tc>
        <w:tc>
          <w:tcPr>
            <w:tcW w:w="1024"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D2</w:t>
            </w:r>
          </w:p>
        </w:tc>
        <w:tc>
          <w:tcPr>
            <w:tcW w:w="1119" w:type="pct"/>
            <w:gridSpan w:val="2"/>
            <w:tcBorders>
              <w:top w:val="single" w:color="auto" w:sz="4" w:space="0"/>
              <w:left w:val="nil"/>
              <w:bottom w:val="single" w:color="auto" w:sz="4" w:space="0"/>
              <w:right w:val="single" w:color="auto" w:sz="4" w:space="0"/>
            </w:tcBorders>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pacing w:val="-4"/>
                <w:sz w:val="21"/>
                <w:szCs w:val="21"/>
              </w:rPr>
              <w:t>25</w:t>
            </w:r>
            <w:r>
              <w:rPr>
                <w:rFonts w:hint="eastAsia"/>
                <w:color w:val="auto"/>
                <w:spacing w:val="-4"/>
                <w:sz w:val="21"/>
                <w:szCs w:val="21"/>
                <w:lang w:val="en-US" w:eastAsia="zh-CN"/>
              </w:rPr>
              <w:t>00</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3</w:t>
            </w:r>
          </w:p>
        </w:tc>
        <w:tc>
          <w:tcPr>
            <w:tcW w:w="964" w:type="pct"/>
            <w:tcBorders>
              <w:top w:val="nil"/>
              <w:left w:val="nil"/>
              <w:bottom w:val="single" w:color="auto" w:sz="4" w:space="0"/>
              <w:right w:val="single" w:color="auto" w:sz="4" w:space="0"/>
            </w:tcBorders>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沙溪冲水井</w:t>
            </w:r>
          </w:p>
        </w:tc>
        <w:tc>
          <w:tcPr>
            <w:tcW w:w="601"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不敏感</w:t>
            </w:r>
          </w:p>
        </w:tc>
        <w:tc>
          <w:tcPr>
            <w:tcW w:w="467"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III类</w:t>
            </w:r>
          </w:p>
        </w:tc>
        <w:tc>
          <w:tcPr>
            <w:tcW w:w="1024"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D2</w:t>
            </w:r>
          </w:p>
        </w:tc>
        <w:tc>
          <w:tcPr>
            <w:tcW w:w="1119" w:type="pct"/>
            <w:gridSpan w:val="2"/>
            <w:tcBorders>
              <w:top w:val="single" w:color="auto" w:sz="4" w:space="0"/>
              <w:left w:val="nil"/>
              <w:bottom w:val="single" w:color="auto" w:sz="4" w:space="0"/>
              <w:right w:val="single" w:color="auto" w:sz="4" w:space="0"/>
            </w:tcBorders>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color w:val="auto"/>
                <w:spacing w:val="-4"/>
                <w:sz w:val="21"/>
                <w:szCs w:val="21"/>
              </w:rPr>
              <w:t>1</w:t>
            </w:r>
            <w:r>
              <w:rPr>
                <w:rFonts w:hint="eastAsia"/>
                <w:color w:val="auto"/>
                <w:spacing w:val="-3"/>
                <w:sz w:val="21"/>
                <w:szCs w:val="21"/>
              </w:rPr>
              <w:t>9</w:t>
            </w:r>
            <w:r>
              <w:rPr>
                <w:rFonts w:hint="eastAsia"/>
                <w:color w:val="auto"/>
                <w:spacing w:val="-3"/>
                <w:sz w:val="21"/>
                <w:szCs w:val="21"/>
                <w:lang w:val="en-US" w:eastAsia="zh-CN"/>
              </w:rPr>
              <w:t>00</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4</w:t>
            </w:r>
          </w:p>
        </w:tc>
        <w:tc>
          <w:tcPr>
            <w:tcW w:w="964" w:type="pct"/>
            <w:tcBorders>
              <w:top w:val="nil"/>
              <w:left w:val="nil"/>
              <w:bottom w:val="single" w:color="auto" w:sz="4" w:space="0"/>
              <w:right w:val="single" w:color="auto" w:sz="4" w:space="0"/>
            </w:tcBorders>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王家小屯水井</w:t>
            </w:r>
          </w:p>
        </w:tc>
        <w:tc>
          <w:tcPr>
            <w:tcW w:w="601"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不敏感</w:t>
            </w:r>
          </w:p>
        </w:tc>
        <w:tc>
          <w:tcPr>
            <w:tcW w:w="467"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III类</w:t>
            </w:r>
          </w:p>
        </w:tc>
        <w:tc>
          <w:tcPr>
            <w:tcW w:w="1024"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D2</w:t>
            </w:r>
          </w:p>
        </w:tc>
        <w:tc>
          <w:tcPr>
            <w:tcW w:w="1119" w:type="pct"/>
            <w:gridSpan w:val="2"/>
            <w:tcBorders>
              <w:top w:val="single" w:color="auto" w:sz="4" w:space="0"/>
              <w:left w:val="nil"/>
              <w:bottom w:val="single" w:color="auto" w:sz="4" w:space="0"/>
              <w:right w:val="single" w:color="auto" w:sz="4" w:space="0"/>
            </w:tcBorders>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pacing w:val="-4"/>
                <w:sz w:val="21"/>
                <w:szCs w:val="21"/>
              </w:rPr>
              <w:t>4</w:t>
            </w:r>
            <w:r>
              <w:rPr>
                <w:rFonts w:hint="eastAsia"/>
                <w:color w:val="auto"/>
                <w:spacing w:val="-4"/>
                <w:sz w:val="21"/>
                <w:szCs w:val="21"/>
                <w:lang w:val="en-US" w:eastAsia="zh-CN"/>
              </w:rPr>
              <w:t>00</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color w:val="auto"/>
                <w:kern w:val="0"/>
                <w:sz w:val="21"/>
                <w:szCs w:val="21"/>
              </w:rPr>
              <w:t>5</w:t>
            </w:r>
          </w:p>
        </w:tc>
        <w:tc>
          <w:tcPr>
            <w:tcW w:w="964" w:type="pct"/>
            <w:tcBorders>
              <w:top w:val="nil"/>
              <w:left w:val="nil"/>
              <w:bottom w:val="single" w:color="auto" w:sz="4" w:space="0"/>
              <w:right w:val="single" w:color="auto" w:sz="4" w:space="0"/>
            </w:tcBorders>
            <w:vAlign w:val="center"/>
          </w:tcPr>
          <w:p>
            <w:pPr>
              <w:widowControl/>
              <w:kinsoku w:val="0"/>
              <w:autoSpaceDE w:val="0"/>
              <w:autoSpaceDN w:val="0"/>
              <w:spacing w:line="240" w:lineRule="auto"/>
              <w:ind w:firstLine="0" w:firstLineChars="0"/>
              <w:jc w:val="center"/>
              <w:textAlignment w:val="baseline"/>
              <w:rPr>
                <w:color w:val="auto"/>
                <w:sz w:val="21"/>
                <w:szCs w:val="21"/>
              </w:rPr>
            </w:pPr>
            <w:r>
              <w:rPr>
                <w:color w:val="auto"/>
                <w:sz w:val="21"/>
                <w:szCs w:val="21"/>
              </w:rPr>
              <w:t>大东村水井</w:t>
            </w:r>
          </w:p>
        </w:tc>
        <w:tc>
          <w:tcPr>
            <w:tcW w:w="601"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不敏感</w:t>
            </w:r>
          </w:p>
        </w:tc>
        <w:tc>
          <w:tcPr>
            <w:tcW w:w="467"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III类</w:t>
            </w:r>
          </w:p>
        </w:tc>
        <w:tc>
          <w:tcPr>
            <w:tcW w:w="1024"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D2</w:t>
            </w:r>
          </w:p>
        </w:tc>
        <w:tc>
          <w:tcPr>
            <w:tcW w:w="1119" w:type="pct"/>
            <w:gridSpan w:val="2"/>
            <w:tcBorders>
              <w:top w:val="single" w:color="auto" w:sz="4" w:space="0"/>
              <w:left w:val="nil"/>
              <w:bottom w:val="single" w:color="auto" w:sz="4" w:space="0"/>
              <w:right w:val="single" w:color="auto" w:sz="4" w:space="0"/>
            </w:tcBorders>
            <w:vAlign w:val="center"/>
          </w:tcPr>
          <w:p>
            <w:pPr>
              <w:widowControl/>
              <w:kinsoku w:val="0"/>
              <w:autoSpaceDE w:val="0"/>
              <w:autoSpaceDN w:val="0"/>
              <w:spacing w:line="240" w:lineRule="auto"/>
              <w:ind w:firstLine="0" w:firstLineChars="0"/>
              <w:jc w:val="center"/>
              <w:textAlignment w:val="baseline"/>
              <w:rPr>
                <w:rFonts w:hint="default" w:eastAsia="宋体"/>
                <w:color w:val="auto"/>
                <w:sz w:val="21"/>
                <w:szCs w:val="21"/>
                <w:lang w:val="en-US" w:eastAsia="zh-CN"/>
              </w:rPr>
            </w:pPr>
            <w:r>
              <w:rPr>
                <w:rFonts w:hint="eastAsia"/>
                <w:color w:val="auto"/>
                <w:spacing w:val="-4"/>
                <w:sz w:val="21"/>
                <w:szCs w:val="21"/>
              </w:rPr>
              <w:t>23</w:t>
            </w:r>
            <w:r>
              <w:rPr>
                <w:rFonts w:hint="eastAsia"/>
                <w:color w:val="auto"/>
                <w:spacing w:val="-4"/>
                <w:sz w:val="21"/>
                <w:szCs w:val="21"/>
                <w:lang w:val="en-US" w:eastAsia="zh-CN"/>
              </w:rPr>
              <w:t>00</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42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r>
              <w:rPr>
                <w:rFonts w:hint="eastAsia"/>
                <w:color w:val="auto"/>
                <w:kern w:val="0"/>
                <w:sz w:val="21"/>
                <w:szCs w:val="21"/>
              </w:rPr>
              <w:t>6</w:t>
            </w:r>
          </w:p>
        </w:tc>
        <w:tc>
          <w:tcPr>
            <w:tcW w:w="964"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项目区与潜水含水层</w:t>
            </w:r>
          </w:p>
        </w:tc>
        <w:tc>
          <w:tcPr>
            <w:tcW w:w="601"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不敏感</w:t>
            </w:r>
          </w:p>
        </w:tc>
        <w:tc>
          <w:tcPr>
            <w:tcW w:w="467"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III类</w:t>
            </w:r>
          </w:p>
        </w:tc>
        <w:tc>
          <w:tcPr>
            <w:tcW w:w="1024"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D2</w:t>
            </w:r>
          </w:p>
        </w:tc>
        <w:tc>
          <w:tcPr>
            <w:tcW w:w="1119"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p>
        </w:tc>
      </w:tr>
      <w:tr>
        <w:tblPrEx>
          <w:tblCellMar>
            <w:top w:w="0" w:type="dxa"/>
            <w:left w:w="108" w:type="dxa"/>
            <w:bottom w:w="0" w:type="dxa"/>
            <w:right w:w="108" w:type="dxa"/>
          </w:tblCellMar>
        </w:tblPrEx>
        <w:trPr>
          <w:trHeight w:val="284" w:hRule="atLeast"/>
          <w:jc w:val="center"/>
        </w:trPr>
        <w:tc>
          <w:tcPr>
            <w:tcW w:w="398"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rPr>
            </w:pPr>
          </w:p>
        </w:tc>
        <w:tc>
          <w:tcPr>
            <w:tcW w:w="3481" w:type="pct"/>
            <w:gridSpan w:val="7"/>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rPr>
            </w:pPr>
            <w:r>
              <w:rPr>
                <w:rFonts w:hAnsi="宋体"/>
                <w:b/>
                <w:bCs/>
                <w:color w:val="auto"/>
                <w:kern w:val="0"/>
                <w:sz w:val="21"/>
                <w:szCs w:val="21"/>
              </w:rPr>
              <w:t>地下水环境敏感程度</w:t>
            </w:r>
            <w:r>
              <w:rPr>
                <w:b/>
                <w:bCs/>
                <w:color w:val="auto"/>
                <w:kern w:val="0"/>
                <w:sz w:val="21"/>
                <w:szCs w:val="21"/>
              </w:rPr>
              <w:t>E</w:t>
            </w:r>
            <w:r>
              <w:rPr>
                <w:rFonts w:hAnsi="宋体"/>
                <w:b/>
                <w:bCs/>
                <w:color w:val="auto"/>
                <w:kern w:val="0"/>
                <w:sz w:val="21"/>
                <w:szCs w:val="21"/>
              </w:rPr>
              <w:t>值</w:t>
            </w:r>
          </w:p>
        </w:tc>
        <w:tc>
          <w:tcPr>
            <w:tcW w:w="1119" w:type="pct"/>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rPr>
            </w:pPr>
            <w:r>
              <w:rPr>
                <w:b/>
                <w:bCs/>
                <w:color w:val="auto"/>
                <w:kern w:val="0"/>
                <w:sz w:val="21"/>
                <w:szCs w:val="21"/>
              </w:rPr>
              <w:t>E3</w:t>
            </w:r>
          </w:p>
        </w:tc>
      </w:tr>
    </w:tbl>
    <w:p>
      <w:pPr>
        <w:widowControl/>
        <w:topLinePunct/>
        <w:autoSpaceDE w:val="0"/>
        <w:adjustRightInd w:val="0"/>
        <w:snapToGrid w:val="0"/>
        <w:ind w:firstLine="0" w:firstLineChars="0"/>
        <w:outlineLvl w:val="2"/>
        <w:rPr>
          <w:rFonts w:hint="eastAsia" w:eastAsia="宋体"/>
          <w:b/>
          <w:bCs/>
          <w:color w:val="auto"/>
          <w:kern w:val="21"/>
          <w:lang w:eastAsia="zh-CN"/>
        </w:rPr>
      </w:pPr>
      <w:bookmarkStart w:id="292" w:name="_Toc26048"/>
      <w:r>
        <w:rPr>
          <w:rFonts w:hint="eastAsia"/>
          <w:b/>
          <w:bCs/>
          <w:color w:val="auto"/>
          <w:kern w:val="21"/>
        </w:rPr>
        <w:t>6</w:t>
      </w:r>
      <w:r>
        <w:rPr>
          <w:b/>
          <w:bCs/>
          <w:color w:val="auto"/>
          <w:kern w:val="21"/>
        </w:rPr>
        <w:t>.2.</w:t>
      </w:r>
      <w:r>
        <w:rPr>
          <w:rFonts w:hint="eastAsia"/>
          <w:b/>
          <w:bCs/>
          <w:color w:val="auto"/>
          <w:kern w:val="21"/>
          <w:lang w:val="en-US" w:eastAsia="zh-CN"/>
        </w:rPr>
        <w:t>2</w:t>
      </w:r>
      <w:r>
        <w:rPr>
          <w:b/>
          <w:bCs/>
          <w:color w:val="auto"/>
          <w:kern w:val="21"/>
        </w:rPr>
        <w:t>风险</w:t>
      </w:r>
      <w:r>
        <w:rPr>
          <w:rFonts w:hint="eastAsia"/>
          <w:b/>
          <w:bCs/>
          <w:color w:val="auto"/>
          <w:kern w:val="21"/>
          <w:lang w:eastAsia="zh-CN"/>
        </w:rPr>
        <w:t>潜势初判及评价等级</w:t>
      </w:r>
      <w:bookmarkEnd w:id="292"/>
    </w:p>
    <w:p>
      <w:pPr>
        <w:widowControl/>
        <w:kinsoku w:val="0"/>
        <w:autoSpaceDE w:val="0"/>
        <w:autoSpaceDN w:val="0"/>
        <w:adjustRightInd w:val="0"/>
        <w:snapToGrid w:val="0"/>
        <w:ind w:firstLine="492"/>
        <w:textAlignment w:val="baseline"/>
        <w:rPr>
          <w:rFonts w:hint="eastAsia" w:ascii="宋体" w:hAnsi="宋体" w:eastAsia="宋体" w:cs="宋体"/>
          <w:b/>
          <w:bCs/>
          <w:color w:val="auto"/>
          <w:kern w:val="21"/>
          <w:sz w:val="25"/>
          <w:szCs w:val="25"/>
          <w:lang w:val="en-US" w:eastAsia="zh-CN"/>
        </w:rPr>
      </w:pPr>
      <w:r>
        <w:rPr>
          <w:rFonts w:hint="eastAsia" w:ascii="宋体" w:hAnsi="宋体" w:cs="宋体"/>
          <w:b/>
          <w:bCs/>
          <w:color w:val="auto"/>
          <w:kern w:val="21"/>
          <w:sz w:val="25"/>
          <w:szCs w:val="25"/>
          <w:lang w:val="en-US" w:eastAsia="zh-CN"/>
        </w:rPr>
        <w:t>1、项目风险潜势划分</w:t>
      </w:r>
    </w:p>
    <w:p>
      <w:pPr>
        <w:widowControl/>
        <w:kinsoku w:val="0"/>
        <w:autoSpaceDE w:val="0"/>
        <w:autoSpaceDN w:val="0"/>
        <w:adjustRightInd w:val="0"/>
        <w:snapToGrid w:val="0"/>
        <w:ind w:firstLine="492"/>
        <w:textAlignment w:val="baseline"/>
        <w:rPr>
          <w:rFonts w:ascii="宋体" w:hAnsi="宋体" w:cs="宋体"/>
          <w:color w:val="auto"/>
          <w:kern w:val="21"/>
          <w:sz w:val="25"/>
          <w:szCs w:val="25"/>
        </w:rPr>
      </w:pPr>
      <w:r>
        <w:rPr>
          <w:rFonts w:ascii="宋体" w:hAnsi="宋体" w:cs="宋体"/>
          <w:color w:val="auto"/>
          <w:kern w:val="21"/>
          <w:sz w:val="25"/>
          <w:szCs w:val="25"/>
        </w:rPr>
        <w:t>根据《建设项目环境风险评价技术导则》</w:t>
      </w:r>
      <w:r>
        <w:rPr>
          <w:rFonts w:hint="eastAsia" w:ascii="宋体" w:hAnsi="宋体" w:cs="宋体"/>
          <w:color w:val="auto"/>
          <w:kern w:val="21"/>
          <w:sz w:val="25"/>
          <w:szCs w:val="25"/>
        </w:rPr>
        <w:t>（</w:t>
      </w:r>
      <w:r>
        <w:rPr>
          <w:rFonts w:eastAsia="Times New Roman"/>
          <w:color w:val="auto"/>
          <w:kern w:val="21"/>
          <w:sz w:val="25"/>
          <w:szCs w:val="25"/>
        </w:rPr>
        <w:t>HJ169-2018</w:t>
      </w:r>
      <w:r>
        <w:rPr>
          <w:rFonts w:hint="eastAsia" w:ascii="宋体" w:hAnsi="宋体" w:cs="宋体"/>
          <w:color w:val="auto"/>
          <w:kern w:val="21"/>
          <w:sz w:val="25"/>
          <w:szCs w:val="25"/>
        </w:rPr>
        <w:t>）</w:t>
      </w:r>
      <w:r>
        <w:rPr>
          <w:rFonts w:ascii="宋体" w:hAnsi="宋体" w:cs="宋体"/>
          <w:color w:val="auto"/>
          <w:kern w:val="21"/>
          <w:sz w:val="25"/>
          <w:szCs w:val="25"/>
        </w:rPr>
        <w:t>中“环境风险潜势初判”规定，建设项目环境风险潜势划分为</w:t>
      </w:r>
      <w:r>
        <w:rPr>
          <w:rFonts w:eastAsia="Times New Roman"/>
          <w:color w:val="auto"/>
          <w:kern w:val="21"/>
          <w:sz w:val="25"/>
          <w:szCs w:val="25"/>
        </w:rPr>
        <w:t>I</w:t>
      </w:r>
      <w:r>
        <w:rPr>
          <w:rFonts w:ascii="宋体" w:hAnsi="宋体" w:cs="宋体"/>
          <w:color w:val="auto"/>
          <w:kern w:val="21"/>
          <w:sz w:val="25"/>
          <w:szCs w:val="25"/>
        </w:rPr>
        <w:t>、</w:t>
      </w:r>
      <w:r>
        <w:rPr>
          <w:rFonts w:eastAsia="Times New Roman"/>
          <w:color w:val="auto"/>
          <w:kern w:val="21"/>
          <w:sz w:val="25"/>
          <w:szCs w:val="25"/>
        </w:rPr>
        <w:t>II</w:t>
      </w:r>
      <w:r>
        <w:rPr>
          <w:rFonts w:ascii="宋体" w:hAnsi="宋体" w:cs="宋体"/>
          <w:color w:val="auto"/>
          <w:kern w:val="21"/>
          <w:sz w:val="25"/>
          <w:szCs w:val="25"/>
        </w:rPr>
        <w:t>、</w:t>
      </w:r>
      <w:r>
        <w:rPr>
          <w:rFonts w:eastAsia="Times New Roman"/>
          <w:color w:val="auto"/>
          <w:kern w:val="21"/>
          <w:sz w:val="25"/>
          <w:szCs w:val="25"/>
        </w:rPr>
        <w:t>III</w:t>
      </w:r>
      <w:r>
        <w:rPr>
          <w:rFonts w:ascii="宋体" w:hAnsi="宋体" w:cs="宋体"/>
          <w:color w:val="auto"/>
          <w:kern w:val="21"/>
          <w:sz w:val="25"/>
          <w:szCs w:val="25"/>
        </w:rPr>
        <w:t>、</w:t>
      </w:r>
      <w:r>
        <w:rPr>
          <w:rFonts w:eastAsia="Times New Roman"/>
          <w:color w:val="auto"/>
          <w:kern w:val="21"/>
          <w:sz w:val="25"/>
          <w:szCs w:val="25"/>
        </w:rPr>
        <w:t>IV/IV+</w:t>
      </w:r>
      <w:r>
        <w:rPr>
          <w:rFonts w:ascii="宋体" w:hAnsi="宋体" w:cs="宋体"/>
          <w:color w:val="auto"/>
          <w:kern w:val="21"/>
          <w:sz w:val="25"/>
          <w:szCs w:val="25"/>
        </w:rPr>
        <w:t>级，根据建设项目涉及的物质和工艺系统的危险性及其所在地的环境敏感程度，结合事故情形下环境影响途经，对建设项目潜在环境危害程度进行概化分析，按照下表确定环境风险潜势。</w:t>
      </w:r>
    </w:p>
    <w:p>
      <w:pPr>
        <w:pStyle w:val="180"/>
        <w:widowControl/>
        <w:numPr>
          <w:ilvl w:val="0"/>
          <w:numId w:val="15"/>
        </w:numPr>
        <w:autoSpaceDE w:val="0"/>
        <w:adjustRightInd w:val="0"/>
        <w:snapToGrid w:val="0"/>
        <w:spacing w:line="360" w:lineRule="auto"/>
        <w:ind w:left="0" w:leftChars="0" w:firstLine="0" w:firstLineChars="0"/>
        <w:jc w:val="center"/>
        <w:textAlignment w:val="baseline"/>
        <w:rPr>
          <w:rFonts w:ascii="宋体" w:hAnsi="宋体" w:cs="宋体"/>
          <w:b/>
          <w:bCs/>
          <w:color w:val="auto"/>
          <w:kern w:val="21"/>
          <w:sz w:val="24"/>
          <w:szCs w:val="24"/>
        </w:rPr>
      </w:pPr>
      <w:r>
        <w:rPr>
          <w:rFonts w:ascii="宋体" w:hAnsi="宋体" w:cs="宋体"/>
          <w:b/>
          <w:bCs/>
          <w:color w:val="auto"/>
          <w:kern w:val="21"/>
          <w:sz w:val="24"/>
          <w:szCs w:val="24"/>
        </w:rPr>
        <w:t>建设项目环境风险潜势划分</w:t>
      </w:r>
    </w:p>
    <w:tbl>
      <w:tblPr>
        <w:tblStyle w:val="51"/>
        <w:tblW w:w="91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1"/>
        <w:gridCol w:w="1690"/>
        <w:gridCol w:w="1859"/>
        <w:gridCol w:w="1859"/>
        <w:gridCol w:w="18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841" w:type="dxa"/>
            <w:vMerge w:val="restart"/>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环境敏感程度</w:t>
            </w:r>
            <w:r>
              <w:rPr>
                <w:rFonts w:hint="eastAsia"/>
                <w:color w:val="auto"/>
                <w:kern w:val="21"/>
                <w:sz w:val="21"/>
                <w:szCs w:val="21"/>
              </w:rPr>
              <w:t>（</w:t>
            </w:r>
            <w:r>
              <w:rPr>
                <w:color w:val="auto"/>
                <w:kern w:val="21"/>
                <w:sz w:val="21"/>
                <w:szCs w:val="21"/>
              </w:rPr>
              <w:t>E</w:t>
            </w:r>
            <w:r>
              <w:rPr>
                <w:rFonts w:hint="eastAsia"/>
                <w:color w:val="auto"/>
                <w:kern w:val="21"/>
                <w:sz w:val="21"/>
                <w:szCs w:val="21"/>
              </w:rPr>
              <w:t>）</w:t>
            </w:r>
          </w:p>
        </w:tc>
        <w:tc>
          <w:tcPr>
            <w:tcW w:w="7297" w:type="dxa"/>
            <w:gridSpan w:val="4"/>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危险物质及工艺系统危险性</w:t>
            </w:r>
            <w:r>
              <w:rPr>
                <w:rFonts w:hint="eastAsia"/>
                <w:color w:val="auto"/>
                <w:kern w:val="21"/>
                <w:sz w:val="21"/>
                <w:szCs w:val="21"/>
              </w:rPr>
              <w:t>（</w:t>
            </w:r>
            <w:r>
              <w:rPr>
                <w:color w:val="auto"/>
                <w:kern w:val="21"/>
                <w:sz w:val="21"/>
                <w:szCs w:val="21"/>
              </w:rPr>
              <w:t>P</w:t>
            </w:r>
            <w:r>
              <w:rPr>
                <w:rFonts w:hint="eastAsia"/>
                <w:color w:val="auto"/>
                <w:kern w:val="2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841" w:type="dxa"/>
            <w:vMerge w:val="continue"/>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p>
        </w:tc>
        <w:tc>
          <w:tcPr>
            <w:tcW w:w="16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极高危害</w:t>
            </w:r>
            <w:r>
              <w:rPr>
                <w:rFonts w:hint="eastAsia"/>
                <w:color w:val="auto"/>
                <w:kern w:val="21"/>
                <w:sz w:val="21"/>
                <w:szCs w:val="21"/>
              </w:rPr>
              <w:t>（</w:t>
            </w:r>
            <w:r>
              <w:rPr>
                <w:color w:val="auto"/>
                <w:kern w:val="21"/>
                <w:sz w:val="21"/>
                <w:szCs w:val="21"/>
              </w:rPr>
              <w:t>P1</w:t>
            </w:r>
            <w:r>
              <w:rPr>
                <w:rFonts w:hint="eastAsia"/>
                <w:color w:val="auto"/>
                <w:kern w:val="21"/>
                <w:sz w:val="21"/>
                <w:szCs w:val="21"/>
              </w:rPr>
              <w:t>）</w:t>
            </w:r>
          </w:p>
        </w:tc>
        <w:tc>
          <w:tcPr>
            <w:tcW w:w="185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高度危害</w:t>
            </w:r>
            <w:r>
              <w:rPr>
                <w:rFonts w:hint="eastAsia"/>
                <w:color w:val="auto"/>
                <w:kern w:val="21"/>
                <w:sz w:val="21"/>
                <w:szCs w:val="21"/>
              </w:rPr>
              <w:t>（</w:t>
            </w:r>
            <w:r>
              <w:rPr>
                <w:color w:val="auto"/>
                <w:kern w:val="21"/>
                <w:sz w:val="21"/>
                <w:szCs w:val="21"/>
              </w:rPr>
              <w:t>P2</w:t>
            </w:r>
            <w:r>
              <w:rPr>
                <w:rFonts w:hint="eastAsia"/>
                <w:color w:val="auto"/>
                <w:kern w:val="21"/>
                <w:sz w:val="21"/>
                <w:szCs w:val="21"/>
              </w:rPr>
              <w:t>）</w:t>
            </w:r>
          </w:p>
        </w:tc>
        <w:tc>
          <w:tcPr>
            <w:tcW w:w="185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中度危害</w:t>
            </w:r>
            <w:r>
              <w:rPr>
                <w:rFonts w:hint="eastAsia"/>
                <w:color w:val="auto"/>
                <w:kern w:val="21"/>
                <w:sz w:val="21"/>
                <w:szCs w:val="21"/>
              </w:rPr>
              <w:t>（</w:t>
            </w:r>
            <w:r>
              <w:rPr>
                <w:color w:val="auto"/>
                <w:kern w:val="21"/>
                <w:sz w:val="21"/>
                <w:szCs w:val="21"/>
              </w:rPr>
              <w:t>P3</w:t>
            </w:r>
            <w:r>
              <w:rPr>
                <w:rFonts w:hint="eastAsia"/>
                <w:color w:val="auto"/>
                <w:kern w:val="21"/>
                <w:sz w:val="21"/>
                <w:szCs w:val="21"/>
              </w:rPr>
              <w:t>）</w:t>
            </w:r>
          </w:p>
        </w:tc>
        <w:tc>
          <w:tcPr>
            <w:tcW w:w="188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轻度危害</w:t>
            </w:r>
            <w:r>
              <w:rPr>
                <w:rFonts w:hint="eastAsia"/>
                <w:color w:val="auto"/>
                <w:kern w:val="21"/>
                <w:sz w:val="21"/>
                <w:szCs w:val="21"/>
              </w:rPr>
              <w:t>（</w:t>
            </w:r>
            <w:r>
              <w:rPr>
                <w:color w:val="auto"/>
                <w:kern w:val="21"/>
                <w:sz w:val="21"/>
                <w:szCs w:val="21"/>
              </w:rPr>
              <w:t>P4</w:t>
            </w:r>
            <w:r>
              <w:rPr>
                <w:rFonts w:hint="eastAsia"/>
                <w:color w:val="auto"/>
                <w:kern w:val="2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1841"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环境高度敏感程区</w:t>
            </w:r>
            <w:r>
              <w:rPr>
                <w:rFonts w:hint="eastAsia"/>
                <w:color w:val="auto"/>
                <w:kern w:val="21"/>
                <w:sz w:val="21"/>
                <w:szCs w:val="21"/>
              </w:rPr>
              <w:t>（</w:t>
            </w:r>
            <w:r>
              <w:rPr>
                <w:color w:val="auto"/>
                <w:kern w:val="21"/>
                <w:sz w:val="21"/>
                <w:szCs w:val="21"/>
              </w:rPr>
              <w:t>E1</w:t>
            </w:r>
            <w:r>
              <w:rPr>
                <w:rFonts w:hint="eastAsia"/>
                <w:color w:val="auto"/>
                <w:kern w:val="21"/>
                <w:sz w:val="21"/>
                <w:szCs w:val="21"/>
              </w:rPr>
              <w:t>）</w:t>
            </w:r>
          </w:p>
        </w:tc>
        <w:tc>
          <w:tcPr>
            <w:tcW w:w="16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IV+</w:t>
            </w:r>
          </w:p>
        </w:tc>
        <w:tc>
          <w:tcPr>
            <w:tcW w:w="185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IV</w:t>
            </w:r>
          </w:p>
        </w:tc>
        <w:tc>
          <w:tcPr>
            <w:tcW w:w="185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88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jc w:val="center"/>
        </w:trPr>
        <w:tc>
          <w:tcPr>
            <w:tcW w:w="1841"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环境中度敏感程区</w:t>
            </w:r>
            <w:r>
              <w:rPr>
                <w:rFonts w:hint="eastAsia"/>
                <w:color w:val="auto"/>
                <w:kern w:val="21"/>
                <w:sz w:val="21"/>
                <w:szCs w:val="21"/>
              </w:rPr>
              <w:t>（</w:t>
            </w:r>
            <w:r>
              <w:rPr>
                <w:color w:val="auto"/>
                <w:kern w:val="21"/>
                <w:sz w:val="21"/>
                <w:szCs w:val="21"/>
              </w:rPr>
              <w:t>E2</w:t>
            </w:r>
            <w:r>
              <w:rPr>
                <w:rFonts w:hint="eastAsia"/>
                <w:color w:val="auto"/>
                <w:kern w:val="21"/>
                <w:sz w:val="21"/>
                <w:szCs w:val="21"/>
              </w:rPr>
              <w:t>）</w:t>
            </w:r>
          </w:p>
        </w:tc>
        <w:tc>
          <w:tcPr>
            <w:tcW w:w="16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IV</w:t>
            </w:r>
          </w:p>
        </w:tc>
        <w:tc>
          <w:tcPr>
            <w:tcW w:w="185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85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88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jc w:val="center"/>
        </w:trPr>
        <w:tc>
          <w:tcPr>
            <w:tcW w:w="1841"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环境低度敏感程区</w:t>
            </w:r>
            <w:r>
              <w:rPr>
                <w:rFonts w:hint="eastAsia"/>
                <w:color w:val="auto"/>
                <w:kern w:val="21"/>
                <w:sz w:val="21"/>
                <w:szCs w:val="21"/>
              </w:rPr>
              <w:t>（</w:t>
            </w:r>
            <w:r>
              <w:rPr>
                <w:color w:val="auto"/>
                <w:kern w:val="21"/>
                <w:sz w:val="21"/>
                <w:szCs w:val="21"/>
              </w:rPr>
              <w:t>E3</w:t>
            </w:r>
            <w:r>
              <w:rPr>
                <w:rFonts w:hint="eastAsia"/>
                <w:color w:val="auto"/>
                <w:kern w:val="21"/>
                <w:sz w:val="21"/>
                <w:szCs w:val="21"/>
              </w:rPr>
              <w:t>）</w:t>
            </w:r>
          </w:p>
        </w:tc>
        <w:tc>
          <w:tcPr>
            <w:tcW w:w="169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85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85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w:t>
            </w:r>
          </w:p>
        </w:tc>
        <w:tc>
          <w:tcPr>
            <w:tcW w:w="1889"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jc w:val="center"/>
        </w:trPr>
        <w:tc>
          <w:tcPr>
            <w:tcW w:w="9138" w:type="dxa"/>
            <w:gridSpan w:val="5"/>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注：IV+为极高环境风险。</w:t>
            </w:r>
          </w:p>
        </w:tc>
      </w:tr>
    </w:tbl>
    <w:p>
      <w:pPr>
        <w:ind w:firstLine="472"/>
        <w:rPr>
          <w:rFonts w:ascii="宋体" w:hAnsi="宋体" w:cs="宋体"/>
          <w:color w:val="auto"/>
          <w:kern w:val="21"/>
        </w:rPr>
      </w:pPr>
      <w:r>
        <w:rPr>
          <w:rFonts w:ascii="宋体" w:hAnsi="宋体" w:cs="宋体"/>
          <w:color w:val="auto"/>
          <w:kern w:val="21"/>
        </w:rPr>
        <w:t>当风险潜势为Ⅰ时，评价工作等级为简单分析。</w:t>
      </w:r>
    </w:p>
    <w:p>
      <w:pPr>
        <w:ind w:firstLine="472"/>
        <w:rPr>
          <w:rFonts w:ascii="宋体" w:hAnsi="宋体" w:cs="宋体"/>
          <w:color w:val="auto"/>
          <w:kern w:val="21"/>
        </w:rPr>
      </w:pPr>
      <w:r>
        <w:rPr>
          <w:rFonts w:ascii="宋体" w:hAnsi="宋体" w:cs="宋体"/>
          <w:color w:val="auto"/>
          <w:kern w:val="21"/>
        </w:rPr>
        <w:t>对建设项目生产、使用、存储过程中涉及的有毒有害、易燃易爆物质进行识别，参见《建设项目环境风险评价技术导则》</w:t>
      </w:r>
      <w:r>
        <w:rPr>
          <w:rFonts w:hint="eastAsia" w:ascii="宋体" w:hAnsi="宋体" w:cs="宋体"/>
          <w:color w:val="auto"/>
          <w:kern w:val="21"/>
        </w:rPr>
        <w:t>（</w:t>
      </w:r>
      <w:r>
        <w:rPr>
          <w:rFonts w:eastAsia="Times New Roman"/>
          <w:color w:val="auto"/>
          <w:kern w:val="21"/>
        </w:rPr>
        <w:t>HJ169-2018</w:t>
      </w:r>
      <w:r>
        <w:rPr>
          <w:rFonts w:hint="eastAsia" w:ascii="宋体" w:hAnsi="宋体" w:cs="宋体"/>
          <w:color w:val="auto"/>
          <w:kern w:val="21"/>
        </w:rPr>
        <w:t>）</w:t>
      </w:r>
      <w:r>
        <w:rPr>
          <w:rFonts w:ascii="宋体" w:hAnsi="宋体" w:cs="宋体"/>
          <w:color w:val="auto"/>
          <w:kern w:val="21"/>
        </w:rPr>
        <w:t>中附录</w:t>
      </w:r>
      <w:r>
        <w:rPr>
          <w:rFonts w:eastAsia="Times New Roman"/>
          <w:color w:val="auto"/>
          <w:kern w:val="21"/>
        </w:rPr>
        <w:t>B</w:t>
      </w:r>
      <w:r>
        <w:rPr>
          <w:rFonts w:ascii="宋体" w:hAnsi="宋体" w:cs="宋体"/>
          <w:color w:val="auto"/>
          <w:kern w:val="21"/>
        </w:rPr>
        <w:t>确定危险物质的临界量。定量分析危险物质数量与临界量的比值</w:t>
      </w:r>
      <w:r>
        <w:rPr>
          <w:rFonts w:hint="eastAsia" w:ascii="宋体" w:hAnsi="宋体" w:cs="宋体"/>
          <w:color w:val="auto"/>
          <w:kern w:val="21"/>
        </w:rPr>
        <w:t>（</w:t>
      </w:r>
      <w:r>
        <w:rPr>
          <w:rFonts w:eastAsia="Times New Roman"/>
          <w:color w:val="auto"/>
          <w:kern w:val="21"/>
        </w:rPr>
        <w:t>Q</w:t>
      </w:r>
      <w:r>
        <w:rPr>
          <w:rFonts w:hint="eastAsia" w:ascii="宋体" w:hAnsi="宋体" w:cs="宋体"/>
          <w:color w:val="auto"/>
          <w:kern w:val="21"/>
        </w:rPr>
        <w:t>）</w:t>
      </w:r>
      <w:r>
        <w:rPr>
          <w:rFonts w:ascii="宋体" w:hAnsi="宋体" w:cs="宋体"/>
          <w:color w:val="auto"/>
          <w:kern w:val="21"/>
        </w:rPr>
        <w:t>和所属行业生产工艺特点</w:t>
      </w:r>
      <w:r>
        <w:rPr>
          <w:rFonts w:hint="eastAsia" w:ascii="宋体" w:hAnsi="宋体" w:cs="宋体"/>
          <w:color w:val="auto"/>
          <w:kern w:val="21"/>
        </w:rPr>
        <w:t>（</w:t>
      </w:r>
      <w:r>
        <w:rPr>
          <w:rFonts w:eastAsia="Times New Roman"/>
          <w:color w:val="auto"/>
          <w:kern w:val="21"/>
        </w:rPr>
        <w:t>M</w:t>
      </w:r>
      <w:r>
        <w:rPr>
          <w:rFonts w:hint="eastAsia" w:ascii="宋体" w:hAnsi="宋体" w:cs="宋体"/>
          <w:color w:val="auto"/>
          <w:kern w:val="21"/>
        </w:rPr>
        <w:t>）</w:t>
      </w:r>
      <w:r>
        <w:rPr>
          <w:rFonts w:ascii="宋体" w:hAnsi="宋体" w:cs="宋体"/>
          <w:color w:val="auto"/>
          <w:kern w:val="21"/>
        </w:rPr>
        <w:t>，按附录</w:t>
      </w:r>
      <w:r>
        <w:rPr>
          <w:rFonts w:eastAsia="Times New Roman"/>
          <w:color w:val="auto"/>
          <w:kern w:val="21"/>
        </w:rPr>
        <w:t>C</w:t>
      </w:r>
      <w:r>
        <w:rPr>
          <w:rFonts w:ascii="宋体" w:hAnsi="宋体" w:cs="宋体"/>
          <w:color w:val="auto"/>
          <w:kern w:val="21"/>
        </w:rPr>
        <w:t>对危险物质及工艺系统危险性</w:t>
      </w:r>
      <w:r>
        <w:rPr>
          <w:rFonts w:hint="eastAsia" w:ascii="宋体" w:hAnsi="宋体" w:cs="宋体"/>
          <w:color w:val="auto"/>
          <w:kern w:val="21"/>
        </w:rPr>
        <w:t>（</w:t>
      </w:r>
      <w:r>
        <w:rPr>
          <w:rFonts w:eastAsia="Times New Roman"/>
          <w:color w:val="auto"/>
          <w:kern w:val="21"/>
        </w:rPr>
        <w:t>P</w:t>
      </w:r>
      <w:r>
        <w:rPr>
          <w:rFonts w:hint="eastAsia" w:ascii="宋体" w:hAnsi="宋体" w:cs="宋体"/>
          <w:color w:val="auto"/>
          <w:kern w:val="21"/>
        </w:rPr>
        <w:t>）</w:t>
      </w:r>
      <w:r>
        <w:rPr>
          <w:rFonts w:ascii="宋体" w:hAnsi="宋体" w:cs="宋体"/>
          <w:color w:val="auto"/>
          <w:kern w:val="21"/>
        </w:rPr>
        <w:t>等级进行判断，然后按附录</w:t>
      </w:r>
      <w:r>
        <w:rPr>
          <w:rFonts w:eastAsia="Times New Roman"/>
          <w:color w:val="auto"/>
          <w:kern w:val="21"/>
        </w:rPr>
        <w:t>D</w:t>
      </w:r>
      <w:r>
        <w:rPr>
          <w:rFonts w:ascii="宋体" w:hAnsi="宋体" w:cs="宋体"/>
          <w:color w:val="auto"/>
          <w:kern w:val="21"/>
        </w:rPr>
        <w:t>确定环境敏感程度</w:t>
      </w:r>
      <w:r>
        <w:rPr>
          <w:rFonts w:hint="eastAsia" w:ascii="宋体" w:hAnsi="宋体" w:cs="宋体"/>
          <w:color w:val="auto"/>
          <w:kern w:val="21"/>
        </w:rPr>
        <w:t>（</w:t>
      </w:r>
      <w:r>
        <w:rPr>
          <w:rFonts w:eastAsia="Times New Roman"/>
          <w:color w:val="auto"/>
          <w:kern w:val="21"/>
        </w:rPr>
        <w:t>E</w:t>
      </w:r>
      <w:r>
        <w:rPr>
          <w:rFonts w:hint="eastAsia" w:ascii="宋体" w:hAnsi="宋体" w:cs="宋体"/>
          <w:color w:val="auto"/>
          <w:kern w:val="21"/>
        </w:rPr>
        <w:t>）</w:t>
      </w:r>
      <w:r>
        <w:rPr>
          <w:rFonts w:ascii="宋体" w:hAnsi="宋体" w:cs="宋体"/>
          <w:color w:val="auto"/>
          <w:kern w:val="21"/>
        </w:rPr>
        <w:t>。</w:t>
      </w:r>
    </w:p>
    <w:p>
      <w:pPr>
        <w:tabs>
          <w:tab w:val="left" w:pos="145"/>
        </w:tabs>
        <w:ind w:firstLine="472"/>
        <w:rPr>
          <w:rFonts w:hint="default" w:ascii="宋体" w:hAnsi="宋体" w:eastAsia="宋体" w:cs="宋体"/>
          <w:b/>
          <w:bCs/>
          <w:color w:val="auto"/>
          <w:kern w:val="21"/>
          <w:lang w:val="en-US" w:eastAsia="zh-CN"/>
        </w:rPr>
      </w:pPr>
      <w:r>
        <w:rPr>
          <w:rFonts w:hint="eastAsia" w:ascii="宋体" w:hAnsi="宋体" w:cs="宋体"/>
          <w:b/>
          <w:bCs/>
          <w:color w:val="auto"/>
          <w:kern w:val="21"/>
          <w:lang w:val="en-US" w:eastAsia="zh-CN"/>
        </w:rPr>
        <w:t>2、P的分级确定</w:t>
      </w:r>
    </w:p>
    <w:p>
      <w:pPr>
        <w:adjustRightInd w:val="0"/>
        <w:snapToGrid w:val="0"/>
        <w:ind w:firstLine="480"/>
        <w:rPr>
          <w:bCs/>
          <w:color w:val="auto"/>
          <w:kern w:val="21"/>
        </w:rPr>
      </w:pPr>
      <w:r>
        <w:rPr>
          <w:bCs/>
          <w:color w:val="auto"/>
          <w:kern w:val="21"/>
        </w:rPr>
        <w:t>根据《建设项目环境风险评价技术导则》（HJ169-2018）附录C，项目危险物质及工艺系统危险性（P）由危险物质数量与临界量比值（Q）和行业及生产工艺（M）确定。</w:t>
      </w:r>
    </w:p>
    <w:p>
      <w:pPr>
        <w:adjustRightInd w:val="0"/>
        <w:snapToGrid w:val="0"/>
        <w:ind w:firstLine="480"/>
        <w:jc w:val="left"/>
        <w:rPr>
          <w:bCs/>
          <w:color w:val="auto"/>
          <w:kern w:val="21"/>
        </w:rPr>
      </w:pPr>
      <w:r>
        <w:rPr>
          <w:bCs/>
          <w:color w:val="auto"/>
          <w:kern w:val="21"/>
        </w:rPr>
        <w:t>（1）危险物质数量与临界量比值（Q）</w:t>
      </w:r>
    </w:p>
    <w:p>
      <w:pPr>
        <w:adjustRightInd w:val="0"/>
        <w:snapToGrid w:val="0"/>
        <w:ind w:firstLine="470" w:firstLineChars="196"/>
        <w:jc w:val="left"/>
        <w:rPr>
          <w:bCs/>
          <w:color w:val="auto"/>
          <w:kern w:val="21"/>
        </w:rPr>
      </w:pPr>
      <w:r>
        <w:rPr>
          <w:bCs/>
          <w:color w:val="auto"/>
          <w:kern w:val="21"/>
        </w:rPr>
        <w:t>当只涉及一种危险物质时，计算该物质的总量与其临界量比值，即为Q；当存在多种危险物质时，按下式计算物质总量与其临界量比值（Q）：</w:t>
      </w:r>
    </w:p>
    <w:p>
      <w:pPr>
        <w:adjustRightInd w:val="0"/>
        <w:snapToGrid w:val="0"/>
        <w:ind w:firstLine="2390" w:firstLineChars="996"/>
        <w:jc w:val="left"/>
        <w:rPr>
          <w:bCs/>
          <w:color w:val="auto"/>
          <w:kern w:val="21"/>
          <w:vertAlign w:val="superscript"/>
        </w:rPr>
      </w:pPr>
      <w:r>
        <w:rPr>
          <w:bCs/>
          <w:color w:val="auto"/>
          <w:kern w:val="21"/>
        </w:rPr>
        <w:t>Q=q</w:t>
      </w:r>
      <w:r>
        <w:rPr>
          <w:bCs/>
          <w:color w:val="auto"/>
          <w:kern w:val="21"/>
          <w:vertAlign w:val="subscript"/>
        </w:rPr>
        <w:t>1</w:t>
      </w:r>
      <w:r>
        <w:rPr>
          <w:bCs/>
          <w:color w:val="auto"/>
          <w:kern w:val="21"/>
        </w:rPr>
        <w:t>/Q</w:t>
      </w:r>
      <w:r>
        <w:rPr>
          <w:bCs/>
          <w:color w:val="auto"/>
          <w:kern w:val="21"/>
          <w:vertAlign w:val="subscript"/>
        </w:rPr>
        <w:t>1</w:t>
      </w:r>
      <w:r>
        <w:rPr>
          <w:bCs/>
          <w:color w:val="auto"/>
          <w:kern w:val="21"/>
        </w:rPr>
        <w:t>+q</w:t>
      </w:r>
      <w:r>
        <w:rPr>
          <w:bCs/>
          <w:color w:val="auto"/>
          <w:kern w:val="21"/>
          <w:vertAlign w:val="subscript"/>
        </w:rPr>
        <w:t>2</w:t>
      </w:r>
      <w:r>
        <w:rPr>
          <w:bCs/>
          <w:color w:val="auto"/>
          <w:kern w:val="21"/>
        </w:rPr>
        <w:t>/Q</w:t>
      </w:r>
      <w:r>
        <w:rPr>
          <w:bCs/>
          <w:color w:val="auto"/>
          <w:kern w:val="21"/>
          <w:vertAlign w:val="subscript"/>
        </w:rPr>
        <w:t>2</w:t>
      </w:r>
      <w:r>
        <w:rPr>
          <w:bCs/>
          <w:color w:val="auto"/>
          <w:kern w:val="21"/>
        </w:rPr>
        <w:t>+...+q</w:t>
      </w:r>
      <w:r>
        <w:rPr>
          <w:bCs/>
          <w:color w:val="auto"/>
          <w:kern w:val="21"/>
          <w:vertAlign w:val="subscript"/>
        </w:rPr>
        <w:t>n</w:t>
      </w:r>
      <w:r>
        <w:rPr>
          <w:bCs/>
          <w:color w:val="auto"/>
          <w:kern w:val="21"/>
        </w:rPr>
        <w:t>/Q</w:t>
      </w:r>
      <w:r>
        <w:rPr>
          <w:bCs/>
          <w:color w:val="auto"/>
          <w:kern w:val="21"/>
          <w:vertAlign w:val="subscript"/>
        </w:rPr>
        <w:t>n</w:t>
      </w:r>
    </w:p>
    <w:p>
      <w:pPr>
        <w:adjustRightInd w:val="0"/>
        <w:snapToGrid w:val="0"/>
        <w:ind w:firstLine="470" w:firstLineChars="196"/>
        <w:jc w:val="left"/>
        <w:rPr>
          <w:bCs/>
          <w:color w:val="auto"/>
          <w:kern w:val="21"/>
        </w:rPr>
      </w:pPr>
      <w:r>
        <w:rPr>
          <w:bCs/>
          <w:color w:val="auto"/>
          <w:kern w:val="21"/>
        </w:rPr>
        <w:t>式中：q</w:t>
      </w:r>
      <w:r>
        <w:rPr>
          <w:bCs/>
          <w:color w:val="auto"/>
          <w:kern w:val="21"/>
          <w:vertAlign w:val="subscript"/>
        </w:rPr>
        <w:t>1</w:t>
      </w:r>
      <w:r>
        <w:rPr>
          <w:bCs/>
          <w:color w:val="auto"/>
          <w:kern w:val="21"/>
        </w:rPr>
        <w:t>、q</w:t>
      </w:r>
      <w:r>
        <w:rPr>
          <w:bCs/>
          <w:color w:val="auto"/>
          <w:kern w:val="21"/>
          <w:vertAlign w:val="subscript"/>
        </w:rPr>
        <w:t>2</w:t>
      </w:r>
      <w:r>
        <w:rPr>
          <w:bCs/>
          <w:color w:val="auto"/>
          <w:kern w:val="21"/>
        </w:rPr>
        <w:t>、q</w:t>
      </w:r>
      <w:r>
        <w:rPr>
          <w:bCs/>
          <w:color w:val="auto"/>
          <w:kern w:val="21"/>
          <w:vertAlign w:val="subscript"/>
        </w:rPr>
        <w:t>n</w:t>
      </w:r>
      <w:r>
        <w:rPr>
          <w:bCs/>
          <w:color w:val="auto"/>
          <w:kern w:val="21"/>
        </w:rPr>
        <w:t>-----每种危险物质的最大存在量，t；</w:t>
      </w:r>
    </w:p>
    <w:p>
      <w:pPr>
        <w:adjustRightInd w:val="0"/>
        <w:snapToGrid w:val="0"/>
        <w:ind w:firstLine="1200" w:firstLineChars="500"/>
        <w:jc w:val="left"/>
        <w:rPr>
          <w:bCs/>
          <w:color w:val="auto"/>
          <w:kern w:val="21"/>
          <w:vertAlign w:val="superscript"/>
        </w:rPr>
      </w:pPr>
      <w:r>
        <w:rPr>
          <w:bCs/>
          <w:color w:val="auto"/>
          <w:kern w:val="21"/>
        </w:rPr>
        <w:t>Q</w:t>
      </w:r>
      <w:r>
        <w:rPr>
          <w:bCs/>
          <w:color w:val="auto"/>
          <w:kern w:val="21"/>
          <w:vertAlign w:val="subscript"/>
        </w:rPr>
        <w:t>1</w:t>
      </w:r>
      <w:r>
        <w:rPr>
          <w:bCs/>
          <w:color w:val="auto"/>
          <w:kern w:val="21"/>
        </w:rPr>
        <w:t>、Q</w:t>
      </w:r>
      <w:r>
        <w:rPr>
          <w:bCs/>
          <w:color w:val="auto"/>
          <w:kern w:val="21"/>
          <w:vertAlign w:val="subscript"/>
        </w:rPr>
        <w:t>2</w:t>
      </w:r>
      <w:r>
        <w:rPr>
          <w:bCs/>
          <w:color w:val="auto"/>
          <w:kern w:val="21"/>
        </w:rPr>
        <w:t>、Q</w:t>
      </w:r>
      <w:r>
        <w:rPr>
          <w:bCs/>
          <w:color w:val="auto"/>
          <w:kern w:val="21"/>
          <w:vertAlign w:val="subscript"/>
        </w:rPr>
        <w:t>n</w:t>
      </w:r>
      <w:r>
        <w:rPr>
          <w:bCs/>
          <w:color w:val="auto"/>
          <w:kern w:val="21"/>
        </w:rPr>
        <w:t>-----每种危险物质的临界量，t；</w:t>
      </w:r>
    </w:p>
    <w:p>
      <w:pPr>
        <w:adjustRightInd w:val="0"/>
        <w:snapToGrid w:val="0"/>
        <w:ind w:firstLine="470" w:firstLineChars="196"/>
        <w:jc w:val="left"/>
        <w:rPr>
          <w:bCs/>
          <w:color w:val="auto"/>
          <w:kern w:val="21"/>
        </w:rPr>
      </w:pPr>
      <w:r>
        <w:rPr>
          <w:bCs/>
          <w:color w:val="auto"/>
          <w:kern w:val="21"/>
        </w:rPr>
        <w:t>当Q&lt;1时，该项目环境风险潜势为Ⅰ。</w:t>
      </w:r>
    </w:p>
    <w:p>
      <w:pPr>
        <w:adjustRightInd w:val="0"/>
        <w:snapToGrid w:val="0"/>
        <w:ind w:firstLine="470" w:firstLineChars="196"/>
        <w:jc w:val="left"/>
        <w:rPr>
          <w:bCs/>
          <w:color w:val="auto"/>
          <w:kern w:val="21"/>
        </w:rPr>
      </w:pPr>
      <w:r>
        <w:rPr>
          <w:bCs/>
          <w:color w:val="auto"/>
          <w:kern w:val="21"/>
        </w:rPr>
        <w:t>当Q≥1时，将Q值划分为：（1）1≤Q&lt;10；（2）10≤Q&lt;100；（3）10≤Q。</w:t>
      </w:r>
    </w:p>
    <w:p>
      <w:pPr>
        <w:tabs>
          <w:tab w:val="left" w:pos="145"/>
        </w:tabs>
        <w:ind w:firstLine="472"/>
        <w:rPr>
          <w:rFonts w:hint="eastAsia" w:eastAsia="宋体"/>
          <w:color w:val="auto"/>
          <w:kern w:val="21"/>
          <w:sz w:val="24"/>
          <w:szCs w:val="24"/>
          <w:lang w:eastAsia="zh-CN" w:bidi="ar"/>
        </w:rPr>
      </w:pPr>
      <w:r>
        <w:rPr>
          <w:rFonts w:hint="eastAsia"/>
          <w:color w:val="auto"/>
          <w:kern w:val="21"/>
          <w:sz w:val="24"/>
          <w:szCs w:val="24"/>
        </w:rPr>
        <w:t>本项目次氯酸钠最大储量为3.5t，</w:t>
      </w:r>
      <w:r>
        <w:rPr>
          <w:color w:val="auto"/>
          <w:kern w:val="21"/>
          <w:sz w:val="24"/>
          <w:szCs w:val="24"/>
        </w:rPr>
        <w:t>对照《建设项目环境风险评价技术导则》（HJ169-2018）附录B</w:t>
      </w:r>
      <w:r>
        <w:rPr>
          <w:rFonts w:hint="eastAsia"/>
          <w:color w:val="auto"/>
          <w:kern w:val="21"/>
          <w:sz w:val="24"/>
          <w:szCs w:val="24"/>
        </w:rPr>
        <w:t>，</w:t>
      </w:r>
      <w:r>
        <w:rPr>
          <w:color w:val="auto"/>
          <w:kern w:val="21"/>
          <w:sz w:val="24"/>
          <w:szCs w:val="24"/>
          <w:lang w:bidi="ar"/>
        </w:rPr>
        <w:t>临界量为5t，危险物质数量与临界量比值Q为0.7</w:t>
      </w:r>
      <w:r>
        <w:rPr>
          <w:rFonts w:hint="eastAsia"/>
          <w:color w:val="auto"/>
          <w:kern w:val="21"/>
          <w:sz w:val="24"/>
          <w:szCs w:val="24"/>
          <w:lang w:eastAsia="zh-CN" w:bidi="ar"/>
        </w:rPr>
        <w:t>，</w:t>
      </w:r>
      <w:r>
        <w:rPr>
          <w:rFonts w:ascii="宋体" w:hAnsi="宋体" w:cs="宋体"/>
          <w:color w:val="auto"/>
          <w:kern w:val="21"/>
        </w:rPr>
        <w:t>项目风险潜势</w:t>
      </w:r>
      <w:r>
        <w:rPr>
          <w:rFonts w:hint="eastAsia" w:ascii="宋体" w:hAnsi="宋体" w:cs="宋体"/>
          <w:color w:val="auto"/>
          <w:kern w:val="21"/>
          <w:lang w:eastAsia="zh-CN"/>
        </w:rPr>
        <w:t>判定为</w:t>
      </w:r>
      <w:r>
        <w:rPr>
          <w:rFonts w:ascii="宋体" w:hAnsi="宋体" w:cs="宋体"/>
          <w:color w:val="auto"/>
          <w:kern w:val="21"/>
        </w:rPr>
        <w:t>为Ⅰ</w:t>
      </w:r>
      <w:r>
        <w:rPr>
          <w:rFonts w:hint="eastAsia" w:ascii="宋体" w:hAnsi="宋体" w:cs="宋体"/>
          <w:color w:val="auto"/>
          <w:kern w:val="21"/>
          <w:lang w:eastAsia="zh-CN"/>
        </w:rPr>
        <w:t>，不再需要判定</w:t>
      </w:r>
      <w:r>
        <w:rPr>
          <w:rFonts w:hint="eastAsia" w:ascii="宋体" w:hAnsi="宋体" w:cs="宋体"/>
          <w:color w:val="auto"/>
          <w:kern w:val="21"/>
          <w:lang w:val="en-US" w:eastAsia="zh-CN"/>
        </w:rPr>
        <w:t>M值</w:t>
      </w:r>
      <w:r>
        <w:rPr>
          <w:rFonts w:hint="eastAsia"/>
          <w:color w:val="auto"/>
          <w:kern w:val="21"/>
          <w:sz w:val="24"/>
          <w:szCs w:val="24"/>
          <w:lang w:eastAsia="zh-CN" w:bidi="ar"/>
        </w:rPr>
        <w:t>。</w:t>
      </w:r>
    </w:p>
    <w:p>
      <w:pPr>
        <w:tabs>
          <w:tab w:val="left" w:pos="145"/>
        </w:tabs>
        <w:ind w:firstLine="472"/>
        <w:rPr>
          <w:rFonts w:hint="default" w:ascii="宋体" w:hAnsi="宋体" w:cs="宋体"/>
          <w:b/>
          <w:bCs/>
          <w:color w:val="auto"/>
          <w:kern w:val="21"/>
          <w:lang w:val="en-US" w:eastAsia="zh-CN"/>
        </w:rPr>
      </w:pPr>
      <w:r>
        <w:rPr>
          <w:rFonts w:hint="eastAsia" w:ascii="宋体" w:hAnsi="宋体" w:cs="宋体"/>
          <w:b/>
          <w:bCs/>
          <w:color w:val="auto"/>
          <w:kern w:val="21"/>
          <w:lang w:val="en-US" w:eastAsia="zh-CN"/>
        </w:rPr>
        <w:t>3、E的分级确定</w:t>
      </w:r>
    </w:p>
    <w:p>
      <w:pPr>
        <w:tabs>
          <w:tab w:val="left" w:pos="145"/>
        </w:tabs>
        <w:ind w:firstLine="472"/>
        <w:rPr>
          <w:color w:val="auto"/>
          <w:kern w:val="21"/>
          <w:lang w:bidi="ar"/>
        </w:rPr>
      </w:pPr>
      <w:r>
        <w:rPr>
          <w:rFonts w:hint="eastAsia" w:ascii="宋体" w:hAnsi="宋体" w:cs="宋体"/>
          <w:color w:val="auto"/>
          <w:kern w:val="21"/>
        </w:rPr>
        <w:t>（</w:t>
      </w:r>
      <w:r>
        <w:rPr>
          <w:rFonts w:eastAsia="Times New Roman"/>
          <w:color w:val="auto"/>
          <w:kern w:val="21"/>
        </w:rPr>
        <w:t>1</w:t>
      </w:r>
      <w:r>
        <w:rPr>
          <w:rFonts w:hint="eastAsia" w:ascii="宋体" w:hAnsi="宋体" w:cs="宋体"/>
          <w:color w:val="auto"/>
          <w:kern w:val="21"/>
        </w:rPr>
        <w:t>）</w:t>
      </w:r>
      <w:r>
        <w:rPr>
          <w:rFonts w:ascii="宋体" w:hAnsi="宋体" w:cs="宋体"/>
          <w:color w:val="auto"/>
          <w:kern w:val="21"/>
        </w:rPr>
        <w:t>大气环境：</w:t>
      </w:r>
      <w:r>
        <w:rPr>
          <w:rFonts w:hint="eastAsia" w:ascii="宋体" w:hAnsi="宋体" w:cs="宋体"/>
          <w:color w:val="auto"/>
          <w:kern w:val="21"/>
        </w:rPr>
        <w:t>本项目位于楚雄工业园富民庄甸工业园区富民片区，周边迤周、外周、外干、迤干等村庄已全部拆除，</w:t>
      </w:r>
      <w:r>
        <w:rPr>
          <w:rFonts w:ascii="宋体" w:hAnsi="宋体" w:cs="宋体"/>
          <w:color w:val="auto"/>
          <w:kern w:val="21"/>
        </w:rPr>
        <w:t>根据《建设项目环境风险评价技术导则》</w:t>
      </w:r>
      <w:r>
        <w:rPr>
          <w:rFonts w:hint="eastAsia" w:ascii="宋体" w:hAnsi="宋体" w:cs="宋体"/>
          <w:color w:val="auto"/>
          <w:kern w:val="21"/>
        </w:rPr>
        <w:t>（</w:t>
      </w:r>
      <w:r>
        <w:rPr>
          <w:rFonts w:eastAsia="Times New Roman"/>
          <w:color w:val="auto"/>
          <w:kern w:val="21"/>
        </w:rPr>
        <w:t>HJ169-2018</w:t>
      </w:r>
      <w:r>
        <w:rPr>
          <w:rFonts w:hint="eastAsia" w:ascii="宋体" w:hAnsi="宋体" w:cs="宋体"/>
          <w:color w:val="auto"/>
          <w:kern w:val="21"/>
        </w:rPr>
        <w:t>）</w:t>
      </w:r>
      <w:r>
        <w:rPr>
          <w:rFonts w:ascii="宋体" w:hAnsi="宋体" w:cs="宋体"/>
          <w:color w:val="auto"/>
          <w:kern w:val="21"/>
        </w:rPr>
        <w:t>附录</w:t>
      </w:r>
      <w:r>
        <w:rPr>
          <w:rFonts w:eastAsia="Times New Roman"/>
          <w:color w:val="auto"/>
          <w:kern w:val="21"/>
        </w:rPr>
        <w:t>D</w:t>
      </w:r>
      <w:r>
        <w:rPr>
          <w:rFonts w:ascii="宋体" w:hAnsi="宋体" w:cs="宋体"/>
          <w:color w:val="auto"/>
          <w:kern w:val="21"/>
        </w:rPr>
        <w:t>，项目大气环境敏感程度为环境低度敏感区</w:t>
      </w:r>
      <w:r>
        <w:rPr>
          <w:rFonts w:hint="eastAsia" w:ascii="宋体" w:hAnsi="宋体" w:cs="宋体"/>
          <w:color w:val="auto"/>
          <w:kern w:val="21"/>
        </w:rPr>
        <w:t>（</w:t>
      </w:r>
      <w:r>
        <w:rPr>
          <w:rFonts w:eastAsia="Times New Roman"/>
          <w:color w:val="auto"/>
          <w:kern w:val="21"/>
        </w:rPr>
        <w:t>E3</w:t>
      </w:r>
      <w:r>
        <w:rPr>
          <w:rFonts w:hint="eastAsia" w:ascii="宋体" w:hAnsi="宋体" w:cs="宋体"/>
          <w:color w:val="auto"/>
          <w:kern w:val="21"/>
        </w:rPr>
        <w:t>）；</w:t>
      </w:r>
    </w:p>
    <w:p>
      <w:pPr>
        <w:ind w:firstLine="472"/>
        <w:rPr>
          <w:rFonts w:ascii="宋体" w:hAnsi="宋体" w:cs="宋体"/>
          <w:color w:val="auto"/>
          <w:kern w:val="21"/>
        </w:rPr>
      </w:pPr>
      <w:r>
        <w:rPr>
          <w:rFonts w:hint="eastAsia" w:ascii="宋体" w:hAnsi="宋体" w:cs="宋体"/>
          <w:color w:val="auto"/>
          <w:kern w:val="21"/>
        </w:rPr>
        <w:t>（</w:t>
      </w:r>
      <w:r>
        <w:rPr>
          <w:rFonts w:eastAsia="Times New Roman"/>
          <w:color w:val="auto"/>
          <w:kern w:val="21"/>
        </w:rPr>
        <w:t>2</w:t>
      </w:r>
      <w:r>
        <w:rPr>
          <w:rFonts w:hint="eastAsia" w:ascii="宋体" w:hAnsi="宋体" w:cs="宋体"/>
          <w:color w:val="auto"/>
          <w:kern w:val="21"/>
        </w:rPr>
        <w:t>）</w:t>
      </w:r>
      <w:r>
        <w:rPr>
          <w:rFonts w:ascii="宋体" w:hAnsi="宋体" w:cs="宋体"/>
          <w:color w:val="auto"/>
          <w:kern w:val="21"/>
        </w:rPr>
        <w:t>地表水环境和地下水环境</w:t>
      </w:r>
      <w:r>
        <w:rPr>
          <w:rFonts w:hint="eastAsia" w:ascii="宋体" w:hAnsi="宋体" w:cs="宋体"/>
          <w:color w:val="auto"/>
          <w:kern w:val="21"/>
        </w:rPr>
        <w:t>：</w:t>
      </w:r>
      <w:r>
        <w:rPr>
          <w:rFonts w:ascii="宋体" w:hAnsi="宋体" w:cs="宋体"/>
          <w:color w:val="auto"/>
          <w:kern w:val="21"/>
        </w:rPr>
        <w:t>项目可能对地表水、地下水环境构成风险的物质为项目生产过程产生的污水，项目污水</w:t>
      </w:r>
      <w:r>
        <w:rPr>
          <w:rFonts w:eastAsia="Times New Roman"/>
          <w:color w:val="auto"/>
          <w:kern w:val="21"/>
        </w:rPr>
        <w:t>CODcr</w:t>
      </w:r>
      <w:r>
        <w:rPr>
          <w:rFonts w:ascii="宋体" w:hAnsi="宋体" w:cs="宋体"/>
          <w:color w:val="auto"/>
          <w:kern w:val="21"/>
        </w:rPr>
        <w:t>浓度为</w:t>
      </w:r>
      <w:r>
        <w:rPr>
          <w:rFonts w:hint="eastAsia"/>
          <w:color w:val="auto"/>
          <w:kern w:val="21"/>
        </w:rPr>
        <w:t>450</w:t>
      </w:r>
      <w:r>
        <w:rPr>
          <w:rFonts w:eastAsia="Times New Roman"/>
          <w:color w:val="auto"/>
          <w:kern w:val="21"/>
        </w:rPr>
        <w:t>mg/L</w:t>
      </w:r>
      <w:r>
        <w:rPr>
          <w:rFonts w:ascii="宋体" w:hAnsi="宋体" w:cs="宋体"/>
          <w:color w:val="auto"/>
          <w:kern w:val="21"/>
        </w:rPr>
        <w:t>，不属于《建设项目环境风险评价技术导则》</w:t>
      </w:r>
      <w:r>
        <w:rPr>
          <w:rFonts w:hint="eastAsia" w:ascii="宋体" w:hAnsi="宋体" w:cs="宋体"/>
          <w:color w:val="auto"/>
          <w:kern w:val="21"/>
        </w:rPr>
        <w:t>（</w:t>
      </w:r>
      <w:r>
        <w:rPr>
          <w:rFonts w:eastAsia="Times New Roman"/>
          <w:color w:val="auto"/>
          <w:kern w:val="21"/>
        </w:rPr>
        <w:t>HJ169-2018</w:t>
      </w:r>
      <w:r>
        <w:rPr>
          <w:rFonts w:hint="eastAsia" w:ascii="宋体" w:hAnsi="宋体" w:cs="宋体"/>
          <w:color w:val="auto"/>
          <w:kern w:val="21"/>
        </w:rPr>
        <w:t>）</w:t>
      </w:r>
      <w:r>
        <w:rPr>
          <w:rFonts w:ascii="宋体" w:hAnsi="宋体" w:cs="宋体"/>
          <w:color w:val="auto"/>
          <w:kern w:val="21"/>
        </w:rPr>
        <w:t>附录</w:t>
      </w:r>
      <w:r>
        <w:rPr>
          <w:rFonts w:eastAsia="Times New Roman"/>
          <w:color w:val="auto"/>
          <w:kern w:val="21"/>
        </w:rPr>
        <w:t>B</w:t>
      </w:r>
      <w:r>
        <w:rPr>
          <w:rFonts w:ascii="宋体" w:hAnsi="宋体" w:cs="宋体"/>
          <w:color w:val="auto"/>
          <w:kern w:val="21"/>
        </w:rPr>
        <w:t>中的</w:t>
      </w:r>
      <w:r>
        <w:rPr>
          <w:rFonts w:eastAsia="Times New Roman"/>
          <w:color w:val="auto"/>
          <w:kern w:val="21"/>
        </w:rPr>
        <w:t>“CODcr</w:t>
      </w:r>
      <w:r>
        <w:rPr>
          <w:rFonts w:ascii="宋体" w:hAnsi="宋体" w:cs="宋体"/>
          <w:color w:val="auto"/>
          <w:kern w:val="21"/>
        </w:rPr>
        <w:t>浓度</w:t>
      </w:r>
      <w:r>
        <w:rPr>
          <w:rFonts w:eastAsia="Times New Roman"/>
          <w:color w:val="auto"/>
          <w:kern w:val="21"/>
        </w:rPr>
        <w:t>≥10000mg/L</w:t>
      </w:r>
      <w:r>
        <w:rPr>
          <w:rFonts w:ascii="宋体" w:hAnsi="宋体" w:cs="宋体"/>
          <w:color w:val="auto"/>
          <w:kern w:val="21"/>
        </w:rPr>
        <w:t>的有机废液</w:t>
      </w:r>
      <w:r>
        <w:rPr>
          <w:rFonts w:eastAsia="Times New Roman"/>
          <w:color w:val="auto"/>
          <w:kern w:val="21"/>
        </w:rPr>
        <w:t>”</w:t>
      </w:r>
      <w:r>
        <w:rPr>
          <w:rFonts w:ascii="宋体" w:hAnsi="宋体" w:cs="宋体"/>
          <w:color w:val="auto"/>
          <w:kern w:val="21"/>
        </w:rPr>
        <w:t>，也不属于附录</w:t>
      </w:r>
      <w:r>
        <w:rPr>
          <w:rFonts w:eastAsia="Times New Roman"/>
          <w:color w:val="auto"/>
          <w:kern w:val="21"/>
        </w:rPr>
        <w:t>B</w:t>
      </w:r>
      <w:r>
        <w:rPr>
          <w:rFonts w:ascii="宋体" w:hAnsi="宋体" w:cs="宋体"/>
          <w:color w:val="auto"/>
          <w:kern w:val="21"/>
        </w:rPr>
        <w:t>中的</w:t>
      </w:r>
      <w:r>
        <w:rPr>
          <w:rFonts w:eastAsia="Times New Roman"/>
          <w:color w:val="auto"/>
          <w:kern w:val="21"/>
        </w:rPr>
        <w:t>“</w:t>
      </w:r>
      <w:r>
        <w:rPr>
          <w:rFonts w:ascii="宋体" w:hAnsi="宋体" w:cs="宋体"/>
          <w:color w:val="auto"/>
          <w:kern w:val="21"/>
        </w:rPr>
        <w:t>危害水环境物质</w:t>
      </w:r>
      <w:r>
        <w:rPr>
          <w:rFonts w:eastAsia="Times New Roman"/>
          <w:color w:val="auto"/>
          <w:kern w:val="21"/>
        </w:rPr>
        <w:t>”</w:t>
      </w:r>
      <w:r>
        <w:rPr>
          <w:rFonts w:ascii="宋体" w:hAnsi="宋体" w:cs="宋体"/>
          <w:color w:val="auto"/>
          <w:kern w:val="21"/>
        </w:rPr>
        <w:t>即项目污水不属于导则规定的</w:t>
      </w:r>
      <w:r>
        <w:rPr>
          <w:rFonts w:eastAsia="Times New Roman"/>
          <w:color w:val="auto"/>
          <w:kern w:val="21"/>
        </w:rPr>
        <w:t>“</w:t>
      </w:r>
      <w:r>
        <w:rPr>
          <w:rFonts w:ascii="宋体" w:hAnsi="宋体" w:cs="宋体"/>
          <w:color w:val="auto"/>
          <w:kern w:val="21"/>
        </w:rPr>
        <w:t>突发环境事件风险物质</w:t>
      </w:r>
      <w:r>
        <w:rPr>
          <w:rFonts w:eastAsia="Times New Roman"/>
          <w:color w:val="auto"/>
          <w:kern w:val="21"/>
        </w:rPr>
        <w:t>”</w:t>
      </w:r>
      <w:r>
        <w:rPr>
          <w:rFonts w:ascii="宋体" w:hAnsi="宋体" w:cs="宋体"/>
          <w:color w:val="auto"/>
          <w:kern w:val="21"/>
        </w:rPr>
        <w:t>。</w:t>
      </w:r>
    </w:p>
    <w:p>
      <w:pPr>
        <w:ind w:firstLine="472"/>
        <w:rPr>
          <w:rFonts w:ascii="宋体" w:hAnsi="宋体" w:cs="宋体"/>
          <w:color w:val="auto"/>
          <w:kern w:val="21"/>
        </w:rPr>
      </w:pPr>
      <w:r>
        <w:rPr>
          <w:rFonts w:ascii="宋体" w:hAnsi="宋体" w:cs="宋体"/>
          <w:color w:val="auto"/>
          <w:kern w:val="21"/>
        </w:rPr>
        <w:t>综上所述，项目风险潜势</w:t>
      </w:r>
      <w:r>
        <w:rPr>
          <w:rFonts w:hint="eastAsia" w:ascii="宋体" w:hAnsi="宋体" w:cs="宋体"/>
          <w:color w:val="auto"/>
          <w:kern w:val="21"/>
          <w:lang w:eastAsia="zh-CN"/>
        </w:rPr>
        <w:t>判定为</w:t>
      </w:r>
      <w:r>
        <w:rPr>
          <w:rFonts w:ascii="宋体" w:hAnsi="宋体" w:cs="宋体"/>
          <w:color w:val="auto"/>
          <w:kern w:val="21"/>
        </w:rPr>
        <w:t>为Ⅰ。</w:t>
      </w:r>
    </w:p>
    <w:p>
      <w:pPr>
        <w:ind w:firstLine="472"/>
        <w:rPr>
          <w:rFonts w:hint="eastAsia" w:ascii="宋体" w:hAnsi="宋体" w:eastAsia="宋体" w:cs="宋体"/>
          <w:b/>
          <w:bCs/>
          <w:color w:val="auto"/>
          <w:kern w:val="21"/>
          <w:lang w:val="en-US" w:eastAsia="zh-CN"/>
        </w:rPr>
      </w:pPr>
      <w:r>
        <w:rPr>
          <w:rFonts w:hint="eastAsia" w:ascii="宋体" w:hAnsi="宋体" w:cs="宋体"/>
          <w:b/>
          <w:bCs/>
          <w:color w:val="auto"/>
          <w:kern w:val="21"/>
          <w:lang w:val="en-US" w:eastAsia="zh-CN"/>
        </w:rPr>
        <w:t>4、评价等级</w:t>
      </w:r>
    </w:p>
    <w:p>
      <w:pPr>
        <w:ind w:firstLine="472"/>
        <w:rPr>
          <w:rFonts w:ascii="宋体" w:hAnsi="宋体" w:cs="宋体"/>
          <w:color w:val="auto"/>
          <w:kern w:val="21"/>
        </w:rPr>
      </w:pPr>
      <w:r>
        <w:rPr>
          <w:rFonts w:ascii="宋体" w:hAnsi="宋体" w:cs="宋体"/>
          <w:color w:val="auto"/>
          <w:kern w:val="21"/>
        </w:rPr>
        <w:t>根据《建设项目环境风险评价技术导则》</w:t>
      </w:r>
      <w:r>
        <w:rPr>
          <w:rFonts w:hint="eastAsia" w:ascii="宋体" w:hAnsi="宋体" w:cs="宋体"/>
          <w:color w:val="auto"/>
          <w:kern w:val="21"/>
        </w:rPr>
        <w:t>（</w:t>
      </w:r>
      <w:r>
        <w:rPr>
          <w:rFonts w:ascii="宋体" w:hAnsi="宋体" w:cs="宋体"/>
          <w:color w:val="auto"/>
          <w:kern w:val="21"/>
        </w:rPr>
        <w:t>HJ169-2018</w:t>
      </w:r>
      <w:r>
        <w:rPr>
          <w:rFonts w:hint="eastAsia" w:ascii="宋体" w:hAnsi="宋体" w:cs="宋体"/>
          <w:color w:val="auto"/>
          <w:kern w:val="21"/>
        </w:rPr>
        <w:t>）</w:t>
      </w:r>
      <w:r>
        <w:rPr>
          <w:rFonts w:ascii="宋体" w:hAnsi="宋体" w:cs="宋体"/>
          <w:color w:val="auto"/>
          <w:kern w:val="21"/>
        </w:rPr>
        <w:t>中环境风险评价工作等级判别方法，本项目环境风险评价工作等级判定具体见下表。</w:t>
      </w:r>
    </w:p>
    <w:p>
      <w:pPr>
        <w:pStyle w:val="180"/>
        <w:widowControl/>
        <w:numPr>
          <w:ilvl w:val="0"/>
          <w:numId w:val="15"/>
        </w:numPr>
        <w:autoSpaceDE w:val="0"/>
        <w:adjustRightInd w:val="0"/>
        <w:snapToGrid w:val="0"/>
        <w:spacing w:line="360" w:lineRule="auto"/>
        <w:ind w:left="0" w:leftChars="0" w:firstLine="0" w:firstLineChars="0"/>
        <w:jc w:val="center"/>
        <w:textAlignment w:val="baseline"/>
        <w:rPr>
          <w:rFonts w:ascii="宋体" w:hAnsi="宋体" w:cs="宋体"/>
          <w:b/>
          <w:bCs/>
          <w:color w:val="auto"/>
          <w:kern w:val="21"/>
          <w:sz w:val="24"/>
          <w:szCs w:val="24"/>
        </w:rPr>
      </w:pPr>
      <w:r>
        <w:rPr>
          <w:rFonts w:ascii="宋体" w:hAnsi="宋体" w:cs="宋体"/>
          <w:b/>
          <w:bCs/>
          <w:color w:val="auto"/>
          <w:kern w:val="21"/>
          <w:sz w:val="24"/>
          <w:szCs w:val="24"/>
        </w:rPr>
        <w:t>环境风险评价工作等级判别</w:t>
      </w:r>
    </w:p>
    <w:tbl>
      <w:tblPr>
        <w:tblStyle w:val="51"/>
        <w:tblW w:w="89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6"/>
        <w:gridCol w:w="1598"/>
        <w:gridCol w:w="1752"/>
        <w:gridCol w:w="1750"/>
        <w:gridCol w:w="18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197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环境风险潜势</w:t>
            </w:r>
          </w:p>
        </w:tc>
        <w:tc>
          <w:tcPr>
            <w:tcW w:w="1598"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IV、IV+</w:t>
            </w:r>
          </w:p>
        </w:tc>
        <w:tc>
          <w:tcPr>
            <w:tcW w:w="175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III</w:t>
            </w:r>
          </w:p>
        </w:tc>
        <w:tc>
          <w:tcPr>
            <w:tcW w:w="175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II</w:t>
            </w:r>
          </w:p>
        </w:tc>
        <w:tc>
          <w:tcPr>
            <w:tcW w:w="1871"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1976"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评价工作等级</w:t>
            </w:r>
          </w:p>
        </w:tc>
        <w:tc>
          <w:tcPr>
            <w:tcW w:w="1598"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一</w:t>
            </w:r>
          </w:p>
        </w:tc>
        <w:tc>
          <w:tcPr>
            <w:tcW w:w="1752"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二</w:t>
            </w:r>
          </w:p>
        </w:tc>
        <w:tc>
          <w:tcPr>
            <w:tcW w:w="1750"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三</w:t>
            </w:r>
          </w:p>
        </w:tc>
        <w:tc>
          <w:tcPr>
            <w:tcW w:w="1871" w:type="dxa"/>
            <w:vAlign w:val="center"/>
          </w:tcPr>
          <w:p>
            <w:pPr>
              <w:widowControl/>
              <w:kinsoku w:val="0"/>
              <w:autoSpaceDE w:val="0"/>
              <w:autoSpaceDN w:val="0"/>
              <w:adjustRightInd w:val="0"/>
              <w:snapToGrid w:val="0"/>
              <w:spacing w:line="240" w:lineRule="auto"/>
              <w:ind w:firstLine="0" w:firstLineChars="0"/>
              <w:jc w:val="center"/>
              <w:textAlignment w:val="baseline"/>
              <w:rPr>
                <w:color w:val="auto"/>
                <w:kern w:val="21"/>
                <w:sz w:val="21"/>
                <w:szCs w:val="21"/>
              </w:rPr>
            </w:pPr>
            <w:r>
              <w:rPr>
                <w:color w:val="auto"/>
                <w:kern w:val="21"/>
                <w:sz w:val="21"/>
                <w:szCs w:val="21"/>
              </w:rPr>
              <w:t>简单分析a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8947" w:type="dxa"/>
            <w:gridSpan w:val="5"/>
            <w:vAlign w:val="center"/>
          </w:tcPr>
          <w:p>
            <w:pPr>
              <w:widowControl/>
              <w:kinsoku w:val="0"/>
              <w:autoSpaceDE w:val="0"/>
              <w:autoSpaceDN w:val="0"/>
              <w:adjustRightInd w:val="0"/>
              <w:snapToGrid w:val="0"/>
              <w:spacing w:line="240" w:lineRule="auto"/>
              <w:ind w:firstLine="0" w:firstLineChars="0"/>
              <w:textAlignment w:val="baseline"/>
              <w:rPr>
                <w:color w:val="auto"/>
                <w:kern w:val="21"/>
                <w:sz w:val="21"/>
                <w:szCs w:val="21"/>
              </w:rPr>
            </w:pPr>
            <w:r>
              <w:rPr>
                <w:color w:val="auto"/>
                <w:kern w:val="21"/>
                <w:sz w:val="21"/>
                <w:szCs w:val="21"/>
              </w:rPr>
              <w:t>a是相对于详细评价工作内容而言，在描述危险物质、环境影响途经、环境危害后果、风险防范措施等方面给出定性的说明。见导则附录A。</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auto"/>
        <w:rPr>
          <w:bCs/>
          <w:color w:val="auto"/>
          <w:kern w:val="21"/>
        </w:rPr>
      </w:pPr>
      <w:r>
        <w:rPr>
          <w:rFonts w:ascii="宋体" w:hAnsi="宋体" w:cs="宋体"/>
          <w:color w:val="auto"/>
          <w:kern w:val="21"/>
        </w:rPr>
        <w:t>根据上表环境风险评价工作等级判别依据，本项目环境风险评价工作等级为简单分析。</w:t>
      </w:r>
    </w:p>
    <w:p>
      <w:pPr>
        <w:widowControl/>
        <w:topLinePunct/>
        <w:autoSpaceDE w:val="0"/>
        <w:adjustRightInd w:val="0"/>
        <w:snapToGrid w:val="0"/>
        <w:ind w:firstLine="0" w:firstLineChars="0"/>
        <w:outlineLvl w:val="1"/>
        <w:rPr>
          <w:b/>
          <w:bCs/>
          <w:color w:val="auto"/>
          <w:kern w:val="21"/>
          <w:sz w:val="28"/>
          <w:szCs w:val="28"/>
        </w:rPr>
      </w:pPr>
      <w:bookmarkStart w:id="293" w:name="_Toc12321"/>
      <w:r>
        <w:rPr>
          <w:rFonts w:hint="eastAsia"/>
          <w:b/>
          <w:bCs/>
          <w:color w:val="auto"/>
          <w:kern w:val="21"/>
          <w:sz w:val="28"/>
          <w:szCs w:val="28"/>
        </w:rPr>
        <w:t>6</w:t>
      </w:r>
      <w:r>
        <w:rPr>
          <w:b/>
          <w:bCs/>
          <w:color w:val="auto"/>
          <w:kern w:val="21"/>
          <w:sz w:val="28"/>
          <w:szCs w:val="28"/>
        </w:rPr>
        <w:t>.</w:t>
      </w:r>
      <w:r>
        <w:rPr>
          <w:rFonts w:hint="eastAsia"/>
          <w:b/>
          <w:bCs/>
          <w:color w:val="auto"/>
          <w:kern w:val="21"/>
          <w:sz w:val="28"/>
          <w:szCs w:val="28"/>
          <w:lang w:val="en-US" w:eastAsia="zh-CN"/>
        </w:rPr>
        <w:t>3</w:t>
      </w:r>
      <w:r>
        <w:rPr>
          <w:b/>
          <w:bCs/>
          <w:color w:val="auto"/>
          <w:kern w:val="21"/>
          <w:sz w:val="28"/>
          <w:szCs w:val="28"/>
        </w:rPr>
        <w:t>环境风险识别</w:t>
      </w:r>
      <w:bookmarkEnd w:id="293"/>
    </w:p>
    <w:p>
      <w:pPr>
        <w:widowControl/>
        <w:topLinePunct/>
        <w:autoSpaceDE w:val="0"/>
        <w:adjustRightInd w:val="0"/>
        <w:snapToGrid w:val="0"/>
        <w:ind w:firstLine="480"/>
        <w:rPr>
          <w:color w:val="auto"/>
          <w:kern w:val="21"/>
        </w:rPr>
      </w:pPr>
      <w:r>
        <w:rPr>
          <w:color w:val="auto"/>
          <w:kern w:val="21"/>
        </w:rPr>
        <w:t>项目风险识别的范围主要涉及项目污水处理过程、储运、公用工程以及环保工程等环节。本次环评根据《危险化学品重大危险源辨识》（GB18218-2018），对本项目主要危险源、有害因素进行辨识：</w:t>
      </w:r>
    </w:p>
    <w:p>
      <w:pPr>
        <w:widowControl/>
        <w:topLinePunct/>
        <w:autoSpaceDE w:val="0"/>
        <w:adjustRightInd w:val="0"/>
        <w:snapToGrid w:val="0"/>
        <w:ind w:firstLine="0" w:firstLineChars="0"/>
        <w:outlineLvl w:val="2"/>
        <w:rPr>
          <w:rFonts w:hint="eastAsia"/>
          <w:b/>
          <w:bCs/>
          <w:color w:val="auto"/>
          <w:kern w:val="21"/>
        </w:rPr>
      </w:pPr>
      <w:bookmarkStart w:id="294" w:name="_Toc15152"/>
      <w:r>
        <w:rPr>
          <w:rFonts w:hint="eastAsia"/>
          <w:b/>
          <w:bCs/>
          <w:color w:val="auto"/>
          <w:kern w:val="21"/>
          <w:lang w:val="en-US" w:eastAsia="zh-CN"/>
        </w:rPr>
        <w:t>6.3.1</w:t>
      </w:r>
      <w:r>
        <w:rPr>
          <w:rFonts w:hint="eastAsia"/>
          <w:b/>
          <w:bCs/>
          <w:color w:val="auto"/>
          <w:kern w:val="21"/>
        </w:rPr>
        <w:t>物质</w:t>
      </w:r>
      <w:r>
        <w:rPr>
          <w:rFonts w:hint="eastAsia"/>
          <w:b/>
          <w:bCs/>
          <w:color w:val="auto"/>
          <w:kern w:val="21"/>
          <w:lang w:eastAsia="zh-CN"/>
        </w:rPr>
        <w:t>风险性</w:t>
      </w:r>
      <w:r>
        <w:rPr>
          <w:rFonts w:hint="eastAsia"/>
          <w:b/>
          <w:bCs/>
          <w:color w:val="auto"/>
          <w:kern w:val="21"/>
        </w:rPr>
        <w:t>识别</w:t>
      </w:r>
      <w:bookmarkEnd w:id="294"/>
    </w:p>
    <w:p>
      <w:pPr>
        <w:widowControl/>
        <w:topLinePunct/>
        <w:autoSpaceDE w:val="0"/>
        <w:adjustRightInd w:val="0"/>
        <w:snapToGrid w:val="0"/>
        <w:ind w:firstLine="480"/>
        <w:rPr>
          <w:color w:val="auto"/>
          <w:kern w:val="21"/>
        </w:rPr>
      </w:pPr>
      <w:r>
        <w:rPr>
          <w:color w:val="auto"/>
          <w:kern w:val="21"/>
        </w:rPr>
        <w:t>根据本项目的实际情况，对照《建设项目环境风险评价技术导则》（HJ169-2018），从项目主要原辅材料、燃料、中间产品、副产品、最终产品、污染物、火灾和爆炸伴生次生物等方面识别，项目涉及到的</w:t>
      </w:r>
      <w:r>
        <w:rPr>
          <w:rFonts w:hint="eastAsia"/>
          <w:color w:val="auto"/>
          <w:kern w:val="21"/>
          <w:lang w:eastAsia="zh-CN"/>
        </w:rPr>
        <w:t>主要</w:t>
      </w:r>
      <w:r>
        <w:rPr>
          <w:color w:val="auto"/>
          <w:kern w:val="21"/>
        </w:rPr>
        <w:t>风险物质</w:t>
      </w:r>
      <w:r>
        <w:rPr>
          <w:rFonts w:hint="eastAsia"/>
          <w:color w:val="auto"/>
          <w:kern w:val="21"/>
        </w:rPr>
        <w:t>为</w:t>
      </w:r>
      <w:r>
        <w:rPr>
          <w:color w:val="auto"/>
          <w:kern w:val="21"/>
        </w:rPr>
        <w:t>次氯酸钠。</w:t>
      </w:r>
    </w:p>
    <w:p>
      <w:pPr>
        <w:pStyle w:val="180"/>
        <w:widowControl/>
        <w:numPr>
          <w:ilvl w:val="0"/>
          <w:numId w:val="15"/>
        </w:numPr>
        <w:autoSpaceDE w:val="0"/>
        <w:adjustRightInd w:val="0"/>
        <w:snapToGrid w:val="0"/>
        <w:spacing w:line="360" w:lineRule="auto"/>
        <w:ind w:left="0" w:leftChars="0" w:firstLine="0" w:firstLineChars="0"/>
        <w:jc w:val="center"/>
        <w:textAlignment w:val="baseline"/>
        <w:rPr>
          <w:rFonts w:hint="eastAsia"/>
          <w:b/>
          <w:bCs/>
          <w:color w:val="auto"/>
          <w:kern w:val="21"/>
          <w:sz w:val="24"/>
          <w:szCs w:val="24"/>
          <w:lang w:eastAsia="zh-CN"/>
        </w:rPr>
      </w:pPr>
      <w:r>
        <w:rPr>
          <w:rFonts w:hint="eastAsia" w:ascii="宋体" w:hAnsi="宋体" w:cs="宋体"/>
          <w:b/>
          <w:bCs/>
          <w:color w:val="auto"/>
          <w:kern w:val="21"/>
          <w:sz w:val="24"/>
          <w:szCs w:val="24"/>
          <w:lang w:eastAsia="zh-CN"/>
        </w:rPr>
        <w:t>危险</w:t>
      </w:r>
      <w:r>
        <w:rPr>
          <w:rFonts w:hint="eastAsia"/>
          <w:b/>
          <w:bCs/>
          <w:color w:val="auto"/>
          <w:kern w:val="21"/>
          <w:sz w:val="24"/>
          <w:szCs w:val="24"/>
          <w:lang w:eastAsia="zh-CN"/>
        </w:rPr>
        <w:t>物质特性及分布单元</w:t>
      </w:r>
    </w:p>
    <w:tbl>
      <w:tblPr>
        <w:tblStyle w:val="51"/>
        <w:tblW w:w="6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9"/>
        <w:gridCol w:w="1844"/>
        <w:gridCol w:w="1889"/>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919" w:type="dxa"/>
            <w:shd w:val="clear" w:color="auto" w:fill="auto"/>
            <w:noWrap w:val="0"/>
            <w:vAlign w:val="center"/>
          </w:tcPr>
          <w:p>
            <w:pPr>
              <w:pStyle w:val="199"/>
              <w:rPr>
                <w:color w:val="auto"/>
              </w:rPr>
            </w:pPr>
            <w:r>
              <w:rPr>
                <w:color w:val="auto"/>
              </w:rPr>
              <w:t>序号</w:t>
            </w:r>
          </w:p>
        </w:tc>
        <w:tc>
          <w:tcPr>
            <w:tcW w:w="1844" w:type="dxa"/>
            <w:shd w:val="clear" w:color="auto" w:fill="auto"/>
            <w:noWrap w:val="0"/>
            <w:vAlign w:val="center"/>
          </w:tcPr>
          <w:p>
            <w:pPr>
              <w:pStyle w:val="199"/>
              <w:rPr>
                <w:rFonts w:hint="eastAsia" w:eastAsia="宋体"/>
                <w:color w:val="auto"/>
                <w:lang w:eastAsia="zh-CN"/>
              </w:rPr>
            </w:pPr>
            <w:r>
              <w:rPr>
                <w:rFonts w:hint="eastAsia"/>
                <w:color w:val="auto"/>
                <w:lang w:eastAsia="zh-CN"/>
              </w:rPr>
              <w:t>危险物质名称</w:t>
            </w:r>
          </w:p>
        </w:tc>
        <w:tc>
          <w:tcPr>
            <w:tcW w:w="1889" w:type="dxa"/>
            <w:shd w:val="clear" w:color="auto" w:fill="auto"/>
            <w:noWrap w:val="0"/>
            <w:vAlign w:val="center"/>
          </w:tcPr>
          <w:p>
            <w:pPr>
              <w:pStyle w:val="199"/>
              <w:rPr>
                <w:rFonts w:hint="eastAsia" w:eastAsia="宋体"/>
                <w:color w:val="auto"/>
                <w:lang w:eastAsia="zh-CN"/>
              </w:rPr>
            </w:pPr>
            <w:r>
              <w:rPr>
                <w:rFonts w:hint="eastAsia"/>
                <w:color w:val="auto"/>
                <w:lang w:eastAsia="zh-CN"/>
              </w:rPr>
              <w:t>危险物质特性</w:t>
            </w:r>
          </w:p>
        </w:tc>
        <w:tc>
          <w:tcPr>
            <w:tcW w:w="1889" w:type="dxa"/>
            <w:shd w:val="clear" w:color="auto" w:fill="auto"/>
            <w:noWrap w:val="0"/>
            <w:vAlign w:val="center"/>
          </w:tcPr>
          <w:p>
            <w:pPr>
              <w:pStyle w:val="199"/>
              <w:rPr>
                <w:rFonts w:hint="eastAsia" w:eastAsia="宋体"/>
                <w:color w:val="auto"/>
                <w:lang w:eastAsia="zh-CN"/>
              </w:rPr>
            </w:pPr>
            <w:r>
              <w:rPr>
                <w:rFonts w:hint="eastAsia"/>
                <w:color w:val="auto"/>
                <w:lang w:eastAsia="zh-CN"/>
              </w:rPr>
              <w:t>分布位置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19" w:type="dxa"/>
            <w:shd w:val="clear" w:color="auto" w:fill="auto"/>
            <w:noWrap w:val="0"/>
            <w:vAlign w:val="center"/>
          </w:tcPr>
          <w:p>
            <w:pPr>
              <w:pStyle w:val="199"/>
              <w:rPr>
                <w:rFonts w:hint="eastAsia" w:eastAsia="宋体"/>
                <w:color w:val="auto"/>
                <w:lang w:val="en-US" w:eastAsia="zh-CN"/>
              </w:rPr>
            </w:pPr>
            <w:r>
              <w:rPr>
                <w:rFonts w:hint="eastAsia"/>
                <w:color w:val="auto"/>
                <w:lang w:val="en-US" w:eastAsia="zh-CN"/>
              </w:rPr>
              <w:t>1</w:t>
            </w:r>
          </w:p>
        </w:tc>
        <w:tc>
          <w:tcPr>
            <w:tcW w:w="1844" w:type="dxa"/>
            <w:shd w:val="clear" w:color="auto" w:fill="auto"/>
            <w:noWrap w:val="0"/>
            <w:vAlign w:val="center"/>
          </w:tcPr>
          <w:p>
            <w:pPr>
              <w:pStyle w:val="199"/>
              <w:rPr>
                <w:rFonts w:hint="eastAsia"/>
                <w:color w:val="auto"/>
                <w:lang w:eastAsia="zh-CN"/>
              </w:rPr>
            </w:pPr>
            <w:r>
              <w:rPr>
                <w:rFonts w:hint="eastAsia"/>
                <w:color w:val="auto"/>
                <w:lang w:eastAsia="zh-CN"/>
              </w:rPr>
              <w:t>次氯酸钠</w:t>
            </w:r>
          </w:p>
        </w:tc>
        <w:tc>
          <w:tcPr>
            <w:tcW w:w="1889" w:type="dxa"/>
            <w:shd w:val="clear" w:color="auto" w:fill="auto"/>
            <w:noWrap w:val="0"/>
            <w:vAlign w:val="center"/>
          </w:tcPr>
          <w:p>
            <w:pPr>
              <w:pStyle w:val="199"/>
              <w:rPr>
                <w:rFonts w:hint="eastAsia"/>
                <w:color w:val="auto"/>
                <w:lang w:eastAsia="zh-CN"/>
              </w:rPr>
            </w:pPr>
            <w:r>
              <w:rPr>
                <w:rFonts w:hint="eastAsia"/>
                <w:color w:val="auto"/>
                <w:lang w:eastAsia="zh-CN"/>
              </w:rPr>
              <w:t>有毒有害（腐蚀性）</w:t>
            </w:r>
          </w:p>
        </w:tc>
        <w:tc>
          <w:tcPr>
            <w:tcW w:w="1889" w:type="dxa"/>
            <w:shd w:val="clear" w:color="auto" w:fill="auto"/>
            <w:noWrap w:val="0"/>
            <w:vAlign w:val="center"/>
          </w:tcPr>
          <w:p>
            <w:pPr>
              <w:pStyle w:val="199"/>
              <w:rPr>
                <w:rFonts w:hint="default"/>
                <w:color w:val="auto"/>
                <w:lang w:val="en-US" w:eastAsia="zh-CN"/>
              </w:rPr>
            </w:pPr>
            <w:r>
              <w:rPr>
                <w:rFonts w:hint="eastAsia"/>
                <w:color w:val="auto"/>
                <w:lang w:val="en-US" w:eastAsia="zh-CN"/>
              </w:rPr>
              <w:t>MBR膜池及设备间</w:t>
            </w:r>
          </w:p>
        </w:tc>
      </w:tr>
    </w:tbl>
    <w:p>
      <w:pPr>
        <w:widowControl/>
        <w:topLinePunct/>
        <w:autoSpaceDE w:val="0"/>
        <w:adjustRightInd w:val="0"/>
        <w:snapToGrid w:val="0"/>
        <w:ind w:firstLine="0" w:firstLineChars="0"/>
        <w:outlineLvl w:val="2"/>
        <w:rPr>
          <w:rFonts w:hint="eastAsia"/>
          <w:b/>
          <w:bCs/>
          <w:color w:val="auto"/>
          <w:kern w:val="21"/>
          <w:lang w:val="en-US" w:eastAsia="zh-CN"/>
        </w:rPr>
      </w:pPr>
      <w:bookmarkStart w:id="295" w:name="_Toc17114"/>
      <w:r>
        <w:rPr>
          <w:rFonts w:hint="eastAsia"/>
          <w:b/>
          <w:bCs/>
          <w:color w:val="auto"/>
          <w:kern w:val="21"/>
          <w:lang w:val="en-US" w:eastAsia="zh-CN"/>
        </w:rPr>
        <w:t>6.3.2生产系统危险性识别</w:t>
      </w:r>
      <w:bookmarkEnd w:id="295"/>
    </w:p>
    <w:p>
      <w:pPr>
        <w:widowControl/>
        <w:topLinePunct/>
        <w:autoSpaceDE w:val="0"/>
        <w:adjustRightInd w:val="0"/>
        <w:snapToGrid w:val="0"/>
        <w:ind w:firstLine="480"/>
        <w:rPr>
          <w:rFonts w:hint="default"/>
          <w:color w:val="auto"/>
          <w:kern w:val="21"/>
          <w:lang w:val="en-US" w:eastAsia="zh-CN"/>
        </w:rPr>
      </w:pPr>
      <w:r>
        <w:rPr>
          <w:color w:val="auto"/>
          <w:kern w:val="21"/>
        </w:rPr>
        <w:t>按照《建设项目环境风险评价技术导则》（HJ169-2018）中表C.1评估生产工艺情况</w:t>
      </w:r>
      <w:r>
        <w:rPr>
          <w:rFonts w:hint="eastAsia"/>
          <w:color w:val="auto"/>
          <w:kern w:val="21"/>
          <w:lang w:eastAsia="zh-CN"/>
        </w:rPr>
        <w:t>，</w:t>
      </w:r>
      <w:r>
        <w:rPr>
          <w:color w:val="auto"/>
          <w:kern w:val="21"/>
        </w:rPr>
        <w:t>项目不涉及高温高压设备，</w:t>
      </w:r>
      <w:r>
        <w:rPr>
          <w:rFonts w:hint="eastAsia"/>
          <w:color w:val="auto"/>
          <w:kern w:val="21"/>
          <w:lang w:eastAsia="zh-CN"/>
        </w:rPr>
        <w:t>结合项目平面布置情况及物质危险性的识别结果确定，本项目危险单元为</w:t>
      </w:r>
      <w:r>
        <w:rPr>
          <w:rFonts w:hint="eastAsia"/>
          <w:color w:val="auto"/>
          <w:kern w:val="21"/>
          <w:lang w:val="en-US" w:eastAsia="zh-CN"/>
        </w:rPr>
        <w:t>MBR膜池及设备间，风险源为次氯酸钠。</w:t>
      </w:r>
    </w:p>
    <w:p>
      <w:pPr>
        <w:pStyle w:val="180"/>
        <w:widowControl/>
        <w:numPr>
          <w:ilvl w:val="0"/>
          <w:numId w:val="15"/>
        </w:numPr>
        <w:autoSpaceDE w:val="0"/>
        <w:adjustRightInd w:val="0"/>
        <w:snapToGrid w:val="0"/>
        <w:spacing w:line="360" w:lineRule="auto"/>
        <w:ind w:left="0" w:leftChars="0" w:firstLine="0" w:firstLineChars="0"/>
        <w:jc w:val="center"/>
        <w:textAlignment w:val="baseline"/>
        <w:rPr>
          <w:rFonts w:hint="eastAsia"/>
          <w:b/>
          <w:bCs/>
          <w:color w:val="auto"/>
          <w:kern w:val="21"/>
          <w:sz w:val="24"/>
          <w:szCs w:val="24"/>
          <w:lang w:eastAsia="zh-CN"/>
        </w:rPr>
      </w:pPr>
      <w:r>
        <w:rPr>
          <w:rFonts w:hint="eastAsia"/>
          <w:b/>
          <w:bCs/>
          <w:color w:val="auto"/>
          <w:kern w:val="21"/>
          <w:sz w:val="24"/>
          <w:szCs w:val="24"/>
          <w:lang w:eastAsia="zh-CN"/>
        </w:rPr>
        <w:t>危险</w:t>
      </w:r>
      <w:r>
        <w:rPr>
          <w:rFonts w:hint="eastAsia" w:ascii="宋体" w:hAnsi="宋体" w:cs="宋体"/>
          <w:b/>
          <w:bCs/>
          <w:color w:val="auto"/>
          <w:kern w:val="21"/>
          <w:sz w:val="24"/>
          <w:szCs w:val="24"/>
          <w:lang w:eastAsia="zh-CN"/>
        </w:rPr>
        <w:t>单元</w:t>
      </w:r>
      <w:r>
        <w:rPr>
          <w:rFonts w:hint="eastAsia"/>
          <w:b/>
          <w:bCs/>
          <w:color w:val="auto"/>
          <w:kern w:val="21"/>
          <w:sz w:val="24"/>
          <w:szCs w:val="24"/>
          <w:lang w:eastAsia="zh-CN"/>
        </w:rPr>
        <w:t>划分结果及危险物质最大存在量</w:t>
      </w:r>
    </w:p>
    <w:tbl>
      <w:tblPr>
        <w:tblStyle w:val="51"/>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9"/>
        <w:gridCol w:w="1844"/>
        <w:gridCol w:w="1889"/>
        <w:gridCol w:w="1889"/>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919" w:type="dxa"/>
            <w:shd w:val="clear" w:color="auto" w:fill="auto"/>
            <w:noWrap w:val="0"/>
            <w:vAlign w:val="center"/>
          </w:tcPr>
          <w:p>
            <w:pPr>
              <w:pStyle w:val="199"/>
              <w:rPr>
                <w:color w:val="auto"/>
              </w:rPr>
            </w:pPr>
            <w:r>
              <w:rPr>
                <w:color w:val="auto"/>
              </w:rPr>
              <w:t>序号</w:t>
            </w:r>
          </w:p>
        </w:tc>
        <w:tc>
          <w:tcPr>
            <w:tcW w:w="1844" w:type="dxa"/>
            <w:shd w:val="clear" w:color="auto" w:fill="auto"/>
            <w:noWrap w:val="0"/>
            <w:vAlign w:val="center"/>
          </w:tcPr>
          <w:p>
            <w:pPr>
              <w:pStyle w:val="199"/>
              <w:rPr>
                <w:rFonts w:hint="eastAsia" w:eastAsia="宋体"/>
                <w:color w:val="auto"/>
                <w:lang w:eastAsia="zh-CN"/>
              </w:rPr>
            </w:pPr>
            <w:r>
              <w:rPr>
                <w:rFonts w:hint="eastAsia"/>
                <w:color w:val="auto"/>
                <w:lang w:eastAsia="zh-CN"/>
              </w:rPr>
              <w:t>危险物质名称</w:t>
            </w:r>
          </w:p>
        </w:tc>
        <w:tc>
          <w:tcPr>
            <w:tcW w:w="1889" w:type="dxa"/>
            <w:shd w:val="clear" w:color="auto" w:fill="auto"/>
            <w:noWrap w:val="0"/>
            <w:vAlign w:val="center"/>
          </w:tcPr>
          <w:p>
            <w:pPr>
              <w:pStyle w:val="199"/>
              <w:rPr>
                <w:rFonts w:hint="default" w:eastAsia="宋体"/>
                <w:color w:val="auto"/>
                <w:lang w:val="en-US" w:eastAsia="zh-CN"/>
              </w:rPr>
            </w:pPr>
            <w:r>
              <w:rPr>
                <w:rFonts w:hint="eastAsia"/>
                <w:color w:val="auto"/>
                <w:lang w:eastAsia="zh-CN"/>
              </w:rPr>
              <w:t>储存数量</w:t>
            </w:r>
            <w:r>
              <w:rPr>
                <w:rFonts w:hint="eastAsia"/>
                <w:color w:val="auto"/>
                <w:lang w:val="en-US" w:eastAsia="zh-CN"/>
              </w:rPr>
              <w:t>t</w:t>
            </w:r>
          </w:p>
        </w:tc>
        <w:tc>
          <w:tcPr>
            <w:tcW w:w="1889" w:type="dxa"/>
            <w:shd w:val="clear" w:color="auto" w:fill="auto"/>
            <w:noWrap w:val="0"/>
            <w:vAlign w:val="center"/>
          </w:tcPr>
          <w:p>
            <w:pPr>
              <w:pStyle w:val="199"/>
              <w:rPr>
                <w:rFonts w:hint="eastAsia" w:eastAsia="宋体"/>
                <w:color w:val="auto"/>
                <w:lang w:eastAsia="zh-CN"/>
              </w:rPr>
            </w:pPr>
            <w:r>
              <w:rPr>
                <w:rFonts w:hint="eastAsia"/>
                <w:color w:val="auto"/>
                <w:lang w:eastAsia="zh-CN"/>
              </w:rPr>
              <w:t>危险单元</w:t>
            </w:r>
          </w:p>
        </w:tc>
        <w:tc>
          <w:tcPr>
            <w:tcW w:w="1889" w:type="dxa"/>
            <w:shd w:val="clear" w:color="auto" w:fill="auto"/>
            <w:noWrap w:val="0"/>
            <w:vAlign w:val="center"/>
          </w:tcPr>
          <w:p>
            <w:pPr>
              <w:pStyle w:val="199"/>
              <w:ind w:firstLine="0" w:firstLineChars="0"/>
              <w:rPr>
                <w:rFonts w:hint="eastAsia"/>
                <w:color w:val="auto"/>
                <w:lang w:eastAsia="zh-CN"/>
              </w:rPr>
            </w:pPr>
            <w:r>
              <w:rPr>
                <w:rFonts w:hint="eastAsia"/>
                <w:color w:val="auto"/>
                <w:lang w:eastAsia="zh-CN"/>
              </w:rPr>
              <w:t>风险源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19" w:type="dxa"/>
            <w:shd w:val="clear" w:color="auto" w:fill="auto"/>
            <w:noWrap w:val="0"/>
            <w:vAlign w:val="center"/>
          </w:tcPr>
          <w:p>
            <w:pPr>
              <w:pStyle w:val="199"/>
              <w:rPr>
                <w:rFonts w:hint="eastAsia" w:eastAsia="宋体"/>
                <w:color w:val="auto"/>
                <w:lang w:val="en-US" w:eastAsia="zh-CN"/>
              </w:rPr>
            </w:pPr>
            <w:r>
              <w:rPr>
                <w:rFonts w:hint="eastAsia"/>
                <w:color w:val="auto"/>
                <w:lang w:val="en-US" w:eastAsia="zh-CN"/>
              </w:rPr>
              <w:t>1</w:t>
            </w:r>
          </w:p>
        </w:tc>
        <w:tc>
          <w:tcPr>
            <w:tcW w:w="1844" w:type="dxa"/>
            <w:shd w:val="clear" w:color="auto" w:fill="auto"/>
            <w:noWrap w:val="0"/>
            <w:vAlign w:val="center"/>
          </w:tcPr>
          <w:p>
            <w:pPr>
              <w:pStyle w:val="199"/>
              <w:rPr>
                <w:rFonts w:hint="eastAsia"/>
                <w:color w:val="auto"/>
                <w:lang w:eastAsia="zh-CN"/>
              </w:rPr>
            </w:pPr>
            <w:r>
              <w:rPr>
                <w:rFonts w:hint="eastAsia"/>
                <w:color w:val="auto"/>
                <w:lang w:eastAsia="zh-CN"/>
              </w:rPr>
              <w:t>次氯酸钠</w:t>
            </w:r>
          </w:p>
        </w:tc>
        <w:tc>
          <w:tcPr>
            <w:tcW w:w="1889" w:type="dxa"/>
            <w:shd w:val="clear" w:color="auto" w:fill="auto"/>
            <w:noWrap w:val="0"/>
            <w:vAlign w:val="center"/>
          </w:tcPr>
          <w:p>
            <w:pPr>
              <w:pStyle w:val="199"/>
              <w:rPr>
                <w:rFonts w:hint="default"/>
                <w:color w:val="auto"/>
                <w:lang w:val="en-US" w:eastAsia="zh-CN"/>
              </w:rPr>
            </w:pPr>
            <w:r>
              <w:rPr>
                <w:rFonts w:hint="eastAsia"/>
                <w:color w:val="auto"/>
                <w:lang w:val="en-US" w:eastAsia="zh-CN"/>
              </w:rPr>
              <w:t>3.5</w:t>
            </w:r>
          </w:p>
        </w:tc>
        <w:tc>
          <w:tcPr>
            <w:tcW w:w="1889" w:type="dxa"/>
            <w:shd w:val="clear" w:color="auto" w:fill="auto"/>
            <w:noWrap w:val="0"/>
            <w:vAlign w:val="center"/>
          </w:tcPr>
          <w:p>
            <w:pPr>
              <w:pStyle w:val="199"/>
              <w:rPr>
                <w:rFonts w:hint="default"/>
                <w:color w:val="auto"/>
                <w:lang w:val="en-US" w:eastAsia="zh-CN"/>
              </w:rPr>
            </w:pPr>
            <w:r>
              <w:rPr>
                <w:rFonts w:hint="eastAsia"/>
                <w:color w:val="auto"/>
                <w:lang w:val="en-US" w:eastAsia="zh-CN"/>
              </w:rPr>
              <w:t>MBR膜池及设备间</w:t>
            </w:r>
          </w:p>
        </w:tc>
        <w:tc>
          <w:tcPr>
            <w:tcW w:w="1889" w:type="dxa"/>
            <w:shd w:val="clear" w:color="auto" w:fill="auto"/>
            <w:noWrap w:val="0"/>
            <w:vAlign w:val="center"/>
          </w:tcPr>
          <w:p>
            <w:pPr>
              <w:pStyle w:val="199"/>
              <w:ind w:firstLine="0" w:firstLineChars="0"/>
              <w:rPr>
                <w:rFonts w:hint="eastAsia"/>
                <w:color w:val="auto"/>
                <w:lang w:val="en-US" w:eastAsia="zh-CN"/>
              </w:rPr>
            </w:pPr>
            <w:r>
              <w:rPr>
                <w:rFonts w:hint="eastAsia"/>
                <w:color w:val="auto"/>
                <w:lang w:eastAsia="zh-CN"/>
              </w:rPr>
              <w:t>次氯酸钠</w:t>
            </w:r>
          </w:p>
        </w:tc>
      </w:tr>
    </w:tbl>
    <w:p>
      <w:pPr>
        <w:keepNext w:val="0"/>
        <w:keepLines w:val="0"/>
        <w:pageBreakBefore w:val="0"/>
        <w:widowControl/>
        <w:kinsoku/>
        <w:wordWrap/>
        <w:overflowPunct/>
        <w:topLinePunct/>
        <w:autoSpaceDE w:val="0"/>
        <w:autoSpaceDN/>
        <w:bidi w:val="0"/>
        <w:adjustRightInd w:val="0"/>
        <w:snapToGrid w:val="0"/>
        <w:spacing w:before="157" w:beforeLines="50"/>
        <w:ind w:firstLine="480"/>
        <w:textAlignment w:val="auto"/>
        <w:rPr>
          <w:color w:val="auto"/>
          <w:kern w:val="21"/>
        </w:rPr>
      </w:pPr>
      <w:r>
        <w:rPr>
          <w:color w:val="auto"/>
          <w:kern w:val="21"/>
        </w:rPr>
        <w:t>项目生产过程中可能存在的环境风险事故有：</w:t>
      </w:r>
    </w:p>
    <w:p>
      <w:pPr>
        <w:widowControl/>
        <w:topLinePunct/>
        <w:autoSpaceDE w:val="0"/>
        <w:adjustRightInd w:val="0"/>
        <w:snapToGrid w:val="0"/>
        <w:ind w:firstLine="480"/>
        <w:rPr>
          <w:color w:val="auto"/>
          <w:kern w:val="21"/>
        </w:rPr>
      </w:pPr>
      <w:r>
        <w:rPr>
          <w:color w:val="auto"/>
          <w:kern w:val="21"/>
        </w:rPr>
        <w:t>①PAC、PAM泄露对环境造成的风险</w:t>
      </w:r>
      <w:r>
        <w:rPr>
          <w:rFonts w:hint="eastAsia"/>
          <w:color w:val="auto"/>
          <w:kern w:val="21"/>
          <w:lang w:eastAsia="zh-CN"/>
        </w:rPr>
        <w:t>，触发因素为外包装破损</w:t>
      </w:r>
      <w:r>
        <w:rPr>
          <w:color w:val="auto"/>
          <w:kern w:val="21"/>
        </w:rPr>
        <w:t>。</w:t>
      </w:r>
    </w:p>
    <w:p>
      <w:pPr>
        <w:widowControl/>
        <w:topLinePunct/>
        <w:autoSpaceDE w:val="0"/>
        <w:adjustRightInd w:val="0"/>
        <w:snapToGrid w:val="0"/>
        <w:ind w:firstLine="480"/>
        <w:rPr>
          <w:color w:val="auto"/>
          <w:kern w:val="21"/>
        </w:rPr>
      </w:pPr>
      <w:r>
        <w:rPr>
          <w:color w:val="auto"/>
          <w:kern w:val="21"/>
        </w:rPr>
        <w:t>②</w:t>
      </w:r>
      <w:r>
        <w:rPr>
          <w:rFonts w:hint="eastAsia"/>
          <w:color w:val="auto"/>
          <w:kern w:val="21"/>
        </w:rPr>
        <w:t>次氯酸钠</w:t>
      </w:r>
      <w:r>
        <w:rPr>
          <w:color w:val="auto"/>
          <w:kern w:val="21"/>
        </w:rPr>
        <w:t>泄漏对环境造成的风险</w:t>
      </w:r>
      <w:r>
        <w:rPr>
          <w:rFonts w:hint="eastAsia"/>
          <w:color w:val="auto"/>
          <w:kern w:val="21"/>
          <w:lang w:eastAsia="zh-CN"/>
        </w:rPr>
        <w:t>，触发因素为外包装破损</w:t>
      </w:r>
      <w:r>
        <w:rPr>
          <w:color w:val="auto"/>
          <w:kern w:val="21"/>
        </w:rPr>
        <w:t>。</w:t>
      </w:r>
    </w:p>
    <w:p>
      <w:pPr>
        <w:widowControl/>
        <w:topLinePunct/>
        <w:autoSpaceDE w:val="0"/>
        <w:adjustRightInd w:val="0"/>
        <w:snapToGrid w:val="0"/>
        <w:ind w:firstLine="480"/>
        <w:rPr>
          <w:color w:val="auto"/>
          <w:kern w:val="21"/>
        </w:rPr>
      </w:pPr>
      <w:r>
        <w:rPr>
          <w:color w:val="auto"/>
          <w:kern w:val="21"/>
        </w:rPr>
        <w:t>③污水事故排放对环境造成的风险</w:t>
      </w:r>
      <w:r>
        <w:rPr>
          <w:rFonts w:hint="eastAsia"/>
          <w:color w:val="auto"/>
          <w:kern w:val="21"/>
          <w:lang w:eastAsia="zh-CN"/>
        </w:rPr>
        <w:t>，触发因素为污水处理站故障</w:t>
      </w:r>
      <w:r>
        <w:rPr>
          <w:color w:val="auto"/>
          <w:kern w:val="21"/>
        </w:rPr>
        <w:t>。</w:t>
      </w:r>
    </w:p>
    <w:p>
      <w:pPr>
        <w:widowControl/>
        <w:topLinePunct/>
        <w:autoSpaceDE w:val="0"/>
        <w:adjustRightInd w:val="0"/>
        <w:snapToGrid w:val="0"/>
        <w:ind w:firstLine="480"/>
        <w:rPr>
          <w:color w:val="auto"/>
          <w:kern w:val="21"/>
        </w:rPr>
      </w:pPr>
      <w:r>
        <w:rPr>
          <w:color w:val="auto"/>
          <w:kern w:val="21"/>
        </w:rPr>
        <w:t>④污泥膨胀导致污泥流失对环境造成的风险</w:t>
      </w:r>
      <w:r>
        <w:rPr>
          <w:rFonts w:hint="eastAsia"/>
          <w:color w:val="auto"/>
          <w:kern w:val="21"/>
          <w:lang w:eastAsia="zh-CN"/>
        </w:rPr>
        <w:t>，触发因素为污泥储存不当</w:t>
      </w:r>
      <w:r>
        <w:rPr>
          <w:color w:val="auto"/>
          <w:kern w:val="21"/>
        </w:rPr>
        <w:t>。</w:t>
      </w:r>
    </w:p>
    <w:p>
      <w:pPr>
        <w:widowControl/>
        <w:topLinePunct/>
        <w:autoSpaceDE w:val="0"/>
        <w:adjustRightInd w:val="0"/>
        <w:snapToGrid w:val="0"/>
        <w:ind w:firstLine="0" w:firstLineChars="0"/>
        <w:outlineLvl w:val="2"/>
        <w:rPr>
          <w:rFonts w:hint="eastAsia"/>
          <w:b/>
          <w:bCs/>
          <w:color w:val="auto"/>
          <w:kern w:val="21"/>
          <w:lang w:val="en-US" w:eastAsia="zh-CN"/>
        </w:rPr>
      </w:pPr>
      <w:bookmarkStart w:id="296" w:name="_Toc15113"/>
      <w:r>
        <w:rPr>
          <w:rFonts w:hint="eastAsia"/>
          <w:b/>
          <w:bCs/>
          <w:color w:val="auto"/>
          <w:kern w:val="21"/>
          <w:lang w:val="en-US" w:eastAsia="zh-CN"/>
        </w:rPr>
        <w:t>6.3.3危险物质向环境转移的途径识别</w:t>
      </w:r>
      <w:bookmarkEnd w:id="296"/>
    </w:p>
    <w:p>
      <w:pPr>
        <w:widowControl/>
        <w:topLinePunct/>
        <w:autoSpaceDE w:val="0"/>
        <w:adjustRightInd w:val="0"/>
        <w:snapToGrid w:val="0"/>
        <w:ind w:firstLine="480"/>
        <w:rPr>
          <w:color w:val="auto"/>
          <w:kern w:val="21"/>
        </w:rPr>
      </w:pPr>
      <w:r>
        <w:rPr>
          <w:color w:val="auto"/>
          <w:kern w:val="21"/>
        </w:rPr>
        <w:t>①PAC、PAM事故泄露可能影响地表水、地下水及土壤环境。</w:t>
      </w:r>
    </w:p>
    <w:p>
      <w:pPr>
        <w:widowControl/>
        <w:topLinePunct/>
        <w:autoSpaceDE w:val="0"/>
        <w:adjustRightInd w:val="0"/>
        <w:snapToGrid w:val="0"/>
        <w:ind w:firstLine="480"/>
        <w:rPr>
          <w:color w:val="auto"/>
          <w:kern w:val="21"/>
        </w:rPr>
      </w:pPr>
      <w:r>
        <w:rPr>
          <w:color w:val="auto"/>
          <w:kern w:val="21"/>
        </w:rPr>
        <w:t>②</w:t>
      </w:r>
      <w:r>
        <w:rPr>
          <w:rFonts w:hint="eastAsia"/>
          <w:color w:val="auto"/>
          <w:kern w:val="21"/>
        </w:rPr>
        <w:t>次氯酸钠</w:t>
      </w:r>
      <w:r>
        <w:rPr>
          <w:color w:val="auto"/>
          <w:kern w:val="21"/>
        </w:rPr>
        <w:t>泄漏可能影响大气环境、地表水环境。</w:t>
      </w:r>
    </w:p>
    <w:p>
      <w:pPr>
        <w:widowControl/>
        <w:topLinePunct/>
        <w:autoSpaceDE w:val="0"/>
        <w:adjustRightInd w:val="0"/>
        <w:snapToGrid w:val="0"/>
        <w:ind w:firstLine="480"/>
        <w:rPr>
          <w:color w:val="auto"/>
          <w:kern w:val="21"/>
        </w:rPr>
      </w:pPr>
      <w:r>
        <w:rPr>
          <w:color w:val="auto"/>
          <w:kern w:val="21"/>
        </w:rPr>
        <w:t>③污水处理站事故情况下，污水直接进入外环境环境，可能影响地表水、地下水环境。</w:t>
      </w:r>
    </w:p>
    <w:p>
      <w:pPr>
        <w:widowControl/>
        <w:topLinePunct/>
        <w:autoSpaceDE w:val="0"/>
        <w:adjustRightInd w:val="0"/>
        <w:snapToGrid w:val="0"/>
        <w:ind w:firstLine="480"/>
        <w:rPr>
          <w:color w:val="auto"/>
          <w:kern w:val="21"/>
        </w:rPr>
      </w:pPr>
      <w:r>
        <w:rPr>
          <w:color w:val="auto"/>
          <w:kern w:val="21"/>
        </w:rPr>
        <w:t>④污泥膨胀导致污泥流失，从而污染地表水和周边环境。</w:t>
      </w:r>
    </w:p>
    <w:p>
      <w:pPr>
        <w:widowControl/>
        <w:topLinePunct/>
        <w:autoSpaceDE w:val="0"/>
        <w:adjustRightInd w:val="0"/>
        <w:snapToGrid w:val="0"/>
        <w:ind w:firstLine="0" w:firstLineChars="0"/>
        <w:outlineLvl w:val="1"/>
        <w:rPr>
          <w:b/>
          <w:bCs/>
          <w:color w:val="auto"/>
          <w:kern w:val="21"/>
          <w:sz w:val="28"/>
          <w:szCs w:val="28"/>
        </w:rPr>
      </w:pPr>
      <w:bookmarkStart w:id="297" w:name="_Toc18407"/>
      <w:r>
        <w:rPr>
          <w:rFonts w:hint="eastAsia"/>
          <w:b/>
          <w:bCs/>
          <w:color w:val="auto"/>
          <w:kern w:val="21"/>
          <w:sz w:val="28"/>
          <w:szCs w:val="28"/>
        </w:rPr>
        <w:t>6</w:t>
      </w:r>
      <w:r>
        <w:rPr>
          <w:b/>
          <w:bCs/>
          <w:color w:val="auto"/>
          <w:kern w:val="21"/>
          <w:sz w:val="28"/>
          <w:szCs w:val="28"/>
        </w:rPr>
        <w:t>.</w:t>
      </w:r>
      <w:r>
        <w:rPr>
          <w:rFonts w:hint="eastAsia"/>
          <w:b/>
          <w:bCs/>
          <w:color w:val="auto"/>
          <w:kern w:val="21"/>
          <w:sz w:val="28"/>
          <w:szCs w:val="28"/>
          <w:lang w:val="en-US" w:eastAsia="zh-CN"/>
        </w:rPr>
        <w:t>4</w:t>
      </w:r>
      <w:r>
        <w:rPr>
          <w:b/>
          <w:bCs/>
          <w:color w:val="auto"/>
          <w:kern w:val="21"/>
          <w:sz w:val="28"/>
          <w:szCs w:val="28"/>
        </w:rPr>
        <w:t>环境风险影响分析</w:t>
      </w:r>
      <w:bookmarkEnd w:id="297"/>
    </w:p>
    <w:p>
      <w:pPr>
        <w:widowControl/>
        <w:topLinePunct/>
        <w:autoSpaceDE w:val="0"/>
        <w:adjustRightInd w:val="0"/>
        <w:snapToGrid w:val="0"/>
        <w:ind w:firstLine="0" w:firstLineChars="0"/>
        <w:outlineLvl w:val="2"/>
        <w:rPr>
          <w:b/>
          <w:bCs/>
          <w:color w:val="auto"/>
          <w:kern w:val="21"/>
        </w:rPr>
      </w:pPr>
      <w:bookmarkStart w:id="298" w:name="_Toc6202"/>
      <w:r>
        <w:rPr>
          <w:rFonts w:hint="eastAsia"/>
          <w:b/>
          <w:bCs/>
          <w:color w:val="auto"/>
          <w:kern w:val="21"/>
        </w:rPr>
        <w:t>6</w:t>
      </w:r>
      <w:r>
        <w:rPr>
          <w:b/>
          <w:bCs/>
          <w:color w:val="auto"/>
          <w:kern w:val="21"/>
        </w:rPr>
        <w:t>.</w:t>
      </w:r>
      <w:r>
        <w:rPr>
          <w:rFonts w:hint="eastAsia"/>
          <w:b/>
          <w:bCs/>
          <w:color w:val="auto"/>
          <w:kern w:val="21"/>
          <w:lang w:val="en-US" w:eastAsia="zh-CN"/>
        </w:rPr>
        <w:t>4</w:t>
      </w:r>
      <w:r>
        <w:rPr>
          <w:b/>
          <w:bCs/>
          <w:color w:val="auto"/>
          <w:kern w:val="21"/>
        </w:rPr>
        <w:t>.1危险化学品风险分析</w:t>
      </w:r>
      <w:bookmarkEnd w:id="298"/>
    </w:p>
    <w:p>
      <w:pPr>
        <w:widowControl/>
        <w:topLinePunct/>
        <w:autoSpaceDE w:val="0"/>
        <w:adjustRightInd w:val="0"/>
        <w:snapToGrid w:val="0"/>
        <w:ind w:firstLine="480"/>
        <w:rPr>
          <w:color w:val="auto"/>
          <w:kern w:val="21"/>
        </w:rPr>
      </w:pPr>
      <w:r>
        <w:rPr>
          <w:color w:val="auto"/>
          <w:kern w:val="21"/>
        </w:rPr>
        <w:t>根据项目物质风险识别可知，项目污水处理过程中主要使用的化学物质为PAM（聚丙烯酰胺）以及PAC（聚合氯化铝），依据《建设项目环境风险评价技术导则》（HJ169-2018）附录B重点关注的危险物质及临界量，以及《危险化学品重大危险源辨识》（GB18218-2018）识别，项目使用的主要风险物质均不属于重大危险源。</w:t>
      </w:r>
    </w:p>
    <w:p>
      <w:pPr>
        <w:widowControl/>
        <w:topLinePunct/>
        <w:autoSpaceDE w:val="0"/>
        <w:adjustRightInd w:val="0"/>
        <w:snapToGrid w:val="0"/>
        <w:ind w:firstLine="480"/>
        <w:rPr>
          <w:color w:val="auto"/>
          <w:kern w:val="21"/>
        </w:rPr>
      </w:pPr>
      <w:r>
        <w:rPr>
          <w:color w:val="auto"/>
          <w:kern w:val="21"/>
        </w:rPr>
        <w:t>综上，项目的事故类型主要为投药不妥当或投药装置管道和阀门损坏引发泄漏等，根据类比，诱发因素可能为不按规定作业、投药装置安装不合格、材质不合格、腐蚀、破损、老化、管理疏漏等。一旦发生泄漏，会造成如下影响：</w:t>
      </w:r>
    </w:p>
    <w:p>
      <w:pPr>
        <w:widowControl/>
        <w:topLinePunct/>
        <w:autoSpaceDE w:val="0"/>
        <w:adjustRightInd w:val="0"/>
        <w:snapToGrid w:val="0"/>
        <w:ind w:firstLine="480"/>
        <w:rPr>
          <w:color w:val="auto"/>
          <w:kern w:val="21"/>
        </w:rPr>
      </w:pPr>
      <w:r>
        <w:rPr>
          <w:rFonts w:hint="eastAsia"/>
          <w:color w:val="auto"/>
          <w:kern w:val="21"/>
        </w:rPr>
        <w:t>（1）</w:t>
      </w:r>
      <w:r>
        <w:rPr>
          <w:color w:val="auto"/>
          <w:kern w:val="21"/>
        </w:rPr>
        <w:t>可能会对人体健康造成一定的影响，即PAC（聚合氯化铝）对皮肤、粘膜有刺激作用。吸入高浓度可引起支气管炎，个别人可引起支气管哮喘。误服量大时，可引起口腔糜烂、胃炎、胃出血和粘膜坏死。慢性影响：长期接触可引起头痛、头晕、食欲减退、咳嗽、鼻塞、胸痛等症状。</w:t>
      </w:r>
    </w:p>
    <w:p>
      <w:pPr>
        <w:widowControl/>
        <w:topLinePunct/>
        <w:autoSpaceDE w:val="0"/>
        <w:adjustRightInd w:val="0"/>
        <w:snapToGrid w:val="0"/>
        <w:ind w:firstLine="480"/>
        <w:rPr>
          <w:color w:val="auto"/>
          <w:kern w:val="21"/>
        </w:rPr>
      </w:pPr>
      <w:r>
        <w:rPr>
          <w:rFonts w:hint="eastAsia"/>
          <w:color w:val="auto"/>
          <w:kern w:val="21"/>
        </w:rPr>
        <w:t>（2）</w:t>
      </w:r>
      <w:r>
        <w:rPr>
          <w:color w:val="auto"/>
          <w:kern w:val="21"/>
        </w:rPr>
        <w:t>PAM（聚丙烯酰胺）本身及其水解体没有毒性，但其残留单体丙烯酰胺有毒性，丙烯酰胺是一种蓄积性的神经毒物，主要损害神经系统，轻度中毒以周围神经损害为主，重度可引起小脑病变，中毒多为慢性经过，初期为神经衰弱综合征，后续发生周围神经病变，出现四肢麻木、感觉异常、腱反射减弱或消失，抽搐、瘫痪等。</w:t>
      </w:r>
    </w:p>
    <w:p>
      <w:pPr>
        <w:widowControl/>
        <w:topLinePunct/>
        <w:autoSpaceDE w:val="0"/>
        <w:adjustRightInd w:val="0"/>
        <w:snapToGrid w:val="0"/>
        <w:ind w:firstLine="480"/>
        <w:rPr>
          <w:color w:val="auto"/>
          <w:kern w:val="21"/>
        </w:rPr>
      </w:pPr>
      <w:r>
        <w:rPr>
          <w:rFonts w:hint="eastAsia"/>
          <w:color w:val="auto"/>
          <w:kern w:val="21"/>
        </w:rPr>
        <w:t>（3）</w:t>
      </w:r>
      <w:r>
        <w:rPr>
          <w:color w:val="auto"/>
          <w:kern w:val="21"/>
        </w:rPr>
        <w:t>除以上项目属于项目辅料的化学品产生以上影响外，项目运营期污水处理系统产生的NH</w:t>
      </w:r>
      <w:r>
        <w:rPr>
          <w:color w:val="auto"/>
          <w:kern w:val="21"/>
          <w:vertAlign w:val="subscript"/>
        </w:rPr>
        <w:t>3</w:t>
      </w:r>
      <w:r>
        <w:rPr>
          <w:color w:val="auto"/>
          <w:kern w:val="21"/>
        </w:rPr>
        <w:t>、硫化氢也会产生一定的风险影响。硫化氢气体是强烈的神经毒物，对粘膜有强烈刺激作用，短期内吸入高浓度硫化氢后出现流泪、眼痛、眼内异物感、畏光、视物模糊、流涕、咽喉部灼热感、咳嗽、胸闷、头痛、头晕、乏力、意识模糊等，部分患者可有心肌损害，重者可出现脑水肿、肺水肿，极高浓度(1000mg/m3以上)时可在数秒钟内突然昏迷，呼吸和心跳骤停，发生闪电型死亡。NH</w:t>
      </w:r>
      <w:r>
        <w:rPr>
          <w:color w:val="auto"/>
          <w:kern w:val="21"/>
          <w:vertAlign w:val="subscript"/>
        </w:rPr>
        <w:t>3</w:t>
      </w:r>
      <w:r>
        <w:rPr>
          <w:color w:val="auto"/>
          <w:kern w:val="21"/>
        </w:rPr>
        <w:t>为易燃、腐蚀性气体，与空气混合能形成爆炸性混合物，遇明火、高热能引起燃烧爆炸，与氟、氯等能发生剧烈的化学反应。低浓度氨对粘膜有刺激作用，高浓度可造成组织溶解性坏死，引起化学性肺炎及灼伤。但项目运营期污水处理构筑物均是露天设施，而污泥处理间等的气体通过通风设施等的作用下加强了空气置换，项目产生NH</w:t>
      </w:r>
      <w:r>
        <w:rPr>
          <w:color w:val="auto"/>
          <w:kern w:val="21"/>
          <w:vertAlign w:val="subscript"/>
        </w:rPr>
        <w:t>3</w:t>
      </w:r>
      <w:r>
        <w:rPr>
          <w:color w:val="auto"/>
          <w:kern w:val="21"/>
        </w:rPr>
        <w:t>、H</w:t>
      </w:r>
      <w:r>
        <w:rPr>
          <w:color w:val="auto"/>
          <w:kern w:val="21"/>
          <w:vertAlign w:val="subscript"/>
        </w:rPr>
        <w:t>2</w:t>
      </w:r>
      <w:r>
        <w:rPr>
          <w:color w:val="auto"/>
          <w:kern w:val="21"/>
        </w:rPr>
        <w:t>S的构筑物在厂区是分散布置的，不会在短时间内造成NH</w:t>
      </w:r>
      <w:r>
        <w:rPr>
          <w:color w:val="auto"/>
          <w:kern w:val="21"/>
          <w:vertAlign w:val="subscript"/>
        </w:rPr>
        <w:t>3</w:t>
      </w:r>
      <w:r>
        <w:rPr>
          <w:color w:val="auto"/>
          <w:kern w:val="21"/>
        </w:rPr>
        <w:t>、H</w:t>
      </w:r>
      <w:r>
        <w:rPr>
          <w:color w:val="auto"/>
          <w:kern w:val="21"/>
          <w:vertAlign w:val="subscript"/>
        </w:rPr>
        <w:t>2</w:t>
      </w:r>
      <w:r>
        <w:rPr>
          <w:color w:val="auto"/>
          <w:kern w:val="21"/>
        </w:rPr>
        <w:t>S的聚集，通过采取环评提出的措施后NH</w:t>
      </w:r>
      <w:r>
        <w:rPr>
          <w:color w:val="auto"/>
          <w:kern w:val="21"/>
          <w:vertAlign w:val="subscript"/>
        </w:rPr>
        <w:t>3</w:t>
      </w:r>
      <w:r>
        <w:rPr>
          <w:color w:val="auto"/>
          <w:kern w:val="21"/>
        </w:rPr>
        <w:t>、H</w:t>
      </w:r>
      <w:r>
        <w:rPr>
          <w:color w:val="auto"/>
          <w:kern w:val="21"/>
          <w:vertAlign w:val="subscript"/>
        </w:rPr>
        <w:t>2</w:t>
      </w:r>
      <w:r>
        <w:rPr>
          <w:color w:val="auto"/>
          <w:kern w:val="21"/>
        </w:rPr>
        <w:t>S排放量较少，同时通过加强管理、规范操作等，可将氨、硫化氢火灾、爆炸降至最小，且在大气中经稀释扩散或绿化植被净化后，浓度不高，故对工作人员以及下风向的敏感点产生的影响不大。</w:t>
      </w:r>
    </w:p>
    <w:p>
      <w:pPr>
        <w:widowControl/>
        <w:topLinePunct/>
        <w:autoSpaceDE w:val="0"/>
        <w:adjustRightInd w:val="0"/>
        <w:snapToGrid w:val="0"/>
        <w:ind w:firstLine="0" w:firstLineChars="0"/>
        <w:outlineLvl w:val="2"/>
        <w:rPr>
          <w:b/>
          <w:bCs/>
          <w:color w:val="auto"/>
          <w:kern w:val="21"/>
        </w:rPr>
      </w:pPr>
      <w:bookmarkStart w:id="299" w:name="_Toc31982"/>
      <w:r>
        <w:rPr>
          <w:rFonts w:hint="eastAsia"/>
          <w:b/>
          <w:bCs/>
          <w:color w:val="auto"/>
          <w:kern w:val="21"/>
        </w:rPr>
        <w:t>6</w:t>
      </w:r>
      <w:r>
        <w:rPr>
          <w:b/>
          <w:bCs/>
          <w:color w:val="auto"/>
          <w:kern w:val="21"/>
        </w:rPr>
        <w:t>.</w:t>
      </w:r>
      <w:r>
        <w:rPr>
          <w:rFonts w:hint="eastAsia"/>
          <w:b/>
          <w:bCs/>
          <w:color w:val="auto"/>
          <w:kern w:val="21"/>
          <w:lang w:val="en-US" w:eastAsia="zh-CN"/>
        </w:rPr>
        <w:t>4</w:t>
      </w:r>
      <w:r>
        <w:rPr>
          <w:b/>
          <w:bCs/>
          <w:color w:val="auto"/>
          <w:kern w:val="21"/>
        </w:rPr>
        <w:t>.2</w:t>
      </w:r>
      <w:r>
        <w:rPr>
          <w:rFonts w:hint="eastAsia"/>
          <w:b/>
          <w:bCs/>
          <w:color w:val="auto"/>
          <w:kern w:val="21"/>
        </w:rPr>
        <w:t>次氯酸钠</w:t>
      </w:r>
      <w:r>
        <w:rPr>
          <w:b/>
          <w:bCs/>
          <w:color w:val="auto"/>
          <w:kern w:val="21"/>
        </w:rPr>
        <w:t>泄漏对环境的影响</w:t>
      </w:r>
      <w:bookmarkEnd w:id="299"/>
    </w:p>
    <w:p>
      <w:pPr>
        <w:adjustRightInd w:val="0"/>
        <w:snapToGrid w:val="0"/>
        <w:ind w:firstLine="480"/>
        <w:rPr>
          <w:color w:val="auto"/>
          <w:kern w:val="21"/>
          <w:lang w:bidi="ar"/>
        </w:rPr>
      </w:pPr>
      <w:r>
        <w:rPr>
          <w:color w:val="auto"/>
          <w:kern w:val="21"/>
          <w:lang w:bidi="ar"/>
        </w:rPr>
        <w:t>导致化学品泄漏的原因包括储罐破裂、操作失误等，高浓度的次氯酸钠一旦发生泄漏事故，可能渗入地下，污染土壤和地下水。由于本项目储存次氯酸钠较少，储罐区周围设置了围堰及次氯酸钠泄露收集装置，地面按照要求进行了重点防渗处理，故泄漏事故不会造成大的不良影响。但应加强风险源的管理，注意次氯酸钠的储存要求及禁配物，通过严格管理及防范，其风险性相对较小。</w:t>
      </w:r>
    </w:p>
    <w:p>
      <w:pPr>
        <w:widowControl/>
        <w:topLinePunct/>
        <w:autoSpaceDE w:val="0"/>
        <w:adjustRightInd w:val="0"/>
        <w:snapToGrid w:val="0"/>
        <w:ind w:firstLine="0" w:firstLineChars="0"/>
        <w:outlineLvl w:val="2"/>
        <w:rPr>
          <w:b/>
          <w:bCs/>
          <w:color w:val="auto"/>
          <w:kern w:val="21"/>
        </w:rPr>
      </w:pPr>
      <w:bookmarkStart w:id="300" w:name="_Toc24188"/>
      <w:r>
        <w:rPr>
          <w:rFonts w:hint="eastAsia"/>
          <w:b/>
          <w:bCs/>
          <w:color w:val="auto"/>
          <w:kern w:val="21"/>
        </w:rPr>
        <w:t>6</w:t>
      </w:r>
      <w:r>
        <w:rPr>
          <w:b/>
          <w:bCs/>
          <w:color w:val="auto"/>
          <w:kern w:val="21"/>
        </w:rPr>
        <w:t>.</w:t>
      </w:r>
      <w:r>
        <w:rPr>
          <w:rFonts w:hint="eastAsia"/>
          <w:b/>
          <w:bCs/>
          <w:color w:val="auto"/>
          <w:kern w:val="21"/>
          <w:lang w:val="en-US" w:eastAsia="zh-CN"/>
        </w:rPr>
        <w:t>4</w:t>
      </w:r>
      <w:r>
        <w:rPr>
          <w:b/>
          <w:bCs/>
          <w:color w:val="auto"/>
          <w:kern w:val="21"/>
        </w:rPr>
        <w:t>.3污水直排事故环境影响</w:t>
      </w:r>
      <w:bookmarkEnd w:id="300"/>
    </w:p>
    <w:p>
      <w:pPr>
        <w:widowControl/>
        <w:topLinePunct/>
        <w:autoSpaceDE w:val="0"/>
        <w:adjustRightInd w:val="0"/>
        <w:snapToGrid w:val="0"/>
        <w:ind w:firstLine="480"/>
        <w:rPr>
          <w:color w:val="auto"/>
          <w:kern w:val="21"/>
        </w:rPr>
      </w:pPr>
      <w:r>
        <w:rPr>
          <w:color w:val="auto"/>
          <w:kern w:val="21"/>
        </w:rPr>
        <w:t>项目运营期间造成污水直排的事故原因主要包括：设备故障、突然停电以及厂区污水管网破裂等，在此事故状态下，直排进入纳污水体</w:t>
      </w:r>
      <w:r>
        <w:rPr>
          <w:rFonts w:hint="eastAsia"/>
          <w:color w:val="auto"/>
          <w:kern w:val="21"/>
        </w:rPr>
        <w:t>青龙河</w:t>
      </w:r>
      <w:r>
        <w:rPr>
          <w:color w:val="auto"/>
          <w:kern w:val="21"/>
        </w:rPr>
        <w:t>的污水会对水质造成一定的影响，根据第七章地表水环境影响分析内容中的预测分析结果知：项目直排情况下，出水水质因子预测浓度均会超过《地表水环境质量标准》（GB3838-2002）</w:t>
      </w:r>
      <w:r>
        <w:rPr>
          <w:color w:val="auto"/>
          <w:kern w:val="21"/>
        </w:rPr>
        <w:fldChar w:fldCharType="begin"/>
      </w:r>
      <w:r>
        <w:rPr>
          <w:color w:val="auto"/>
          <w:kern w:val="21"/>
        </w:rPr>
        <w:instrText xml:space="preserve"> = 4 \* ROMAN \* MERGEFORMAT </w:instrText>
      </w:r>
      <w:r>
        <w:rPr>
          <w:color w:val="auto"/>
          <w:kern w:val="21"/>
        </w:rPr>
        <w:fldChar w:fldCharType="separate"/>
      </w:r>
      <w:r>
        <w:rPr>
          <w:color w:val="auto"/>
          <w:kern w:val="21"/>
        </w:rPr>
        <w:t>IV</w:t>
      </w:r>
      <w:r>
        <w:rPr>
          <w:color w:val="auto"/>
          <w:kern w:val="21"/>
        </w:rPr>
        <w:fldChar w:fldCharType="end"/>
      </w:r>
      <w:r>
        <w:rPr>
          <w:color w:val="auto"/>
          <w:kern w:val="21"/>
        </w:rPr>
        <w:t>类标准限值，会对地表水</w:t>
      </w:r>
      <w:r>
        <w:rPr>
          <w:rFonts w:hint="eastAsia"/>
          <w:color w:val="auto"/>
          <w:kern w:val="21"/>
        </w:rPr>
        <w:t>青龙河</w:t>
      </w:r>
      <w:r>
        <w:rPr>
          <w:color w:val="auto"/>
          <w:kern w:val="21"/>
        </w:rPr>
        <w:t>造成一定的影响。</w:t>
      </w:r>
    </w:p>
    <w:p>
      <w:pPr>
        <w:widowControl/>
        <w:topLinePunct/>
        <w:autoSpaceDE w:val="0"/>
        <w:adjustRightInd w:val="0"/>
        <w:snapToGrid w:val="0"/>
        <w:ind w:firstLine="0" w:firstLineChars="0"/>
        <w:outlineLvl w:val="2"/>
        <w:rPr>
          <w:b/>
          <w:bCs/>
          <w:color w:val="auto"/>
          <w:kern w:val="21"/>
        </w:rPr>
      </w:pPr>
      <w:bookmarkStart w:id="301" w:name="_Toc6337"/>
      <w:r>
        <w:rPr>
          <w:rFonts w:hint="eastAsia"/>
          <w:b/>
          <w:bCs/>
          <w:color w:val="auto"/>
          <w:kern w:val="21"/>
        </w:rPr>
        <w:t>6</w:t>
      </w:r>
      <w:r>
        <w:rPr>
          <w:b/>
          <w:bCs/>
          <w:color w:val="auto"/>
          <w:kern w:val="21"/>
        </w:rPr>
        <w:t>.</w:t>
      </w:r>
      <w:r>
        <w:rPr>
          <w:rFonts w:hint="eastAsia"/>
          <w:b/>
          <w:bCs/>
          <w:color w:val="auto"/>
          <w:kern w:val="21"/>
          <w:lang w:val="en-US" w:eastAsia="zh-CN"/>
        </w:rPr>
        <w:t>4</w:t>
      </w:r>
      <w:r>
        <w:rPr>
          <w:b/>
          <w:bCs/>
          <w:color w:val="auto"/>
          <w:kern w:val="21"/>
        </w:rPr>
        <w:t>.4污泥膨胀事故影响分析及措施</w:t>
      </w:r>
      <w:bookmarkEnd w:id="301"/>
    </w:p>
    <w:p>
      <w:pPr>
        <w:widowControl/>
        <w:topLinePunct/>
        <w:autoSpaceDE w:val="0"/>
        <w:adjustRightInd w:val="0"/>
        <w:snapToGrid w:val="0"/>
        <w:ind w:firstLine="480"/>
        <w:rPr>
          <w:color w:val="auto"/>
          <w:kern w:val="21"/>
        </w:rPr>
      </w:pPr>
      <w:r>
        <w:rPr>
          <w:color w:val="auto"/>
          <w:kern w:val="21"/>
        </w:rPr>
        <w:t>正常的活性污泥沉降性能很好，含水率一般在99%左右，但当活性污泥变质时，污泥就不易沉淀，含水率上升，体积膨胀，澄清液减少，这就是污泥膨胀。根据国内外活性污泥系统调查结果，无论是普通活性污泥系统，还是生物脱氮除磷系统都会发生污泥膨胀，污泥膨胀是自活性污泥法问世以来在运行管理上一直困扰人们的难题之一。污泥膨胀一般是由丝状菌和真菌引起的，其中由丝状菌过量繁殖引起的污泥膨胀最为常见。目前已知的近30种丝状菌中，与污泥膨胀问题密切相关的有十几种。有的丝状菌引起的污泥膨胀发展迅速，2～4d就可达到非常严重的结果，而且非常持久。当发生污泥膨胀时，会严重影响污水处理设施的处理效果，甚至完全失效。</w:t>
      </w:r>
    </w:p>
    <w:p>
      <w:pPr>
        <w:widowControl/>
        <w:topLinePunct/>
        <w:autoSpaceDE w:val="0"/>
        <w:adjustRightInd w:val="0"/>
        <w:snapToGrid w:val="0"/>
        <w:ind w:firstLine="0" w:firstLineChars="0"/>
        <w:outlineLvl w:val="1"/>
        <w:rPr>
          <w:rFonts w:hint="eastAsia" w:eastAsia="宋体"/>
          <w:b/>
          <w:bCs/>
          <w:color w:val="auto"/>
          <w:kern w:val="21"/>
          <w:sz w:val="28"/>
          <w:szCs w:val="28"/>
          <w:lang w:eastAsia="zh-CN"/>
        </w:rPr>
      </w:pPr>
      <w:bookmarkStart w:id="302" w:name="_Toc25428"/>
      <w:r>
        <w:rPr>
          <w:rFonts w:hint="eastAsia"/>
          <w:b/>
          <w:bCs/>
          <w:color w:val="auto"/>
          <w:kern w:val="21"/>
          <w:sz w:val="28"/>
          <w:szCs w:val="28"/>
        </w:rPr>
        <w:t>6</w:t>
      </w:r>
      <w:r>
        <w:rPr>
          <w:b/>
          <w:bCs/>
          <w:color w:val="auto"/>
          <w:kern w:val="21"/>
          <w:sz w:val="28"/>
          <w:szCs w:val="28"/>
        </w:rPr>
        <w:t>.</w:t>
      </w:r>
      <w:r>
        <w:rPr>
          <w:rFonts w:hint="eastAsia"/>
          <w:b/>
          <w:bCs/>
          <w:color w:val="auto"/>
          <w:kern w:val="21"/>
          <w:sz w:val="28"/>
          <w:szCs w:val="28"/>
          <w:lang w:val="en-US" w:eastAsia="zh-CN"/>
        </w:rPr>
        <w:t>5</w:t>
      </w:r>
      <w:r>
        <w:rPr>
          <w:b/>
          <w:bCs/>
          <w:color w:val="auto"/>
          <w:kern w:val="21"/>
          <w:sz w:val="28"/>
          <w:szCs w:val="28"/>
        </w:rPr>
        <w:t>环境</w:t>
      </w:r>
      <w:r>
        <w:rPr>
          <w:rFonts w:hint="eastAsia"/>
          <w:b/>
          <w:bCs/>
          <w:color w:val="auto"/>
          <w:kern w:val="21"/>
          <w:sz w:val="28"/>
          <w:szCs w:val="28"/>
          <w:lang w:eastAsia="zh-CN"/>
        </w:rPr>
        <w:t>防范措施</w:t>
      </w:r>
      <w:bookmarkEnd w:id="302"/>
    </w:p>
    <w:p>
      <w:pPr>
        <w:widowControl/>
        <w:topLinePunct/>
        <w:autoSpaceDE w:val="0"/>
        <w:adjustRightInd w:val="0"/>
        <w:snapToGrid w:val="0"/>
        <w:ind w:firstLine="0" w:firstLineChars="0"/>
        <w:outlineLvl w:val="2"/>
        <w:rPr>
          <w:rFonts w:hint="eastAsia" w:eastAsia="宋体"/>
          <w:b/>
          <w:bCs/>
          <w:color w:val="auto"/>
          <w:kern w:val="21"/>
          <w:lang w:eastAsia="zh-CN"/>
        </w:rPr>
      </w:pPr>
      <w:bookmarkStart w:id="303" w:name="_Toc5351"/>
      <w:r>
        <w:rPr>
          <w:rFonts w:hint="eastAsia"/>
          <w:b/>
          <w:bCs/>
          <w:color w:val="auto"/>
          <w:kern w:val="21"/>
        </w:rPr>
        <w:t>6</w:t>
      </w:r>
      <w:r>
        <w:rPr>
          <w:b/>
          <w:bCs/>
          <w:color w:val="auto"/>
          <w:kern w:val="21"/>
        </w:rPr>
        <w:t>.</w:t>
      </w:r>
      <w:r>
        <w:rPr>
          <w:rFonts w:hint="eastAsia"/>
          <w:b/>
          <w:bCs/>
          <w:color w:val="auto"/>
          <w:kern w:val="21"/>
          <w:lang w:val="en-US" w:eastAsia="zh-CN"/>
        </w:rPr>
        <w:t>5</w:t>
      </w:r>
      <w:r>
        <w:rPr>
          <w:b/>
          <w:bCs/>
          <w:color w:val="auto"/>
          <w:kern w:val="21"/>
        </w:rPr>
        <w:t>.1</w:t>
      </w:r>
      <w:r>
        <w:rPr>
          <w:rFonts w:hint="eastAsia"/>
          <w:b/>
          <w:bCs/>
          <w:color w:val="auto"/>
          <w:kern w:val="21"/>
          <w:lang w:eastAsia="zh-CN"/>
        </w:rPr>
        <w:t>化学品风险防范和减缓措施</w:t>
      </w:r>
      <w:bookmarkEnd w:id="303"/>
    </w:p>
    <w:p>
      <w:pPr>
        <w:widowControl/>
        <w:topLinePunct/>
        <w:autoSpaceDE w:val="0"/>
        <w:adjustRightInd w:val="0"/>
        <w:snapToGrid w:val="0"/>
        <w:ind w:firstLine="480"/>
        <w:rPr>
          <w:color w:val="auto"/>
          <w:kern w:val="21"/>
        </w:rPr>
      </w:pPr>
      <w:r>
        <w:rPr>
          <w:rFonts w:hint="eastAsia"/>
          <w:color w:val="auto"/>
          <w:kern w:val="21"/>
        </w:rPr>
        <w:t>（1）</w:t>
      </w:r>
      <w:r>
        <w:rPr>
          <w:color w:val="auto"/>
          <w:kern w:val="21"/>
        </w:rPr>
        <w:t>项目使用的化学物质储存在阴凉、干燥通风的库房内，包装必须完整密封，防止吸潮。</w:t>
      </w:r>
    </w:p>
    <w:p>
      <w:pPr>
        <w:widowControl/>
        <w:topLinePunct/>
        <w:autoSpaceDE w:val="0"/>
        <w:adjustRightInd w:val="0"/>
        <w:snapToGrid w:val="0"/>
        <w:ind w:firstLine="480"/>
        <w:rPr>
          <w:color w:val="auto"/>
          <w:kern w:val="21"/>
        </w:rPr>
      </w:pPr>
      <w:r>
        <w:rPr>
          <w:rFonts w:hint="eastAsia"/>
          <w:color w:val="auto"/>
          <w:kern w:val="21"/>
        </w:rPr>
        <w:t>（2）</w:t>
      </w:r>
      <w:r>
        <w:rPr>
          <w:color w:val="auto"/>
          <w:kern w:val="21"/>
        </w:rPr>
        <w:t>密闭操作、局部排风，操作人员必须经过专门培训，严格遵守操作规程。</w:t>
      </w:r>
    </w:p>
    <w:p>
      <w:pPr>
        <w:widowControl/>
        <w:topLinePunct/>
        <w:autoSpaceDE w:val="0"/>
        <w:adjustRightInd w:val="0"/>
        <w:snapToGrid w:val="0"/>
        <w:ind w:firstLine="480"/>
        <w:rPr>
          <w:color w:val="auto"/>
          <w:kern w:val="21"/>
        </w:rPr>
      </w:pPr>
      <w:r>
        <w:rPr>
          <w:rFonts w:hint="eastAsia"/>
          <w:color w:val="auto"/>
          <w:kern w:val="21"/>
        </w:rPr>
        <w:t>（3）</w:t>
      </w:r>
      <w:r>
        <w:rPr>
          <w:color w:val="auto"/>
          <w:kern w:val="21"/>
        </w:rPr>
        <w:t>可能接触其粉尘时，建议操作人员佩戴自吸过滤式防尘口罩，戴化学安全防护眼镜，穿防酸碱工作服，戴橡胶手套。</w:t>
      </w:r>
    </w:p>
    <w:p>
      <w:pPr>
        <w:widowControl/>
        <w:topLinePunct/>
        <w:autoSpaceDE w:val="0"/>
        <w:adjustRightInd w:val="0"/>
        <w:snapToGrid w:val="0"/>
        <w:ind w:firstLine="480"/>
        <w:rPr>
          <w:color w:val="auto"/>
          <w:kern w:val="21"/>
        </w:rPr>
      </w:pPr>
      <w:r>
        <w:rPr>
          <w:rFonts w:hint="eastAsia"/>
          <w:color w:val="auto"/>
          <w:kern w:val="21"/>
        </w:rPr>
        <w:t>（4）</w:t>
      </w:r>
      <w:r>
        <w:rPr>
          <w:color w:val="auto"/>
          <w:kern w:val="21"/>
        </w:rPr>
        <w:t>搬运时要轻装轻卸，防止包装及容器损坏，稀释或制备溶液时，应把碱加入水中，避免沸腾和飞溅。</w:t>
      </w:r>
    </w:p>
    <w:p>
      <w:pPr>
        <w:widowControl/>
        <w:topLinePunct/>
        <w:autoSpaceDE w:val="0"/>
        <w:adjustRightInd w:val="0"/>
        <w:snapToGrid w:val="0"/>
        <w:ind w:firstLine="480"/>
        <w:rPr>
          <w:color w:val="auto"/>
          <w:kern w:val="21"/>
        </w:rPr>
      </w:pPr>
      <w:r>
        <w:rPr>
          <w:rFonts w:hint="eastAsia"/>
          <w:color w:val="auto"/>
          <w:kern w:val="21"/>
        </w:rPr>
        <w:t>（5）</w:t>
      </w:r>
      <w:r>
        <w:rPr>
          <w:color w:val="auto"/>
          <w:kern w:val="21"/>
        </w:rPr>
        <w:t>项目设备选型时选用的投药装置及其配备的管道，材质要合格，即能防腐、防裂等，设备安装施工时提高施工质量。</w:t>
      </w:r>
    </w:p>
    <w:p>
      <w:pPr>
        <w:widowControl/>
        <w:topLinePunct/>
        <w:autoSpaceDE w:val="0"/>
        <w:adjustRightInd w:val="0"/>
        <w:snapToGrid w:val="0"/>
        <w:ind w:firstLine="480"/>
        <w:rPr>
          <w:color w:val="auto"/>
          <w:kern w:val="21"/>
        </w:rPr>
      </w:pPr>
      <w:r>
        <w:rPr>
          <w:rFonts w:hint="eastAsia"/>
          <w:color w:val="auto"/>
          <w:kern w:val="21"/>
        </w:rPr>
        <w:t>（6）</w:t>
      </w:r>
      <w:r>
        <w:rPr>
          <w:color w:val="auto"/>
          <w:kern w:val="21"/>
        </w:rPr>
        <w:t>项目运营期日常加强投药装置的检查和维修力度，发现破损、老化以及腐蚀等隐患及时解决，避免系统发生泄漏现象。</w:t>
      </w:r>
    </w:p>
    <w:p>
      <w:pPr>
        <w:widowControl/>
        <w:topLinePunct/>
        <w:autoSpaceDE w:val="0"/>
        <w:adjustRightInd w:val="0"/>
        <w:snapToGrid w:val="0"/>
        <w:ind w:firstLine="480"/>
        <w:rPr>
          <w:color w:val="auto"/>
          <w:kern w:val="21"/>
        </w:rPr>
      </w:pPr>
      <w:r>
        <w:rPr>
          <w:rFonts w:hint="eastAsia"/>
          <w:color w:val="auto"/>
          <w:kern w:val="21"/>
        </w:rPr>
        <w:t>（7）</w:t>
      </w:r>
      <w:r>
        <w:rPr>
          <w:color w:val="auto"/>
          <w:kern w:val="21"/>
        </w:rPr>
        <w:t>项目投药装置安设间的地面用水泥浇筑作防渗处理，避免渗漏药剂对地下水环境造成污染影响。</w:t>
      </w:r>
    </w:p>
    <w:p>
      <w:pPr>
        <w:widowControl/>
        <w:topLinePunct/>
        <w:autoSpaceDE w:val="0"/>
        <w:adjustRightInd w:val="0"/>
        <w:snapToGrid w:val="0"/>
        <w:ind w:firstLine="480"/>
        <w:rPr>
          <w:color w:val="auto"/>
          <w:kern w:val="21"/>
        </w:rPr>
      </w:pPr>
      <w:r>
        <w:rPr>
          <w:rFonts w:hint="eastAsia"/>
          <w:color w:val="auto"/>
          <w:kern w:val="21"/>
        </w:rPr>
        <w:t>（8）</w:t>
      </w:r>
      <w:r>
        <w:rPr>
          <w:color w:val="auto"/>
          <w:kern w:val="21"/>
        </w:rPr>
        <w:t>项目在场区内加强绿化植被设置，提高绿化植被对硫化氢的净化作用。</w:t>
      </w:r>
    </w:p>
    <w:p>
      <w:pPr>
        <w:widowControl/>
        <w:topLinePunct/>
        <w:autoSpaceDE w:val="0"/>
        <w:adjustRightInd w:val="0"/>
        <w:snapToGrid w:val="0"/>
        <w:ind w:firstLine="480"/>
        <w:rPr>
          <w:color w:val="auto"/>
          <w:kern w:val="21"/>
        </w:rPr>
      </w:pPr>
      <w:r>
        <w:rPr>
          <w:rFonts w:hint="eastAsia"/>
          <w:color w:val="auto"/>
          <w:kern w:val="21"/>
        </w:rPr>
        <w:t>（9）</w:t>
      </w:r>
      <w:r>
        <w:rPr>
          <w:color w:val="auto"/>
          <w:kern w:val="21"/>
        </w:rPr>
        <w:t>项目通过将污水处理系统中的构筑物沉砂池、污泥池等无需经常维护的构筑物进行加盖封闭，格栅间、进水泵房、污泥脱水机等构筑物采取局部封闭；贮泥池中的污泥经消毒脱水处理后尽量日产日清；污泥运输车辆密闭；定时在产生臭气的污水处理单元喷洒除臭药剂等措施，降硫化氢气体的逸散量。</w:t>
      </w:r>
    </w:p>
    <w:p>
      <w:pPr>
        <w:widowControl/>
        <w:topLinePunct/>
        <w:autoSpaceDE w:val="0"/>
        <w:adjustRightInd w:val="0"/>
        <w:snapToGrid w:val="0"/>
        <w:ind w:firstLine="0" w:firstLineChars="0"/>
        <w:outlineLvl w:val="2"/>
        <w:rPr>
          <w:rFonts w:hint="eastAsia" w:eastAsia="宋体"/>
          <w:b/>
          <w:bCs/>
          <w:color w:val="auto"/>
          <w:kern w:val="21"/>
          <w:lang w:eastAsia="zh-CN"/>
        </w:rPr>
      </w:pPr>
      <w:bookmarkStart w:id="304" w:name="_Toc5108"/>
      <w:r>
        <w:rPr>
          <w:rFonts w:hint="eastAsia"/>
          <w:b/>
          <w:bCs/>
          <w:color w:val="auto"/>
          <w:kern w:val="21"/>
        </w:rPr>
        <w:t>6</w:t>
      </w:r>
      <w:r>
        <w:rPr>
          <w:b/>
          <w:bCs/>
          <w:color w:val="auto"/>
          <w:kern w:val="21"/>
        </w:rPr>
        <w:t>.</w:t>
      </w:r>
      <w:r>
        <w:rPr>
          <w:rFonts w:hint="eastAsia"/>
          <w:b/>
          <w:bCs/>
          <w:color w:val="auto"/>
          <w:kern w:val="21"/>
          <w:lang w:val="en-US" w:eastAsia="zh-CN"/>
        </w:rPr>
        <w:t>5</w:t>
      </w:r>
      <w:r>
        <w:rPr>
          <w:b/>
          <w:bCs/>
          <w:color w:val="auto"/>
          <w:kern w:val="21"/>
        </w:rPr>
        <w:t>.</w:t>
      </w:r>
      <w:r>
        <w:rPr>
          <w:rFonts w:hint="eastAsia"/>
          <w:b/>
          <w:bCs/>
          <w:color w:val="auto"/>
          <w:kern w:val="21"/>
          <w:lang w:val="en-US" w:eastAsia="zh-CN"/>
        </w:rPr>
        <w:t>2</w:t>
      </w:r>
      <w:r>
        <w:rPr>
          <w:rFonts w:hint="eastAsia"/>
          <w:b/>
          <w:bCs/>
          <w:color w:val="auto"/>
          <w:kern w:val="21"/>
          <w:lang w:eastAsia="zh-CN"/>
        </w:rPr>
        <w:t>次氯化钠泄漏的风险防范措施</w:t>
      </w:r>
      <w:bookmarkEnd w:id="304"/>
    </w:p>
    <w:p>
      <w:pPr>
        <w:adjustRightInd w:val="0"/>
        <w:snapToGrid w:val="0"/>
        <w:ind w:firstLine="480"/>
        <w:rPr>
          <w:color w:val="auto"/>
          <w:kern w:val="21"/>
        </w:rPr>
      </w:pPr>
      <w:r>
        <w:rPr>
          <w:color w:val="auto"/>
          <w:kern w:val="21"/>
        </w:rPr>
        <w:t>（1）</w:t>
      </w:r>
      <w:r>
        <w:rPr>
          <w:color w:val="auto"/>
          <w:kern w:val="21"/>
          <w:lang w:bidi="ar"/>
        </w:rPr>
        <w:t>次氯酸钠应用专门的储存装置储存，禁配物严格混装。储存于阴凉、通风的库房内，注意防潮、防火、防高热，库温不宜超过30℃，搬运时要轻装倾卸，防止包装及容器损坏，储存区应备有泄露应急处理设备。</w:t>
      </w:r>
    </w:p>
    <w:p>
      <w:pPr>
        <w:widowControl/>
        <w:adjustRightInd w:val="0"/>
        <w:snapToGrid w:val="0"/>
        <w:ind w:firstLine="480"/>
        <w:jc w:val="left"/>
        <w:rPr>
          <w:color w:val="auto"/>
          <w:kern w:val="21"/>
        </w:rPr>
      </w:pPr>
      <w:r>
        <w:rPr>
          <w:color w:val="auto"/>
          <w:kern w:val="21"/>
          <w:lang w:bidi="ar"/>
        </w:rPr>
        <w:t>（2）操作人员必须经过专门培训，严格遵守操作规程。建议操作人员佩戴直接式防毒面罩，戴化学安全防护眼镜，穿防腐工作服，戴橡胶手套。</w:t>
      </w:r>
    </w:p>
    <w:p>
      <w:pPr>
        <w:widowControl/>
        <w:adjustRightInd w:val="0"/>
        <w:snapToGrid w:val="0"/>
        <w:ind w:firstLine="480"/>
        <w:jc w:val="left"/>
        <w:rPr>
          <w:color w:val="auto"/>
          <w:kern w:val="21"/>
        </w:rPr>
      </w:pPr>
      <w:r>
        <w:rPr>
          <w:color w:val="auto"/>
          <w:kern w:val="21"/>
          <w:lang w:bidi="ar"/>
        </w:rPr>
        <w:t>（3）防火防爆，严格按消防要求进行设计建设。远离火种、戴化学安全防护眼镜，工作场所严禁吸烟。</w:t>
      </w:r>
    </w:p>
    <w:p>
      <w:pPr>
        <w:widowControl/>
        <w:adjustRightInd w:val="0"/>
        <w:snapToGrid w:val="0"/>
        <w:ind w:firstLine="480"/>
        <w:jc w:val="left"/>
        <w:rPr>
          <w:color w:val="auto"/>
          <w:kern w:val="21"/>
        </w:rPr>
      </w:pPr>
      <w:r>
        <w:rPr>
          <w:color w:val="auto"/>
          <w:kern w:val="21"/>
          <w:lang w:bidi="ar"/>
        </w:rPr>
        <w:t>（4）次氯酸钠等储罐区周围应设置围堰，围堰起容纳泄露物料的作用，并安装电子监控设施。且储罐区应铺砌耐腐蚀的硬化地面，表面无裂隙，围堰的高度应不小于0.15m，围堰区范围为储罐向外延伸0.8m。危险化学品发生泄漏、扩散时，及时与环境保护、卫生部门联系，并采取积极的堵漏、阻害措施，防止危险化学品进入附近地表水体。</w:t>
      </w:r>
    </w:p>
    <w:p>
      <w:pPr>
        <w:widowControl/>
        <w:adjustRightInd w:val="0"/>
        <w:snapToGrid w:val="0"/>
        <w:ind w:firstLine="480"/>
        <w:jc w:val="left"/>
        <w:rPr>
          <w:color w:val="auto"/>
          <w:kern w:val="21"/>
        </w:rPr>
      </w:pPr>
      <w:r>
        <w:rPr>
          <w:color w:val="auto"/>
          <w:kern w:val="21"/>
        </w:rPr>
        <w:t>（5）</w:t>
      </w:r>
      <w:r>
        <w:rPr>
          <w:color w:val="auto"/>
          <w:kern w:val="21"/>
          <w:lang w:bidi="ar"/>
        </w:rPr>
        <w:t>次氯酸钠等储罐区地面进行重点防渗，储存区按《危险废物贮存污染控制标准》（GB18597-2001）进行建设，基础必须防渗，防渗层至少为1m厚粘土层（渗透系数≤1×10</w:t>
      </w:r>
      <w:r>
        <w:rPr>
          <w:color w:val="auto"/>
          <w:kern w:val="21"/>
          <w:vertAlign w:val="superscript"/>
          <w:lang w:bidi="ar"/>
        </w:rPr>
        <w:t>-7</w:t>
      </w:r>
      <w:r>
        <w:rPr>
          <w:color w:val="auto"/>
          <w:kern w:val="21"/>
          <w:lang w:bidi="ar"/>
        </w:rPr>
        <w:t>cm/s），或2mm厚高密度聚乙烯，或至少2mm厚的其他人工材料（渗透系数K≤1×10</w:t>
      </w:r>
      <w:r>
        <w:rPr>
          <w:color w:val="auto"/>
          <w:kern w:val="21"/>
          <w:sz w:val="21"/>
          <w:szCs w:val="21"/>
          <w:vertAlign w:val="superscript"/>
          <w:lang w:bidi="ar"/>
        </w:rPr>
        <w:t>-10</w:t>
      </w:r>
      <w:r>
        <w:rPr>
          <w:color w:val="auto"/>
          <w:kern w:val="21"/>
          <w:lang w:bidi="ar"/>
        </w:rPr>
        <w:t>cm/s）。</w:t>
      </w:r>
    </w:p>
    <w:p>
      <w:pPr>
        <w:pStyle w:val="23"/>
        <w:adjustRightInd w:val="0"/>
        <w:snapToGrid w:val="0"/>
        <w:spacing w:after="0" w:line="360" w:lineRule="auto"/>
        <w:ind w:left="0" w:leftChars="0" w:firstLine="480"/>
        <w:rPr>
          <w:color w:val="auto"/>
          <w:kern w:val="21"/>
        </w:rPr>
      </w:pPr>
      <w:r>
        <w:rPr>
          <w:color w:val="auto"/>
          <w:kern w:val="21"/>
        </w:rPr>
        <w:t>（6）存放次氯酸钠</w:t>
      </w:r>
      <w:r>
        <w:rPr>
          <w:color w:val="auto"/>
          <w:kern w:val="21"/>
          <w:lang w:bidi="ar"/>
        </w:rPr>
        <w:t>等危险品的储罐设置液位、温度、压力报警装置。</w:t>
      </w:r>
    </w:p>
    <w:p>
      <w:pPr>
        <w:pStyle w:val="23"/>
        <w:adjustRightInd w:val="0"/>
        <w:snapToGrid w:val="0"/>
        <w:spacing w:after="0" w:line="360" w:lineRule="auto"/>
        <w:ind w:left="0" w:leftChars="0" w:firstLine="480"/>
        <w:rPr>
          <w:color w:val="auto"/>
          <w:kern w:val="21"/>
        </w:rPr>
      </w:pPr>
      <w:r>
        <w:rPr>
          <w:color w:val="auto"/>
          <w:kern w:val="21"/>
        </w:rPr>
        <w:t>（7）污水处理厂最好采用双路供电，设置备用发电机房，以防城市系统断电时影响污水处理厂正常运转。</w:t>
      </w:r>
    </w:p>
    <w:p>
      <w:pPr>
        <w:widowControl/>
        <w:adjustRightInd w:val="0"/>
        <w:snapToGrid w:val="0"/>
        <w:ind w:firstLine="480"/>
        <w:jc w:val="left"/>
        <w:rPr>
          <w:color w:val="auto"/>
          <w:kern w:val="21"/>
        </w:rPr>
      </w:pPr>
      <w:r>
        <w:rPr>
          <w:color w:val="auto"/>
          <w:kern w:val="21"/>
        </w:rPr>
        <w:t>（8）</w:t>
      </w:r>
      <w:r>
        <w:rPr>
          <w:rFonts w:hint="eastAsia"/>
          <w:color w:val="auto"/>
          <w:kern w:val="21"/>
          <w:lang w:eastAsia="zh-CN" w:bidi="ar"/>
        </w:rPr>
        <w:t>恶臭气体</w:t>
      </w:r>
      <w:r>
        <w:rPr>
          <w:color w:val="auto"/>
          <w:kern w:val="21"/>
          <w:lang w:bidi="ar"/>
        </w:rPr>
        <w:t>除臭装置应加强维护管理，尽量避免臭气非正常排放。</w:t>
      </w:r>
    </w:p>
    <w:p>
      <w:pPr>
        <w:pStyle w:val="23"/>
        <w:adjustRightInd w:val="0"/>
        <w:snapToGrid w:val="0"/>
        <w:spacing w:after="0" w:line="360" w:lineRule="auto"/>
        <w:ind w:left="0" w:leftChars="0" w:firstLine="480"/>
        <w:rPr>
          <w:color w:val="auto"/>
          <w:kern w:val="21"/>
        </w:rPr>
      </w:pPr>
      <w:r>
        <w:rPr>
          <w:color w:val="auto"/>
          <w:kern w:val="21"/>
        </w:rPr>
        <w:t>（9）制定突发环境事件应急预案，配备应急物资，并演练。</w:t>
      </w:r>
    </w:p>
    <w:p>
      <w:pPr>
        <w:widowControl/>
        <w:topLinePunct/>
        <w:autoSpaceDE w:val="0"/>
        <w:adjustRightInd w:val="0"/>
        <w:snapToGrid w:val="0"/>
        <w:ind w:firstLine="0" w:firstLineChars="0"/>
        <w:outlineLvl w:val="2"/>
        <w:rPr>
          <w:rFonts w:hint="eastAsia" w:eastAsia="宋体"/>
          <w:b/>
          <w:bCs/>
          <w:color w:val="auto"/>
          <w:kern w:val="21"/>
          <w:lang w:eastAsia="zh-CN"/>
        </w:rPr>
      </w:pPr>
      <w:bookmarkStart w:id="305" w:name="_Toc17517"/>
      <w:r>
        <w:rPr>
          <w:rFonts w:hint="eastAsia"/>
          <w:b/>
          <w:bCs/>
          <w:color w:val="auto"/>
          <w:kern w:val="21"/>
        </w:rPr>
        <w:t>6</w:t>
      </w:r>
      <w:r>
        <w:rPr>
          <w:b/>
          <w:bCs/>
          <w:color w:val="auto"/>
          <w:kern w:val="21"/>
        </w:rPr>
        <w:t>.</w:t>
      </w:r>
      <w:r>
        <w:rPr>
          <w:rFonts w:hint="eastAsia"/>
          <w:b/>
          <w:bCs/>
          <w:color w:val="auto"/>
          <w:kern w:val="21"/>
          <w:lang w:val="en-US" w:eastAsia="zh-CN"/>
        </w:rPr>
        <w:t>5.3</w:t>
      </w:r>
      <w:r>
        <w:rPr>
          <w:rFonts w:hint="eastAsia"/>
          <w:b/>
          <w:bCs/>
          <w:color w:val="auto"/>
          <w:kern w:val="21"/>
          <w:lang w:eastAsia="zh-CN"/>
        </w:rPr>
        <w:t>污水直排事故的风险防范措施</w:t>
      </w:r>
      <w:bookmarkEnd w:id="305"/>
    </w:p>
    <w:p>
      <w:pPr>
        <w:widowControl/>
        <w:topLinePunct/>
        <w:autoSpaceDE w:val="0"/>
        <w:adjustRightInd w:val="0"/>
        <w:snapToGrid w:val="0"/>
        <w:ind w:firstLine="480"/>
        <w:rPr>
          <w:color w:val="auto"/>
          <w:kern w:val="21"/>
        </w:rPr>
      </w:pPr>
      <w:r>
        <w:rPr>
          <w:rFonts w:hint="eastAsia"/>
          <w:color w:val="auto"/>
          <w:kern w:val="21"/>
        </w:rPr>
        <w:t>（1）</w:t>
      </w:r>
      <w:r>
        <w:rPr>
          <w:color w:val="auto"/>
          <w:kern w:val="21"/>
        </w:rPr>
        <w:t>对运转设备机泵、阀门、污水管道材质的选型选用先进，质量可靠的产品。关键设备应一备一用，易损部件要有备用件，在出现事故时能及时更换。</w:t>
      </w:r>
    </w:p>
    <w:p>
      <w:pPr>
        <w:widowControl/>
        <w:topLinePunct/>
        <w:autoSpaceDE w:val="0"/>
        <w:adjustRightInd w:val="0"/>
        <w:snapToGrid w:val="0"/>
        <w:ind w:firstLine="480"/>
        <w:rPr>
          <w:color w:val="auto"/>
          <w:kern w:val="21"/>
        </w:rPr>
      </w:pPr>
      <w:r>
        <w:rPr>
          <w:rFonts w:hint="eastAsia"/>
          <w:color w:val="auto"/>
          <w:kern w:val="21"/>
        </w:rPr>
        <w:t>（2）</w:t>
      </w:r>
      <w:r>
        <w:rPr>
          <w:color w:val="auto"/>
          <w:kern w:val="21"/>
        </w:rPr>
        <w:t>设置备用电源，采用双回路供电，保证电源连续不间断，确保停电情况下污水处理厂能正常运营，避免污水直接排放影响</w:t>
      </w:r>
      <w:r>
        <w:rPr>
          <w:rFonts w:hint="eastAsia"/>
          <w:color w:val="auto"/>
          <w:kern w:val="21"/>
        </w:rPr>
        <w:t>青龙河</w:t>
      </w:r>
      <w:r>
        <w:rPr>
          <w:color w:val="auto"/>
          <w:kern w:val="21"/>
        </w:rPr>
        <w:t>水质。</w:t>
      </w:r>
    </w:p>
    <w:p>
      <w:pPr>
        <w:widowControl/>
        <w:topLinePunct/>
        <w:autoSpaceDE w:val="0"/>
        <w:adjustRightInd w:val="0"/>
        <w:snapToGrid w:val="0"/>
        <w:ind w:firstLine="480"/>
        <w:rPr>
          <w:color w:val="auto"/>
          <w:kern w:val="21"/>
        </w:rPr>
      </w:pPr>
      <w:r>
        <w:rPr>
          <w:rFonts w:hint="eastAsia"/>
          <w:color w:val="auto"/>
          <w:kern w:val="21"/>
        </w:rPr>
        <w:t>（3）</w:t>
      </w:r>
      <w:r>
        <w:rPr>
          <w:color w:val="auto"/>
          <w:kern w:val="21"/>
        </w:rPr>
        <w:t>污水处理厂的运行技术管理措施</w:t>
      </w:r>
    </w:p>
    <w:p>
      <w:pPr>
        <w:widowControl/>
        <w:topLinePunct/>
        <w:autoSpaceDE w:val="0"/>
        <w:adjustRightInd w:val="0"/>
        <w:snapToGrid w:val="0"/>
        <w:ind w:firstLine="480"/>
        <w:rPr>
          <w:color w:val="auto"/>
          <w:kern w:val="21"/>
        </w:rPr>
      </w:pPr>
      <w:r>
        <w:rPr>
          <w:color w:val="auto"/>
          <w:kern w:val="21"/>
        </w:rPr>
        <w:t>①建立污水处理厂运行管理和操作责任制度。</w:t>
      </w:r>
    </w:p>
    <w:p>
      <w:pPr>
        <w:widowControl/>
        <w:topLinePunct/>
        <w:autoSpaceDE w:val="0"/>
        <w:adjustRightInd w:val="0"/>
        <w:snapToGrid w:val="0"/>
        <w:ind w:firstLine="480"/>
        <w:rPr>
          <w:color w:val="auto"/>
          <w:kern w:val="21"/>
        </w:rPr>
      </w:pPr>
      <w:r>
        <w:rPr>
          <w:color w:val="auto"/>
          <w:kern w:val="21"/>
        </w:rPr>
        <w:t>②对管理和操作人员进行培训，建立技术考核档案，不合格者不得上岗。</w:t>
      </w:r>
    </w:p>
    <w:p>
      <w:pPr>
        <w:widowControl/>
        <w:topLinePunct/>
        <w:autoSpaceDE w:val="0"/>
        <w:adjustRightInd w:val="0"/>
        <w:snapToGrid w:val="0"/>
        <w:ind w:firstLine="480"/>
        <w:rPr>
          <w:color w:val="auto"/>
          <w:kern w:val="21"/>
        </w:rPr>
      </w:pPr>
      <w:r>
        <w:rPr>
          <w:color w:val="auto"/>
          <w:kern w:val="21"/>
        </w:rPr>
        <w:t>③严格控制处理单元的水量、水质、停留时间、负荷强度等工艺参数，确保处理效果的稳定性。配备流量、水质自动分析监控仪器，定期取样监测。</w:t>
      </w:r>
    </w:p>
    <w:p>
      <w:pPr>
        <w:widowControl/>
        <w:topLinePunct/>
        <w:autoSpaceDE w:val="0"/>
        <w:adjustRightInd w:val="0"/>
        <w:snapToGrid w:val="0"/>
        <w:ind w:firstLine="480"/>
        <w:rPr>
          <w:color w:val="auto"/>
          <w:kern w:val="21"/>
        </w:rPr>
      </w:pPr>
      <w:r>
        <w:rPr>
          <w:color w:val="auto"/>
          <w:kern w:val="21"/>
        </w:rPr>
        <w:t>④主动接受和协助</w:t>
      </w:r>
      <w:r>
        <w:rPr>
          <w:rFonts w:hint="eastAsia"/>
          <w:color w:val="auto"/>
          <w:kern w:val="21"/>
        </w:rPr>
        <w:t>楚雄州生态环境局楚雄分局</w:t>
      </w:r>
      <w:r>
        <w:rPr>
          <w:color w:val="auto"/>
          <w:kern w:val="21"/>
        </w:rPr>
        <w:t>和其他相关部门的监督和管理。鼓励公众参与对污水处理厂的监督，最大程度减小不正常排放的可能性。</w:t>
      </w:r>
    </w:p>
    <w:p>
      <w:pPr>
        <w:widowControl/>
        <w:topLinePunct/>
        <w:autoSpaceDE w:val="0"/>
        <w:adjustRightInd w:val="0"/>
        <w:snapToGrid w:val="0"/>
        <w:ind w:firstLine="480"/>
        <w:rPr>
          <w:color w:val="auto"/>
          <w:kern w:val="21"/>
        </w:rPr>
      </w:pPr>
      <w:r>
        <w:rPr>
          <w:color w:val="auto"/>
          <w:kern w:val="21"/>
        </w:rPr>
        <w:t>⑤加强事故监控，定期巡检、调节、保养、维修，及时发现有可能引起事故的异常运行情况，消除事故隐患。</w:t>
      </w:r>
    </w:p>
    <w:p>
      <w:pPr>
        <w:widowControl/>
        <w:topLinePunct/>
        <w:autoSpaceDE w:val="0"/>
        <w:adjustRightInd w:val="0"/>
        <w:snapToGrid w:val="0"/>
        <w:ind w:firstLine="480"/>
        <w:rPr>
          <w:color w:val="auto"/>
          <w:kern w:val="21"/>
        </w:rPr>
      </w:pPr>
      <w:r>
        <w:rPr>
          <w:color w:val="auto"/>
          <w:kern w:val="21"/>
        </w:rPr>
        <w:t>⑥发生重大事故时，及时通知重点排污企业暂停排放污水。</w:t>
      </w:r>
    </w:p>
    <w:p>
      <w:pPr>
        <w:widowControl/>
        <w:topLinePunct/>
        <w:autoSpaceDE w:val="0"/>
        <w:adjustRightInd w:val="0"/>
        <w:snapToGrid w:val="0"/>
        <w:ind w:firstLine="480"/>
        <w:rPr>
          <w:color w:val="auto"/>
          <w:kern w:val="21"/>
        </w:rPr>
      </w:pPr>
      <w:r>
        <w:rPr>
          <w:color w:val="auto"/>
          <w:kern w:val="21"/>
        </w:rPr>
        <w:t>⑦污水处理厂区内实行雨污分流工作，避免暴雨时污水未经处理溢出排放。</w:t>
      </w:r>
    </w:p>
    <w:p>
      <w:pPr>
        <w:widowControl/>
        <w:topLinePunct/>
        <w:autoSpaceDE w:val="0"/>
        <w:adjustRightInd w:val="0"/>
        <w:snapToGrid w:val="0"/>
        <w:ind w:firstLine="0" w:firstLineChars="0"/>
        <w:outlineLvl w:val="2"/>
        <w:rPr>
          <w:rFonts w:hint="eastAsia" w:eastAsia="宋体"/>
          <w:b/>
          <w:bCs/>
          <w:color w:val="auto"/>
          <w:kern w:val="21"/>
          <w:lang w:eastAsia="zh-CN"/>
        </w:rPr>
      </w:pPr>
      <w:bookmarkStart w:id="306" w:name="_Toc12116"/>
      <w:r>
        <w:rPr>
          <w:rFonts w:hint="eastAsia"/>
          <w:b/>
          <w:bCs/>
          <w:color w:val="auto"/>
          <w:kern w:val="21"/>
        </w:rPr>
        <w:t>6</w:t>
      </w:r>
      <w:r>
        <w:rPr>
          <w:b/>
          <w:bCs/>
          <w:color w:val="auto"/>
          <w:kern w:val="21"/>
        </w:rPr>
        <w:t>.</w:t>
      </w:r>
      <w:r>
        <w:rPr>
          <w:rFonts w:hint="eastAsia"/>
          <w:b/>
          <w:bCs/>
          <w:color w:val="auto"/>
          <w:kern w:val="21"/>
          <w:lang w:val="en-US" w:eastAsia="zh-CN"/>
        </w:rPr>
        <w:t>5</w:t>
      </w:r>
      <w:r>
        <w:rPr>
          <w:b/>
          <w:bCs/>
          <w:color w:val="auto"/>
          <w:kern w:val="21"/>
        </w:rPr>
        <w:t>.</w:t>
      </w:r>
      <w:r>
        <w:rPr>
          <w:rFonts w:hint="eastAsia"/>
          <w:b/>
          <w:bCs/>
          <w:color w:val="auto"/>
          <w:kern w:val="21"/>
          <w:lang w:val="en-US" w:eastAsia="zh-CN"/>
        </w:rPr>
        <w:t>4</w:t>
      </w:r>
      <w:r>
        <w:rPr>
          <w:rFonts w:hint="eastAsia"/>
          <w:b/>
          <w:bCs/>
          <w:color w:val="auto"/>
          <w:kern w:val="21"/>
          <w:lang w:eastAsia="zh-CN"/>
        </w:rPr>
        <w:t>污泥膨化事故的风险防范措施</w:t>
      </w:r>
      <w:bookmarkEnd w:id="306"/>
    </w:p>
    <w:p>
      <w:pPr>
        <w:widowControl/>
        <w:topLinePunct/>
        <w:autoSpaceDE w:val="0"/>
        <w:adjustRightInd w:val="0"/>
        <w:snapToGrid w:val="0"/>
        <w:ind w:firstLine="480"/>
        <w:rPr>
          <w:color w:val="auto"/>
          <w:kern w:val="21"/>
        </w:rPr>
      </w:pPr>
      <w:r>
        <w:rPr>
          <w:rFonts w:hint="eastAsia"/>
          <w:color w:val="auto"/>
          <w:kern w:val="21"/>
        </w:rPr>
        <w:t>（1）</w:t>
      </w:r>
      <w:r>
        <w:rPr>
          <w:color w:val="auto"/>
          <w:kern w:val="21"/>
        </w:rPr>
        <w:t>应加强管理，经常检查废水水质，如好氧池中的溶解氧、污泥沉降比、污泥指数等。如果发现不正常情况（如污泥指数突增），就应采取下列等措施及时解决问题：</w:t>
      </w:r>
    </w:p>
    <w:p>
      <w:pPr>
        <w:widowControl/>
        <w:topLinePunct/>
        <w:autoSpaceDE w:val="0"/>
        <w:adjustRightInd w:val="0"/>
        <w:snapToGrid w:val="0"/>
        <w:ind w:firstLine="480"/>
        <w:rPr>
          <w:color w:val="auto"/>
          <w:kern w:val="21"/>
        </w:rPr>
      </w:pPr>
      <w:r>
        <w:rPr>
          <w:color w:val="auto"/>
          <w:kern w:val="21"/>
        </w:rPr>
        <w:t>①按照进水浓度、污水的处理效果变更供气量，使营养和供氧维持适当的比例关系；</w:t>
      </w:r>
    </w:p>
    <w:p>
      <w:pPr>
        <w:widowControl/>
        <w:topLinePunct/>
        <w:autoSpaceDE w:val="0"/>
        <w:adjustRightInd w:val="0"/>
        <w:snapToGrid w:val="0"/>
        <w:ind w:firstLine="480"/>
        <w:rPr>
          <w:color w:val="auto"/>
          <w:kern w:val="21"/>
        </w:rPr>
      </w:pPr>
      <w:r>
        <w:rPr>
          <w:color w:val="auto"/>
          <w:kern w:val="21"/>
        </w:rPr>
        <w:t>②严格控制排泥量和排泥时间，排泥量应根据30min沉降比或污泥浓度进行控制。</w:t>
      </w:r>
    </w:p>
    <w:p>
      <w:pPr>
        <w:widowControl/>
        <w:topLinePunct/>
        <w:autoSpaceDE w:val="0"/>
        <w:adjustRightInd w:val="0"/>
        <w:snapToGrid w:val="0"/>
        <w:ind w:firstLine="480"/>
        <w:rPr>
          <w:color w:val="auto"/>
          <w:kern w:val="21"/>
        </w:rPr>
      </w:pPr>
      <w:r>
        <w:rPr>
          <w:rFonts w:hint="eastAsia"/>
          <w:color w:val="auto"/>
          <w:kern w:val="21"/>
        </w:rPr>
        <w:t>（2）</w:t>
      </w:r>
      <w:r>
        <w:rPr>
          <w:color w:val="auto"/>
          <w:kern w:val="21"/>
        </w:rPr>
        <w:t>当发生污泥膨胀后，可针对丝状菌和真菌的特性，采取如下措施：</w:t>
      </w:r>
    </w:p>
    <w:p>
      <w:pPr>
        <w:widowControl/>
        <w:topLinePunct/>
        <w:autoSpaceDE w:val="0"/>
        <w:adjustRightInd w:val="0"/>
        <w:snapToGrid w:val="0"/>
        <w:ind w:firstLine="480"/>
        <w:rPr>
          <w:color w:val="auto"/>
          <w:kern w:val="21"/>
        </w:rPr>
      </w:pPr>
      <w:r>
        <w:rPr>
          <w:color w:val="auto"/>
          <w:kern w:val="21"/>
        </w:rPr>
        <w:t>①加强曝气单元的曝气，使废水中保持足够的溶解氧，一般要求混合液中的溶解氧浓度不少于1～2mg/L。</w:t>
      </w:r>
    </w:p>
    <w:p>
      <w:pPr>
        <w:widowControl/>
        <w:topLinePunct/>
        <w:autoSpaceDE w:val="0"/>
        <w:adjustRightInd w:val="0"/>
        <w:snapToGrid w:val="0"/>
        <w:ind w:firstLine="480"/>
        <w:rPr>
          <w:color w:val="auto"/>
          <w:kern w:val="21"/>
        </w:rPr>
      </w:pPr>
      <w:r>
        <w:rPr>
          <w:color w:val="auto"/>
          <w:kern w:val="21"/>
        </w:rPr>
        <w:t>②废水中若含碳水化合物较多，曝气池中碳氮比失调，可投加适量的氮化物，废水中如磷不足，也应投加磷化合物。</w:t>
      </w:r>
    </w:p>
    <w:p>
      <w:pPr>
        <w:widowControl/>
        <w:topLinePunct/>
        <w:autoSpaceDE w:val="0"/>
        <w:adjustRightInd w:val="0"/>
        <w:snapToGrid w:val="0"/>
        <w:ind w:firstLine="480"/>
        <w:rPr>
          <w:color w:val="auto"/>
          <w:kern w:val="21"/>
        </w:rPr>
      </w:pPr>
      <w:r>
        <w:rPr>
          <w:color w:val="auto"/>
          <w:kern w:val="21"/>
        </w:rPr>
        <w:t>③氯处理，利用丝状菌对氯抵抗力不如菌胶团的特点，在回流污泥中投加漂白粉等以消除丝状菌，加氯量可按干污泥量的0.3～0.6%计。</w:t>
      </w:r>
    </w:p>
    <w:p>
      <w:pPr>
        <w:widowControl/>
        <w:topLinePunct/>
        <w:autoSpaceDE w:val="0"/>
        <w:adjustRightInd w:val="0"/>
        <w:snapToGrid w:val="0"/>
        <w:ind w:firstLine="480"/>
        <w:rPr>
          <w:color w:val="auto"/>
          <w:kern w:val="21"/>
        </w:rPr>
      </w:pPr>
      <w:r>
        <w:rPr>
          <w:color w:val="auto"/>
          <w:kern w:val="21"/>
        </w:rPr>
        <w:t>④调整pH值，菌胶团生长适应的pH值为6～8，而真菌则在pH4.5～6.5之间生长良好，通过调整pH值来抑制丝状菌的繁殖。</w:t>
      </w:r>
    </w:p>
    <w:p>
      <w:pPr>
        <w:widowControl/>
        <w:topLinePunct/>
        <w:autoSpaceDE w:val="0"/>
        <w:adjustRightInd w:val="0"/>
        <w:snapToGrid w:val="0"/>
        <w:ind w:firstLine="480"/>
        <w:rPr>
          <w:color w:val="auto"/>
          <w:kern w:val="21"/>
        </w:rPr>
      </w:pPr>
      <w:r>
        <w:rPr>
          <w:color w:val="auto"/>
          <w:kern w:val="21"/>
        </w:rPr>
        <w:t>综上所述，在针对相关污水处理厂多发性事故采取对应防范及应急措施后，可有效杜绝相关污染事故的发生，项目事故水平可控。</w:t>
      </w:r>
    </w:p>
    <w:p>
      <w:pPr>
        <w:widowControl/>
        <w:topLinePunct/>
        <w:autoSpaceDE w:val="0"/>
        <w:adjustRightInd w:val="0"/>
        <w:snapToGrid w:val="0"/>
        <w:ind w:firstLine="0" w:firstLineChars="0"/>
        <w:outlineLvl w:val="1"/>
        <w:rPr>
          <w:b/>
          <w:bCs/>
          <w:color w:val="auto"/>
          <w:kern w:val="21"/>
          <w:sz w:val="28"/>
          <w:szCs w:val="28"/>
        </w:rPr>
      </w:pPr>
      <w:bookmarkStart w:id="307" w:name="_Toc10779"/>
      <w:r>
        <w:rPr>
          <w:rFonts w:hint="eastAsia"/>
          <w:b/>
          <w:bCs/>
          <w:color w:val="auto"/>
          <w:kern w:val="21"/>
          <w:sz w:val="28"/>
          <w:szCs w:val="28"/>
        </w:rPr>
        <w:t>6</w:t>
      </w:r>
      <w:r>
        <w:rPr>
          <w:b/>
          <w:bCs/>
          <w:color w:val="auto"/>
          <w:kern w:val="21"/>
          <w:sz w:val="28"/>
          <w:szCs w:val="28"/>
        </w:rPr>
        <w:t>.</w:t>
      </w:r>
      <w:r>
        <w:rPr>
          <w:rFonts w:hint="eastAsia"/>
          <w:b/>
          <w:bCs/>
          <w:color w:val="auto"/>
          <w:kern w:val="21"/>
          <w:sz w:val="28"/>
          <w:szCs w:val="28"/>
          <w:lang w:val="en-US" w:eastAsia="zh-CN"/>
        </w:rPr>
        <w:t>6</w:t>
      </w:r>
      <w:r>
        <w:rPr>
          <w:b/>
          <w:bCs/>
          <w:color w:val="auto"/>
          <w:kern w:val="21"/>
          <w:sz w:val="28"/>
          <w:szCs w:val="28"/>
        </w:rPr>
        <w:t>环境风险应急预案</w:t>
      </w:r>
      <w:bookmarkEnd w:id="307"/>
    </w:p>
    <w:p>
      <w:pPr>
        <w:widowControl/>
        <w:topLinePunct/>
        <w:autoSpaceDE w:val="0"/>
        <w:adjustRightInd w:val="0"/>
        <w:snapToGrid w:val="0"/>
        <w:ind w:firstLine="0" w:firstLineChars="0"/>
        <w:outlineLvl w:val="2"/>
        <w:rPr>
          <w:b/>
          <w:bCs/>
          <w:color w:val="auto"/>
          <w:kern w:val="21"/>
        </w:rPr>
      </w:pPr>
      <w:bookmarkStart w:id="308" w:name="_Toc13826"/>
      <w:r>
        <w:rPr>
          <w:rFonts w:hint="eastAsia"/>
          <w:b/>
          <w:bCs/>
          <w:color w:val="auto"/>
          <w:kern w:val="21"/>
        </w:rPr>
        <w:t>6</w:t>
      </w:r>
      <w:r>
        <w:rPr>
          <w:b/>
          <w:bCs/>
          <w:color w:val="auto"/>
          <w:kern w:val="21"/>
        </w:rPr>
        <w:t>.</w:t>
      </w:r>
      <w:r>
        <w:rPr>
          <w:rFonts w:hint="eastAsia"/>
          <w:b/>
          <w:bCs/>
          <w:color w:val="auto"/>
          <w:kern w:val="21"/>
          <w:lang w:val="en-US" w:eastAsia="zh-CN"/>
        </w:rPr>
        <w:t>6</w:t>
      </w:r>
      <w:r>
        <w:rPr>
          <w:b/>
          <w:bCs/>
          <w:color w:val="auto"/>
          <w:kern w:val="21"/>
        </w:rPr>
        <w:t>.1应急预案制定依据</w:t>
      </w:r>
      <w:bookmarkEnd w:id="308"/>
    </w:p>
    <w:p>
      <w:pPr>
        <w:widowControl/>
        <w:topLinePunct/>
        <w:autoSpaceDE w:val="0"/>
        <w:adjustRightInd w:val="0"/>
        <w:snapToGrid w:val="0"/>
        <w:ind w:firstLine="480"/>
        <w:rPr>
          <w:color w:val="auto"/>
          <w:kern w:val="21"/>
        </w:rPr>
      </w:pPr>
      <w:r>
        <w:rPr>
          <w:color w:val="auto"/>
          <w:kern w:val="21"/>
        </w:rPr>
        <w:t>为有效防范突发环境事件的发生，及时、合理处置可能发生的各类重大、特大环境污染事故，保障人民群众身心健康及正常生产、生活活动，依据《中华人民共和国环境保护法》、《云南省人民政府办公厅关于印发云南省突发环境事件应急预案的通知》（云政办发〔2017〕62号）、《云南省突发环境事件应急预案》和《</w:t>
      </w:r>
      <w:r>
        <w:rPr>
          <w:rFonts w:hint="eastAsia"/>
          <w:color w:val="auto"/>
          <w:kern w:val="21"/>
        </w:rPr>
        <w:t>楚雄州突发环境事件应急预案（试行）</w:t>
      </w:r>
      <w:r>
        <w:rPr>
          <w:color w:val="auto"/>
          <w:kern w:val="21"/>
        </w:rPr>
        <w:t>》的规定，制定以下应急预案。</w:t>
      </w:r>
    </w:p>
    <w:p>
      <w:pPr>
        <w:widowControl/>
        <w:topLinePunct/>
        <w:autoSpaceDE w:val="0"/>
        <w:adjustRightInd w:val="0"/>
        <w:snapToGrid w:val="0"/>
        <w:ind w:firstLine="0" w:firstLineChars="0"/>
        <w:outlineLvl w:val="2"/>
        <w:rPr>
          <w:b/>
          <w:bCs/>
          <w:color w:val="auto"/>
          <w:kern w:val="21"/>
        </w:rPr>
      </w:pPr>
      <w:bookmarkStart w:id="309" w:name="_Toc20872"/>
      <w:r>
        <w:rPr>
          <w:rFonts w:hint="eastAsia"/>
          <w:b/>
          <w:bCs/>
          <w:color w:val="auto"/>
          <w:kern w:val="21"/>
        </w:rPr>
        <w:t>6</w:t>
      </w:r>
      <w:r>
        <w:rPr>
          <w:b/>
          <w:bCs/>
          <w:color w:val="auto"/>
          <w:kern w:val="21"/>
        </w:rPr>
        <w:t>.</w:t>
      </w:r>
      <w:r>
        <w:rPr>
          <w:rFonts w:hint="eastAsia"/>
          <w:b/>
          <w:bCs/>
          <w:color w:val="auto"/>
          <w:kern w:val="21"/>
          <w:lang w:val="en-US" w:eastAsia="zh-CN"/>
        </w:rPr>
        <w:t>6</w:t>
      </w:r>
      <w:r>
        <w:rPr>
          <w:b/>
          <w:bCs/>
          <w:color w:val="auto"/>
          <w:kern w:val="21"/>
        </w:rPr>
        <w:t>.2组织机构及职责任务</w:t>
      </w:r>
      <w:bookmarkEnd w:id="309"/>
    </w:p>
    <w:p>
      <w:pPr>
        <w:widowControl/>
        <w:topLinePunct/>
        <w:autoSpaceDE w:val="0"/>
        <w:adjustRightInd w:val="0"/>
        <w:snapToGrid w:val="0"/>
        <w:ind w:firstLine="480"/>
        <w:rPr>
          <w:color w:val="auto"/>
          <w:kern w:val="21"/>
        </w:rPr>
      </w:pPr>
      <w:r>
        <w:rPr>
          <w:color w:val="auto"/>
          <w:kern w:val="21"/>
        </w:rPr>
        <w:t>（1）组织机构</w:t>
      </w:r>
    </w:p>
    <w:p>
      <w:pPr>
        <w:widowControl/>
        <w:topLinePunct/>
        <w:autoSpaceDE w:val="0"/>
        <w:adjustRightInd w:val="0"/>
        <w:snapToGrid w:val="0"/>
        <w:ind w:firstLine="480"/>
        <w:rPr>
          <w:color w:val="auto"/>
          <w:kern w:val="21"/>
        </w:rPr>
      </w:pPr>
      <w:r>
        <w:rPr>
          <w:color w:val="auto"/>
          <w:kern w:val="21"/>
        </w:rPr>
        <w:t>组织机构主要为项目成立的环境安全管理机构，由项目环保第一责任人、环保直接负责人和其他的专职环境管理人员组成。</w:t>
      </w:r>
    </w:p>
    <w:p>
      <w:pPr>
        <w:widowControl/>
        <w:topLinePunct/>
        <w:autoSpaceDE w:val="0"/>
        <w:adjustRightInd w:val="0"/>
        <w:snapToGrid w:val="0"/>
        <w:ind w:firstLine="480"/>
        <w:rPr>
          <w:color w:val="auto"/>
          <w:kern w:val="21"/>
        </w:rPr>
      </w:pPr>
      <w:r>
        <w:rPr>
          <w:color w:val="auto"/>
          <w:kern w:val="21"/>
        </w:rPr>
        <w:t>（2）主要职责</w:t>
      </w:r>
    </w:p>
    <w:p>
      <w:pPr>
        <w:widowControl/>
        <w:topLinePunct/>
        <w:autoSpaceDE w:val="0"/>
        <w:adjustRightInd w:val="0"/>
        <w:snapToGrid w:val="0"/>
        <w:ind w:firstLine="480"/>
        <w:rPr>
          <w:color w:val="auto"/>
          <w:kern w:val="21"/>
        </w:rPr>
      </w:pPr>
      <w:r>
        <w:rPr>
          <w:color w:val="auto"/>
          <w:kern w:val="21"/>
        </w:rPr>
        <w:t>①宣传学习国家突发环境事件应急工作的方针、政策，贯彻落实上级领导对环境污染事故应急的指示精神；</w:t>
      </w:r>
    </w:p>
    <w:p>
      <w:pPr>
        <w:widowControl/>
        <w:topLinePunct/>
        <w:autoSpaceDE w:val="0"/>
        <w:adjustRightInd w:val="0"/>
        <w:snapToGrid w:val="0"/>
        <w:ind w:firstLine="480"/>
        <w:rPr>
          <w:color w:val="auto"/>
          <w:kern w:val="21"/>
        </w:rPr>
      </w:pPr>
      <w:r>
        <w:rPr>
          <w:color w:val="auto"/>
          <w:kern w:val="21"/>
        </w:rPr>
        <w:t>②掌握有关突发环境事件应急情报信息和事态变化情况，及时将事故上报有关部门；</w:t>
      </w:r>
    </w:p>
    <w:p>
      <w:pPr>
        <w:widowControl/>
        <w:topLinePunct/>
        <w:autoSpaceDE w:val="0"/>
        <w:adjustRightInd w:val="0"/>
        <w:snapToGrid w:val="0"/>
        <w:ind w:firstLine="480"/>
        <w:rPr>
          <w:color w:val="auto"/>
          <w:kern w:val="21"/>
        </w:rPr>
      </w:pPr>
      <w:r>
        <w:rPr>
          <w:color w:val="auto"/>
          <w:kern w:val="21"/>
        </w:rPr>
        <w:t>③负责有关突发环境事件应急工作措施落实情况、工作进展情况，信息联络、传达、报送、新闻发布等工作；</w:t>
      </w:r>
    </w:p>
    <w:p>
      <w:pPr>
        <w:widowControl/>
        <w:topLinePunct/>
        <w:autoSpaceDE w:val="0"/>
        <w:adjustRightInd w:val="0"/>
        <w:snapToGrid w:val="0"/>
        <w:ind w:firstLine="480"/>
        <w:rPr>
          <w:color w:val="auto"/>
          <w:kern w:val="21"/>
        </w:rPr>
      </w:pPr>
      <w:r>
        <w:rPr>
          <w:color w:val="auto"/>
          <w:kern w:val="21"/>
        </w:rPr>
        <w:t>④配合上级指挥部门进行现场处置、调查、取证工作；</w:t>
      </w:r>
    </w:p>
    <w:p>
      <w:pPr>
        <w:widowControl/>
        <w:topLinePunct/>
        <w:autoSpaceDE w:val="0"/>
        <w:adjustRightInd w:val="0"/>
        <w:snapToGrid w:val="0"/>
        <w:ind w:firstLine="480"/>
        <w:rPr>
          <w:color w:val="auto"/>
          <w:kern w:val="21"/>
        </w:rPr>
      </w:pPr>
      <w:r>
        <w:rPr>
          <w:color w:val="auto"/>
          <w:kern w:val="21"/>
        </w:rPr>
        <w:t>⑤协调有关部门，指导污染区域的警戒工作；</w:t>
      </w:r>
    </w:p>
    <w:p>
      <w:pPr>
        <w:widowControl/>
        <w:topLinePunct/>
        <w:autoSpaceDE w:val="0"/>
        <w:adjustRightInd w:val="0"/>
        <w:snapToGrid w:val="0"/>
        <w:ind w:firstLine="480"/>
        <w:rPr>
          <w:color w:val="auto"/>
          <w:kern w:val="21"/>
        </w:rPr>
      </w:pPr>
      <w:r>
        <w:rPr>
          <w:color w:val="auto"/>
          <w:kern w:val="21"/>
        </w:rPr>
        <w:t>⑥根据现场调查、取证结果并参考专家意见，确定事件处置的技术措施；</w:t>
      </w:r>
    </w:p>
    <w:p>
      <w:pPr>
        <w:widowControl/>
        <w:topLinePunct/>
        <w:autoSpaceDE w:val="0"/>
        <w:adjustRightInd w:val="0"/>
        <w:snapToGrid w:val="0"/>
        <w:ind w:firstLine="480"/>
        <w:rPr>
          <w:color w:val="auto"/>
          <w:kern w:val="21"/>
        </w:rPr>
      </w:pPr>
      <w:r>
        <w:rPr>
          <w:color w:val="auto"/>
          <w:kern w:val="21"/>
        </w:rPr>
        <w:t>⑦负责对外组织协调、分析事件原因、向应急领导组报告现场处置情况；</w:t>
      </w:r>
    </w:p>
    <w:p>
      <w:pPr>
        <w:widowControl/>
        <w:topLinePunct/>
        <w:autoSpaceDE w:val="0"/>
        <w:adjustRightInd w:val="0"/>
        <w:snapToGrid w:val="0"/>
        <w:ind w:firstLine="480"/>
        <w:rPr>
          <w:color w:val="auto"/>
          <w:kern w:val="21"/>
        </w:rPr>
      </w:pPr>
      <w:r>
        <w:rPr>
          <w:color w:val="auto"/>
          <w:kern w:val="21"/>
        </w:rPr>
        <w:t>⑧完成当地政府有关应急领导组交办的其他工作；</w:t>
      </w:r>
    </w:p>
    <w:p>
      <w:pPr>
        <w:widowControl/>
        <w:topLinePunct/>
        <w:autoSpaceDE w:val="0"/>
        <w:adjustRightInd w:val="0"/>
        <w:snapToGrid w:val="0"/>
        <w:ind w:firstLine="480"/>
        <w:rPr>
          <w:color w:val="auto"/>
          <w:kern w:val="21"/>
        </w:rPr>
      </w:pPr>
      <w:r>
        <w:rPr>
          <w:color w:val="auto"/>
          <w:kern w:val="21"/>
        </w:rPr>
        <w:t>⑨配合专家组对突发环境事件的危害范围、发展趋势做出科学评估，为上级应急领导组的决策和指挥提供科学依据；</w:t>
      </w:r>
    </w:p>
    <w:p>
      <w:pPr>
        <w:widowControl/>
        <w:topLinePunct/>
        <w:autoSpaceDE w:val="0"/>
        <w:adjustRightInd w:val="0"/>
        <w:snapToGrid w:val="0"/>
        <w:ind w:firstLine="480"/>
        <w:rPr>
          <w:color w:val="auto"/>
          <w:kern w:val="21"/>
        </w:rPr>
      </w:pPr>
      <w:r>
        <w:rPr>
          <w:color w:val="auto"/>
          <w:kern w:val="21"/>
        </w:rPr>
        <w:t>⑩配合专家组参与污染程度、危害范围、事件等级的判定，对污染区域的警报设立与解除等重大防护措施的决策提供技术依据。</w:t>
      </w:r>
    </w:p>
    <w:p>
      <w:pPr>
        <w:widowControl/>
        <w:topLinePunct/>
        <w:autoSpaceDE w:val="0"/>
        <w:adjustRightInd w:val="0"/>
        <w:snapToGrid w:val="0"/>
        <w:ind w:left="480" w:leftChars="200" w:firstLine="0" w:firstLineChars="0"/>
        <w:rPr>
          <w:color w:val="auto"/>
          <w:kern w:val="21"/>
        </w:rPr>
      </w:pPr>
      <w:r>
        <w:rPr>
          <w:rFonts w:hint="eastAsia"/>
          <w:color w:val="auto"/>
          <w:kern w:val="21"/>
        </w:rPr>
        <w:t>（3）</w:t>
      </w:r>
      <w:r>
        <w:rPr>
          <w:color w:val="auto"/>
          <w:kern w:val="21"/>
        </w:rPr>
        <w:t>主要任务</w:t>
      </w:r>
    </w:p>
    <w:p>
      <w:pPr>
        <w:widowControl/>
        <w:topLinePunct/>
        <w:autoSpaceDE w:val="0"/>
        <w:adjustRightInd w:val="0"/>
        <w:snapToGrid w:val="0"/>
        <w:ind w:left="480" w:leftChars="200" w:firstLine="0" w:firstLineChars="0"/>
        <w:rPr>
          <w:color w:val="auto"/>
          <w:kern w:val="21"/>
        </w:rPr>
      </w:pPr>
      <w:r>
        <w:rPr>
          <w:color w:val="auto"/>
          <w:kern w:val="21"/>
        </w:rPr>
        <w:t>①划定隔离区域，制定处置措施，控制事件现场；</w:t>
      </w:r>
    </w:p>
    <w:p>
      <w:pPr>
        <w:widowControl/>
        <w:topLinePunct/>
        <w:autoSpaceDE w:val="0"/>
        <w:adjustRightInd w:val="0"/>
        <w:snapToGrid w:val="0"/>
        <w:ind w:firstLine="480"/>
        <w:rPr>
          <w:color w:val="auto"/>
          <w:kern w:val="21"/>
        </w:rPr>
      </w:pPr>
      <w:r>
        <w:rPr>
          <w:color w:val="auto"/>
          <w:kern w:val="21"/>
        </w:rPr>
        <w:t>②进行现场调查，认定突发环境事件等级，按规定向有关部门和当地各级政府报告；</w:t>
      </w:r>
    </w:p>
    <w:p>
      <w:pPr>
        <w:widowControl/>
        <w:topLinePunct/>
        <w:autoSpaceDE w:val="0"/>
        <w:adjustRightInd w:val="0"/>
        <w:snapToGrid w:val="0"/>
        <w:ind w:firstLine="480"/>
        <w:rPr>
          <w:color w:val="auto"/>
          <w:kern w:val="21"/>
        </w:rPr>
      </w:pPr>
      <w:r>
        <w:rPr>
          <w:color w:val="auto"/>
          <w:kern w:val="21"/>
        </w:rPr>
        <w:t>③查明事件原因，判明污染区域，提出处置措施，防止污染扩大；</w:t>
      </w:r>
    </w:p>
    <w:p>
      <w:pPr>
        <w:widowControl/>
        <w:topLinePunct/>
        <w:autoSpaceDE w:val="0"/>
        <w:adjustRightInd w:val="0"/>
        <w:snapToGrid w:val="0"/>
        <w:ind w:firstLine="480"/>
        <w:rPr>
          <w:color w:val="auto"/>
          <w:kern w:val="21"/>
        </w:rPr>
      </w:pPr>
      <w:r>
        <w:rPr>
          <w:color w:val="auto"/>
          <w:kern w:val="21"/>
        </w:rPr>
        <w:t>④负责污染警报的设立和解除；</w:t>
      </w:r>
    </w:p>
    <w:p>
      <w:pPr>
        <w:widowControl/>
        <w:topLinePunct/>
        <w:autoSpaceDE w:val="0"/>
        <w:adjustRightInd w:val="0"/>
        <w:snapToGrid w:val="0"/>
        <w:ind w:firstLine="480"/>
        <w:rPr>
          <w:color w:val="auto"/>
          <w:kern w:val="21"/>
        </w:rPr>
      </w:pPr>
      <w:r>
        <w:rPr>
          <w:color w:val="auto"/>
          <w:kern w:val="21"/>
        </w:rPr>
        <w:t>⑤负责对污染事故进行调查取证，立案查处，接受上级管理部门的监督管理；</w:t>
      </w:r>
    </w:p>
    <w:p>
      <w:pPr>
        <w:widowControl/>
        <w:topLinePunct/>
        <w:autoSpaceDE w:val="0"/>
        <w:adjustRightInd w:val="0"/>
        <w:snapToGrid w:val="0"/>
        <w:ind w:firstLine="480"/>
        <w:rPr>
          <w:color w:val="auto"/>
          <w:kern w:val="21"/>
        </w:rPr>
      </w:pPr>
      <w:r>
        <w:rPr>
          <w:color w:val="auto"/>
          <w:kern w:val="21"/>
        </w:rPr>
        <w:t>⑥负责完成有关部门提出的环境恢复、生态修复建议措施；</w:t>
      </w:r>
    </w:p>
    <w:p>
      <w:pPr>
        <w:widowControl/>
        <w:topLinePunct/>
        <w:autoSpaceDE w:val="0"/>
        <w:adjustRightInd w:val="0"/>
        <w:snapToGrid w:val="0"/>
        <w:ind w:firstLine="480"/>
        <w:rPr>
          <w:color w:val="auto"/>
          <w:kern w:val="21"/>
        </w:rPr>
      </w:pPr>
      <w:r>
        <w:rPr>
          <w:color w:val="auto"/>
          <w:kern w:val="21"/>
        </w:rPr>
        <w:t>⑦参与指挥急救、疏散、恢复正常秩序、安定群众情绪等方面的工作。</w:t>
      </w:r>
    </w:p>
    <w:p>
      <w:pPr>
        <w:widowControl/>
        <w:topLinePunct/>
        <w:autoSpaceDE w:val="0"/>
        <w:adjustRightInd w:val="0"/>
        <w:snapToGrid w:val="0"/>
        <w:ind w:firstLine="0" w:firstLineChars="0"/>
        <w:outlineLvl w:val="2"/>
        <w:rPr>
          <w:b/>
          <w:bCs/>
          <w:color w:val="auto"/>
          <w:kern w:val="21"/>
        </w:rPr>
      </w:pPr>
      <w:bookmarkStart w:id="310" w:name="_Toc25972"/>
      <w:r>
        <w:rPr>
          <w:rFonts w:hint="eastAsia"/>
          <w:b/>
          <w:bCs/>
          <w:color w:val="auto"/>
          <w:kern w:val="21"/>
        </w:rPr>
        <w:t>6</w:t>
      </w:r>
      <w:r>
        <w:rPr>
          <w:b/>
          <w:bCs/>
          <w:color w:val="auto"/>
          <w:kern w:val="21"/>
        </w:rPr>
        <w:t>.</w:t>
      </w:r>
      <w:r>
        <w:rPr>
          <w:rFonts w:hint="eastAsia"/>
          <w:b/>
          <w:bCs/>
          <w:color w:val="auto"/>
          <w:kern w:val="21"/>
          <w:lang w:val="en-US" w:eastAsia="zh-CN"/>
        </w:rPr>
        <w:t>6</w:t>
      </w:r>
      <w:r>
        <w:rPr>
          <w:b/>
          <w:bCs/>
          <w:color w:val="auto"/>
          <w:kern w:val="21"/>
        </w:rPr>
        <w:t>.3处置程序</w:t>
      </w:r>
      <w:bookmarkEnd w:id="310"/>
    </w:p>
    <w:p>
      <w:pPr>
        <w:widowControl/>
        <w:topLinePunct/>
        <w:autoSpaceDE w:val="0"/>
        <w:adjustRightInd w:val="0"/>
        <w:snapToGrid w:val="0"/>
        <w:ind w:firstLine="480"/>
        <w:rPr>
          <w:color w:val="auto"/>
          <w:kern w:val="21"/>
        </w:rPr>
      </w:pPr>
      <w:r>
        <w:rPr>
          <w:color w:val="auto"/>
          <w:kern w:val="21"/>
        </w:rPr>
        <w:t>（1）迅速报告</w:t>
      </w:r>
    </w:p>
    <w:p>
      <w:pPr>
        <w:widowControl/>
        <w:topLinePunct/>
        <w:autoSpaceDE w:val="0"/>
        <w:adjustRightInd w:val="0"/>
        <w:snapToGrid w:val="0"/>
        <w:ind w:firstLine="480"/>
        <w:rPr>
          <w:color w:val="auto"/>
          <w:kern w:val="21"/>
        </w:rPr>
      </w:pPr>
      <w:r>
        <w:rPr>
          <w:color w:val="auto"/>
          <w:kern w:val="21"/>
        </w:rPr>
        <w:t>发生突发环境事件后，必须在第一时间向当地环境部门报告，同时，配合有关管理部门立即启动应急指挥系统，检查所需仪器装备，了解事发地地形地貌、气象条件、地表及地下水文条件、重要保护目标及其分布等情况。</w:t>
      </w:r>
    </w:p>
    <w:p>
      <w:pPr>
        <w:widowControl/>
        <w:topLinePunct/>
        <w:autoSpaceDE w:val="0"/>
        <w:adjustRightInd w:val="0"/>
        <w:snapToGrid w:val="0"/>
        <w:ind w:firstLine="480"/>
        <w:rPr>
          <w:color w:val="auto"/>
          <w:kern w:val="21"/>
        </w:rPr>
      </w:pPr>
      <w:r>
        <w:rPr>
          <w:color w:val="auto"/>
          <w:kern w:val="21"/>
        </w:rPr>
        <w:t>（2）快速出警</w:t>
      </w:r>
    </w:p>
    <w:p>
      <w:pPr>
        <w:widowControl/>
        <w:topLinePunct/>
        <w:autoSpaceDE w:val="0"/>
        <w:adjustRightInd w:val="0"/>
        <w:snapToGrid w:val="0"/>
        <w:ind w:firstLine="480"/>
        <w:rPr>
          <w:color w:val="auto"/>
          <w:kern w:val="21"/>
        </w:rPr>
      </w:pPr>
      <w:r>
        <w:rPr>
          <w:color w:val="auto"/>
          <w:kern w:val="21"/>
        </w:rPr>
        <w:t>接到指令后，配合应急现场指挥组率各应急小组携带环境应急专用设备，在最短的时间内赶赴事发现场。</w:t>
      </w:r>
    </w:p>
    <w:p>
      <w:pPr>
        <w:widowControl/>
        <w:topLinePunct/>
        <w:autoSpaceDE w:val="0"/>
        <w:adjustRightInd w:val="0"/>
        <w:snapToGrid w:val="0"/>
        <w:ind w:firstLine="480"/>
        <w:rPr>
          <w:color w:val="auto"/>
          <w:kern w:val="21"/>
        </w:rPr>
      </w:pPr>
      <w:r>
        <w:rPr>
          <w:color w:val="auto"/>
          <w:kern w:val="21"/>
        </w:rPr>
        <w:t>（3）现场控制</w:t>
      </w:r>
    </w:p>
    <w:p>
      <w:pPr>
        <w:widowControl/>
        <w:topLinePunct/>
        <w:autoSpaceDE w:val="0"/>
        <w:adjustRightInd w:val="0"/>
        <w:snapToGrid w:val="0"/>
        <w:ind w:firstLine="480"/>
        <w:rPr>
          <w:color w:val="auto"/>
          <w:kern w:val="21"/>
        </w:rPr>
      </w:pPr>
      <w:r>
        <w:rPr>
          <w:color w:val="auto"/>
          <w:kern w:val="21"/>
        </w:rPr>
        <w:t>应急处置小组到达现场后，应迅速控制现场、划定紧急隔离区域、设置警告标志、制定处置措施，切断污染源，防止污染物扩散。</w:t>
      </w:r>
    </w:p>
    <w:p>
      <w:pPr>
        <w:widowControl/>
        <w:topLinePunct/>
        <w:autoSpaceDE w:val="0"/>
        <w:adjustRightInd w:val="0"/>
        <w:snapToGrid w:val="0"/>
        <w:ind w:firstLine="480"/>
        <w:rPr>
          <w:color w:val="auto"/>
          <w:kern w:val="21"/>
        </w:rPr>
      </w:pPr>
      <w:r>
        <w:rPr>
          <w:color w:val="auto"/>
          <w:kern w:val="21"/>
        </w:rPr>
        <w:t>应急监测小组到达现场后，应迅速布点监测，在第一时间确定污染物种类，出具监测数据。</w:t>
      </w:r>
    </w:p>
    <w:p>
      <w:pPr>
        <w:widowControl/>
        <w:topLinePunct/>
        <w:autoSpaceDE w:val="0"/>
        <w:adjustRightInd w:val="0"/>
        <w:snapToGrid w:val="0"/>
        <w:ind w:firstLine="480"/>
        <w:rPr>
          <w:color w:val="auto"/>
          <w:kern w:val="21"/>
        </w:rPr>
      </w:pPr>
      <w:r>
        <w:rPr>
          <w:color w:val="auto"/>
          <w:kern w:val="21"/>
        </w:rPr>
        <w:t>（4）现场调查</w:t>
      </w:r>
    </w:p>
    <w:p>
      <w:pPr>
        <w:widowControl/>
        <w:topLinePunct/>
        <w:autoSpaceDE w:val="0"/>
        <w:adjustRightInd w:val="0"/>
        <w:snapToGrid w:val="0"/>
        <w:ind w:firstLine="480"/>
        <w:rPr>
          <w:color w:val="auto"/>
          <w:kern w:val="21"/>
        </w:rPr>
      </w:pPr>
      <w:r>
        <w:rPr>
          <w:color w:val="auto"/>
          <w:kern w:val="21"/>
        </w:rPr>
        <w:t>应急处置小组应迅速展开现场调查、取证工作，查明事件原因、影响程度</w:t>
      </w:r>
    </w:p>
    <w:p>
      <w:pPr>
        <w:widowControl/>
        <w:topLinePunct/>
        <w:autoSpaceDE w:val="0"/>
        <w:adjustRightInd w:val="0"/>
        <w:snapToGrid w:val="0"/>
        <w:ind w:firstLine="480"/>
        <w:rPr>
          <w:color w:val="auto"/>
          <w:kern w:val="21"/>
        </w:rPr>
      </w:pPr>
      <w:r>
        <w:rPr>
          <w:color w:val="auto"/>
          <w:kern w:val="21"/>
        </w:rPr>
        <w:t>等；并负责与当地公安等单位协调，共同进行现场勘验工作。</w:t>
      </w:r>
    </w:p>
    <w:p>
      <w:pPr>
        <w:widowControl/>
        <w:topLinePunct/>
        <w:autoSpaceDE w:val="0"/>
        <w:adjustRightInd w:val="0"/>
        <w:snapToGrid w:val="0"/>
        <w:ind w:firstLine="480"/>
        <w:rPr>
          <w:color w:val="auto"/>
          <w:kern w:val="21"/>
        </w:rPr>
      </w:pPr>
      <w:r>
        <w:rPr>
          <w:color w:val="auto"/>
          <w:kern w:val="21"/>
        </w:rPr>
        <w:t>（5）现场报告</w:t>
      </w:r>
    </w:p>
    <w:p>
      <w:pPr>
        <w:widowControl/>
        <w:topLinePunct/>
        <w:autoSpaceDE w:val="0"/>
        <w:adjustRightInd w:val="0"/>
        <w:snapToGrid w:val="0"/>
        <w:ind w:firstLine="480"/>
        <w:rPr>
          <w:color w:val="auto"/>
          <w:kern w:val="21"/>
        </w:rPr>
      </w:pPr>
      <w:r>
        <w:rPr>
          <w:color w:val="auto"/>
          <w:kern w:val="21"/>
        </w:rPr>
        <w:t>各应急小组将现场调查情况、应急监测数据和现场处置情况，及时报告应急现场指挥组。</w:t>
      </w:r>
    </w:p>
    <w:p>
      <w:pPr>
        <w:widowControl/>
        <w:topLinePunct/>
        <w:autoSpaceDE w:val="0"/>
        <w:adjustRightInd w:val="0"/>
        <w:snapToGrid w:val="0"/>
        <w:ind w:firstLine="480"/>
        <w:rPr>
          <w:color w:val="auto"/>
          <w:kern w:val="21"/>
        </w:rPr>
      </w:pPr>
      <w:r>
        <w:rPr>
          <w:color w:val="auto"/>
          <w:kern w:val="21"/>
        </w:rPr>
        <w:t>应急现场指挥组按6小时速报、24小时确报的要求，负责向应急领导组报告突发事件现场处置动态情况。</w:t>
      </w:r>
    </w:p>
    <w:p>
      <w:pPr>
        <w:widowControl/>
        <w:topLinePunct/>
        <w:autoSpaceDE w:val="0"/>
        <w:adjustRightInd w:val="0"/>
        <w:snapToGrid w:val="0"/>
        <w:ind w:firstLine="480"/>
        <w:rPr>
          <w:color w:val="auto"/>
          <w:kern w:val="21"/>
        </w:rPr>
      </w:pPr>
      <w:r>
        <w:rPr>
          <w:color w:val="auto"/>
          <w:kern w:val="21"/>
        </w:rPr>
        <w:t>应急领导组根据事件影响范围、程度，决定是否增调有关专家、人员、设备、物资前往现场增援。</w:t>
      </w:r>
    </w:p>
    <w:p>
      <w:pPr>
        <w:widowControl/>
        <w:topLinePunct/>
        <w:autoSpaceDE w:val="0"/>
        <w:adjustRightInd w:val="0"/>
        <w:snapToGrid w:val="0"/>
        <w:ind w:firstLine="480"/>
        <w:rPr>
          <w:color w:val="auto"/>
          <w:kern w:val="21"/>
        </w:rPr>
      </w:pPr>
      <w:r>
        <w:rPr>
          <w:color w:val="auto"/>
          <w:kern w:val="21"/>
        </w:rPr>
        <w:t>（6）污染处置</w:t>
      </w:r>
    </w:p>
    <w:p>
      <w:pPr>
        <w:widowControl/>
        <w:topLinePunct/>
        <w:autoSpaceDE w:val="0"/>
        <w:adjustRightInd w:val="0"/>
        <w:snapToGrid w:val="0"/>
        <w:ind w:firstLine="480"/>
        <w:rPr>
          <w:color w:val="auto"/>
          <w:kern w:val="21"/>
        </w:rPr>
      </w:pPr>
      <w:r>
        <w:rPr>
          <w:color w:val="auto"/>
          <w:kern w:val="21"/>
        </w:rPr>
        <w:t>各应急小组根据现场调查和查阅有关资料并参考专家意见，向应急现场指挥组提出污染处置方案。</w:t>
      </w:r>
    </w:p>
    <w:p>
      <w:pPr>
        <w:widowControl/>
        <w:topLinePunct/>
        <w:autoSpaceDE w:val="0"/>
        <w:adjustRightInd w:val="0"/>
        <w:snapToGrid w:val="0"/>
        <w:ind w:firstLine="480"/>
        <w:rPr>
          <w:color w:val="auto"/>
          <w:kern w:val="21"/>
        </w:rPr>
      </w:pPr>
      <w:r>
        <w:rPr>
          <w:color w:val="auto"/>
          <w:kern w:val="21"/>
        </w:rPr>
        <w:t>对造成水污染事故的，应急监测小组需测量流速，估算污染物转移、扩散速率。迅速联合当地环境监察人员对事故周围环境（居民住宅区、农田、地形）和人员反应作初步调查。</w:t>
      </w:r>
    </w:p>
    <w:p>
      <w:pPr>
        <w:widowControl/>
        <w:topLinePunct/>
        <w:autoSpaceDE w:val="0"/>
        <w:adjustRightInd w:val="0"/>
        <w:snapToGrid w:val="0"/>
        <w:ind w:firstLine="480"/>
        <w:rPr>
          <w:color w:val="auto"/>
          <w:kern w:val="21"/>
        </w:rPr>
      </w:pPr>
      <w:r>
        <w:rPr>
          <w:color w:val="auto"/>
          <w:kern w:val="21"/>
        </w:rPr>
        <w:t>（7）污染警戒区域划定和消息发布</w:t>
      </w:r>
    </w:p>
    <w:p>
      <w:pPr>
        <w:widowControl/>
        <w:topLinePunct/>
        <w:autoSpaceDE w:val="0"/>
        <w:adjustRightInd w:val="0"/>
        <w:snapToGrid w:val="0"/>
        <w:ind w:firstLine="480"/>
        <w:rPr>
          <w:color w:val="auto"/>
          <w:kern w:val="21"/>
        </w:rPr>
      </w:pPr>
      <w:r>
        <w:rPr>
          <w:color w:val="auto"/>
          <w:kern w:val="21"/>
        </w:rPr>
        <w:t>应急处置小组根据污染监测数据和现场调查，向应急现场指挥组提出污染警戒区域（划定禁止取水区域或居住区域）的建议。应急现场指挥组向应急领导组报告后发布警报决定。</w:t>
      </w:r>
    </w:p>
    <w:p>
      <w:pPr>
        <w:widowControl/>
        <w:topLinePunct/>
        <w:autoSpaceDE w:val="0"/>
        <w:adjustRightInd w:val="0"/>
        <w:snapToGrid w:val="0"/>
        <w:ind w:firstLine="480"/>
        <w:rPr>
          <w:color w:val="auto"/>
          <w:kern w:val="21"/>
        </w:rPr>
      </w:pPr>
      <w:r>
        <w:rPr>
          <w:color w:val="auto"/>
          <w:kern w:val="21"/>
        </w:rPr>
        <w:t>应急现场指挥组要组织各应急小组召开事故处理分析会，将分析结果及时报告应急领导小组。按照国家保密局、国家环保总局《环境保护工作国家秘密范围》和国家环保总局《环境污染与破坏事故新闻发布管理办法》的规定，有关突发环境事件信息，由省级环境部门应急领导小组负责新闻发布，其他相关部门单位及个人未经批准，不得擅自泄露事件信息。</w:t>
      </w:r>
    </w:p>
    <w:p>
      <w:pPr>
        <w:widowControl/>
        <w:topLinePunct/>
        <w:autoSpaceDE w:val="0"/>
        <w:adjustRightInd w:val="0"/>
        <w:snapToGrid w:val="0"/>
        <w:ind w:firstLine="480"/>
        <w:rPr>
          <w:color w:val="auto"/>
          <w:kern w:val="21"/>
        </w:rPr>
      </w:pPr>
      <w:r>
        <w:rPr>
          <w:color w:val="auto"/>
          <w:kern w:val="21"/>
        </w:rPr>
        <w:t>（8）污染跟踪</w:t>
      </w:r>
    </w:p>
    <w:p>
      <w:pPr>
        <w:widowControl/>
        <w:topLinePunct/>
        <w:autoSpaceDE w:val="0"/>
        <w:adjustRightInd w:val="0"/>
        <w:snapToGrid w:val="0"/>
        <w:ind w:firstLine="480"/>
        <w:rPr>
          <w:color w:val="auto"/>
          <w:kern w:val="21"/>
        </w:rPr>
      </w:pPr>
      <w:r>
        <w:rPr>
          <w:color w:val="auto"/>
          <w:kern w:val="21"/>
        </w:rPr>
        <w:t>应急小组要对污染状况进行跟踪调查，根据监测数据和其他有关数据编制分析图表，预测污染迁移强度、速度和影响范围，及时调整对策。每24小时向应急现场指挥组报告一次污染事故处理动态和下一步对策（续报），直至突发事件消失。</w:t>
      </w:r>
    </w:p>
    <w:p>
      <w:pPr>
        <w:widowControl/>
        <w:topLinePunct/>
        <w:autoSpaceDE w:val="0"/>
        <w:adjustRightInd w:val="0"/>
        <w:snapToGrid w:val="0"/>
        <w:ind w:firstLine="480"/>
        <w:rPr>
          <w:color w:val="auto"/>
          <w:kern w:val="21"/>
        </w:rPr>
      </w:pPr>
      <w:r>
        <w:rPr>
          <w:color w:val="auto"/>
          <w:kern w:val="21"/>
        </w:rPr>
        <w:t>（9）污染警报解除</w:t>
      </w:r>
    </w:p>
    <w:p>
      <w:pPr>
        <w:widowControl/>
        <w:topLinePunct/>
        <w:autoSpaceDE w:val="0"/>
        <w:adjustRightInd w:val="0"/>
        <w:snapToGrid w:val="0"/>
        <w:ind w:firstLine="480"/>
        <w:rPr>
          <w:color w:val="auto"/>
          <w:kern w:val="21"/>
        </w:rPr>
      </w:pPr>
      <w:r>
        <w:rPr>
          <w:color w:val="auto"/>
          <w:kern w:val="21"/>
        </w:rPr>
        <w:t>污染警报解除由应急现场指挥组根据监测数据报应急领导小组同意后发布。</w:t>
      </w:r>
    </w:p>
    <w:p>
      <w:pPr>
        <w:widowControl/>
        <w:topLinePunct/>
        <w:autoSpaceDE w:val="0"/>
        <w:adjustRightInd w:val="0"/>
        <w:snapToGrid w:val="0"/>
        <w:ind w:firstLine="480"/>
        <w:rPr>
          <w:color w:val="auto"/>
          <w:kern w:val="21"/>
        </w:rPr>
      </w:pPr>
      <w:r>
        <w:rPr>
          <w:color w:val="auto"/>
          <w:kern w:val="21"/>
        </w:rPr>
        <w:t>（10）调查取证</w:t>
      </w:r>
    </w:p>
    <w:p>
      <w:pPr>
        <w:widowControl/>
        <w:topLinePunct/>
        <w:autoSpaceDE w:val="0"/>
        <w:adjustRightInd w:val="0"/>
        <w:snapToGrid w:val="0"/>
        <w:ind w:firstLine="480"/>
        <w:rPr>
          <w:color w:val="auto"/>
          <w:kern w:val="21"/>
        </w:rPr>
      </w:pPr>
      <w:r>
        <w:rPr>
          <w:color w:val="auto"/>
          <w:kern w:val="21"/>
        </w:rPr>
        <w:t>全程详细记录污染事故过程、污染范围、周围环境状况、污染物排放情况、污染途径、危害程度等内容，调查、分析事故原因。尽可能采用原始的第一手材料，科学分析确定事故责任人，依法对涉案人员作调查询问笔录，立案查处。</w:t>
      </w:r>
    </w:p>
    <w:p>
      <w:pPr>
        <w:widowControl/>
        <w:topLinePunct/>
        <w:autoSpaceDE w:val="0"/>
        <w:adjustRightInd w:val="0"/>
        <w:snapToGrid w:val="0"/>
        <w:ind w:firstLine="480"/>
        <w:rPr>
          <w:color w:val="auto"/>
          <w:kern w:val="21"/>
        </w:rPr>
      </w:pPr>
      <w:r>
        <w:rPr>
          <w:color w:val="auto"/>
          <w:kern w:val="21"/>
        </w:rPr>
        <w:t>（11）结案归档</w:t>
      </w:r>
    </w:p>
    <w:p>
      <w:pPr>
        <w:widowControl/>
        <w:topLinePunct/>
        <w:autoSpaceDE w:val="0"/>
        <w:adjustRightInd w:val="0"/>
        <w:snapToGrid w:val="0"/>
        <w:ind w:firstLine="480"/>
        <w:rPr>
          <w:color w:val="auto"/>
          <w:kern w:val="21"/>
        </w:rPr>
      </w:pPr>
      <w:r>
        <w:rPr>
          <w:color w:val="auto"/>
          <w:kern w:val="21"/>
        </w:rPr>
        <w:t>污染事故处理完毕后，及时归纳、整理，形成总结报告，按照一事一卷要求存档备案，并上报有关部门。</w:t>
      </w:r>
    </w:p>
    <w:p>
      <w:pPr>
        <w:widowControl/>
        <w:topLinePunct/>
        <w:autoSpaceDE w:val="0"/>
        <w:adjustRightInd w:val="0"/>
        <w:snapToGrid w:val="0"/>
        <w:ind w:firstLine="0" w:firstLineChars="0"/>
        <w:outlineLvl w:val="2"/>
        <w:rPr>
          <w:b/>
          <w:bCs/>
          <w:color w:val="auto"/>
          <w:kern w:val="21"/>
        </w:rPr>
      </w:pPr>
      <w:bookmarkStart w:id="311" w:name="_Toc18853"/>
      <w:r>
        <w:rPr>
          <w:rFonts w:hint="eastAsia"/>
          <w:b/>
          <w:bCs/>
          <w:color w:val="auto"/>
          <w:kern w:val="21"/>
        </w:rPr>
        <w:t>6</w:t>
      </w:r>
      <w:r>
        <w:rPr>
          <w:b/>
          <w:bCs/>
          <w:color w:val="auto"/>
          <w:kern w:val="21"/>
        </w:rPr>
        <w:t>.</w:t>
      </w:r>
      <w:r>
        <w:rPr>
          <w:rFonts w:hint="eastAsia"/>
          <w:b/>
          <w:bCs/>
          <w:color w:val="auto"/>
          <w:kern w:val="21"/>
          <w:lang w:val="en-US" w:eastAsia="zh-CN"/>
        </w:rPr>
        <w:t>6</w:t>
      </w:r>
      <w:r>
        <w:rPr>
          <w:b/>
          <w:bCs/>
          <w:color w:val="auto"/>
          <w:kern w:val="21"/>
        </w:rPr>
        <w:t>.4应急处置工作保障</w:t>
      </w:r>
      <w:bookmarkEnd w:id="311"/>
    </w:p>
    <w:p>
      <w:pPr>
        <w:widowControl/>
        <w:topLinePunct/>
        <w:autoSpaceDE w:val="0"/>
        <w:adjustRightInd w:val="0"/>
        <w:snapToGrid w:val="0"/>
        <w:ind w:firstLine="480"/>
        <w:rPr>
          <w:color w:val="auto"/>
          <w:kern w:val="21"/>
        </w:rPr>
      </w:pPr>
      <w:r>
        <w:rPr>
          <w:color w:val="auto"/>
          <w:kern w:val="21"/>
        </w:rPr>
        <w:t>（1）应急能力建设要求</w:t>
      </w:r>
    </w:p>
    <w:p>
      <w:pPr>
        <w:widowControl/>
        <w:topLinePunct/>
        <w:autoSpaceDE w:val="0"/>
        <w:adjustRightInd w:val="0"/>
        <w:snapToGrid w:val="0"/>
        <w:ind w:firstLine="480"/>
        <w:rPr>
          <w:color w:val="auto"/>
          <w:kern w:val="21"/>
        </w:rPr>
      </w:pPr>
      <w:r>
        <w:rPr>
          <w:color w:val="auto"/>
          <w:kern w:val="21"/>
        </w:rPr>
        <w:t>服从上级应急现场指挥组统一指挥，切实加强应急能力建设，完善应对突发环境事件的各项内部制度，加强培训和演练。</w:t>
      </w:r>
    </w:p>
    <w:p>
      <w:pPr>
        <w:widowControl/>
        <w:topLinePunct/>
        <w:autoSpaceDE w:val="0"/>
        <w:adjustRightInd w:val="0"/>
        <w:snapToGrid w:val="0"/>
        <w:ind w:firstLine="480"/>
        <w:rPr>
          <w:color w:val="auto"/>
          <w:kern w:val="21"/>
        </w:rPr>
      </w:pPr>
      <w:r>
        <w:rPr>
          <w:color w:val="auto"/>
          <w:kern w:val="21"/>
        </w:rPr>
        <w:t>（2）通信保障</w:t>
      </w:r>
    </w:p>
    <w:p>
      <w:pPr>
        <w:widowControl/>
        <w:topLinePunct/>
        <w:autoSpaceDE w:val="0"/>
        <w:adjustRightInd w:val="0"/>
        <w:snapToGrid w:val="0"/>
        <w:ind w:firstLine="480"/>
        <w:rPr>
          <w:color w:val="auto"/>
          <w:kern w:val="21"/>
        </w:rPr>
      </w:pPr>
      <w:r>
        <w:rPr>
          <w:color w:val="auto"/>
          <w:kern w:val="21"/>
        </w:rPr>
        <w:t>配合有关管理部门建立和完善环境安全应急指挥系统、环境应急处置全省联动系统和环境安全科学预警系统，确保本预案启动时，应急领导组指挥中心和应急领导小组之间的通信畅通。</w:t>
      </w:r>
    </w:p>
    <w:p>
      <w:pPr>
        <w:widowControl/>
        <w:topLinePunct/>
        <w:autoSpaceDE w:val="0"/>
        <w:adjustRightInd w:val="0"/>
        <w:snapToGrid w:val="0"/>
        <w:ind w:firstLine="480"/>
        <w:rPr>
          <w:color w:val="auto"/>
          <w:kern w:val="21"/>
        </w:rPr>
      </w:pPr>
      <w:r>
        <w:rPr>
          <w:color w:val="auto"/>
          <w:kern w:val="21"/>
        </w:rPr>
        <w:t>（3）培训与演练</w:t>
      </w:r>
    </w:p>
    <w:p>
      <w:pPr>
        <w:widowControl/>
        <w:topLinePunct/>
        <w:autoSpaceDE w:val="0"/>
        <w:adjustRightInd w:val="0"/>
        <w:snapToGrid w:val="0"/>
        <w:ind w:firstLine="480"/>
        <w:rPr>
          <w:color w:val="auto"/>
          <w:kern w:val="21"/>
        </w:rPr>
      </w:pPr>
      <w:r>
        <w:rPr>
          <w:color w:val="auto"/>
          <w:kern w:val="21"/>
        </w:rPr>
        <w:t>加强环保系统专业技术人员日常培训和重要目标工作人员的培训管理，培养一批训练有素具备突发环境事件处置能力的专门人才。要结合当地实际，组织不同类型的实战演练，以积累处置突发环境事件的应急处置经验，增强实战能力。</w:t>
      </w:r>
    </w:p>
    <w:p>
      <w:pPr>
        <w:widowControl/>
        <w:topLinePunct/>
        <w:autoSpaceDE w:val="0"/>
        <w:adjustRightInd w:val="0"/>
        <w:snapToGrid w:val="0"/>
        <w:ind w:firstLine="0" w:firstLineChars="0"/>
        <w:outlineLvl w:val="1"/>
        <w:rPr>
          <w:b/>
          <w:bCs/>
          <w:color w:val="auto"/>
          <w:kern w:val="21"/>
          <w:sz w:val="28"/>
          <w:szCs w:val="28"/>
        </w:rPr>
      </w:pPr>
      <w:bookmarkStart w:id="312" w:name="_Toc738"/>
      <w:r>
        <w:rPr>
          <w:rFonts w:hint="eastAsia"/>
          <w:b/>
          <w:bCs/>
          <w:color w:val="auto"/>
          <w:kern w:val="21"/>
          <w:sz w:val="28"/>
          <w:szCs w:val="28"/>
        </w:rPr>
        <w:t>6</w:t>
      </w:r>
      <w:r>
        <w:rPr>
          <w:b/>
          <w:bCs/>
          <w:color w:val="auto"/>
          <w:kern w:val="21"/>
          <w:sz w:val="28"/>
          <w:szCs w:val="28"/>
        </w:rPr>
        <w:t>.</w:t>
      </w:r>
      <w:r>
        <w:rPr>
          <w:rFonts w:hint="eastAsia"/>
          <w:b/>
          <w:bCs/>
          <w:color w:val="auto"/>
          <w:kern w:val="21"/>
          <w:sz w:val="28"/>
          <w:szCs w:val="28"/>
          <w:lang w:val="en-US" w:eastAsia="zh-CN"/>
        </w:rPr>
        <w:t>7</w:t>
      </w:r>
      <w:r>
        <w:rPr>
          <w:b/>
          <w:bCs/>
          <w:color w:val="auto"/>
          <w:kern w:val="21"/>
          <w:sz w:val="28"/>
          <w:szCs w:val="28"/>
        </w:rPr>
        <w:t>环境风险分析结论</w:t>
      </w:r>
      <w:bookmarkEnd w:id="312"/>
    </w:p>
    <w:p>
      <w:pPr>
        <w:widowControl/>
        <w:topLinePunct/>
        <w:autoSpaceDE w:val="0"/>
        <w:adjustRightInd w:val="0"/>
        <w:snapToGrid w:val="0"/>
        <w:ind w:firstLine="480"/>
        <w:rPr>
          <w:color w:val="auto"/>
          <w:kern w:val="21"/>
        </w:rPr>
      </w:pPr>
      <w:r>
        <w:rPr>
          <w:color w:val="auto"/>
          <w:kern w:val="21"/>
          <w:lang w:val="en-US" w:eastAsia="zh-CN"/>
        </w:rPr>
        <w:t>根据分析知，项目运营期可能存在的事故风险有：使用的PAM（聚丙烯酰胺）以</w:t>
      </w:r>
      <w:r>
        <w:rPr>
          <w:color w:val="auto"/>
          <w:kern w:val="21"/>
        </w:rPr>
        <w:t>及PAC（聚合氯化铝）以及清洗MBR膜使用的次氯酸钠贮存及运输风险；设备故障、突然停电以及厂区污水管网破裂等导致的污水直排事故、污泥膨胀事故。但项目运营期严格采取以上防范措施后，事故发生概率较小，对人群健康及周围环境的风险影响在可接受范围内。</w:t>
      </w:r>
    </w:p>
    <w:p>
      <w:pPr>
        <w:pStyle w:val="180"/>
        <w:widowControl/>
        <w:numPr>
          <w:ilvl w:val="0"/>
          <w:numId w:val="15"/>
        </w:numPr>
        <w:autoSpaceDE w:val="0"/>
        <w:adjustRightInd w:val="0"/>
        <w:snapToGrid w:val="0"/>
        <w:spacing w:line="360" w:lineRule="auto"/>
        <w:ind w:left="0" w:leftChars="0" w:firstLine="0" w:firstLineChars="0"/>
        <w:jc w:val="center"/>
        <w:textAlignment w:val="baseline"/>
        <w:rPr>
          <w:b/>
          <w:color w:val="auto"/>
          <w:sz w:val="24"/>
          <w:szCs w:val="24"/>
        </w:rPr>
      </w:pPr>
      <w:r>
        <w:rPr>
          <w:b/>
          <w:color w:val="auto"/>
          <w:sz w:val="24"/>
          <w:szCs w:val="24"/>
        </w:rPr>
        <w:t>建设项目</w:t>
      </w:r>
      <w:r>
        <w:rPr>
          <w:rFonts w:hint="eastAsia"/>
          <w:b/>
          <w:bCs/>
          <w:color w:val="auto"/>
          <w:kern w:val="21"/>
          <w:sz w:val="24"/>
          <w:szCs w:val="24"/>
          <w:lang w:eastAsia="zh-CN"/>
        </w:rPr>
        <w:t>环境</w:t>
      </w:r>
      <w:r>
        <w:rPr>
          <w:b/>
          <w:color w:val="auto"/>
          <w:sz w:val="24"/>
          <w:szCs w:val="24"/>
        </w:rPr>
        <w:t>风险简单分析内容表</w:t>
      </w:r>
    </w:p>
    <w:tbl>
      <w:tblPr>
        <w:tblStyle w:val="51"/>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01"/>
        <w:gridCol w:w="1879"/>
        <w:gridCol w:w="1097"/>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pStyle w:val="151"/>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建设项目名称</w:t>
            </w:r>
          </w:p>
        </w:tc>
        <w:tc>
          <w:tcPr>
            <w:tcW w:w="6928" w:type="dxa"/>
            <w:gridSpan w:val="4"/>
            <w:noWrap w:val="0"/>
            <w:vAlign w:val="center"/>
          </w:tcPr>
          <w:p>
            <w:pPr>
              <w:pStyle w:val="151"/>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楚雄市富民工业园区污水处理厂工程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pStyle w:val="151"/>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建设地点</w:t>
            </w:r>
          </w:p>
        </w:tc>
        <w:tc>
          <w:tcPr>
            <w:tcW w:w="2980" w:type="dxa"/>
            <w:gridSpan w:val="2"/>
            <w:noWrap w:val="0"/>
            <w:vAlign w:val="center"/>
          </w:tcPr>
          <w:p>
            <w:pPr>
              <w:pStyle w:val="151"/>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云南省楚雄彝族自治州</w:t>
            </w:r>
            <w:r>
              <w:rPr>
                <w:rFonts w:hint="eastAsia" w:ascii="Times New Roman" w:hAnsi="Times New Roman" w:eastAsia="宋体" w:cs="Times New Roman"/>
                <w:color w:val="auto"/>
                <w:sz w:val="21"/>
                <w:szCs w:val="21"/>
                <w:lang w:eastAsia="zh-CN"/>
              </w:rPr>
              <w:t>楚雄市</w:t>
            </w:r>
          </w:p>
        </w:tc>
        <w:tc>
          <w:tcPr>
            <w:tcW w:w="3948" w:type="dxa"/>
            <w:gridSpan w:val="2"/>
            <w:noWrap w:val="0"/>
            <w:vAlign w:val="center"/>
          </w:tcPr>
          <w:p>
            <w:pPr>
              <w:pStyle w:val="151"/>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楚雄工业园区富民片区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pStyle w:val="151"/>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地理坐标</w:t>
            </w:r>
          </w:p>
        </w:tc>
        <w:tc>
          <w:tcPr>
            <w:tcW w:w="1101" w:type="dxa"/>
            <w:noWrap w:val="0"/>
            <w:vAlign w:val="center"/>
          </w:tcPr>
          <w:p>
            <w:pPr>
              <w:pStyle w:val="151"/>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经度</w:t>
            </w:r>
          </w:p>
        </w:tc>
        <w:tc>
          <w:tcPr>
            <w:tcW w:w="1879" w:type="dxa"/>
            <w:noWrap w:val="0"/>
            <w:vAlign w:val="center"/>
          </w:tcPr>
          <w:p>
            <w:pPr>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101.3612</w:t>
            </w:r>
          </w:p>
        </w:tc>
        <w:tc>
          <w:tcPr>
            <w:tcW w:w="1097" w:type="dxa"/>
            <w:noWrap w:val="0"/>
            <w:vAlign w:val="center"/>
          </w:tcPr>
          <w:p>
            <w:pPr>
              <w:pStyle w:val="151"/>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纬度</w:t>
            </w:r>
          </w:p>
        </w:tc>
        <w:tc>
          <w:tcPr>
            <w:tcW w:w="2851" w:type="dxa"/>
            <w:noWrap w:val="0"/>
            <w:vAlign w:val="center"/>
          </w:tcPr>
          <w:p>
            <w:pPr>
              <w:pStyle w:val="15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pStyle w:val="151"/>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主要风险物质及分布</w:t>
            </w:r>
          </w:p>
        </w:tc>
        <w:tc>
          <w:tcPr>
            <w:tcW w:w="6928" w:type="dxa"/>
            <w:gridSpan w:val="4"/>
            <w:noWrap w:val="0"/>
            <w:vAlign w:val="center"/>
          </w:tcPr>
          <w:p>
            <w:pPr>
              <w:pStyle w:val="151"/>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危险物质：</w:t>
            </w:r>
            <w:r>
              <w:rPr>
                <w:rFonts w:hint="eastAsia" w:ascii="Times New Roman" w:hAnsi="Times New Roman" w:eastAsia="宋体" w:cs="Times New Roman"/>
                <w:color w:val="auto"/>
                <w:sz w:val="21"/>
                <w:szCs w:val="21"/>
                <w:lang w:eastAsia="zh-CN"/>
              </w:rPr>
              <w:t>次氯酸钠</w:t>
            </w:r>
            <w:r>
              <w:rPr>
                <w:rFonts w:ascii="Times New Roman" w:hAnsi="Times New Roman" w:eastAsia="宋体" w:cs="Times New Roman"/>
                <w:color w:val="auto"/>
                <w:sz w:val="21"/>
                <w:szCs w:val="21"/>
              </w:rPr>
              <w:t>；分布：</w:t>
            </w:r>
            <w:r>
              <w:rPr>
                <w:rFonts w:hint="eastAsia" w:ascii="Times New Roman" w:hAnsi="Times New Roman" w:eastAsia="宋体" w:cs="Times New Roman"/>
                <w:color w:val="auto"/>
                <w:sz w:val="21"/>
                <w:szCs w:val="21"/>
                <w:lang w:val="en-US" w:eastAsia="zh-CN"/>
              </w:rPr>
              <w:t>MBR膜池及设备间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pStyle w:val="151"/>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环境影响途径和危害后果</w:t>
            </w:r>
          </w:p>
        </w:tc>
        <w:tc>
          <w:tcPr>
            <w:tcW w:w="6928" w:type="dxa"/>
            <w:gridSpan w:val="4"/>
            <w:noWrap w:val="0"/>
            <w:vAlign w:val="center"/>
          </w:tcPr>
          <w:p>
            <w:pPr>
              <w:pStyle w:val="151"/>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次氯酸钠外包装破损泄漏至地表水环境中，导致地表水体受到污染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pStyle w:val="151"/>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风险防范措施要求</w:t>
            </w:r>
          </w:p>
        </w:tc>
        <w:tc>
          <w:tcPr>
            <w:tcW w:w="6928" w:type="dxa"/>
            <w:gridSpan w:val="4"/>
            <w:noWrap w:val="0"/>
            <w:vAlign w:val="center"/>
          </w:tcPr>
          <w:p>
            <w:pPr>
              <w:pStyle w:val="151"/>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次氯酸钠储罐周围设置围堰，安装电子监控设备，</w:t>
            </w:r>
            <w:r>
              <w:rPr>
                <w:rFonts w:hint="eastAsia" w:ascii="Times New Roman" w:hAnsi="Times New Roman" w:eastAsia="宋体" w:cs="Times New Roman"/>
                <w:color w:val="auto"/>
                <w:sz w:val="21"/>
                <w:szCs w:val="21"/>
                <w:lang w:val="en-US" w:eastAsia="zh-CN"/>
              </w:rPr>
              <w:t>MBR膜池及设备间按重点防渗区要求进行防渗</w:t>
            </w:r>
            <w:r>
              <w:rPr>
                <w:rFonts w:ascii="Times New Roman" w:hAnsi="Times New Roman" w:eastAsia="宋体" w:cs="Times New Roman"/>
                <w:color w:val="auto"/>
                <w:sz w:val="21"/>
                <w:szCs w:val="21"/>
              </w:rPr>
              <w:t>；制定风险事故应急预案。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2" w:type="dxa"/>
            <w:gridSpan w:val="5"/>
            <w:noWrap w:val="0"/>
            <w:vAlign w:val="center"/>
          </w:tcPr>
          <w:p>
            <w:pPr>
              <w:pStyle w:val="151"/>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填表说明(列出项目相关信息及评价说明)：本项目所涉及的危险物质在厂界内的最大存在总量与对应的临界量的比值Q&lt;1，确定本项目环境风险潜势为Ⅰ级，故风险评价等级为简单分析。</w:t>
            </w:r>
          </w:p>
        </w:tc>
      </w:tr>
    </w:tbl>
    <w:p>
      <w:pPr>
        <w:widowControl/>
        <w:topLinePunct/>
        <w:autoSpaceDE w:val="0"/>
        <w:adjustRightInd w:val="0"/>
        <w:snapToGrid w:val="0"/>
        <w:ind w:firstLine="480"/>
        <w:rPr>
          <w:color w:val="auto"/>
          <w:kern w:val="21"/>
          <w:sz w:val="18"/>
          <w:szCs w:val="18"/>
        </w:rPr>
      </w:pPr>
    </w:p>
    <w:p>
      <w:pPr>
        <w:pStyle w:val="23"/>
        <w:ind w:left="0" w:leftChars="0" w:firstLine="0" w:firstLineChars="0"/>
        <w:rPr>
          <w:color w:val="auto"/>
          <w:kern w:val="21"/>
        </w:rPr>
        <w:sectPr>
          <w:pgSz w:w="11850" w:h="16783"/>
          <w:pgMar w:top="1418" w:right="1134" w:bottom="1134" w:left="1418" w:header="851" w:footer="992" w:gutter="0"/>
          <w:cols w:space="720" w:num="1"/>
          <w:docGrid w:type="lines" w:linePitch="312" w:charSpace="0"/>
        </w:sectPr>
      </w:pPr>
    </w:p>
    <w:p>
      <w:pPr>
        <w:pStyle w:val="4"/>
        <w:rPr>
          <w:color w:val="auto"/>
          <w:kern w:val="21"/>
        </w:rPr>
      </w:pPr>
      <w:bookmarkStart w:id="313" w:name="_Toc5295"/>
      <w:r>
        <w:rPr>
          <w:color w:val="auto"/>
          <w:kern w:val="21"/>
        </w:rPr>
        <w:t>7产业政策、相关规划符合性及选址合理性分析</w:t>
      </w:r>
      <w:bookmarkEnd w:id="313"/>
    </w:p>
    <w:p>
      <w:pPr>
        <w:pStyle w:val="5"/>
        <w:spacing w:after="0"/>
        <w:rPr>
          <w:color w:val="auto"/>
          <w:kern w:val="21"/>
          <w:sz w:val="28"/>
        </w:rPr>
      </w:pPr>
      <w:bookmarkStart w:id="314" w:name="_Toc6638"/>
      <w:r>
        <w:rPr>
          <w:color w:val="auto"/>
          <w:kern w:val="21"/>
          <w:sz w:val="28"/>
        </w:rPr>
        <w:t>7.1产业政策符合性</w:t>
      </w:r>
      <w:bookmarkEnd w:id="314"/>
    </w:p>
    <w:p>
      <w:pPr>
        <w:pStyle w:val="23"/>
        <w:spacing w:after="0" w:line="360" w:lineRule="auto"/>
        <w:ind w:left="0" w:leftChars="0" w:firstLine="480"/>
        <w:rPr>
          <w:color w:val="auto"/>
          <w:kern w:val="21"/>
          <w:lang w:bidi="ar"/>
        </w:rPr>
      </w:pPr>
      <w:r>
        <w:rPr>
          <w:color w:val="auto"/>
          <w:kern w:val="21"/>
        </w:rPr>
        <w:t>根据《产业结构调整指导目录（2019年本）》</w:t>
      </w:r>
      <w:r>
        <w:rPr>
          <w:rFonts w:hint="eastAsia"/>
          <w:color w:val="auto"/>
          <w:kern w:val="21"/>
        </w:rPr>
        <w:t>（2021年修订）</w:t>
      </w:r>
      <w:r>
        <w:rPr>
          <w:color w:val="auto"/>
          <w:kern w:val="21"/>
        </w:rPr>
        <w:t>，本项目属于“鼓励类：</w:t>
      </w:r>
      <w:r>
        <w:rPr>
          <w:color w:val="auto"/>
          <w:kern w:val="21"/>
          <w:lang w:bidi="ar"/>
        </w:rPr>
        <w:t>四十三、环境保护与资源节约综合利用</w:t>
      </w:r>
      <w:r>
        <w:rPr>
          <w:color w:val="auto"/>
          <w:kern w:val="21"/>
        </w:rPr>
        <w:t>”中第15项</w:t>
      </w:r>
      <w:r>
        <w:rPr>
          <w:color w:val="auto"/>
          <w:kern w:val="21"/>
          <w:lang w:bidi="ar"/>
        </w:rPr>
        <w:t>“三废综合利用与治理技术、装备和工程</w:t>
      </w:r>
      <w:r>
        <w:rPr>
          <w:color w:val="auto"/>
          <w:kern w:val="21"/>
        </w:rPr>
        <w:t>”。</w:t>
      </w:r>
      <w:r>
        <w:rPr>
          <w:color w:val="auto"/>
          <w:kern w:val="21"/>
          <w:lang w:bidi="ar"/>
        </w:rPr>
        <w:t>因此，本项目建设符合国家产业政策。</w:t>
      </w:r>
    </w:p>
    <w:p>
      <w:pPr>
        <w:widowControl/>
        <w:ind w:firstLine="480"/>
        <w:jc w:val="left"/>
        <w:rPr>
          <w:color w:val="auto"/>
          <w:kern w:val="21"/>
          <w:lang w:bidi="ar"/>
        </w:rPr>
      </w:pPr>
      <w:r>
        <w:rPr>
          <w:color w:val="auto"/>
          <w:kern w:val="21"/>
        </w:rPr>
        <w:t>2020年3月3日，楚雄市发展和改革局出具《楚雄市发展和改革局关于富民工业园区污水处理厂工程工可行性研究报告的批复》</w:t>
      </w:r>
      <w:r>
        <w:rPr>
          <w:rFonts w:hint="eastAsia"/>
          <w:color w:val="auto"/>
          <w:kern w:val="21"/>
        </w:rPr>
        <w:t>（</w:t>
      </w:r>
      <w:r>
        <w:rPr>
          <w:color w:val="auto"/>
          <w:kern w:val="21"/>
        </w:rPr>
        <w:t>楚发改批[2020]24号</w:t>
      </w:r>
      <w:r>
        <w:rPr>
          <w:rFonts w:hint="eastAsia"/>
          <w:color w:val="auto"/>
          <w:kern w:val="21"/>
        </w:rPr>
        <w:t>）</w:t>
      </w:r>
      <w:r>
        <w:rPr>
          <w:color w:val="auto"/>
          <w:kern w:val="21"/>
        </w:rPr>
        <w:t>对本工程项目进行了批复，因此项目建设符合地方相关产业政策要求。</w:t>
      </w:r>
    </w:p>
    <w:p>
      <w:pPr>
        <w:pStyle w:val="5"/>
        <w:spacing w:after="0"/>
        <w:rPr>
          <w:color w:val="auto"/>
          <w:kern w:val="21"/>
          <w:sz w:val="28"/>
        </w:rPr>
      </w:pPr>
      <w:bookmarkStart w:id="315" w:name="_Toc113790862"/>
      <w:bookmarkStart w:id="316" w:name="_Toc112903126"/>
      <w:bookmarkStart w:id="317" w:name="_Toc107649832"/>
      <w:bookmarkStart w:id="318" w:name="_Toc107650449"/>
      <w:bookmarkStart w:id="319" w:name="_Toc107650232"/>
      <w:bookmarkStart w:id="320" w:name="_Toc107557156"/>
      <w:bookmarkStart w:id="321" w:name="_Toc107556925"/>
      <w:bookmarkStart w:id="322" w:name="_Toc107557377"/>
      <w:bookmarkStart w:id="323" w:name="_Toc107546868"/>
      <w:bookmarkStart w:id="324" w:name="_Toc112890513"/>
      <w:bookmarkStart w:id="325" w:name="_Toc16557"/>
      <w:bookmarkStart w:id="326" w:name="_Toc113790872"/>
      <w:r>
        <w:rPr>
          <w:color w:val="auto"/>
          <w:kern w:val="21"/>
          <w:sz w:val="28"/>
        </w:rPr>
        <w:t>7.2</w:t>
      </w:r>
      <w:bookmarkEnd w:id="315"/>
      <w:bookmarkEnd w:id="316"/>
      <w:bookmarkEnd w:id="317"/>
      <w:bookmarkEnd w:id="318"/>
      <w:bookmarkEnd w:id="319"/>
      <w:bookmarkEnd w:id="320"/>
      <w:bookmarkEnd w:id="321"/>
      <w:bookmarkEnd w:id="322"/>
      <w:bookmarkEnd w:id="323"/>
      <w:bookmarkEnd w:id="324"/>
      <w:r>
        <w:rPr>
          <w:color w:val="auto"/>
          <w:kern w:val="21"/>
          <w:sz w:val="28"/>
        </w:rPr>
        <w:t>相关规划符合性</w:t>
      </w:r>
      <w:bookmarkEnd w:id="325"/>
    </w:p>
    <w:p>
      <w:pPr>
        <w:pStyle w:val="6"/>
        <w:spacing w:after="0"/>
        <w:rPr>
          <w:rFonts w:eastAsia="宋体"/>
          <w:color w:val="auto"/>
          <w:kern w:val="21"/>
          <w:sz w:val="24"/>
          <w:szCs w:val="24"/>
        </w:rPr>
      </w:pPr>
      <w:bookmarkStart w:id="327" w:name="_Toc13741"/>
      <w:r>
        <w:rPr>
          <w:rFonts w:hint="eastAsia" w:eastAsia="宋体"/>
          <w:color w:val="auto"/>
          <w:kern w:val="21"/>
          <w:sz w:val="24"/>
          <w:szCs w:val="24"/>
        </w:rPr>
        <w:t>7.2.1与《</w:t>
      </w:r>
      <w:r>
        <w:rPr>
          <w:rFonts w:hint="eastAsia" w:eastAsia="宋体"/>
          <w:color w:val="auto"/>
          <w:kern w:val="21"/>
          <w:sz w:val="24"/>
          <w:szCs w:val="24"/>
          <w:lang w:eastAsia="zh-CN"/>
        </w:rPr>
        <w:t>云南省长江经济带发展负面清单指南实施细则</w:t>
      </w:r>
      <w:r>
        <w:rPr>
          <w:rFonts w:hint="eastAsia" w:eastAsia="宋体"/>
          <w:color w:val="auto"/>
          <w:kern w:val="21"/>
          <w:sz w:val="24"/>
          <w:szCs w:val="24"/>
        </w:rPr>
        <w:t>》</w:t>
      </w:r>
      <w:r>
        <w:rPr>
          <w:rFonts w:hint="eastAsia" w:eastAsia="宋体"/>
          <w:color w:val="auto"/>
          <w:kern w:val="21"/>
          <w:sz w:val="24"/>
          <w:szCs w:val="24"/>
          <w:lang w:eastAsia="zh-CN"/>
        </w:rPr>
        <w:t>（试行，</w:t>
      </w:r>
      <w:r>
        <w:rPr>
          <w:rFonts w:hint="eastAsia" w:eastAsia="宋体"/>
          <w:color w:val="auto"/>
          <w:kern w:val="21"/>
          <w:sz w:val="24"/>
          <w:szCs w:val="24"/>
          <w:lang w:val="en-US" w:eastAsia="zh-CN"/>
        </w:rPr>
        <w:t>2022版</w:t>
      </w:r>
      <w:r>
        <w:rPr>
          <w:rFonts w:hint="eastAsia" w:eastAsia="宋体"/>
          <w:color w:val="auto"/>
          <w:kern w:val="21"/>
          <w:sz w:val="24"/>
          <w:szCs w:val="24"/>
          <w:lang w:eastAsia="zh-CN"/>
        </w:rPr>
        <w:t>）</w:t>
      </w:r>
      <w:r>
        <w:rPr>
          <w:rFonts w:hint="eastAsia" w:eastAsia="宋体"/>
          <w:color w:val="auto"/>
          <w:kern w:val="21"/>
          <w:sz w:val="24"/>
          <w:szCs w:val="24"/>
        </w:rPr>
        <w:t>的符合性分析</w:t>
      </w:r>
      <w:bookmarkEnd w:id="327"/>
    </w:p>
    <w:p>
      <w:pPr>
        <w:ind w:firstLine="480"/>
        <w:rPr>
          <w:color w:val="auto"/>
          <w:kern w:val="21"/>
        </w:rPr>
      </w:pPr>
      <w:r>
        <w:rPr>
          <w:rFonts w:hint="eastAsia"/>
          <w:color w:val="auto"/>
          <w:kern w:val="21"/>
        </w:rPr>
        <w:t>本次规划与</w:t>
      </w:r>
      <w:r>
        <w:rPr>
          <w:rFonts w:hint="eastAsia"/>
          <w:color w:val="auto"/>
          <w:kern w:val="21"/>
          <w:lang w:eastAsia="zh-CN"/>
        </w:rPr>
        <w:t>《</w:t>
      </w:r>
      <w:r>
        <w:rPr>
          <w:rFonts w:hint="eastAsia" w:eastAsia="宋体"/>
          <w:color w:val="auto"/>
          <w:kern w:val="21"/>
          <w:sz w:val="24"/>
          <w:szCs w:val="24"/>
          <w:lang w:eastAsia="zh-CN"/>
        </w:rPr>
        <w:t>云南省长江经济带发展负面清单指南实施细则</w:t>
      </w:r>
      <w:r>
        <w:rPr>
          <w:rFonts w:hint="eastAsia"/>
          <w:color w:val="auto"/>
          <w:kern w:val="21"/>
          <w:lang w:eastAsia="zh-CN"/>
        </w:rPr>
        <w:t>》</w:t>
      </w:r>
      <w:r>
        <w:rPr>
          <w:rFonts w:hint="eastAsia" w:eastAsia="宋体"/>
          <w:color w:val="auto"/>
          <w:kern w:val="21"/>
          <w:sz w:val="24"/>
          <w:szCs w:val="24"/>
          <w:lang w:eastAsia="zh-CN"/>
        </w:rPr>
        <w:t>（试行，</w:t>
      </w:r>
      <w:r>
        <w:rPr>
          <w:rFonts w:hint="eastAsia" w:eastAsia="宋体"/>
          <w:color w:val="auto"/>
          <w:kern w:val="21"/>
          <w:sz w:val="24"/>
          <w:szCs w:val="24"/>
          <w:lang w:val="en-US" w:eastAsia="zh-CN"/>
        </w:rPr>
        <w:t>2022版</w:t>
      </w:r>
      <w:r>
        <w:rPr>
          <w:rFonts w:hint="eastAsia" w:eastAsia="宋体"/>
          <w:color w:val="auto"/>
          <w:kern w:val="21"/>
          <w:sz w:val="24"/>
          <w:szCs w:val="24"/>
          <w:lang w:eastAsia="zh-CN"/>
        </w:rPr>
        <w:t>）</w:t>
      </w:r>
      <w:r>
        <w:rPr>
          <w:rFonts w:hint="eastAsia"/>
          <w:color w:val="auto"/>
          <w:kern w:val="21"/>
        </w:rPr>
        <w:t>的符合性分析详见</w:t>
      </w:r>
      <w:r>
        <w:rPr>
          <w:rFonts w:hint="eastAsia"/>
          <w:color w:val="auto"/>
          <w:kern w:val="21"/>
          <w:lang w:eastAsia="zh-CN"/>
        </w:rPr>
        <w:t>下表</w:t>
      </w:r>
      <w:r>
        <w:rPr>
          <w:rFonts w:hint="eastAsia"/>
          <w:color w:val="auto"/>
          <w:kern w:val="21"/>
        </w:rPr>
        <w:t>。</w:t>
      </w:r>
    </w:p>
    <w:p>
      <w:pPr>
        <w:numPr>
          <w:ilvl w:val="0"/>
          <w:numId w:val="16"/>
        </w:numPr>
        <w:ind w:left="0" w:leftChars="0" w:firstLine="0" w:firstLineChars="0"/>
        <w:jc w:val="center"/>
        <w:rPr>
          <w:rFonts w:hint="default" w:ascii="Times New Roman" w:hAnsi="Times New Roman" w:cs="Times New Roman"/>
          <w:b/>
          <w:bCs/>
          <w:color w:val="auto"/>
          <w:kern w:val="21"/>
        </w:rPr>
      </w:pPr>
      <w:r>
        <w:rPr>
          <w:rFonts w:hint="default" w:ascii="Times New Roman" w:hAnsi="Times New Roman" w:cs="Times New Roman"/>
          <w:b/>
          <w:bCs/>
          <w:color w:val="auto"/>
          <w:kern w:val="21"/>
        </w:rPr>
        <w:t>项目与</w:t>
      </w:r>
      <w:r>
        <w:rPr>
          <w:rFonts w:hint="eastAsia" w:ascii="Times New Roman" w:hAnsi="Times New Roman" w:cs="Times New Roman"/>
          <w:b/>
          <w:bCs/>
          <w:color w:val="auto"/>
          <w:kern w:val="21"/>
          <w:lang w:eastAsia="zh-CN"/>
        </w:rPr>
        <w:t>云南省长江经济带发展负面清单指南实施细则</w:t>
      </w:r>
      <w:r>
        <w:rPr>
          <w:rFonts w:hint="default" w:ascii="Times New Roman" w:hAnsi="Times New Roman" w:cs="Times New Roman"/>
          <w:b/>
          <w:bCs/>
          <w:color w:val="auto"/>
          <w:kern w:val="21"/>
        </w:rPr>
        <w:t>符合性分析</w:t>
      </w:r>
    </w:p>
    <w:tbl>
      <w:tblPr>
        <w:tblStyle w:val="51"/>
        <w:tblW w:w="9124"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5391"/>
        <w:gridCol w:w="2128"/>
        <w:gridCol w:w="9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675"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序号</w:t>
            </w:r>
          </w:p>
        </w:tc>
        <w:tc>
          <w:tcPr>
            <w:tcW w:w="5391"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负面清单指南内容</w:t>
            </w:r>
          </w:p>
        </w:tc>
        <w:tc>
          <w:tcPr>
            <w:tcW w:w="2128"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本项目</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75" w:type="dxa"/>
            <w:vAlign w:val="center"/>
          </w:tcPr>
          <w:p>
            <w:pPr>
              <w:spacing w:line="240" w:lineRule="auto"/>
              <w:ind w:firstLine="0" w:firstLineChars="0"/>
              <w:jc w:val="center"/>
              <w:rPr>
                <w:rFonts w:eastAsia="Times New Roman"/>
                <w:color w:val="auto"/>
                <w:sz w:val="21"/>
                <w:szCs w:val="21"/>
              </w:rPr>
            </w:pPr>
            <w:r>
              <w:rPr>
                <w:rFonts w:eastAsia="Times New Roman"/>
                <w:color w:val="auto"/>
                <w:sz w:val="21"/>
                <w:szCs w:val="21"/>
              </w:rPr>
              <w:t>1</w:t>
            </w:r>
          </w:p>
        </w:tc>
        <w:tc>
          <w:tcPr>
            <w:tcW w:w="5391" w:type="dxa"/>
            <w:vAlign w:val="center"/>
          </w:tcPr>
          <w:p>
            <w:pPr>
              <w:spacing w:line="240" w:lineRule="auto"/>
              <w:ind w:firstLine="0" w:firstLineChars="0"/>
              <w:jc w:val="left"/>
              <w:rPr>
                <w:rFonts w:ascii="宋体" w:hAnsi="宋体" w:cs="宋体"/>
                <w:color w:val="auto"/>
                <w:sz w:val="21"/>
                <w:szCs w:val="21"/>
              </w:rPr>
            </w:pPr>
            <w:r>
              <w:rPr>
                <w:rFonts w:ascii="宋体" w:hAnsi="宋体" w:cs="宋体"/>
                <w:color w:val="auto"/>
                <w:sz w:val="21"/>
                <w:szCs w:val="21"/>
                <w:lang w:val="en-US" w:eastAsia="zh-CN"/>
              </w:rPr>
              <w:t>禁止新建、改建和扩建不符合《全国内河航道与港</w:t>
            </w:r>
            <w:r>
              <w:rPr>
                <w:rFonts w:hint="eastAsia" w:ascii="宋体" w:hAnsi="宋体" w:cs="宋体"/>
                <w:color w:val="auto"/>
                <w:sz w:val="21"/>
                <w:szCs w:val="21"/>
                <w:lang w:val="en-US" w:eastAsia="zh-CN"/>
              </w:rPr>
              <w:t xml:space="preserve">口布局规划》等全国港口规划和《昭通市港口码头岸线规划（金沙江段 2019 年—2035 年）》、《景洪港总体规划（2019—2035 </w:t>
            </w:r>
          </w:p>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年）》等州（市）级以上港口布局规划以及港口总体规划的码头项目</w:t>
            </w:r>
            <w:r>
              <w:rPr>
                <w:rFonts w:ascii="宋体" w:hAnsi="宋体" w:cs="宋体"/>
                <w:color w:val="auto"/>
                <w:sz w:val="21"/>
                <w:szCs w:val="21"/>
              </w:rPr>
              <w:t>。</w:t>
            </w:r>
          </w:p>
        </w:tc>
        <w:tc>
          <w:tcPr>
            <w:tcW w:w="2128"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本项目不涉及码头项目</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75" w:type="dxa"/>
            <w:vAlign w:val="center"/>
          </w:tcPr>
          <w:p>
            <w:pPr>
              <w:spacing w:line="240" w:lineRule="auto"/>
              <w:ind w:firstLine="0" w:firstLineChars="0"/>
              <w:jc w:val="center"/>
              <w:rPr>
                <w:rFonts w:eastAsia="Times New Roman"/>
                <w:color w:val="auto"/>
                <w:sz w:val="21"/>
                <w:szCs w:val="21"/>
              </w:rPr>
            </w:pPr>
            <w:r>
              <w:rPr>
                <w:rFonts w:eastAsia="Times New Roman"/>
                <w:color w:val="auto"/>
                <w:sz w:val="21"/>
                <w:szCs w:val="21"/>
              </w:rPr>
              <w:t>2</w:t>
            </w:r>
          </w:p>
        </w:tc>
        <w:tc>
          <w:tcPr>
            <w:tcW w:w="5391" w:type="dxa"/>
            <w:vAlign w:val="center"/>
          </w:tcPr>
          <w:p>
            <w:pPr>
              <w:spacing w:line="240" w:lineRule="auto"/>
              <w:ind w:firstLine="0" w:firstLineChars="0"/>
              <w:jc w:val="left"/>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禁止在自然保护区核心区、缓冲区的岸线和河段范围内投资建设旅游和生产经营项目。禁止建设与自然保护区保护方向不一致的旅游项目。禁止在自然保护区内进行开矿、采石、 </w:t>
            </w:r>
          </w:p>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挖沙等活动。禁止在自然保护区的核心区和缓冲区内建设任何生产设施，禁止在自然保护区的实验区内建设污染环境、破坏资源或者景观的生产设施。</w:t>
            </w:r>
          </w:p>
        </w:tc>
        <w:tc>
          <w:tcPr>
            <w:tcW w:w="2128"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本项目不涉及自然保护区、风景名胜区的核心区、缓冲区的岸线和河段范围冲突</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675" w:type="dxa"/>
            <w:vAlign w:val="center"/>
          </w:tcPr>
          <w:p>
            <w:pPr>
              <w:spacing w:line="240" w:lineRule="auto"/>
              <w:ind w:firstLine="0" w:firstLineChars="0"/>
              <w:jc w:val="center"/>
              <w:rPr>
                <w:rFonts w:eastAsia="Times New Roman"/>
                <w:color w:val="auto"/>
                <w:sz w:val="21"/>
                <w:szCs w:val="21"/>
              </w:rPr>
            </w:pPr>
            <w:r>
              <w:rPr>
                <w:rFonts w:eastAsia="Times New Roman"/>
                <w:color w:val="auto"/>
                <w:sz w:val="21"/>
                <w:szCs w:val="21"/>
              </w:rPr>
              <w:t>3</w:t>
            </w:r>
          </w:p>
        </w:tc>
        <w:tc>
          <w:tcPr>
            <w:tcW w:w="5391" w:type="dxa"/>
            <w:vAlign w:val="center"/>
          </w:tcPr>
          <w:p>
            <w:pPr>
              <w:spacing w:line="240" w:lineRule="auto"/>
              <w:ind w:firstLine="0" w:firstLineChars="0"/>
              <w:jc w:val="left"/>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禁止在风景名胜区核心景区的岸线和河段范围内投资建设与风景名胜资源保护无关的项目。禁止在风景名胜区内进行开山、采石、开矿、开荒、修坟立碑等破坏景观、植被和地 </w:t>
            </w:r>
          </w:p>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形地貌的活动以及修建储存爆炸性、易燃性、放射性、毒害性、腐蚀性物品的设施；禁止在风景名胜区内设立开发区和在核心景区内建设宾馆、会所、培训中心、疗养院以及与风景名胜资源保护无关的投资建设项目</w:t>
            </w:r>
            <w:r>
              <w:rPr>
                <w:rFonts w:ascii="宋体" w:hAnsi="宋体" w:cs="宋体"/>
                <w:color w:val="auto"/>
                <w:sz w:val="21"/>
                <w:szCs w:val="21"/>
              </w:rPr>
              <w:t>。</w:t>
            </w:r>
          </w:p>
        </w:tc>
        <w:tc>
          <w:tcPr>
            <w:tcW w:w="2128" w:type="dxa"/>
            <w:vAlign w:val="center"/>
          </w:tcPr>
          <w:p>
            <w:pPr>
              <w:spacing w:line="240" w:lineRule="auto"/>
              <w:ind w:firstLine="0" w:firstLineChars="0"/>
              <w:jc w:val="center"/>
              <w:rPr>
                <w:rFonts w:ascii="Arial" w:hAnsi="Arial" w:eastAsia="Arial" w:cs="Arial"/>
                <w:color w:val="auto"/>
                <w:sz w:val="21"/>
                <w:szCs w:val="21"/>
              </w:rPr>
            </w:pPr>
          </w:p>
          <w:p>
            <w:pPr>
              <w:spacing w:line="240" w:lineRule="auto"/>
              <w:ind w:firstLine="0" w:firstLineChars="0"/>
              <w:jc w:val="center"/>
              <w:rPr>
                <w:rFonts w:hint="eastAsia" w:ascii="宋体" w:hAnsi="宋体" w:eastAsia="宋体" w:cs="宋体"/>
                <w:color w:val="auto"/>
                <w:sz w:val="21"/>
                <w:szCs w:val="21"/>
                <w:lang w:eastAsia="zh-CN"/>
              </w:rPr>
            </w:pPr>
            <w:r>
              <w:rPr>
                <w:rFonts w:ascii="宋体" w:hAnsi="宋体" w:cs="宋体"/>
                <w:color w:val="auto"/>
                <w:sz w:val="21"/>
                <w:szCs w:val="21"/>
              </w:rPr>
              <w:t>本项目</w:t>
            </w:r>
            <w:r>
              <w:rPr>
                <w:rFonts w:hint="eastAsia" w:ascii="宋体" w:hAnsi="宋体" w:cs="宋体"/>
                <w:color w:val="auto"/>
                <w:sz w:val="21"/>
                <w:szCs w:val="21"/>
                <w:lang w:eastAsia="zh-CN"/>
              </w:rPr>
              <w:t>位于楚雄工业园区富民工业园区，不在风景名胜区</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 w:hRule="atLeast"/>
        </w:trPr>
        <w:tc>
          <w:tcPr>
            <w:tcW w:w="675" w:type="dxa"/>
            <w:vAlign w:val="center"/>
          </w:tcPr>
          <w:p>
            <w:pPr>
              <w:spacing w:line="240" w:lineRule="auto"/>
              <w:ind w:firstLine="0" w:firstLineChars="0"/>
              <w:jc w:val="center"/>
              <w:rPr>
                <w:rFonts w:eastAsia="Times New Roman"/>
                <w:color w:val="auto"/>
                <w:sz w:val="21"/>
                <w:szCs w:val="21"/>
              </w:rPr>
            </w:pPr>
            <w:r>
              <w:rPr>
                <w:rFonts w:eastAsia="Times New Roman"/>
                <w:color w:val="auto"/>
                <w:sz w:val="21"/>
                <w:szCs w:val="21"/>
              </w:rPr>
              <w:t>4</w:t>
            </w:r>
          </w:p>
        </w:tc>
        <w:tc>
          <w:tcPr>
            <w:tcW w:w="5391" w:type="dxa"/>
            <w:vAlign w:val="center"/>
          </w:tcPr>
          <w:p>
            <w:pPr>
              <w:spacing w:line="240" w:lineRule="auto"/>
              <w:ind w:firstLine="0" w:firstLineChars="0"/>
              <w:jc w:val="left"/>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禁止在饮用水水源一级保护区的岸线和河段范围内新建、改建、扩建与供水设施和保护水源无关的投资建设项目，以及网箱养殖、畜禽养殖、旅游等可能污染饮用水水体的投资建 </w:t>
            </w:r>
          </w:p>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设项目。禁止在饮用水水源二级保护区的岸线和河段范围内新建、改建、扩建排放污染物的投资建设项目</w:t>
            </w:r>
            <w:r>
              <w:rPr>
                <w:rFonts w:ascii="宋体" w:hAnsi="宋体" w:cs="宋体"/>
                <w:color w:val="auto"/>
                <w:sz w:val="21"/>
                <w:szCs w:val="21"/>
              </w:rPr>
              <w:t>。</w:t>
            </w:r>
          </w:p>
        </w:tc>
        <w:tc>
          <w:tcPr>
            <w:tcW w:w="2128" w:type="dxa"/>
            <w:vAlign w:val="center"/>
          </w:tcPr>
          <w:p>
            <w:pPr>
              <w:spacing w:line="240" w:lineRule="auto"/>
              <w:ind w:firstLine="0" w:firstLineChars="0"/>
              <w:jc w:val="center"/>
              <w:rPr>
                <w:rFonts w:hint="eastAsia" w:ascii="宋体" w:hAnsi="宋体" w:eastAsia="宋体" w:cs="宋体"/>
                <w:color w:val="auto"/>
                <w:sz w:val="21"/>
                <w:szCs w:val="21"/>
                <w:lang w:eastAsia="zh-CN"/>
              </w:rPr>
            </w:pPr>
            <w:r>
              <w:rPr>
                <w:rFonts w:ascii="宋体" w:hAnsi="宋体" w:cs="宋体"/>
                <w:color w:val="auto"/>
                <w:sz w:val="21"/>
                <w:szCs w:val="21"/>
              </w:rPr>
              <w:t>本项目</w:t>
            </w:r>
            <w:r>
              <w:rPr>
                <w:rFonts w:hint="eastAsia" w:ascii="宋体" w:hAnsi="宋体" w:cs="宋体"/>
                <w:color w:val="auto"/>
                <w:sz w:val="21"/>
                <w:szCs w:val="21"/>
                <w:lang w:eastAsia="zh-CN"/>
              </w:rPr>
              <w:t>不在饮用水水源保护区</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675" w:type="dxa"/>
            <w:vAlign w:val="center"/>
          </w:tcPr>
          <w:p>
            <w:pPr>
              <w:spacing w:line="240" w:lineRule="auto"/>
              <w:ind w:firstLine="0" w:firstLineChars="0"/>
              <w:jc w:val="center"/>
              <w:rPr>
                <w:rFonts w:eastAsia="Times New Roman"/>
                <w:color w:val="auto"/>
                <w:sz w:val="21"/>
                <w:szCs w:val="21"/>
              </w:rPr>
            </w:pPr>
            <w:r>
              <w:rPr>
                <w:rFonts w:eastAsia="Times New Roman"/>
                <w:color w:val="auto"/>
                <w:sz w:val="21"/>
                <w:szCs w:val="21"/>
              </w:rPr>
              <w:t>5</w:t>
            </w:r>
          </w:p>
        </w:tc>
        <w:tc>
          <w:tcPr>
            <w:tcW w:w="5391" w:type="dxa"/>
            <w:vAlign w:val="center"/>
          </w:tcPr>
          <w:p>
            <w:pPr>
              <w:spacing w:line="240" w:lineRule="auto"/>
              <w:ind w:firstLine="0" w:firstLineChars="0"/>
              <w:jc w:val="left"/>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禁止在水产种质资源保护区的岸线和河段范围内新建围湖造田、围湖造地或围填海等投资建设项目。禁止擅自征收、占用国家湿地公园的土地；禁止在国家湿地公园内挖沙、采 </w:t>
            </w:r>
          </w:p>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矿，以及建设度假村、高尔夫球场等任何不符合主体功能定位的投资建设项目</w:t>
            </w:r>
            <w:r>
              <w:rPr>
                <w:rFonts w:ascii="宋体" w:hAnsi="宋体" w:cs="宋体"/>
                <w:color w:val="auto"/>
                <w:sz w:val="21"/>
                <w:szCs w:val="21"/>
              </w:rPr>
              <w:t>。</w:t>
            </w:r>
          </w:p>
        </w:tc>
        <w:tc>
          <w:tcPr>
            <w:tcW w:w="2128"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本项目</w:t>
            </w:r>
            <w:r>
              <w:rPr>
                <w:rFonts w:hint="eastAsia" w:ascii="宋体" w:hAnsi="宋体" w:cs="宋体"/>
                <w:color w:val="auto"/>
                <w:sz w:val="21"/>
                <w:szCs w:val="21"/>
                <w:lang w:eastAsia="zh-CN"/>
              </w:rPr>
              <w:t>为园区污水处理厂，不属于该条提及的建设项目</w:t>
            </w:r>
            <w:r>
              <w:rPr>
                <w:rFonts w:ascii="宋体" w:hAnsi="宋体" w:cs="宋体"/>
                <w:color w:val="auto"/>
                <w:sz w:val="21"/>
                <w:szCs w:val="21"/>
              </w:rPr>
              <w:t>。</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75" w:type="dxa"/>
            <w:vAlign w:val="center"/>
          </w:tcPr>
          <w:p>
            <w:pPr>
              <w:spacing w:line="240" w:lineRule="auto"/>
              <w:ind w:firstLine="0" w:firstLineChars="0"/>
              <w:jc w:val="center"/>
              <w:rPr>
                <w:rFonts w:ascii="Arial" w:hAnsi="Arial" w:eastAsia="Arial" w:cs="Arial"/>
                <w:color w:val="auto"/>
                <w:sz w:val="21"/>
                <w:szCs w:val="21"/>
              </w:rPr>
            </w:pPr>
          </w:p>
          <w:p>
            <w:pPr>
              <w:spacing w:line="240" w:lineRule="auto"/>
              <w:ind w:firstLine="0" w:firstLineChars="0"/>
              <w:jc w:val="center"/>
              <w:rPr>
                <w:rFonts w:eastAsia="Times New Roman"/>
                <w:color w:val="auto"/>
                <w:sz w:val="21"/>
                <w:szCs w:val="21"/>
              </w:rPr>
            </w:pPr>
            <w:r>
              <w:rPr>
                <w:rFonts w:eastAsia="Times New Roman"/>
                <w:color w:val="auto"/>
                <w:sz w:val="21"/>
                <w:szCs w:val="21"/>
              </w:rPr>
              <w:t>6</w:t>
            </w:r>
          </w:p>
        </w:tc>
        <w:tc>
          <w:tcPr>
            <w:tcW w:w="5391" w:type="dxa"/>
            <w:vAlign w:val="center"/>
          </w:tcPr>
          <w:p>
            <w:pPr>
              <w:spacing w:line="240" w:lineRule="auto"/>
              <w:ind w:firstLine="0" w:firstLineChars="0"/>
              <w:jc w:val="left"/>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禁止违法利用、占用长江流域河湖岸线。禁止在金沙江岸线保护区和保留区内投资建设除事关公共安全及公众利益的防洪护岸、河道治理、供水、生态环境保护、航道整治、国 </w:t>
            </w:r>
          </w:p>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家重要基础设施以外的项目。禁止在金沙江干流、九大高原湖泊保护区、保留区内投资建设不利于水资源及自然生态保护的项目</w:t>
            </w:r>
            <w:r>
              <w:rPr>
                <w:rFonts w:ascii="宋体" w:hAnsi="宋体" w:cs="宋体"/>
                <w:color w:val="auto"/>
                <w:sz w:val="21"/>
                <w:szCs w:val="21"/>
              </w:rPr>
              <w:t>。</w:t>
            </w:r>
          </w:p>
        </w:tc>
        <w:tc>
          <w:tcPr>
            <w:tcW w:w="2128"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本项目不涉</w:t>
            </w:r>
            <w:r>
              <w:rPr>
                <w:rFonts w:hint="eastAsia" w:ascii="宋体" w:hAnsi="宋体" w:cs="宋体"/>
                <w:color w:val="auto"/>
                <w:sz w:val="21"/>
                <w:szCs w:val="21"/>
                <w:lang w:eastAsia="zh-CN"/>
              </w:rPr>
              <w:t>及</w:t>
            </w:r>
            <w:r>
              <w:rPr>
                <w:rFonts w:hint="eastAsia" w:ascii="宋体" w:hAnsi="宋体" w:cs="宋体"/>
                <w:color w:val="auto"/>
                <w:sz w:val="21"/>
                <w:szCs w:val="21"/>
                <w:lang w:val="en-US" w:eastAsia="zh-CN"/>
              </w:rPr>
              <w:t>金沙江干流、九大高原湖泊保护区、保留区，没有占用长江流域河湖岸线</w:t>
            </w:r>
          </w:p>
        </w:tc>
        <w:tc>
          <w:tcPr>
            <w:tcW w:w="930" w:type="dxa"/>
            <w:vAlign w:val="center"/>
          </w:tcPr>
          <w:p>
            <w:pPr>
              <w:spacing w:line="240" w:lineRule="auto"/>
              <w:ind w:firstLine="0" w:firstLineChars="0"/>
              <w:jc w:val="center"/>
              <w:rPr>
                <w:rFonts w:ascii="Arial" w:hAnsi="Arial" w:eastAsia="Arial" w:cs="Arial"/>
                <w:color w:val="auto"/>
                <w:sz w:val="21"/>
                <w:szCs w:val="21"/>
              </w:rPr>
            </w:pPr>
          </w:p>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75" w:type="dxa"/>
            <w:vAlign w:val="center"/>
          </w:tcPr>
          <w:p>
            <w:pPr>
              <w:spacing w:line="240" w:lineRule="auto"/>
              <w:ind w:firstLine="0" w:firstLineChars="0"/>
              <w:jc w:val="center"/>
              <w:rPr>
                <w:rFonts w:ascii="Arial" w:hAnsi="Arial" w:eastAsia="Arial" w:cs="Arial"/>
                <w:color w:val="auto"/>
                <w:sz w:val="21"/>
                <w:szCs w:val="21"/>
              </w:rPr>
            </w:pPr>
          </w:p>
          <w:p>
            <w:pPr>
              <w:spacing w:line="240" w:lineRule="auto"/>
              <w:ind w:firstLine="0" w:firstLineChars="0"/>
              <w:jc w:val="center"/>
              <w:rPr>
                <w:rFonts w:eastAsia="Times New Roman"/>
                <w:color w:val="auto"/>
                <w:sz w:val="21"/>
                <w:szCs w:val="21"/>
              </w:rPr>
            </w:pPr>
            <w:r>
              <w:rPr>
                <w:rFonts w:eastAsia="Times New Roman"/>
                <w:color w:val="auto"/>
                <w:sz w:val="21"/>
                <w:szCs w:val="21"/>
              </w:rPr>
              <w:t>7</w:t>
            </w:r>
          </w:p>
        </w:tc>
        <w:tc>
          <w:tcPr>
            <w:tcW w:w="5391" w:type="dxa"/>
            <w:vAlign w:val="center"/>
          </w:tcPr>
          <w:p>
            <w:pPr>
              <w:spacing w:line="240" w:lineRule="auto"/>
              <w:ind w:firstLine="0" w:firstLineChars="0"/>
              <w:jc w:val="left"/>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禁止在金沙江干流、长江一级支流建设除党中央、国务院、国家投资主管部门、省级有关部门批复同意以外的过江基础设施项目；禁止未经许可在金沙江干流、长江一级支流、九 </w:t>
            </w:r>
          </w:p>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大高原湖泊流域新设、改设或扩大排污口</w:t>
            </w:r>
            <w:r>
              <w:rPr>
                <w:rFonts w:ascii="宋体" w:hAnsi="宋体" w:cs="宋体"/>
                <w:color w:val="auto"/>
                <w:sz w:val="21"/>
                <w:szCs w:val="21"/>
              </w:rPr>
              <w:t>。</w:t>
            </w:r>
          </w:p>
        </w:tc>
        <w:tc>
          <w:tcPr>
            <w:tcW w:w="2128" w:type="dxa"/>
            <w:vAlign w:val="center"/>
          </w:tcPr>
          <w:p>
            <w:pPr>
              <w:spacing w:line="240" w:lineRule="auto"/>
              <w:ind w:firstLine="0" w:firstLineChars="0"/>
              <w:jc w:val="center"/>
              <w:rPr>
                <w:rFonts w:hint="eastAsia" w:ascii="宋体" w:hAnsi="宋体" w:eastAsia="宋体" w:cs="宋体"/>
                <w:color w:val="auto"/>
                <w:sz w:val="21"/>
                <w:szCs w:val="21"/>
                <w:lang w:eastAsia="zh-CN"/>
              </w:rPr>
            </w:pPr>
            <w:r>
              <w:rPr>
                <w:rFonts w:ascii="宋体" w:hAnsi="宋体" w:cs="宋体"/>
                <w:color w:val="auto"/>
                <w:sz w:val="21"/>
                <w:szCs w:val="21"/>
              </w:rPr>
              <w:t>本项目</w:t>
            </w:r>
            <w:r>
              <w:rPr>
                <w:rFonts w:hint="eastAsia" w:ascii="宋体" w:hAnsi="宋体" w:cs="宋体"/>
                <w:color w:val="auto"/>
                <w:sz w:val="21"/>
                <w:szCs w:val="21"/>
                <w:lang w:eastAsia="zh-CN"/>
              </w:rPr>
              <w:t>不属于过江基础设施项目，本项目入河排污口设置在青龙河，已经批复，属合法排污口</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5" w:type="dxa"/>
            <w:vAlign w:val="center"/>
          </w:tcPr>
          <w:p>
            <w:pPr>
              <w:spacing w:line="240" w:lineRule="auto"/>
              <w:ind w:firstLine="0" w:firstLineChars="0"/>
              <w:jc w:val="center"/>
              <w:rPr>
                <w:rFonts w:eastAsia="Times New Roman"/>
                <w:color w:val="auto"/>
                <w:sz w:val="21"/>
                <w:szCs w:val="21"/>
              </w:rPr>
            </w:pPr>
            <w:r>
              <w:rPr>
                <w:rFonts w:eastAsia="Times New Roman"/>
                <w:color w:val="auto"/>
                <w:sz w:val="21"/>
                <w:szCs w:val="21"/>
              </w:rPr>
              <w:t>8</w:t>
            </w:r>
          </w:p>
        </w:tc>
        <w:tc>
          <w:tcPr>
            <w:tcW w:w="5391" w:type="dxa"/>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禁止在金沙江干流、长江一级支流、水生生物保护区和长江流域禁捕水域开展天然渔业资源生产性捕捞</w:t>
            </w:r>
            <w:r>
              <w:rPr>
                <w:rFonts w:ascii="宋体" w:hAnsi="宋体" w:cs="宋体"/>
                <w:color w:val="auto"/>
                <w:sz w:val="21"/>
                <w:szCs w:val="21"/>
              </w:rPr>
              <w:t>。</w:t>
            </w:r>
          </w:p>
        </w:tc>
        <w:tc>
          <w:tcPr>
            <w:tcW w:w="2128" w:type="dxa"/>
            <w:vAlign w:val="center"/>
          </w:tcPr>
          <w:p>
            <w:pPr>
              <w:spacing w:line="240" w:lineRule="auto"/>
              <w:ind w:firstLine="0" w:firstLineChars="0"/>
              <w:jc w:val="center"/>
              <w:rPr>
                <w:rFonts w:hint="eastAsia" w:ascii="宋体" w:hAnsi="宋体" w:eastAsia="宋体" w:cs="宋体"/>
                <w:color w:val="auto"/>
                <w:sz w:val="21"/>
                <w:szCs w:val="21"/>
                <w:lang w:eastAsia="zh-CN"/>
              </w:rPr>
            </w:pPr>
            <w:r>
              <w:rPr>
                <w:rFonts w:ascii="宋体" w:hAnsi="宋体" w:cs="宋体"/>
                <w:color w:val="auto"/>
                <w:sz w:val="21"/>
                <w:szCs w:val="21"/>
              </w:rPr>
              <w:t>本项目</w:t>
            </w:r>
            <w:r>
              <w:rPr>
                <w:rFonts w:hint="eastAsia" w:ascii="宋体" w:hAnsi="宋体" w:cs="宋体"/>
                <w:color w:val="auto"/>
                <w:sz w:val="21"/>
                <w:szCs w:val="21"/>
                <w:lang w:eastAsia="zh-CN"/>
              </w:rPr>
              <w:t>不涉及</w:t>
            </w:r>
            <w:r>
              <w:rPr>
                <w:rFonts w:hint="eastAsia" w:ascii="宋体" w:hAnsi="宋体" w:cs="宋体"/>
                <w:color w:val="auto"/>
                <w:sz w:val="21"/>
                <w:szCs w:val="21"/>
                <w:lang w:val="en-US" w:eastAsia="zh-CN"/>
              </w:rPr>
              <w:t>天然渔业资源生产性捕捞</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5" w:type="dxa"/>
            <w:vAlign w:val="center"/>
          </w:tcPr>
          <w:p>
            <w:pPr>
              <w:spacing w:line="240" w:lineRule="auto"/>
              <w:ind w:firstLine="0" w:firstLineChars="0"/>
              <w:jc w:val="center"/>
              <w:rPr>
                <w:rFonts w:eastAsia="Times New Roman"/>
                <w:color w:val="auto"/>
                <w:sz w:val="21"/>
                <w:szCs w:val="21"/>
              </w:rPr>
            </w:pPr>
            <w:r>
              <w:rPr>
                <w:rFonts w:eastAsia="Times New Roman"/>
                <w:color w:val="auto"/>
                <w:sz w:val="21"/>
                <w:szCs w:val="21"/>
              </w:rPr>
              <w:t>9</w:t>
            </w:r>
          </w:p>
        </w:tc>
        <w:tc>
          <w:tcPr>
            <w:tcW w:w="5391" w:type="dxa"/>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r>
              <w:rPr>
                <w:rFonts w:ascii="宋体" w:hAnsi="宋体" w:cs="宋体"/>
                <w:color w:val="auto"/>
                <w:sz w:val="21"/>
                <w:szCs w:val="21"/>
              </w:rPr>
              <w:t>。</w:t>
            </w:r>
          </w:p>
        </w:tc>
        <w:tc>
          <w:tcPr>
            <w:tcW w:w="2128" w:type="dxa"/>
            <w:vAlign w:val="center"/>
          </w:tcPr>
          <w:p>
            <w:pPr>
              <w:spacing w:line="240" w:lineRule="auto"/>
              <w:ind w:firstLine="0" w:firstLineChars="0"/>
              <w:jc w:val="center"/>
              <w:rPr>
                <w:rFonts w:hint="eastAsia" w:ascii="宋体" w:hAnsi="宋体" w:eastAsia="宋体" w:cs="宋体"/>
                <w:color w:val="auto"/>
                <w:sz w:val="21"/>
                <w:szCs w:val="21"/>
                <w:lang w:eastAsia="zh-CN"/>
              </w:rPr>
            </w:pPr>
            <w:r>
              <w:rPr>
                <w:rFonts w:ascii="宋体" w:hAnsi="宋体" w:cs="宋体"/>
                <w:color w:val="auto"/>
                <w:sz w:val="21"/>
                <w:szCs w:val="21"/>
              </w:rPr>
              <w:t>本项目</w:t>
            </w:r>
            <w:r>
              <w:rPr>
                <w:rFonts w:hint="eastAsia" w:ascii="宋体" w:hAnsi="宋体" w:cs="宋体"/>
                <w:color w:val="auto"/>
                <w:sz w:val="21"/>
                <w:szCs w:val="21"/>
                <w:lang w:eastAsia="zh-CN"/>
              </w:rPr>
              <w:t>不属于化工项目，不涉及</w:t>
            </w:r>
            <w:r>
              <w:rPr>
                <w:rFonts w:hint="eastAsia" w:ascii="宋体" w:hAnsi="宋体" w:cs="宋体"/>
                <w:color w:val="auto"/>
                <w:sz w:val="21"/>
                <w:szCs w:val="21"/>
                <w:lang w:val="en-US" w:eastAsia="zh-CN"/>
              </w:rPr>
              <w:t>尾矿库、冶炼渣库和磷石膏库</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675" w:type="dxa"/>
            <w:vAlign w:val="center"/>
          </w:tcPr>
          <w:p>
            <w:pPr>
              <w:spacing w:line="240" w:lineRule="auto"/>
              <w:ind w:firstLine="0" w:firstLineChars="0"/>
              <w:jc w:val="center"/>
              <w:rPr>
                <w:rFonts w:eastAsia="Times New Roman"/>
                <w:color w:val="auto"/>
                <w:sz w:val="21"/>
                <w:szCs w:val="21"/>
              </w:rPr>
            </w:pPr>
            <w:r>
              <w:rPr>
                <w:rFonts w:eastAsia="Times New Roman"/>
                <w:color w:val="auto"/>
                <w:sz w:val="21"/>
                <w:szCs w:val="21"/>
              </w:rPr>
              <w:t>10</w:t>
            </w:r>
          </w:p>
        </w:tc>
        <w:tc>
          <w:tcPr>
            <w:tcW w:w="5391" w:type="dxa"/>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禁止在合规园区外新建、扩建钢铁、石化、化工、焦化、建材、有色、制浆造纸行业中的高污染项目</w:t>
            </w:r>
            <w:r>
              <w:rPr>
                <w:rFonts w:ascii="宋体" w:hAnsi="宋体" w:cs="宋体"/>
                <w:color w:val="auto"/>
                <w:sz w:val="21"/>
                <w:szCs w:val="21"/>
              </w:rPr>
              <w:t>。</w:t>
            </w:r>
          </w:p>
        </w:tc>
        <w:tc>
          <w:tcPr>
            <w:tcW w:w="2128" w:type="dxa"/>
            <w:vAlign w:val="center"/>
          </w:tcPr>
          <w:p>
            <w:pPr>
              <w:spacing w:line="240" w:lineRule="auto"/>
              <w:ind w:firstLine="0" w:firstLineChars="0"/>
              <w:jc w:val="center"/>
              <w:rPr>
                <w:rFonts w:hint="eastAsia" w:ascii="宋体" w:hAnsi="宋体" w:eastAsia="宋体" w:cs="宋体"/>
                <w:color w:val="auto"/>
                <w:sz w:val="21"/>
                <w:szCs w:val="21"/>
                <w:lang w:eastAsia="zh-CN"/>
              </w:rPr>
            </w:pPr>
            <w:r>
              <w:rPr>
                <w:rFonts w:ascii="宋体" w:hAnsi="宋体" w:cs="宋体"/>
                <w:color w:val="auto"/>
                <w:sz w:val="21"/>
                <w:szCs w:val="21"/>
              </w:rPr>
              <w:t>本项目</w:t>
            </w:r>
            <w:r>
              <w:rPr>
                <w:rFonts w:hint="eastAsia" w:ascii="宋体" w:hAnsi="宋体" w:cs="宋体"/>
                <w:color w:val="auto"/>
                <w:sz w:val="21"/>
                <w:szCs w:val="21"/>
                <w:lang w:eastAsia="zh-CN"/>
              </w:rPr>
              <w:t>位于合规园区，不属于高污染项目</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675" w:type="dxa"/>
            <w:vAlign w:val="center"/>
          </w:tcPr>
          <w:p>
            <w:pPr>
              <w:spacing w:line="240" w:lineRule="auto"/>
              <w:ind w:firstLine="0" w:firstLineChars="0"/>
              <w:jc w:val="center"/>
              <w:rPr>
                <w:rFonts w:hint="eastAsia" w:eastAsia="宋体"/>
                <w:color w:val="auto"/>
                <w:sz w:val="21"/>
                <w:szCs w:val="21"/>
                <w:lang w:eastAsia="zh-CN"/>
              </w:rPr>
            </w:pPr>
            <w:r>
              <w:rPr>
                <w:rFonts w:eastAsia="Times New Roman"/>
                <w:color w:val="auto"/>
                <w:sz w:val="21"/>
                <w:szCs w:val="21"/>
              </w:rPr>
              <w:t>1</w:t>
            </w:r>
            <w:r>
              <w:rPr>
                <w:rFonts w:hint="eastAsia" w:eastAsia="宋体"/>
                <w:color w:val="auto"/>
                <w:sz w:val="21"/>
                <w:szCs w:val="21"/>
                <w:lang w:val="en-US" w:eastAsia="zh-CN"/>
              </w:rPr>
              <w:t>1</w:t>
            </w:r>
          </w:p>
        </w:tc>
        <w:tc>
          <w:tcPr>
            <w:tcW w:w="5391" w:type="dxa"/>
            <w:vAlign w:val="center"/>
          </w:tcPr>
          <w:p>
            <w:pPr>
              <w:spacing w:line="240" w:lineRule="auto"/>
              <w:ind w:firstLine="0" w:firstLineChars="0"/>
              <w:jc w:val="left"/>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禁止新建、扩建不符合国家石化、现代煤化工等产业布局规划的项目。禁止列入《云南省城镇人口密集区危险化学品生产企业搬迁改造名单》的搬迁改造企业在原址新建、扩建 </w:t>
            </w:r>
          </w:p>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危险化学品生产项目</w:t>
            </w:r>
            <w:r>
              <w:rPr>
                <w:rFonts w:ascii="宋体" w:hAnsi="宋体" w:cs="宋体"/>
                <w:color w:val="auto"/>
                <w:sz w:val="21"/>
                <w:szCs w:val="21"/>
              </w:rPr>
              <w:t>。</w:t>
            </w:r>
          </w:p>
        </w:tc>
        <w:tc>
          <w:tcPr>
            <w:tcW w:w="2128" w:type="dxa"/>
            <w:vAlign w:val="center"/>
          </w:tcPr>
          <w:p>
            <w:pPr>
              <w:spacing w:line="240" w:lineRule="auto"/>
              <w:ind w:firstLine="0" w:firstLineChars="0"/>
              <w:jc w:val="center"/>
              <w:rPr>
                <w:rFonts w:hint="eastAsia" w:ascii="宋体" w:hAnsi="宋体" w:eastAsia="宋体" w:cs="宋体"/>
                <w:color w:val="auto"/>
                <w:sz w:val="21"/>
                <w:szCs w:val="21"/>
                <w:lang w:eastAsia="zh-CN"/>
              </w:rPr>
            </w:pPr>
            <w:r>
              <w:rPr>
                <w:rFonts w:ascii="宋体" w:hAnsi="宋体" w:cs="宋体"/>
                <w:color w:val="auto"/>
                <w:sz w:val="21"/>
                <w:szCs w:val="21"/>
              </w:rPr>
              <w:t>本项目</w:t>
            </w:r>
            <w:r>
              <w:rPr>
                <w:rFonts w:hint="eastAsia" w:ascii="宋体" w:hAnsi="宋体" w:cs="宋体"/>
                <w:color w:val="auto"/>
                <w:sz w:val="21"/>
                <w:szCs w:val="21"/>
                <w:lang w:eastAsia="zh-CN"/>
              </w:rPr>
              <w:t>不属于石化、现代煤化工、危险化学品生产项目</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675" w:type="dxa"/>
            <w:vAlign w:val="center"/>
          </w:tcPr>
          <w:p>
            <w:pPr>
              <w:spacing w:line="240" w:lineRule="auto"/>
              <w:ind w:firstLine="0" w:firstLineChars="0"/>
              <w:jc w:val="center"/>
              <w:rPr>
                <w:rFonts w:hint="eastAsia" w:eastAsia="宋体"/>
                <w:color w:val="auto"/>
                <w:sz w:val="21"/>
                <w:szCs w:val="21"/>
                <w:lang w:eastAsia="zh-CN"/>
              </w:rPr>
            </w:pPr>
            <w:r>
              <w:rPr>
                <w:rFonts w:eastAsia="Times New Roman"/>
                <w:color w:val="auto"/>
                <w:sz w:val="21"/>
                <w:szCs w:val="21"/>
              </w:rPr>
              <w:t>1</w:t>
            </w:r>
            <w:r>
              <w:rPr>
                <w:rFonts w:hint="eastAsia" w:eastAsia="宋体"/>
                <w:color w:val="auto"/>
                <w:sz w:val="21"/>
                <w:szCs w:val="21"/>
                <w:lang w:val="en-US" w:eastAsia="zh-CN"/>
              </w:rPr>
              <w:t>2</w:t>
            </w:r>
          </w:p>
        </w:tc>
        <w:tc>
          <w:tcPr>
            <w:tcW w:w="5391" w:type="dxa"/>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lang w:val="en-US" w:eastAsia="zh-CN"/>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128" w:type="dxa"/>
            <w:vAlign w:val="center"/>
          </w:tcPr>
          <w:p>
            <w:pPr>
              <w:spacing w:line="240" w:lineRule="auto"/>
              <w:ind w:firstLine="0" w:firstLineChars="0"/>
              <w:jc w:val="center"/>
              <w:rPr>
                <w:rFonts w:hint="eastAsia" w:ascii="宋体" w:hAnsi="宋体" w:eastAsia="宋体" w:cs="宋体"/>
                <w:color w:val="auto"/>
                <w:sz w:val="21"/>
                <w:szCs w:val="21"/>
                <w:lang w:eastAsia="zh-CN"/>
              </w:rPr>
            </w:pPr>
            <w:r>
              <w:rPr>
                <w:rFonts w:ascii="宋体" w:hAnsi="宋体" w:cs="宋体"/>
                <w:color w:val="auto"/>
                <w:sz w:val="21"/>
                <w:szCs w:val="21"/>
              </w:rPr>
              <w:t>本项目</w:t>
            </w:r>
            <w:r>
              <w:rPr>
                <w:rFonts w:hint="eastAsia" w:ascii="宋体" w:hAnsi="宋体" w:cs="宋体"/>
                <w:color w:val="auto"/>
                <w:sz w:val="21"/>
                <w:szCs w:val="21"/>
                <w:lang w:eastAsia="zh-CN"/>
              </w:rPr>
              <w:t>不属于产能过剩、落后产能以及高耗能、高排放项目</w:t>
            </w:r>
          </w:p>
        </w:tc>
        <w:tc>
          <w:tcPr>
            <w:tcW w:w="930" w:type="dxa"/>
            <w:vAlign w:val="center"/>
          </w:tcPr>
          <w:p>
            <w:pPr>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符合</w:t>
            </w:r>
          </w:p>
        </w:tc>
      </w:tr>
    </w:tbl>
    <w:p>
      <w:pPr>
        <w:spacing w:before="33"/>
        <w:ind w:left="141" w:right="115" w:firstLine="472"/>
        <w:jc w:val="left"/>
        <w:rPr>
          <w:rFonts w:ascii="宋体" w:hAnsi="宋体" w:cs="宋体"/>
          <w:color w:val="auto"/>
        </w:rPr>
      </w:pPr>
      <w:r>
        <w:rPr>
          <w:rFonts w:ascii="宋体" w:hAnsi="宋体" w:cs="宋体"/>
          <w:color w:val="auto"/>
          <w:spacing w:val="-2"/>
        </w:rPr>
        <w:t>根据上表分析，项目建设符合</w:t>
      </w:r>
      <w:r>
        <w:rPr>
          <w:rFonts w:ascii="宋体" w:hAnsi="宋体" w:cs="宋体"/>
          <w:color w:val="auto"/>
          <w:spacing w:val="-39"/>
        </w:rPr>
        <w:t xml:space="preserve"> </w:t>
      </w:r>
      <w:r>
        <w:rPr>
          <w:rFonts w:hint="eastAsia"/>
          <w:color w:val="auto"/>
          <w:kern w:val="21"/>
          <w:lang w:eastAsia="zh-CN"/>
        </w:rPr>
        <w:t>《</w:t>
      </w:r>
      <w:r>
        <w:rPr>
          <w:rFonts w:hint="eastAsia" w:eastAsia="宋体"/>
          <w:color w:val="auto"/>
          <w:kern w:val="21"/>
          <w:sz w:val="24"/>
          <w:szCs w:val="24"/>
          <w:lang w:eastAsia="zh-CN"/>
        </w:rPr>
        <w:t>云南省长江经济带发展负面清单指南实施细则</w:t>
      </w:r>
      <w:r>
        <w:rPr>
          <w:rFonts w:hint="eastAsia"/>
          <w:color w:val="auto"/>
          <w:kern w:val="21"/>
          <w:lang w:eastAsia="zh-CN"/>
        </w:rPr>
        <w:t>》</w:t>
      </w:r>
      <w:r>
        <w:rPr>
          <w:rFonts w:hint="eastAsia" w:eastAsia="宋体"/>
          <w:color w:val="auto"/>
          <w:kern w:val="21"/>
          <w:sz w:val="24"/>
          <w:szCs w:val="24"/>
          <w:lang w:eastAsia="zh-CN"/>
        </w:rPr>
        <w:t>（试行，</w:t>
      </w:r>
      <w:r>
        <w:rPr>
          <w:rFonts w:hint="eastAsia" w:eastAsia="宋体"/>
          <w:color w:val="auto"/>
          <w:kern w:val="21"/>
          <w:sz w:val="24"/>
          <w:szCs w:val="24"/>
          <w:lang w:val="en-US" w:eastAsia="zh-CN"/>
        </w:rPr>
        <w:t>2022版</w:t>
      </w:r>
      <w:r>
        <w:rPr>
          <w:rFonts w:hint="eastAsia" w:eastAsia="宋体"/>
          <w:color w:val="auto"/>
          <w:kern w:val="21"/>
          <w:sz w:val="24"/>
          <w:szCs w:val="24"/>
          <w:lang w:eastAsia="zh-CN"/>
        </w:rPr>
        <w:t>）</w:t>
      </w:r>
      <w:r>
        <w:rPr>
          <w:rFonts w:ascii="宋体" w:hAnsi="宋体" w:cs="宋体"/>
          <w:color w:val="auto"/>
          <w:spacing w:val="-3"/>
        </w:rPr>
        <w:t>的相关要求。</w:t>
      </w:r>
    </w:p>
    <w:p>
      <w:pPr>
        <w:pStyle w:val="6"/>
        <w:spacing w:after="0"/>
        <w:rPr>
          <w:rFonts w:eastAsia="宋体"/>
          <w:color w:val="auto"/>
          <w:kern w:val="21"/>
          <w:sz w:val="24"/>
          <w:szCs w:val="24"/>
        </w:rPr>
      </w:pPr>
      <w:bookmarkStart w:id="328" w:name="_Toc13541"/>
      <w:r>
        <w:rPr>
          <w:rFonts w:hint="eastAsia" w:eastAsia="宋体"/>
          <w:color w:val="auto"/>
          <w:kern w:val="21"/>
          <w:sz w:val="24"/>
          <w:szCs w:val="24"/>
        </w:rPr>
        <w:t>7.2.2 与 《楚雄工业园区总体规划修改（2018-2035）》符合性分析</w:t>
      </w:r>
      <w:bookmarkEnd w:id="328"/>
    </w:p>
    <w:p>
      <w:pPr>
        <w:ind w:firstLine="480"/>
        <w:rPr>
          <w:color w:val="auto"/>
        </w:rPr>
      </w:pPr>
      <w:r>
        <w:rPr>
          <w:rFonts w:hint="eastAsia"/>
          <w:color w:val="auto"/>
        </w:rPr>
        <w:t>根据《楚雄工业园区总体规划修改（2018-2035）》，楚雄工业园区为“一园三区六地块”的空间结构，楚雄工业园区分3个工业区，赵家湾桃园工业区、富民庄甸工业区和苍岭工业区，6地块为赵家湾地块、桃园地块、富民庄甸地块、智明地块、云甸地块和黄草地块。</w:t>
      </w:r>
    </w:p>
    <w:p>
      <w:pPr>
        <w:ind w:firstLine="480"/>
        <w:rPr>
          <w:color w:val="auto"/>
        </w:rPr>
      </w:pPr>
      <w:r>
        <w:rPr>
          <w:rFonts w:hint="eastAsia"/>
          <w:color w:val="auto"/>
        </w:rPr>
        <w:t>园区重点产业定位为2个主导产业（卷烟及其配套产业、生物产业）和3个辅助产业（先进装备制造产业、冶金化工产业、新材料新型建材产业）；规划期为2018-2035年。园区规划用地面积47.03平方公里，其中工业用地27.68平方公里，仓储物流用地1.68平方公里。赵家湾桃园工业区面积3.55平方公里，包含赵家湾地块（0.91平方公里，主要布局生物医药、绿色食品、高原特色农产品加工产业）和桃园地块（2.64平方公里，主要布局冶金化工、先进装备制造产业）；富民庄甸工业区面积9.73平方公里，主要布局卷烟及其配套、生物产业、先进装备制造、新材料新型建材产业；苍岭工业区面积33.75平方公里，包含智明地块（8.64平方公里，主要布局生物产业、先进装备制造产业）、黄草地块（2.04平方公里，主要布局再生资源加工利用产业）和云甸地块（23.07平方公里，主要布局冶金化工、新材料新型建材产业）。</w:t>
      </w:r>
    </w:p>
    <w:p>
      <w:pPr>
        <w:ind w:firstLine="480"/>
        <w:rPr>
          <w:color w:val="auto"/>
        </w:rPr>
      </w:pPr>
      <w:r>
        <w:rPr>
          <w:rFonts w:hint="eastAsia"/>
          <w:color w:val="auto"/>
        </w:rPr>
        <w:t>富民庄甸工业区产业定位：在富民工业组团，以强工、兴商、拓城为重点，坚持产、城发展并重，二、三产业发展并举，把发展卷烟及其配套、生物产业、先进装备制造、新材料新型建材产业作为该工业组团的主体功能，优化空间规划，提升基础设施建设水平，强化产业发展支撑；在庄甸工业组团，集中发展生物产业，配套完善关联产业，以科技创新示范为重点，用足用活云南省创新创业示范基地、国家中医药产业化基地各项优惠扶持政策，继续加大院士工作站、重点实验室、企业技术中心建设力度，加大高新技术企业培育力度，不断推动企业在产品升级换代、新品研发、专利申报、创业创新方面取得新进展，通过盘活停产、停建企业，优化整合存量，促进企业在提质增效、做大做强、增强核心竞争力上取得新进展，把庄甸医药组团建设成为楚雄州乃至云南省影响力较大的、重要的生物医药产业聚集基地。</w:t>
      </w:r>
    </w:p>
    <w:p>
      <w:pPr>
        <w:ind w:firstLine="480"/>
        <w:rPr>
          <w:color w:val="auto"/>
        </w:rPr>
      </w:pPr>
      <w:r>
        <w:rPr>
          <w:rFonts w:hint="eastAsia"/>
          <w:color w:val="auto"/>
        </w:rPr>
        <w:t>本项目位于楚雄工业园区富民庄甸工业区先进装备制造产业组团，为园区规划配套建设的污水处理厂，符合《楚雄工业园区总体规划修改（2018—2035）》产业发展布局规划、用地规划。</w:t>
      </w:r>
    </w:p>
    <w:p>
      <w:pPr>
        <w:pStyle w:val="6"/>
        <w:spacing w:after="0"/>
        <w:rPr>
          <w:rFonts w:eastAsia="宋体"/>
          <w:color w:val="auto"/>
          <w:kern w:val="21"/>
          <w:sz w:val="24"/>
          <w:szCs w:val="24"/>
        </w:rPr>
      </w:pPr>
      <w:bookmarkStart w:id="329" w:name="_Toc3785"/>
      <w:r>
        <w:rPr>
          <w:rFonts w:eastAsia="宋体"/>
          <w:color w:val="auto"/>
          <w:kern w:val="21"/>
          <w:sz w:val="24"/>
          <w:szCs w:val="24"/>
        </w:rPr>
        <w:t>7.2.</w:t>
      </w:r>
      <w:r>
        <w:rPr>
          <w:rFonts w:hint="eastAsia" w:eastAsia="宋体"/>
          <w:color w:val="auto"/>
          <w:kern w:val="21"/>
          <w:sz w:val="24"/>
          <w:szCs w:val="24"/>
        </w:rPr>
        <w:t>3</w:t>
      </w:r>
      <w:r>
        <w:rPr>
          <w:rFonts w:eastAsia="宋体"/>
          <w:color w:val="auto"/>
          <w:kern w:val="21"/>
          <w:sz w:val="24"/>
          <w:szCs w:val="24"/>
        </w:rPr>
        <w:t>与《楚雄工业园区中体规划修改（2018-2035）环境影响报告书》符合性分析</w:t>
      </w:r>
      <w:bookmarkEnd w:id="329"/>
    </w:p>
    <w:p>
      <w:pPr>
        <w:widowControl/>
        <w:adjustRightInd w:val="0"/>
        <w:ind w:firstLine="480"/>
        <w:jc w:val="left"/>
        <w:rPr>
          <w:color w:val="auto"/>
          <w:kern w:val="21"/>
        </w:rPr>
      </w:pPr>
      <w:r>
        <w:rPr>
          <w:color w:val="auto"/>
          <w:kern w:val="21"/>
          <w:lang w:bidi="ar"/>
        </w:rPr>
        <w:t>根据《楚雄工业园区总体规划修改（2018-2035）环境影响报告书》，赵家湾桃园工业区、庄甸地块生活污水（包含与生活污水性质相近的生产废水），经企业预处理满足《污水排入城镇下水道水质标准》（GB/T31962-2015），由污水管网输送至楚雄市第一、二污水处理厂处理。赵家湾桃园工业区工业废水不外排。</w:t>
      </w:r>
    </w:p>
    <w:p>
      <w:pPr>
        <w:widowControl/>
        <w:adjustRightInd w:val="0"/>
        <w:ind w:firstLine="480"/>
        <w:jc w:val="left"/>
        <w:rPr>
          <w:color w:val="auto"/>
          <w:kern w:val="21"/>
        </w:rPr>
      </w:pPr>
      <w:r>
        <w:rPr>
          <w:color w:val="auto"/>
          <w:kern w:val="21"/>
          <w:lang w:bidi="ar"/>
        </w:rPr>
        <w:t>富民地块和苍岭工业区生活污水、工业废水排入污水管网，进入工业园区自建污水处理厂处理。富民两座污水处理厂尾水排入青龙河，第一、二和智明污水处理厂尾水进入龙川江；云甸污水处理厂尾水进入阿家河（三岔河）。外排污水必须满足《城镇污水处理厂污染物排放标准》（GB18918-2002）一级A要求。</w:t>
      </w:r>
    </w:p>
    <w:p>
      <w:pPr>
        <w:adjustRightInd w:val="0"/>
        <w:ind w:firstLine="480"/>
        <w:rPr>
          <w:color w:val="auto"/>
          <w:kern w:val="21"/>
        </w:rPr>
      </w:pPr>
      <w:r>
        <w:rPr>
          <w:color w:val="auto"/>
          <w:kern w:val="21"/>
        </w:rPr>
        <w:t>本项目属于规划的污水处理厂近期工程，污水处理工艺采用“</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rPr>
        <w:t>/O</w:t>
      </w:r>
      <w:r>
        <w:rPr>
          <w:color w:val="auto"/>
          <w:kern w:val="21"/>
          <w:lang w:bidi="ar"/>
        </w:rPr>
        <w:t>+MBR+紫外消毒</w:t>
      </w:r>
      <w:r>
        <w:rPr>
          <w:color w:val="auto"/>
          <w:kern w:val="21"/>
        </w:rPr>
        <w:t>工艺”，与一体化污水处理设施相比出水水质达标排放得到了更好的保障，近期建设规模为0.5万m</w:t>
      </w:r>
      <w:r>
        <w:rPr>
          <w:color w:val="auto"/>
          <w:kern w:val="21"/>
          <w:vertAlign w:val="superscript"/>
        </w:rPr>
        <w:t>3</w:t>
      </w:r>
      <w:r>
        <w:rPr>
          <w:color w:val="auto"/>
          <w:kern w:val="21"/>
        </w:rPr>
        <w:t>/d，尾水排放执行《城镇污水处理厂污染物排放标准》（GBl8918—2002）一级排放A标准，因此项目符合规划环评要求。</w:t>
      </w:r>
    </w:p>
    <w:p>
      <w:pPr>
        <w:adjustRightInd w:val="0"/>
        <w:ind w:firstLine="480"/>
        <w:rPr>
          <w:color w:val="auto"/>
          <w:kern w:val="21"/>
        </w:rPr>
      </w:pPr>
      <w:r>
        <w:rPr>
          <w:color w:val="auto"/>
          <w:kern w:val="21"/>
        </w:rPr>
        <w:t>根据云南省生态环境厅关于《楚雄工业园区总体规划修改（2018-2035）环境影响报告书》审查意见的函，云环函[2019]561号文件，与本项目相关的审查意见对照如下：</w:t>
      </w:r>
    </w:p>
    <w:p>
      <w:pPr>
        <w:numPr>
          <w:ilvl w:val="0"/>
          <w:numId w:val="16"/>
        </w:numPr>
        <w:ind w:left="0" w:leftChars="0" w:firstLine="0" w:firstLineChars="0"/>
        <w:jc w:val="center"/>
        <w:rPr>
          <w:b/>
          <w:color w:val="auto"/>
          <w:kern w:val="21"/>
        </w:rPr>
      </w:pPr>
      <w:r>
        <w:rPr>
          <w:b/>
          <w:color w:val="auto"/>
          <w:kern w:val="21"/>
        </w:rPr>
        <w:t>项目与</w:t>
      </w:r>
      <w:r>
        <w:rPr>
          <w:rFonts w:hint="default" w:ascii="Times New Roman" w:hAnsi="Times New Roman" w:cs="Times New Roman"/>
          <w:b/>
          <w:bCs/>
          <w:color w:val="auto"/>
          <w:kern w:val="21"/>
        </w:rPr>
        <w:t>规划</w:t>
      </w:r>
      <w:r>
        <w:rPr>
          <w:b/>
          <w:color w:val="auto"/>
          <w:kern w:val="21"/>
        </w:rPr>
        <w:t>环评审查意见符合性对照表</w:t>
      </w:r>
    </w:p>
    <w:tbl>
      <w:tblPr>
        <w:tblStyle w:val="51"/>
        <w:tblW w:w="9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05"/>
        <w:gridCol w:w="4945"/>
        <w:gridCol w:w="2736"/>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705" w:type="dxa"/>
            <w:shd w:val="clear" w:color="auto" w:fill="FFFFFF"/>
            <w:vAlign w:val="center"/>
          </w:tcPr>
          <w:p>
            <w:pPr>
              <w:autoSpaceDE w:val="0"/>
              <w:autoSpaceDN w:val="0"/>
              <w:adjustRightInd w:val="0"/>
              <w:snapToGrid w:val="0"/>
              <w:spacing w:line="240" w:lineRule="auto"/>
              <w:ind w:firstLine="0" w:firstLineChars="0"/>
              <w:jc w:val="center"/>
              <w:textAlignment w:val="bottom"/>
              <w:rPr>
                <w:b/>
                <w:bCs/>
                <w:color w:val="auto"/>
                <w:kern w:val="21"/>
                <w:sz w:val="21"/>
                <w:szCs w:val="21"/>
              </w:rPr>
            </w:pPr>
            <w:r>
              <w:rPr>
                <w:b/>
                <w:bCs/>
                <w:color w:val="auto"/>
                <w:kern w:val="21"/>
                <w:sz w:val="21"/>
                <w:szCs w:val="21"/>
              </w:rPr>
              <w:t>序号</w:t>
            </w:r>
          </w:p>
        </w:tc>
        <w:tc>
          <w:tcPr>
            <w:tcW w:w="4945" w:type="dxa"/>
            <w:shd w:val="clear" w:color="auto" w:fill="FFFFFF"/>
            <w:vAlign w:val="center"/>
          </w:tcPr>
          <w:p>
            <w:pPr>
              <w:autoSpaceDE w:val="0"/>
              <w:autoSpaceDN w:val="0"/>
              <w:adjustRightInd w:val="0"/>
              <w:snapToGrid w:val="0"/>
              <w:spacing w:line="240" w:lineRule="auto"/>
              <w:ind w:firstLine="0" w:firstLineChars="0"/>
              <w:jc w:val="center"/>
              <w:textAlignment w:val="bottom"/>
              <w:rPr>
                <w:b/>
                <w:bCs/>
                <w:color w:val="auto"/>
                <w:kern w:val="21"/>
                <w:sz w:val="21"/>
                <w:szCs w:val="21"/>
              </w:rPr>
            </w:pPr>
            <w:r>
              <w:rPr>
                <w:b/>
                <w:bCs/>
                <w:color w:val="auto"/>
                <w:kern w:val="21"/>
                <w:sz w:val="21"/>
                <w:szCs w:val="21"/>
              </w:rPr>
              <w:t>审查意见</w:t>
            </w:r>
          </w:p>
        </w:tc>
        <w:tc>
          <w:tcPr>
            <w:tcW w:w="2736" w:type="dxa"/>
            <w:shd w:val="clear" w:color="auto" w:fill="FFFFFF"/>
            <w:vAlign w:val="center"/>
          </w:tcPr>
          <w:p>
            <w:pPr>
              <w:autoSpaceDE w:val="0"/>
              <w:autoSpaceDN w:val="0"/>
              <w:adjustRightInd w:val="0"/>
              <w:snapToGrid w:val="0"/>
              <w:spacing w:line="240" w:lineRule="auto"/>
              <w:ind w:firstLine="0" w:firstLineChars="0"/>
              <w:jc w:val="center"/>
              <w:textAlignment w:val="bottom"/>
              <w:rPr>
                <w:b/>
                <w:bCs/>
                <w:color w:val="auto"/>
                <w:kern w:val="21"/>
                <w:sz w:val="21"/>
                <w:szCs w:val="21"/>
              </w:rPr>
            </w:pPr>
            <w:r>
              <w:rPr>
                <w:b/>
                <w:bCs/>
                <w:color w:val="auto"/>
                <w:kern w:val="21"/>
                <w:sz w:val="21"/>
                <w:szCs w:val="21"/>
              </w:rPr>
              <w:t>项目情况</w:t>
            </w:r>
          </w:p>
        </w:tc>
        <w:tc>
          <w:tcPr>
            <w:tcW w:w="881" w:type="dxa"/>
            <w:shd w:val="clear" w:color="auto" w:fill="FFFFFF"/>
            <w:vAlign w:val="center"/>
          </w:tcPr>
          <w:p>
            <w:pPr>
              <w:autoSpaceDE w:val="0"/>
              <w:autoSpaceDN w:val="0"/>
              <w:adjustRightInd w:val="0"/>
              <w:snapToGrid w:val="0"/>
              <w:spacing w:line="240" w:lineRule="auto"/>
              <w:ind w:firstLine="0" w:firstLineChars="0"/>
              <w:jc w:val="center"/>
              <w:textAlignment w:val="bottom"/>
              <w:rPr>
                <w:b/>
                <w:bCs/>
                <w:color w:val="auto"/>
                <w:kern w:val="21"/>
                <w:sz w:val="21"/>
                <w:szCs w:val="21"/>
              </w:rPr>
            </w:pPr>
            <w:r>
              <w:rPr>
                <w:b/>
                <w:bCs/>
                <w:color w:val="auto"/>
                <w:kern w:val="21"/>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705" w:type="dxa"/>
            <w:shd w:val="clear" w:color="auto" w:fill="FFFFFF"/>
            <w:vAlign w:val="center"/>
          </w:tcPr>
          <w:p>
            <w:pPr>
              <w:autoSpaceDE w:val="0"/>
              <w:autoSpaceDN w:val="0"/>
              <w:adjustRightInd w:val="0"/>
              <w:snapToGrid w:val="0"/>
              <w:spacing w:line="240" w:lineRule="auto"/>
              <w:ind w:firstLine="0" w:firstLineChars="0"/>
              <w:jc w:val="center"/>
              <w:textAlignment w:val="bottom"/>
              <w:rPr>
                <w:color w:val="auto"/>
                <w:kern w:val="21"/>
                <w:sz w:val="21"/>
                <w:szCs w:val="21"/>
              </w:rPr>
            </w:pPr>
            <w:r>
              <w:rPr>
                <w:color w:val="auto"/>
                <w:kern w:val="21"/>
                <w:sz w:val="21"/>
                <w:szCs w:val="21"/>
              </w:rPr>
              <w:t>1</w:t>
            </w:r>
          </w:p>
        </w:tc>
        <w:tc>
          <w:tcPr>
            <w:tcW w:w="4945" w:type="dxa"/>
            <w:shd w:val="clear" w:color="auto" w:fill="FFFFFF"/>
            <w:vAlign w:val="center"/>
          </w:tcPr>
          <w:p>
            <w:pPr>
              <w:autoSpaceDE w:val="0"/>
              <w:autoSpaceDN w:val="0"/>
              <w:adjustRightInd w:val="0"/>
              <w:snapToGrid w:val="0"/>
              <w:spacing w:line="240" w:lineRule="auto"/>
              <w:ind w:firstLine="0" w:firstLineChars="0"/>
              <w:textAlignment w:val="bottom"/>
              <w:rPr>
                <w:color w:val="auto"/>
                <w:kern w:val="21"/>
                <w:sz w:val="21"/>
                <w:szCs w:val="21"/>
              </w:rPr>
            </w:pPr>
            <w:r>
              <w:rPr>
                <w:color w:val="auto"/>
                <w:kern w:val="21"/>
                <w:sz w:val="21"/>
                <w:szCs w:val="21"/>
              </w:rPr>
              <w:t>加强规划引领，坚持绿色发展和协调发展理念。根据区域发展战略，坚持生态优先、高效集约发展，进一步优化《规划》的发展定位、功能布局、发展规模、产业结构等，加强与城市总体规划、土地利用总体规划的协调衔接，促进园区产业转型升级，实现产业发展与生态环境保护、人居环境安全相协调，积极推行区域低碳化、循环化、集约化发展。</w:t>
            </w:r>
          </w:p>
        </w:tc>
        <w:tc>
          <w:tcPr>
            <w:tcW w:w="2736" w:type="dxa"/>
            <w:shd w:val="clear" w:color="auto" w:fill="FFFFFF"/>
            <w:vAlign w:val="center"/>
          </w:tcPr>
          <w:p>
            <w:pPr>
              <w:autoSpaceDE w:val="0"/>
              <w:autoSpaceDN w:val="0"/>
              <w:adjustRightInd w:val="0"/>
              <w:snapToGrid w:val="0"/>
              <w:spacing w:line="240" w:lineRule="auto"/>
              <w:ind w:firstLine="0" w:firstLineChars="0"/>
              <w:textAlignment w:val="bottom"/>
              <w:rPr>
                <w:color w:val="auto"/>
                <w:kern w:val="21"/>
                <w:sz w:val="21"/>
                <w:szCs w:val="21"/>
              </w:rPr>
            </w:pPr>
            <w:r>
              <w:rPr>
                <w:color w:val="auto"/>
                <w:kern w:val="21"/>
                <w:sz w:val="21"/>
                <w:szCs w:val="21"/>
              </w:rPr>
              <w:t>本项目为园区配套设施，项目的建设可加快园区的发展</w:t>
            </w:r>
          </w:p>
        </w:tc>
        <w:tc>
          <w:tcPr>
            <w:tcW w:w="881" w:type="dxa"/>
            <w:shd w:val="clear" w:color="auto" w:fill="FFFFFF"/>
            <w:vAlign w:val="center"/>
          </w:tcPr>
          <w:p>
            <w:pPr>
              <w:autoSpaceDE w:val="0"/>
              <w:autoSpaceDN w:val="0"/>
              <w:adjustRightInd w:val="0"/>
              <w:snapToGrid w:val="0"/>
              <w:spacing w:line="240" w:lineRule="auto"/>
              <w:ind w:firstLine="0" w:firstLineChars="0"/>
              <w:jc w:val="center"/>
              <w:textAlignment w:val="bottom"/>
              <w:rPr>
                <w:color w:val="auto"/>
                <w:kern w:val="21"/>
                <w:sz w:val="21"/>
                <w:szCs w:val="21"/>
              </w:rPr>
            </w:pPr>
            <w:r>
              <w:rPr>
                <w:color w:val="auto"/>
                <w:kern w:val="2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705" w:type="dxa"/>
            <w:shd w:val="clear" w:color="auto" w:fill="FFFFFF"/>
            <w:vAlign w:val="center"/>
          </w:tcPr>
          <w:p>
            <w:pPr>
              <w:autoSpaceDE w:val="0"/>
              <w:autoSpaceDN w:val="0"/>
              <w:adjustRightInd w:val="0"/>
              <w:snapToGrid w:val="0"/>
              <w:spacing w:line="240" w:lineRule="auto"/>
              <w:ind w:firstLine="0" w:firstLineChars="0"/>
              <w:jc w:val="center"/>
              <w:textAlignment w:val="bottom"/>
              <w:rPr>
                <w:color w:val="auto"/>
                <w:kern w:val="21"/>
                <w:sz w:val="21"/>
                <w:szCs w:val="21"/>
              </w:rPr>
            </w:pPr>
            <w:r>
              <w:rPr>
                <w:color w:val="auto"/>
                <w:kern w:val="21"/>
                <w:sz w:val="21"/>
                <w:szCs w:val="21"/>
              </w:rPr>
              <w:t>2</w:t>
            </w:r>
          </w:p>
        </w:tc>
        <w:tc>
          <w:tcPr>
            <w:tcW w:w="4945" w:type="dxa"/>
            <w:shd w:val="clear" w:color="auto" w:fill="FFFFFF"/>
            <w:vAlign w:val="center"/>
          </w:tcPr>
          <w:p>
            <w:pPr>
              <w:tabs>
                <w:tab w:val="left" w:pos="9340"/>
              </w:tabs>
              <w:adjustRightInd w:val="0"/>
              <w:snapToGrid w:val="0"/>
              <w:spacing w:line="240" w:lineRule="auto"/>
              <w:ind w:firstLine="0" w:firstLineChars="0"/>
              <w:rPr>
                <w:color w:val="auto"/>
                <w:kern w:val="21"/>
                <w:sz w:val="21"/>
                <w:szCs w:val="21"/>
                <w:lang w:bidi="zh-TW"/>
              </w:rPr>
            </w:pPr>
            <w:r>
              <w:rPr>
                <w:color w:val="auto"/>
                <w:kern w:val="21"/>
                <w:sz w:val="21"/>
                <w:szCs w:val="21"/>
                <w:lang w:val="zh-TW" w:eastAsia="zh-TW" w:bidi="zh-TW"/>
              </w:rPr>
              <w:t>严守环境质量底线，严格入区项目环境准入管理。根据国家和云南省有关大气、水、土壤污染防治行动计划相关要求，明确区域环境质量改善的阶段目标，制定区域污染减排方案及污染物总量管控要求，采取有效措施减少主要污染物和挥发性有机物等特征污染物的排放总量，确保实现区域环境质量改善目标。实行入河污染物化学需氧量、氨氮、总磷的总量控制，严格控制赵家湾桃园工业区、富民庄甸工业区入河污染负荷；加强区域水环境综合整治，确保区域影响范围内控制断面水质稳定满足要求</w:t>
            </w:r>
            <w:r>
              <w:rPr>
                <w:rFonts w:hint="eastAsia"/>
                <w:color w:val="auto"/>
                <w:kern w:val="21"/>
                <w:sz w:val="21"/>
                <w:szCs w:val="21"/>
                <w:lang w:val="zh-TW" w:bidi="zh-TW"/>
              </w:rPr>
              <w:t>；</w:t>
            </w:r>
            <w:r>
              <w:rPr>
                <w:color w:val="auto"/>
                <w:kern w:val="21"/>
                <w:sz w:val="21"/>
                <w:szCs w:val="21"/>
                <w:lang w:val="zh-TW" w:eastAsia="zh-TW" w:bidi="zh-TW"/>
              </w:rPr>
              <w:t>结合滇中引水工程供水情况，加强水资源论证，提高中水回用率</w:t>
            </w:r>
            <w:r>
              <w:rPr>
                <w:rFonts w:hint="eastAsia"/>
                <w:color w:val="auto"/>
                <w:kern w:val="21"/>
                <w:sz w:val="21"/>
                <w:szCs w:val="21"/>
                <w:lang w:val="zh-TW" w:bidi="zh-TW"/>
              </w:rPr>
              <w:t>，</w:t>
            </w:r>
            <w:r>
              <w:rPr>
                <w:color w:val="auto"/>
                <w:kern w:val="21"/>
                <w:sz w:val="21"/>
                <w:szCs w:val="21"/>
                <w:lang w:val="zh-TW" w:eastAsia="zh-TW" w:bidi="zh-TW"/>
              </w:rPr>
              <w:t>合理确定园区开发时序、开发强度和产业发展规模。富民庄甸、智明和黄草3个地块禁止抽取地下水。引进项目的生产工艺、设备、单位产品能耗、物耗、污染物排放和资源利用等，应达国内先进水平。</w:t>
            </w:r>
          </w:p>
        </w:tc>
        <w:tc>
          <w:tcPr>
            <w:tcW w:w="2736" w:type="dxa"/>
            <w:shd w:val="clear" w:color="auto" w:fill="FFFFFF"/>
            <w:vAlign w:val="center"/>
          </w:tcPr>
          <w:p>
            <w:pPr>
              <w:autoSpaceDE w:val="0"/>
              <w:autoSpaceDN w:val="0"/>
              <w:adjustRightInd w:val="0"/>
              <w:snapToGrid w:val="0"/>
              <w:spacing w:line="240" w:lineRule="auto"/>
              <w:ind w:firstLine="0" w:firstLineChars="0"/>
              <w:textAlignment w:val="bottom"/>
              <w:rPr>
                <w:color w:val="auto"/>
                <w:kern w:val="21"/>
                <w:sz w:val="21"/>
                <w:szCs w:val="21"/>
              </w:rPr>
            </w:pPr>
            <w:r>
              <w:rPr>
                <w:color w:val="auto"/>
                <w:kern w:val="21"/>
                <w:sz w:val="21"/>
                <w:szCs w:val="21"/>
                <w:lang w:bidi="ar"/>
              </w:rPr>
              <w:t>本项目为园区配套工业污水处理厂，项目的建设能更好的</w:t>
            </w:r>
            <w:r>
              <w:rPr>
                <w:color w:val="auto"/>
                <w:kern w:val="21"/>
                <w:sz w:val="21"/>
                <w:szCs w:val="21"/>
              </w:rPr>
              <w:t>实行入河污染物化学需氧量、氨氮、总磷的总量控制，建成运行后有利于青龙河环境质量改善。</w:t>
            </w:r>
          </w:p>
        </w:tc>
        <w:tc>
          <w:tcPr>
            <w:tcW w:w="881" w:type="dxa"/>
            <w:shd w:val="clear" w:color="auto" w:fill="FFFFFF"/>
            <w:vAlign w:val="center"/>
          </w:tcPr>
          <w:p>
            <w:pPr>
              <w:autoSpaceDE w:val="0"/>
              <w:autoSpaceDN w:val="0"/>
              <w:adjustRightInd w:val="0"/>
              <w:snapToGrid w:val="0"/>
              <w:spacing w:line="240" w:lineRule="auto"/>
              <w:ind w:firstLine="0" w:firstLineChars="0"/>
              <w:jc w:val="center"/>
              <w:textAlignment w:val="bottom"/>
              <w:rPr>
                <w:color w:val="auto"/>
                <w:kern w:val="21"/>
                <w:sz w:val="21"/>
                <w:szCs w:val="21"/>
              </w:rPr>
            </w:pPr>
            <w:r>
              <w:rPr>
                <w:color w:val="auto"/>
                <w:kern w:val="2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5" w:type="dxa"/>
            <w:shd w:val="clear" w:color="auto" w:fill="FFFFFF"/>
            <w:vAlign w:val="center"/>
          </w:tcPr>
          <w:p>
            <w:pPr>
              <w:autoSpaceDE w:val="0"/>
              <w:autoSpaceDN w:val="0"/>
              <w:adjustRightInd w:val="0"/>
              <w:snapToGrid w:val="0"/>
              <w:spacing w:line="240" w:lineRule="auto"/>
              <w:ind w:firstLine="0" w:firstLineChars="0"/>
              <w:jc w:val="center"/>
              <w:textAlignment w:val="bottom"/>
              <w:rPr>
                <w:color w:val="auto"/>
                <w:kern w:val="21"/>
                <w:sz w:val="21"/>
                <w:szCs w:val="21"/>
              </w:rPr>
            </w:pPr>
            <w:r>
              <w:rPr>
                <w:color w:val="auto"/>
                <w:kern w:val="21"/>
                <w:sz w:val="21"/>
                <w:szCs w:val="21"/>
              </w:rPr>
              <w:t>3</w:t>
            </w:r>
          </w:p>
        </w:tc>
        <w:tc>
          <w:tcPr>
            <w:tcW w:w="4945" w:type="dxa"/>
            <w:shd w:val="clear" w:color="auto" w:fill="FFFFFF"/>
            <w:vAlign w:val="center"/>
          </w:tcPr>
          <w:p>
            <w:pPr>
              <w:autoSpaceDE w:val="0"/>
              <w:autoSpaceDN w:val="0"/>
              <w:adjustRightInd w:val="0"/>
              <w:snapToGrid w:val="0"/>
              <w:spacing w:line="240" w:lineRule="auto"/>
              <w:ind w:firstLine="0" w:firstLineChars="0"/>
              <w:textAlignment w:val="bottom"/>
              <w:rPr>
                <w:color w:val="auto"/>
                <w:kern w:val="21"/>
                <w:sz w:val="21"/>
                <w:szCs w:val="21"/>
              </w:rPr>
            </w:pPr>
            <w:r>
              <w:rPr>
                <w:color w:val="auto"/>
                <w:kern w:val="21"/>
                <w:sz w:val="21"/>
                <w:szCs w:val="21"/>
              </w:rPr>
              <w:t>完善园区环保基础设施建设，推进区域环境质量持续改善。提升污水处理厂中水回用率，严格控制废水排放。加快推进污水管网、污水处理厂的建设和现有污水处理厂提标</w:t>
            </w:r>
            <w:r>
              <w:rPr>
                <w:rFonts w:hint="eastAsia"/>
                <w:color w:val="auto"/>
                <w:kern w:val="21"/>
                <w:sz w:val="21"/>
                <w:szCs w:val="21"/>
                <w:lang w:eastAsia="zh-CN"/>
              </w:rPr>
              <w:t>设置</w:t>
            </w:r>
            <w:r>
              <w:rPr>
                <w:color w:val="auto"/>
                <w:kern w:val="21"/>
                <w:sz w:val="21"/>
                <w:szCs w:val="21"/>
              </w:rPr>
              <w:t>，确保受纳水体水质达国家标准要求。固体废物应依法依规进行集中收集、处理处置。</w:t>
            </w:r>
          </w:p>
        </w:tc>
        <w:tc>
          <w:tcPr>
            <w:tcW w:w="2736" w:type="dxa"/>
            <w:shd w:val="clear" w:color="auto" w:fill="FFFFFF"/>
            <w:vAlign w:val="center"/>
          </w:tcPr>
          <w:p>
            <w:pPr>
              <w:autoSpaceDE w:val="0"/>
              <w:autoSpaceDN w:val="0"/>
              <w:adjustRightInd w:val="0"/>
              <w:snapToGrid w:val="0"/>
              <w:spacing w:line="240" w:lineRule="auto"/>
              <w:ind w:firstLine="0" w:firstLineChars="0"/>
              <w:textAlignment w:val="bottom"/>
              <w:rPr>
                <w:color w:val="auto"/>
                <w:kern w:val="21"/>
                <w:sz w:val="21"/>
                <w:szCs w:val="21"/>
              </w:rPr>
            </w:pPr>
            <w:r>
              <w:rPr>
                <w:color w:val="auto"/>
                <w:kern w:val="21"/>
                <w:sz w:val="21"/>
                <w:szCs w:val="21"/>
                <w:lang w:bidi="ar"/>
              </w:rPr>
              <w:t>本次拟建工业废水处理工程为工业园区配套的基础设施工程，可有效加强污染物排放治理，强化重点污染企业及主要污染行业的工业废水的治理，提高污水收集率和污染物削减。</w:t>
            </w:r>
          </w:p>
        </w:tc>
        <w:tc>
          <w:tcPr>
            <w:tcW w:w="881" w:type="dxa"/>
            <w:shd w:val="clear" w:color="auto" w:fill="FFFFFF"/>
            <w:vAlign w:val="center"/>
          </w:tcPr>
          <w:p>
            <w:pPr>
              <w:autoSpaceDE w:val="0"/>
              <w:autoSpaceDN w:val="0"/>
              <w:adjustRightInd w:val="0"/>
              <w:snapToGrid w:val="0"/>
              <w:spacing w:line="240" w:lineRule="auto"/>
              <w:ind w:firstLine="0" w:firstLineChars="0"/>
              <w:jc w:val="center"/>
              <w:textAlignment w:val="bottom"/>
              <w:rPr>
                <w:color w:val="auto"/>
                <w:kern w:val="21"/>
                <w:sz w:val="21"/>
                <w:szCs w:val="21"/>
              </w:rPr>
            </w:pPr>
            <w:r>
              <w:rPr>
                <w:color w:val="auto"/>
                <w:kern w:val="21"/>
                <w:sz w:val="21"/>
                <w:szCs w:val="21"/>
              </w:rPr>
              <w:t>符合</w:t>
            </w:r>
          </w:p>
        </w:tc>
      </w:tr>
    </w:tbl>
    <w:p>
      <w:pPr>
        <w:adjustRightInd w:val="0"/>
        <w:snapToGrid w:val="0"/>
        <w:ind w:firstLine="480"/>
        <w:rPr>
          <w:color w:val="auto"/>
          <w:kern w:val="21"/>
        </w:rPr>
      </w:pPr>
      <w:r>
        <w:rPr>
          <w:color w:val="auto"/>
          <w:kern w:val="21"/>
        </w:rPr>
        <w:t>根据以上分析，项目的建设将加快工业园区的发展，有利于当地地表水环境的保护，项目的建设与《</w:t>
      </w:r>
      <w:r>
        <w:rPr>
          <w:color w:val="auto"/>
          <w:kern w:val="21"/>
          <w:lang w:bidi="ar"/>
        </w:rPr>
        <w:t>楚雄工业园区总体规划修改（2018-2035）环境影响报告书</w:t>
      </w:r>
      <w:r>
        <w:rPr>
          <w:color w:val="auto"/>
          <w:kern w:val="21"/>
        </w:rPr>
        <w:t>》审查意见的函（云环函[2019]561号文）是符合的。</w:t>
      </w:r>
    </w:p>
    <w:p>
      <w:pPr>
        <w:pStyle w:val="6"/>
        <w:spacing w:after="0"/>
        <w:rPr>
          <w:rFonts w:eastAsia="宋体"/>
          <w:color w:val="auto"/>
          <w:kern w:val="21"/>
          <w:sz w:val="24"/>
          <w:szCs w:val="24"/>
        </w:rPr>
      </w:pPr>
      <w:bookmarkStart w:id="330" w:name="_Toc25578"/>
      <w:r>
        <w:rPr>
          <w:rFonts w:eastAsia="宋体"/>
          <w:color w:val="auto"/>
          <w:kern w:val="21"/>
          <w:sz w:val="24"/>
          <w:szCs w:val="24"/>
        </w:rPr>
        <w:t>7.2.</w:t>
      </w:r>
      <w:r>
        <w:rPr>
          <w:rFonts w:hint="eastAsia" w:eastAsia="宋体"/>
          <w:color w:val="auto"/>
          <w:kern w:val="21"/>
          <w:sz w:val="24"/>
          <w:szCs w:val="24"/>
        </w:rPr>
        <w:t>4</w:t>
      </w:r>
      <w:r>
        <w:rPr>
          <w:rFonts w:eastAsia="宋体"/>
          <w:color w:val="auto"/>
          <w:kern w:val="21"/>
          <w:sz w:val="24"/>
          <w:szCs w:val="24"/>
        </w:rPr>
        <w:t>与《楚雄工业园富民庄甸工业园富民片区控制性详细规划》符合性分析</w:t>
      </w:r>
      <w:bookmarkEnd w:id="330"/>
    </w:p>
    <w:p>
      <w:pPr>
        <w:widowControl/>
        <w:adjustRightInd w:val="0"/>
        <w:ind w:firstLine="480"/>
        <w:jc w:val="left"/>
        <w:rPr>
          <w:color w:val="auto"/>
          <w:kern w:val="21"/>
          <w:lang w:bidi="ar"/>
        </w:rPr>
      </w:pPr>
      <w:r>
        <w:rPr>
          <w:color w:val="auto"/>
          <w:kern w:val="21"/>
          <w:lang w:bidi="ar"/>
        </w:rPr>
        <w:t>根据</w:t>
      </w:r>
      <w:bookmarkStart w:id="331" w:name="OLE_LINK2"/>
      <w:r>
        <w:rPr>
          <w:color w:val="auto"/>
          <w:kern w:val="21"/>
          <w:lang w:bidi="ar"/>
        </w:rPr>
        <w:t>《楚雄工业园富民庄甸工业区富民片区控制性详细规划》</w:t>
      </w:r>
      <w:bookmarkEnd w:id="331"/>
      <w:r>
        <w:rPr>
          <w:color w:val="auto"/>
          <w:kern w:val="21"/>
          <w:lang w:bidi="ar"/>
        </w:rPr>
        <w:t>，规划区内地势为东南高西北低，考虑到工业企业由于生产工艺的不同，用水水质复杂，水质难以确定，因此工业废水不能直接排入市政污水管网，各类工业企业废水必须在各自厂内经过预处理。规划在片区内共设2座工业污水处理厂，一处位于东升路西侧，建设规模为2.2万m³/d，另一处位于规划区最南部，为远期片区建设所考虑，建设规模为2.0m³/d，工业废水经过各厂区污水处理站预处理之后，根据地形及道路坡向汇集至规划的两处工业污水处理厂处理后，达到《污水排入城镇下水道水质标准》一级A排放标准，才能将处理后的污水排入市政污水管，经污水处理厂处理达标后最终排放至青龙河</w:t>
      </w:r>
      <w:r>
        <w:rPr>
          <w:b/>
          <w:bCs/>
          <w:color w:val="auto"/>
          <w:kern w:val="21"/>
          <w:lang w:bidi="ar"/>
        </w:rPr>
        <w:t>。</w:t>
      </w:r>
    </w:p>
    <w:p>
      <w:pPr>
        <w:widowControl/>
        <w:adjustRightInd w:val="0"/>
        <w:ind w:firstLine="480"/>
        <w:jc w:val="left"/>
        <w:rPr>
          <w:color w:val="auto"/>
          <w:kern w:val="21"/>
        </w:rPr>
      </w:pPr>
      <w:r>
        <w:rPr>
          <w:color w:val="auto"/>
          <w:kern w:val="21"/>
          <w:lang w:bidi="ar"/>
        </w:rPr>
        <w:t>本项目为富民片区东升路西侧规划污水处理厂的近期工程，设计规模近期0.5万m³/d</w:t>
      </w:r>
      <w:r>
        <w:rPr>
          <w:b/>
          <w:bCs/>
          <w:color w:val="auto"/>
          <w:kern w:val="21"/>
          <w:lang w:bidi="ar"/>
        </w:rPr>
        <w:t>，</w:t>
      </w:r>
      <w:r>
        <w:rPr>
          <w:color w:val="auto"/>
          <w:kern w:val="21"/>
          <w:lang w:bidi="ar"/>
        </w:rPr>
        <w:t>远期与园区总规一致2.2万m³/d，项目的选址位于富民工业园区的边沿外侧，紧邻东升路，为规划确定的位置，因此本项目与《楚雄工业园富民庄甸工业区富民片区控制性详细规划》相符。项目与富民工业园区的位置关系图见附图7。</w:t>
      </w:r>
    </w:p>
    <w:p>
      <w:pPr>
        <w:pStyle w:val="5"/>
        <w:spacing w:after="0"/>
        <w:rPr>
          <w:color w:val="auto"/>
          <w:kern w:val="21"/>
          <w:sz w:val="28"/>
        </w:rPr>
      </w:pPr>
      <w:bookmarkStart w:id="332" w:name="_Toc16335"/>
      <w:r>
        <w:rPr>
          <w:color w:val="auto"/>
          <w:kern w:val="21"/>
          <w:sz w:val="28"/>
        </w:rPr>
        <w:t>7.3与“三线一单”的符合性分析</w:t>
      </w:r>
      <w:bookmarkEnd w:id="332"/>
    </w:p>
    <w:p>
      <w:pPr>
        <w:pStyle w:val="23"/>
        <w:spacing w:after="0" w:line="360" w:lineRule="auto"/>
        <w:ind w:left="0" w:leftChars="0" w:firstLine="480"/>
        <w:rPr>
          <w:color w:val="auto"/>
          <w:kern w:val="21"/>
        </w:rPr>
      </w:pPr>
      <w:r>
        <w:rPr>
          <w:rFonts w:hint="eastAsia"/>
          <w:color w:val="auto"/>
          <w:kern w:val="21"/>
        </w:rPr>
        <w:t>根据</w:t>
      </w:r>
      <w:r>
        <w:rPr>
          <w:color w:val="auto"/>
          <w:kern w:val="21"/>
        </w:rPr>
        <w:t>《中共中央国务院关于全面加强生态环境保护坚决打好污染防治攻坚战的意见》（中发〔2018〕17号）</w:t>
      </w:r>
      <w:r>
        <w:rPr>
          <w:rFonts w:hint="eastAsia"/>
          <w:color w:val="auto"/>
          <w:kern w:val="21"/>
        </w:rPr>
        <w:t>和</w:t>
      </w:r>
      <w:r>
        <w:rPr>
          <w:color w:val="auto"/>
          <w:kern w:val="21"/>
        </w:rPr>
        <w:t>《云南省人民政府关于实施“三线一单”生态环境分区管控的意见》（云政发〔2020〕29号）</w:t>
      </w:r>
      <w:r>
        <w:rPr>
          <w:rFonts w:hint="eastAsia"/>
          <w:color w:val="auto"/>
          <w:kern w:val="21"/>
        </w:rPr>
        <w:t>，楚雄州人民政府2021年8月11下发了《楚雄州人民政府关于印发楚雄州“三线一单”生态环境分区管控实施方案的通知》楚政通〔2021〕22号，明确生态保护红线、环境质量底线和资源利用上线和生态环境分区管控体系。</w:t>
      </w:r>
    </w:p>
    <w:p>
      <w:pPr>
        <w:ind w:firstLine="480"/>
        <w:rPr>
          <w:color w:val="auto"/>
          <w:kern w:val="21"/>
        </w:rPr>
      </w:pPr>
      <w:r>
        <w:rPr>
          <w:color w:val="auto"/>
          <w:kern w:val="21"/>
        </w:rPr>
        <w:t>1、生态保护红线和一般生态空间</w:t>
      </w:r>
    </w:p>
    <w:p>
      <w:pPr>
        <w:ind w:firstLine="480"/>
        <w:rPr>
          <w:color w:val="auto"/>
          <w:kern w:val="21"/>
        </w:rPr>
      </w:pPr>
      <w:r>
        <w:rPr>
          <w:color w:val="auto"/>
          <w:kern w:val="21"/>
        </w:rPr>
        <w:t>执行省人民政府发布的《云南省生态保护红线》，将未划入生态保护红线的自然保护地、饮用水水源保护区、重要湿地、基本草原、生态公益林、天然林等生态功能重要、生态环境敏感区域划为一般生态空间。</w:t>
      </w:r>
    </w:p>
    <w:p>
      <w:pPr>
        <w:pStyle w:val="23"/>
        <w:spacing w:after="0" w:line="360" w:lineRule="auto"/>
        <w:ind w:left="0" w:leftChars="0" w:firstLine="480"/>
        <w:rPr>
          <w:color w:val="auto"/>
          <w:kern w:val="21"/>
        </w:rPr>
      </w:pPr>
      <w:r>
        <w:rPr>
          <w:color w:val="auto"/>
          <w:kern w:val="21"/>
        </w:rPr>
        <w:t>本项目选址紧邻工业园区，不涉及风景名胜区、饮用水源保护区、基本农田保护区等，经查阅《云南省人民政府关于发布云南省生态保护红线的通知》</w:t>
      </w:r>
      <w:r>
        <w:rPr>
          <w:rFonts w:hint="eastAsia"/>
          <w:color w:val="auto"/>
          <w:kern w:val="21"/>
        </w:rPr>
        <w:t>[</w:t>
      </w:r>
      <w:r>
        <w:rPr>
          <w:color w:val="auto"/>
          <w:kern w:val="21"/>
        </w:rPr>
        <w:t>云政发</w:t>
      </w:r>
      <w:r>
        <w:rPr>
          <w:rFonts w:hint="eastAsia"/>
          <w:color w:val="auto"/>
          <w:kern w:val="21"/>
        </w:rPr>
        <w:t>[</w:t>
      </w:r>
      <w:r>
        <w:rPr>
          <w:color w:val="auto"/>
          <w:kern w:val="21"/>
        </w:rPr>
        <w:t>2018</w:t>
      </w:r>
      <w:r>
        <w:rPr>
          <w:rFonts w:hint="eastAsia"/>
          <w:color w:val="auto"/>
          <w:kern w:val="21"/>
        </w:rPr>
        <w:t>]</w:t>
      </w:r>
      <w:r>
        <w:rPr>
          <w:color w:val="auto"/>
          <w:kern w:val="21"/>
        </w:rPr>
        <w:t>32号</w:t>
      </w:r>
      <w:r>
        <w:rPr>
          <w:rFonts w:hint="eastAsia"/>
          <w:color w:val="auto"/>
          <w:kern w:val="21"/>
        </w:rPr>
        <w:t>]</w:t>
      </w:r>
      <w:r>
        <w:rPr>
          <w:color w:val="auto"/>
          <w:kern w:val="21"/>
        </w:rPr>
        <w:t>，本项目不涉及生态保护红线。项目与生态保护红线的位置关系图见附图6。</w:t>
      </w:r>
    </w:p>
    <w:p>
      <w:pPr>
        <w:ind w:firstLine="480"/>
        <w:rPr>
          <w:color w:val="auto"/>
          <w:kern w:val="21"/>
        </w:rPr>
      </w:pPr>
      <w:r>
        <w:rPr>
          <w:color w:val="auto"/>
          <w:kern w:val="21"/>
        </w:rPr>
        <w:t>2020年3月3日，楚雄市发展和改革局出具《楚雄市发展和改革局关于富民工业园区污水处理厂工程工可行性研究报告的批复》</w:t>
      </w:r>
      <w:r>
        <w:rPr>
          <w:rFonts w:hint="eastAsia"/>
          <w:color w:val="auto"/>
          <w:kern w:val="21"/>
        </w:rPr>
        <w:t>（</w:t>
      </w:r>
      <w:r>
        <w:rPr>
          <w:color w:val="auto"/>
          <w:kern w:val="21"/>
        </w:rPr>
        <w:t>楚发改批[2020]24号</w:t>
      </w:r>
      <w:r>
        <w:rPr>
          <w:rFonts w:hint="eastAsia"/>
          <w:color w:val="auto"/>
          <w:kern w:val="21"/>
        </w:rPr>
        <w:t>）</w:t>
      </w:r>
      <w:r>
        <w:rPr>
          <w:color w:val="auto"/>
          <w:kern w:val="21"/>
        </w:rPr>
        <w:t>对本工程项目进行了批复，同意建设本工程项目。因此符合要求。</w:t>
      </w:r>
    </w:p>
    <w:p>
      <w:pPr>
        <w:ind w:firstLine="480"/>
        <w:rPr>
          <w:color w:val="auto"/>
          <w:kern w:val="21"/>
        </w:rPr>
      </w:pPr>
      <w:r>
        <w:rPr>
          <w:color w:val="auto"/>
          <w:kern w:val="21"/>
        </w:rPr>
        <w:t>2、环境质量底线</w:t>
      </w:r>
    </w:p>
    <w:p>
      <w:pPr>
        <w:ind w:firstLine="480"/>
        <w:rPr>
          <w:color w:val="auto"/>
          <w:kern w:val="21"/>
        </w:rPr>
      </w:pPr>
      <w:r>
        <w:rPr>
          <w:rFonts w:hint="eastAsia"/>
          <w:color w:val="auto"/>
          <w:kern w:val="21"/>
        </w:rPr>
        <w:t>（1）</w:t>
      </w:r>
      <w:r>
        <w:rPr>
          <w:color w:val="auto"/>
          <w:kern w:val="21"/>
        </w:rPr>
        <w:t>水环境质量底线。到2025年，国控、省控地表水监测断面水质优良率高于全国全省平均水平，重点区域、流域水环境质量进一步改善，全面消除劣Ⅴ类水体，集中式饮用水水源水质巩固改善。到2035年，地表水体水质优良率全面提升，各监测断面水质达到水环境功能要求，全面消除Ⅴ类及以下水体，集中式饮用水水源水质稳定达标。</w:t>
      </w:r>
    </w:p>
    <w:p>
      <w:pPr>
        <w:ind w:firstLine="480"/>
        <w:rPr>
          <w:color w:val="auto"/>
          <w:kern w:val="21"/>
        </w:rPr>
      </w:pPr>
      <w:r>
        <w:rPr>
          <w:rFonts w:hint="eastAsia"/>
          <w:color w:val="auto"/>
          <w:kern w:val="21"/>
        </w:rPr>
        <w:t>（2）</w:t>
      </w:r>
      <w:r>
        <w:rPr>
          <w:color w:val="auto"/>
          <w:kern w:val="21"/>
        </w:rPr>
        <w:t>大气环境质量底线。到2025年，环境空气质量稳中向好，10县市城市环境空气质量稳定达到国家二级标准。到2035年，环境空气质量全面改善，10县市城市环境空气质量优于国家一级标准天数逐步提高。</w:t>
      </w:r>
    </w:p>
    <w:p>
      <w:pPr>
        <w:ind w:firstLine="480"/>
        <w:rPr>
          <w:color w:val="auto"/>
          <w:kern w:val="21"/>
        </w:rPr>
      </w:pPr>
      <w:r>
        <w:rPr>
          <w:rFonts w:hint="eastAsia"/>
          <w:color w:val="auto"/>
          <w:kern w:val="21"/>
        </w:rPr>
        <w:t>（3）</w:t>
      </w:r>
      <w:r>
        <w:rPr>
          <w:color w:val="auto"/>
          <w:kern w:val="21"/>
        </w:rPr>
        <w:t>土壤环境风险防控底线。到2025年，土壤环境风险防范体系进一步完善，受污染耕地安全利用率和污染地块安全利用率进一步提高。到2035年，土壤环境质量稳中向好，农用地和建设用地土壤环境安全得到有效保障，土壤环境风险得到全面管控。</w:t>
      </w:r>
    </w:p>
    <w:p>
      <w:pPr>
        <w:ind w:firstLine="480"/>
        <w:rPr>
          <w:color w:val="auto"/>
          <w:kern w:val="21"/>
        </w:rPr>
      </w:pPr>
      <w:r>
        <w:rPr>
          <w:rFonts w:hint="eastAsia"/>
          <w:color w:val="auto"/>
          <w:kern w:val="21"/>
        </w:rPr>
        <w:t>本项目所在区域大气环境质量满足《环境空气质量标准》（GB3095-2012）中的二级标准，属于达标区，</w:t>
      </w:r>
      <w:r>
        <w:rPr>
          <w:color w:val="auto"/>
          <w:kern w:val="21"/>
        </w:rPr>
        <w:t>根据现状监测结果，项目所在区域</w:t>
      </w:r>
      <w:r>
        <w:rPr>
          <w:bCs/>
          <w:color w:val="auto"/>
          <w:kern w:val="21"/>
        </w:rPr>
        <w:t>环境空气质量现状评价因子氨和H</w:t>
      </w:r>
      <w:r>
        <w:rPr>
          <w:bCs/>
          <w:color w:val="auto"/>
          <w:kern w:val="21"/>
          <w:vertAlign w:val="subscript"/>
        </w:rPr>
        <w:t>2</w:t>
      </w:r>
      <w:r>
        <w:rPr>
          <w:bCs/>
          <w:color w:val="auto"/>
          <w:kern w:val="21"/>
        </w:rPr>
        <w:t>S小时浓度满足《环境影响评价技术导则大气环境》（HJ2.2-2018）附录D其他污染物空气质量浓度参考限值要求</w:t>
      </w:r>
      <w:r>
        <w:rPr>
          <w:rFonts w:hint="eastAsia"/>
          <w:bCs/>
          <w:color w:val="auto"/>
          <w:kern w:val="21"/>
        </w:rPr>
        <w:t>；项目所在区域地表水青龙河上游东环线与青龙河交汇口达到</w:t>
      </w:r>
      <w:r>
        <w:rPr>
          <w:color w:val="auto"/>
          <w:kern w:val="21"/>
        </w:rPr>
        <w:t>《地表水环境质量标准》（GB3838-2002）中的Ⅳ类标准</w:t>
      </w:r>
      <w:r>
        <w:rPr>
          <w:rFonts w:hint="eastAsia"/>
          <w:bCs/>
          <w:color w:val="auto"/>
          <w:kern w:val="21"/>
        </w:rPr>
        <w:t>，项目排污口入青龙河阳光桥和</w:t>
      </w:r>
      <w:r>
        <w:rPr>
          <w:color w:val="auto"/>
          <w:kern w:val="21"/>
        </w:rPr>
        <w:t>青龙河入龙川江断面</w:t>
      </w:r>
      <w:r>
        <w:rPr>
          <w:rFonts w:hint="eastAsia"/>
          <w:color w:val="auto"/>
          <w:kern w:val="21"/>
        </w:rPr>
        <w:t>水质不满足</w:t>
      </w:r>
      <w:r>
        <w:rPr>
          <w:color w:val="auto"/>
          <w:kern w:val="21"/>
        </w:rPr>
        <w:t>《地表水环境质量标准》（GB3838-2002）中的Ⅳ类标准</w:t>
      </w:r>
      <w:r>
        <w:rPr>
          <w:rFonts w:hint="eastAsia"/>
          <w:color w:val="auto"/>
          <w:kern w:val="21"/>
        </w:rPr>
        <w:t>，为此，2022年楚雄市人民政府下发了《楚雄市人民政府办公室关于印发楚雄市青龙河水体达标方案的通知》（楚市政办通〔2022〕6号），拟实施17项重点工程，包括城镇两污类、工业污染防治类、农村环境综合整治类、水生态保护及修复类、水资源优化调度类、生态环境管理类6类项目，总投资7.11亿元，其中，已有规划项目13项，总投资6.64亿元，占总投资的93.39%，方案新增项目4项，总投资0.47亿元，占总投资的6.61%。以实现2025年青龙河入龙川江口断面水质目标达到GB3838-2002《地表水环境质量标准》IV类标准要求，符合全州2025年全面消除劣</w:t>
      </w:r>
      <w:r>
        <w:rPr>
          <w:rFonts w:hint="eastAsia"/>
          <w:color w:val="auto"/>
          <w:kern w:val="21"/>
        </w:rPr>
        <w:fldChar w:fldCharType="begin"/>
      </w:r>
      <w:r>
        <w:rPr>
          <w:rFonts w:hint="eastAsia"/>
          <w:color w:val="auto"/>
          <w:kern w:val="21"/>
        </w:rPr>
        <w:instrText xml:space="preserve"> = 5 \* ROMAN \* MERGEFORMAT </w:instrText>
      </w:r>
      <w:r>
        <w:rPr>
          <w:rFonts w:hint="eastAsia"/>
          <w:color w:val="auto"/>
          <w:kern w:val="21"/>
        </w:rPr>
        <w:fldChar w:fldCharType="separate"/>
      </w:r>
      <w:r>
        <w:rPr>
          <w:color w:val="auto"/>
          <w:kern w:val="21"/>
        </w:rPr>
        <w:t>V</w:t>
      </w:r>
      <w:r>
        <w:rPr>
          <w:rFonts w:hint="eastAsia"/>
          <w:color w:val="auto"/>
          <w:kern w:val="21"/>
        </w:rPr>
        <w:fldChar w:fldCharType="end"/>
      </w:r>
      <w:r>
        <w:rPr>
          <w:rFonts w:hint="eastAsia"/>
          <w:color w:val="auto"/>
          <w:kern w:val="21"/>
        </w:rPr>
        <w:t>类水质目标；根据监测，项目厂区三个土壤监测点的各污染物因子均能满足《土壤环境质量建设用地土壤污染风险管控标准》（试行）（GB36600-2018）中第二类用地的筛选值和管控值的要求，厂区土壤环境质量良好。</w:t>
      </w:r>
    </w:p>
    <w:p>
      <w:pPr>
        <w:ind w:firstLine="480"/>
        <w:rPr>
          <w:color w:val="auto"/>
          <w:kern w:val="21"/>
        </w:rPr>
      </w:pPr>
      <w:r>
        <w:rPr>
          <w:color w:val="auto"/>
          <w:kern w:val="21"/>
        </w:rPr>
        <w:t>本项目为工业污水处理厂项目，对环境的影响主要为施工期施工废水、施工扬尘、施工噪声、施工固废及生态破坏，但均可采取措施加以控制或减缓。运营期产生的噪声、废气，经采取相应措施后能达标排放，固体废物进行了妥善处置，项目对环境影响较小。</w:t>
      </w:r>
    </w:p>
    <w:p>
      <w:pPr>
        <w:ind w:firstLine="480"/>
        <w:jc w:val="left"/>
        <w:rPr>
          <w:color w:val="auto"/>
          <w:kern w:val="21"/>
        </w:rPr>
      </w:pPr>
      <w:r>
        <w:rPr>
          <w:color w:val="auto"/>
          <w:kern w:val="21"/>
        </w:rPr>
        <w:t>综上所述，</w:t>
      </w:r>
      <w:r>
        <w:rPr>
          <w:rFonts w:hint="eastAsia"/>
          <w:color w:val="auto"/>
          <w:kern w:val="21"/>
        </w:rPr>
        <w:t>在《楚雄市青龙河入龙川江口断面水体达标方案（2021-2025年）》顺利完成的情况下，</w:t>
      </w:r>
      <w:r>
        <w:rPr>
          <w:color w:val="auto"/>
          <w:kern w:val="21"/>
        </w:rPr>
        <w:t>项目建设和运营不影响项目所在区域的环境质量底线。</w:t>
      </w:r>
    </w:p>
    <w:p>
      <w:pPr>
        <w:ind w:firstLine="480"/>
        <w:jc w:val="left"/>
        <w:rPr>
          <w:color w:val="auto"/>
          <w:kern w:val="21"/>
        </w:rPr>
      </w:pPr>
      <w:r>
        <w:rPr>
          <w:color w:val="auto"/>
          <w:kern w:val="21"/>
        </w:rPr>
        <w:t>3、资源利用上线</w:t>
      </w:r>
    </w:p>
    <w:p>
      <w:pPr>
        <w:ind w:firstLine="480"/>
        <w:rPr>
          <w:color w:val="auto"/>
          <w:kern w:val="21"/>
        </w:rPr>
      </w:pPr>
      <w:r>
        <w:rPr>
          <w:rFonts w:hint="eastAsia"/>
          <w:color w:val="auto"/>
          <w:kern w:val="21"/>
        </w:rPr>
        <w:t>（1）</w:t>
      </w:r>
      <w:r>
        <w:rPr>
          <w:color w:val="auto"/>
          <w:kern w:val="21"/>
        </w:rPr>
        <w:t>水资源利用上线。落实最严格水资源管理制度，稳定达到水资源利用“三条红线”控制指标考核要求。2025年，各县市用水总量、用水效率（万元GDP用水量、万元工业增加值用水量、农田灌溉水有效利用系数）、重要江河湖泊水功能区水质达标率满足水资源利用上线的管控要求。</w:t>
      </w:r>
    </w:p>
    <w:p>
      <w:pPr>
        <w:ind w:firstLine="480"/>
        <w:rPr>
          <w:color w:val="auto"/>
          <w:kern w:val="21"/>
        </w:rPr>
      </w:pPr>
      <w:r>
        <w:rPr>
          <w:rFonts w:hint="eastAsia"/>
          <w:color w:val="auto"/>
          <w:kern w:val="21"/>
        </w:rPr>
        <w:t>（2）</w:t>
      </w:r>
      <w:r>
        <w:rPr>
          <w:color w:val="auto"/>
          <w:kern w:val="21"/>
        </w:rPr>
        <w:t>土地资源利用上线。落实最严格的耕地保护制度。2025年，各县市土地利用达到自然资源和规划、住建等部门对土地资源开发利用总量及强度的土地资源利用上线管控要求。</w:t>
      </w:r>
    </w:p>
    <w:p>
      <w:pPr>
        <w:pStyle w:val="23"/>
        <w:spacing w:after="0" w:line="360" w:lineRule="auto"/>
        <w:ind w:left="0" w:leftChars="0" w:firstLine="480"/>
        <w:rPr>
          <w:color w:val="auto"/>
          <w:kern w:val="21"/>
        </w:rPr>
      </w:pPr>
      <w:r>
        <w:rPr>
          <w:rFonts w:hint="eastAsia"/>
          <w:color w:val="auto"/>
          <w:kern w:val="21"/>
        </w:rPr>
        <w:t>（3）</w:t>
      </w:r>
      <w:r>
        <w:rPr>
          <w:color w:val="auto"/>
          <w:kern w:val="21"/>
        </w:rPr>
        <w:t>能源利用上线。严格落实能耗“双控”制度。2025年全州单位GDP能耗、能源消耗总量等满足能源利用上线的管控要求。</w:t>
      </w:r>
    </w:p>
    <w:p>
      <w:pPr>
        <w:ind w:firstLine="480"/>
        <w:rPr>
          <w:color w:val="auto"/>
          <w:kern w:val="21"/>
        </w:rPr>
      </w:pPr>
      <w:r>
        <w:rPr>
          <w:color w:val="auto"/>
          <w:kern w:val="21"/>
        </w:rPr>
        <w:t>项目为工业污水处理厂，属于环保工程，不属于资源消耗型项目，占地面积较小，不涉及楚雄市的土地资源利用上线。项目施工期使用的建设材料及设备均从合法市场采购，不在项目区进行制造，不会耗用当地自然资源；项目运营期将达到设计进水水质的废水进一步处理达到《</w:t>
      </w:r>
      <w:r>
        <w:rPr>
          <w:color w:val="auto"/>
          <w:kern w:val="21"/>
          <w:lang w:bidi="ar"/>
        </w:rPr>
        <w:t>城镇污水处理厂污染物排放标准》（GB18918-2002）一级标准中的A标准限值后，</w:t>
      </w:r>
      <w:r>
        <w:rPr>
          <w:color w:val="auto"/>
          <w:kern w:val="21"/>
        </w:rPr>
        <w:t>排入青龙后汇入龙川江，不会耗用能源、资源。</w:t>
      </w:r>
    </w:p>
    <w:p>
      <w:pPr>
        <w:ind w:firstLine="480"/>
        <w:rPr>
          <w:color w:val="auto"/>
          <w:kern w:val="21"/>
        </w:rPr>
      </w:pPr>
      <w:r>
        <w:rPr>
          <w:color w:val="auto"/>
          <w:kern w:val="21"/>
        </w:rPr>
        <w:t>总体而言，本项目建设和运营不影响</w:t>
      </w:r>
      <w:r>
        <w:rPr>
          <w:rFonts w:hint="eastAsia"/>
          <w:color w:val="auto"/>
          <w:kern w:val="21"/>
        </w:rPr>
        <w:t>楚雄州</w:t>
      </w:r>
      <w:r>
        <w:rPr>
          <w:color w:val="auto"/>
          <w:kern w:val="21"/>
        </w:rPr>
        <w:t>资源利用上线。</w:t>
      </w:r>
    </w:p>
    <w:p>
      <w:pPr>
        <w:ind w:firstLine="480"/>
        <w:rPr>
          <w:color w:val="auto"/>
          <w:kern w:val="21"/>
        </w:rPr>
      </w:pPr>
      <w:r>
        <w:rPr>
          <w:color w:val="auto"/>
          <w:kern w:val="21"/>
        </w:rPr>
        <w:t>4、楚雄产业园区重点管控单元生态环境准入清单</w:t>
      </w:r>
    </w:p>
    <w:p>
      <w:pPr>
        <w:pStyle w:val="23"/>
        <w:spacing w:after="0" w:line="360" w:lineRule="auto"/>
        <w:ind w:left="0" w:leftChars="0" w:firstLine="480"/>
        <w:rPr>
          <w:color w:val="auto"/>
          <w:kern w:val="21"/>
        </w:rPr>
      </w:pPr>
      <w:r>
        <w:rPr>
          <w:rFonts w:hint="eastAsia"/>
          <w:color w:val="auto"/>
          <w:kern w:val="21"/>
        </w:rPr>
        <w:t>本项目与楚雄产业园区重点管控单元生态环境准入清单符合性分析见</w:t>
      </w:r>
      <w:r>
        <w:rPr>
          <w:rFonts w:hint="eastAsia"/>
          <w:color w:val="auto"/>
          <w:kern w:val="21"/>
          <w:lang w:eastAsia="zh-CN"/>
        </w:rPr>
        <w:t>下表</w:t>
      </w:r>
      <w:r>
        <w:rPr>
          <w:rFonts w:hint="eastAsia"/>
          <w:color w:val="auto"/>
          <w:kern w:val="21"/>
        </w:rPr>
        <w:t>。</w:t>
      </w:r>
    </w:p>
    <w:p>
      <w:pPr>
        <w:numPr>
          <w:ilvl w:val="0"/>
          <w:numId w:val="16"/>
        </w:numPr>
        <w:ind w:left="0" w:leftChars="0" w:firstLine="0" w:firstLineChars="0"/>
        <w:jc w:val="center"/>
        <w:rPr>
          <w:b/>
          <w:bCs/>
          <w:color w:val="auto"/>
          <w:kern w:val="21"/>
        </w:rPr>
      </w:pPr>
      <w:r>
        <w:rPr>
          <w:rFonts w:hint="eastAsia"/>
          <w:b/>
          <w:bCs/>
          <w:color w:val="auto"/>
          <w:kern w:val="21"/>
        </w:rPr>
        <w:t>与楚雄产业园区重点管控单元生态环境准入清单符合性分析表</w:t>
      </w:r>
    </w:p>
    <w:tbl>
      <w:tblPr>
        <w:tblStyle w:val="51"/>
        <w:tblW w:w="869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4026"/>
        <w:gridCol w:w="2754"/>
        <w:gridCol w:w="10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4889" w:type="dxa"/>
            <w:gridSpan w:val="2"/>
            <w:vAlign w:val="center"/>
          </w:tcPr>
          <w:p>
            <w:pPr>
              <w:pStyle w:val="197"/>
              <w:autoSpaceDE w:val="0"/>
              <w:autoSpaceDN w:val="0"/>
              <w:adjustRightInd w:val="0"/>
              <w:snapToGrid w:val="0"/>
              <w:ind w:firstLineChars="0"/>
              <w:jc w:val="center"/>
              <w:rPr>
                <w:b/>
                <w:color w:val="auto"/>
                <w:kern w:val="21"/>
                <w:sz w:val="21"/>
                <w:szCs w:val="21"/>
              </w:rPr>
            </w:pPr>
            <w:r>
              <w:rPr>
                <w:b/>
                <w:color w:val="auto"/>
                <w:kern w:val="21"/>
                <w:sz w:val="21"/>
                <w:szCs w:val="21"/>
              </w:rPr>
              <w:t>管控要求</w:t>
            </w:r>
          </w:p>
        </w:tc>
        <w:tc>
          <w:tcPr>
            <w:tcW w:w="2754" w:type="dxa"/>
            <w:vAlign w:val="center"/>
          </w:tcPr>
          <w:p>
            <w:pPr>
              <w:pStyle w:val="197"/>
              <w:autoSpaceDE w:val="0"/>
              <w:autoSpaceDN w:val="0"/>
              <w:adjustRightInd w:val="0"/>
              <w:snapToGrid w:val="0"/>
              <w:ind w:firstLineChars="0"/>
              <w:jc w:val="center"/>
              <w:rPr>
                <w:b/>
                <w:color w:val="auto"/>
                <w:kern w:val="21"/>
                <w:sz w:val="21"/>
                <w:szCs w:val="21"/>
              </w:rPr>
            </w:pPr>
            <w:r>
              <w:rPr>
                <w:b/>
                <w:color w:val="auto"/>
                <w:kern w:val="21"/>
                <w:sz w:val="21"/>
                <w:szCs w:val="21"/>
              </w:rPr>
              <w:t>本项目</w:t>
            </w:r>
          </w:p>
        </w:tc>
        <w:tc>
          <w:tcPr>
            <w:tcW w:w="1048" w:type="dxa"/>
            <w:vAlign w:val="center"/>
          </w:tcPr>
          <w:p>
            <w:pPr>
              <w:pStyle w:val="197"/>
              <w:autoSpaceDE w:val="0"/>
              <w:autoSpaceDN w:val="0"/>
              <w:adjustRightInd w:val="0"/>
              <w:snapToGrid w:val="0"/>
              <w:ind w:firstLineChars="0"/>
              <w:jc w:val="center"/>
              <w:rPr>
                <w:b/>
                <w:color w:val="auto"/>
                <w:kern w:val="21"/>
                <w:sz w:val="21"/>
                <w:szCs w:val="21"/>
              </w:rPr>
            </w:pPr>
            <w:r>
              <w:rPr>
                <w:b/>
                <w:color w:val="auto"/>
                <w:kern w:val="21"/>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63" w:type="dxa"/>
            <w:vAlign w:val="center"/>
          </w:tcPr>
          <w:p>
            <w:pPr>
              <w:pStyle w:val="197"/>
              <w:autoSpaceDE w:val="0"/>
              <w:autoSpaceDN w:val="0"/>
              <w:adjustRightInd w:val="0"/>
              <w:snapToGrid w:val="0"/>
              <w:ind w:firstLineChars="0"/>
              <w:jc w:val="center"/>
              <w:rPr>
                <w:color w:val="auto"/>
                <w:kern w:val="21"/>
                <w:sz w:val="21"/>
                <w:szCs w:val="21"/>
              </w:rPr>
            </w:pPr>
            <w:r>
              <w:rPr>
                <w:color w:val="auto"/>
                <w:kern w:val="21"/>
                <w:sz w:val="21"/>
                <w:szCs w:val="21"/>
              </w:rPr>
              <w:t>空间布局约束</w:t>
            </w:r>
          </w:p>
        </w:tc>
        <w:tc>
          <w:tcPr>
            <w:tcW w:w="4026" w:type="dxa"/>
            <w:vAlign w:val="center"/>
          </w:tcPr>
          <w:p>
            <w:pPr>
              <w:pStyle w:val="197"/>
              <w:autoSpaceDE w:val="0"/>
              <w:autoSpaceDN w:val="0"/>
              <w:adjustRightInd w:val="0"/>
              <w:snapToGrid w:val="0"/>
              <w:ind w:firstLineChars="0"/>
              <w:rPr>
                <w:color w:val="auto"/>
                <w:kern w:val="21"/>
                <w:sz w:val="21"/>
                <w:szCs w:val="21"/>
              </w:rPr>
            </w:pPr>
            <w:r>
              <w:rPr>
                <w:color w:val="auto"/>
                <w:kern w:val="21"/>
                <w:sz w:val="21"/>
                <w:szCs w:val="21"/>
              </w:rPr>
              <w:t>1</w:t>
            </w:r>
            <w:r>
              <w:rPr>
                <w:rFonts w:hint="eastAsia"/>
                <w:color w:val="auto"/>
                <w:kern w:val="21"/>
                <w:sz w:val="21"/>
                <w:szCs w:val="21"/>
              </w:rPr>
              <w:t>.</w:t>
            </w:r>
            <w:r>
              <w:rPr>
                <w:color w:val="auto"/>
                <w:kern w:val="21"/>
                <w:sz w:val="21"/>
                <w:szCs w:val="21"/>
              </w:rPr>
              <w:t>细化各工业片区产业准入限制名录，并适度提高各片区的入园门槛及排污限制性要求。赵家湾地块和富民庄甸工业区距离城区较近，不得新增三类工业用地，与规划功能、产业定位不相符的现有企业有序转移到与规划相符的片区。</w:t>
            </w:r>
          </w:p>
          <w:p>
            <w:pPr>
              <w:pStyle w:val="197"/>
              <w:autoSpaceDE w:val="0"/>
              <w:autoSpaceDN w:val="0"/>
              <w:adjustRightInd w:val="0"/>
              <w:snapToGrid w:val="0"/>
              <w:ind w:firstLineChars="0"/>
              <w:rPr>
                <w:color w:val="auto"/>
                <w:kern w:val="21"/>
                <w:sz w:val="21"/>
                <w:szCs w:val="21"/>
              </w:rPr>
            </w:pPr>
            <w:r>
              <w:rPr>
                <w:color w:val="auto"/>
                <w:kern w:val="21"/>
                <w:sz w:val="21"/>
                <w:szCs w:val="21"/>
              </w:rPr>
              <w:t>2.苍岭工业区云甸地块邻近樟木箐州级自然保护区，须优化工业用地布局，尽量远离自然保护区并严格控制区域用地规模；赵家湾桃园工业区、富民庄甸工业区邻近城市建成区，应设置必要的防护绿地；优化调整区内布局，解决部分片区居住与工业布局混杂的问题。</w:t>
            </w:r>
          </w:p>
        </w:tc>
        <w:tc>
          <w:tcPr>
            <w:tcW w:w="2754" w:type="dxa"/>
            <w:vAlign w:val="center"/>
          </w:tcPr>
          <w:p>
            <w:pPr>
              <w:pStyle w:val="197"/>
              <w:autoSpaceDE w:val="0"/>
              <w:autoSpaceDN w:val="0"/>
              <w:adjustRightInd w:val="0"/>
              <w:snapToGrid w:val="0"/>
              <w:ind w:firstLineChars="0"/>
              <w:rPr>
                <w:color w:val="auto"/>
                <w:kern w:val="21"/>
                <w:sz w:val="21"/>
                <w:szCs w:val="21"/>
              </w:rPr>
            </w:pPr>
            <w:r>
              <w:rPr>
                <w:color w:val="auto"/>
                <w:kern w:val="21"/>
                <w:sz w:val="21"/>
                <w:szCs w:val="21"/>
              </w:rPr>
              <w:t>本项目为富民庄甸</w:t>
            </w:r>
            <w:r>
              <w:rPr>
                <w:rFonts w:hint="eastAsia"/>
                <w:color w:val="auto"/>
                <w:kern w:val="21"/>
                <w:sz w:val="21"/>
                <w:szCs w:val="21"/>
              </w:rPr>
              <w:t>片区</w:t>
            </w:r>
            <w:r>
              <w:rPr>
                <w:color w:val="auto"/>
                <w:kern w:val="21"/>
                <w:sz w:val="21"/>
                <w:szCs w:val="21"/>
              </w:rPr>
              <w:t>配套设施，项目的建设可加快园区的发展</w:t>
            </w:r>
            <w:r>
              <w:rPr>
                <w:rFonts w:hint="eastAsia"/>
                <w:color w:val="auto"/>
                <w:kern w:val="21"/>
                <w:sz w:val="21"/>
                <w:szCs w:val="21"/>
              </w:rPr>
              <w:t>，符合园区规划；项目建成后绿化面积达2719.09m</w:t>
            </w:r>
            <w:r>
              <w:rPr>
                <w:rFonts w:hint="eastAsia"/>
                <w:color w:val="auto"/>
                <w:kern w:val="21"/>
                <w:sz w:val="21"/>
                <w:szCs w:val="21"/>
                <w:vertAlign w:val="superscript"/>
              </w:rPr>
              <w:t>2</w:t>
            </w:r>
            <w:r>
              <w:rPr>
                <w:rFonts w:hint="eastAsia"/>
                <w:color w:val="auto"/>
                <w:kern w:val="21"/>
                <w:sz w:val="21"/>
                <w:szCs w:val="21"/>
              </w:rPr>
              <w:t>，能起到明显的防护绿化作用。</w:t>
            </w:r>
          </w:p>
        </w:tc>
        <w:tc>
          <w:tcPr>
            <w:tcW w:w="1048" w:type="dxa"/>
            <w:vAlign w:val="center"/>
          </w:tcPr>
          <w:p>
            <w:pPr>
              <w:pStyle w:val="197"/>
              <w:autoSpaceDE w:val="0"/>
              <w:autoSpaceDN w:val="0"/>
              <w:adjustRightInd w:val="0"/>
              <w:snapToGrid w:val="0"/>
              <w:ind w:firstLineChars="0"/>
              <w:jc w:val="center"/>
              <w:rPr>
                <w:color w:val="auto"/>
                <w:kern w:val="21"/>
                <w:sz w:val="21"/>
                <w:szCs w:val="21"/>
              </w:rPr>
            </w:pPr>
            <w:r>
              <w:rPr>
                <w:rFonts w:hint="eastAsia"/>
                <w:color w:val="auto"/>
                <w:kern w:val="21"/>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63" w:type="dxa"/>
            <w:vAlign w:val="center"/>
          </w:tcPr>
          <w:p>
            <w:pPr>
              <w:pStyle w:val="197"/>
              <w:autoSpaceDE w:val="0"/>
              <w:autoSpaceDN w:val="0"/>
              <w:adjustRightInd w:val="0"/>
              <w:snapToGrid w:val="0"/>
              <w:ind w:firstLineChars="0"/>
              <w:jc w:val="center"/>
              <w:rPr>
                <w:color w:val="auto"/>
                <w:kern w:val="21"/>
                <w:sz w:val="21"/>
                <w:szCs w:val="21"/>
              </w:rPr>
            </w:pPr>
            <w:r>
              <w:rPr>
                <w:color w:val="auto"/>
                <w:kern w:val="21"/>
                <w:sz w:val="21"/>
                <w:szCs w:val="21"/>
              </w:rPr>
              <w:t>污染物排放管</w:t>
            </w:r>
          </w:p>
          <w:p>
            <w:pPr>
              <w:pStyle w:val="197"/>
              <w:autoSpaceDE w:val="0"/>
              <w:autoSpaceDN w:val="0"/>
              <w:adjustRightInd w:val="0"/>
              <w:snapToGrid w:val="0"/>
              <w:ind w:firstLineChars="0"/>
              <w:jc w:val="center"/>
              <w:rPr>
                <w:color w:val="auto"/>
                <w:kern w:val="21"/>
                <w:sz w:val="21"/>
                <w:szCs w:val="21"/>
              </w:rPr>
            </w:pPr>
            <w:r>
              <w:rPr>
                <w:color w:val="auto"/>
                <w:kern w:val="21"/>
                <w:sz w:val="21"/>
                <w:szCs w:val="21"/>
              </w:rPr>
              <w:t>控</w:t>
            </w:r>
          </w:p>
        </w:tc>
        <w:tc>
          <w:tcPr>
            <w:tcW w:w="4026" w:type="dxa"/>
            <w:vAlign w:val="center"/>
          </w:tcPr>
          <w:p>
            <w:pPr>
              <w:pStyle w:val="197"/>
              <w:autoSpaceDE w:val="0"/>
              <w:autoSpaceDN w:val="0"/>
              <w:adjustRightInd w:val="0"/>
              <w:snapToGrid w:val="0"/>
              <w:ind w:firstLineChars="0"/>
              <w:rPr>
                <w:color w:val="auto"/>
                <w:kern w:val="21"/>
                <w:sz w:val="21"/>
                <w:szCs w:val="21"/>
              </w:rPr>
            </w:pPr>
            <w:r>
              <w:rPr>
                <w:rFonts w:hint="eastAsia"/>
                <w:color w:val="auto"/>
                <w:kern w:val="21"/>
                <w:sz w:val="21"/>
                <w:szCs w:val="21"/>
              </w:rPr>
              <w:t>1.</w:t>
            </w:r>
            <w:r>
              <w:rPr>
                <w:color w:val="auto"/>
                <w:kern w:val="21"/>
                <w:sz w:val="21"/>
                <w:szCs w:val="21"/>
              </w:rPr>
              <w:t>实行入河污染物总量控制，严格控制赵家湾桃园工业区、富民庄甸工业区入河污染负荷；加强区域水环境综合整治，确保区域影响范围内控制断面水质稳定满足要求；结合滇中引水工程供水情况，加强水资源论证，提高中水回用率，合理确定园区开发时序、开发强度和产业发展规模。</w:t>
            </w:r>
          </w:p>
          <w:p>
            <w:pPr>
              <w:pStyle w:val="197"/>
              <w:autoSpaceDE w:val="0"/>
              <w:autoSpaceDN w:val="0"/>
              <w:adjustRightInd w:val="0"/>
              <w:snapToGrid w:val="0"/>
              <w:ind w:firstLineChars="0"/>
              <w:rPr>
                <w:color w:val="auto"/>
                <w:kern w:val="21"/>
                <w:sz w:val="21"/>
                <w:szCs w:val="21"/>
              </w:rPr>
            </w:pPr>
            <w:r>
              <w:rPr>
                <w:rFonts w:hint="eastAsia"/>
                <w:color w:val="auto"/>
                <w:kern w:val="21"/>
                <w:sz w:val="21"/>
                <w:szCs w:val="21"/>
              </w:rPr>
              <w:t>2.</w:t>
            </w:r>
            <w:r>
              <w:rPr>
                <w:color w:val="auto"/>
                <w:kern w:val="21"/>
                <w:sz w:val="21"/>
                <w:szCs w:val="21"/>
              </w:rPr>
              <w:t>提升污水处理厂中水回用率，严格控制废水排放，加快推进各片区雨污分流管网、各片区市政污水处理厂建设、现有城市污水处理厂提标</w:t>
            </w:r>
            <w:r>
              <w:rPr>
                <w:rFonts w:hint="eastAsia"/>
                <w:color w:val="auto"/>
                <w:kern w:val="21"/>
                <w:sz w:val="21"/>
                <w:szCs w:val="21"/>
                <w:lang w:eastAsia="zh-CN"/>
              </w:rPr>
              <w:t>设置</w:t>
            </w:r>
            <w:r>
              <w:rPr>
                <w:color w:val="auto"/>
                <w:kern w:val="21"/>
                <w:sz w:val="21"/>
                <w:szCs w:val="21"/>
              </w:rPr>
              <w:t>等环保基础设施建设，确保受纳水体水质达到国家标准要求。园区外排生产废水必须满足《城镇污水处理厂污染物排放标准》（GB18918-2002）一级 A 标准要求。</w:t>
            </w:r>
          </w:p>
          <w:p>
            <w:pPr>
              <w:pStyle w:val="197"/>
              <w:autoSpaceDE w:val="0"/>
              <w:autoSpaceDN w:val="0"/>
              <w:adjustRightInd w:val="0"/>
              <w:snapToGrid w:val="0"/>
              <w:ind w:firstLineChars="0"/>
              <w:rPr>
                <w:color w:val="auto"/>
                <w:kern w:val="21"/>
                <w:sz w:val="21"/>
                <w:szCs w:val="21"/>
              </w:rPr>
            </w:pPr>
            <w:r>
              <w:rPr>
                <w:color w:val="auto"/>
                <w:kern w:val="21"/>
                <w:sz w:val="21"/>
                <w:szCs w:val="21"/>
              </w:rPr>
              <w:t>3.加快固体废物集中处置设施建设，确保入园企业的固废得到妥善处置，同时重点做好危险废物的处理处置及监管等工作。</w:t>
            </w:r>
          </w:p>
        </w:tc>
        <w:tc>
          <w:tcPr>
            <w:tcW w:w="2754" w:type="dxa"/>
            <w:vAlign w:val="center"/>
          </w:tcPr>
          <w:p>
            <w:pPr>
              <w:pStyle w:val="197"/>
              <w:autoSpaceDE w:val="0"/>
              <w:autoSpaceDN w:val="0"/>
              <w:adjustRightInd w:val="0"/>
              <w:snapToGrid w:val="0"/>
              <w:ind w:firstLineChars="0"/>
              <w:rPr>
                <w:color w:val="auto"/>
                <w:kern w:val="21"/>
                <w:sz w:val="21"/>
                <w:szCs w:val="21"/>
              </w:rPr>
            </w:pPr>
            <w:r>
              <w:rPr>
                <w:rFonts w:hint="eastAsia"/>
                <w:color w:val="auto"/>
                <w:kern w:val="21"/>
                <w:sz w:val="21"/>
                <w:szCs w:val="21"/>
              </w:rPr>
              <w:t>本项目采取先进的污水处理工艺，在满足</w:t>
            </w:r>
            <w:r>
              <w:rPr>
                <w:color w:val="auto"/>
                <w:kern w:val="21"/>
                <w:sz w:val="21"/>
                <w:szCs w:val="21"/>
              </w:rPr>
              <w:t>《城镇污水处理厂污染物排放标准》（GB18918-2002）一级 A 标准要求</w:t>
            </w:r>
            <w:r>
              <w:rPr>
                <w:rFonts w:hint="eastAsia"/>
                <w:color w:val="auto"/>
                <w:kern w:val="21"/>
                <w:sz w:val="21"/>
                <w:szCs w:val="21"/>
              </w:rPr>
              <w:t>的同时，根据《楚雄市青龙河入龙川江口断面水体达标方案（2021-2025年）》要求，在工艺上进一步削减COD、氨氮、总磷等污染物，严格控制入河污染物总量控制，确保青龙河环境质量改善目标顺利完成；项目一般固废及危险固废均采取有效的处置措施，处置效率达到100%。</w:t>
            </w:r>
          </w:p>
          <w:p>
            <w:pPr>
              <w:pStyle w:val="197"/>
              <w:autoSpaceDE w:val="0"/>
              <w:autoSpaceDN w:val="0"/>
              <w:adjustRightInd w:val="0"/>
              <w:snapToGrid w:val="0"/>
              <w:ind w:firstLineChars="0"/>
              <w:jc w:val="center"/>
              <w:rPr>
                <w:color w:val="auto"/>
                <w:kern w:val="21"/>
                <w:sz w:val="21"/>
                <w:szCs w:val="21"/>
              </w:rPr>
            </w:pPr>
          </w:p>
        </w:tc>
        <w:tc>
          <w:tcPr>
            <w:tcW w:w="1048" w:type="dxa"/>
            <w:vAlign w:val="center"/>
          </w:tcPr>
          <w:p>
            <w:pPr>
              <w:pStyle w:val="197"/>
              <w:autoSpaceDE w:val="0"/>
              <w:autoSpaceDN w:val="0"/>
              <w:adjustRightInd w:val="0"/>
              <w:snapToGrid w:val="0"/>
              <w:ind w:firstLineChars="0"/>
              <w:jc w:val="center"/>
              <w:rPr>
                <w:color w:val="auto"/>
                <w:kern w:val="21"/>
                <w:sz w:val="21"/>
                <w:szCs w:val="21"/>
              </w:rPr>
            </w:pPr>
            <w:r>
              <w:rPr>
                <w:rFonts w:hint="eastAsia"/>
                <w:color w:val="auto"/>
                <w:kern w:val="21"/>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63" w:type="dxa"/>
            <w:vAlign w:val="center"/>
          </w:tcPr>
          <w:p>
            <w:pPr>
              <w:pStyle w:val="197"/>
              <w:autoSpaceDE w:val="0"/>
              <w:autoSpaceDN w:val="0"/>
              <w:adjustRightInd w:val="0"/>
              <w:snapToGrid w:val="0"/>
              <w:ind w:firstLineChars="0"/>
              <w:jc w:val="center"/>
              <w:rPr>
                <w:color w:val="auto"/>
                <w:kern w:val="21"/>
                <w:sz w:val="21"/>
                <w:szCs w:val="21"/>
              </w:rPr>
            </w:pPr>
            <w:r>
              <w:rPr>
                <w:color w:val="auto"/>
                <w:kern w:val="21"/>
                <w:sz w:val="21"/>
                <w:szCs w:val="21"/>
              </w:rPr>
              <w:t>环境风险防控</w:t>
            </w:r>
          </w:p>
        </w:tc>
        <w:tc>
          <w:tcPr>
            <w:tcW w:w="4026" w:type="dxa"/>
            <w:vAlign w:val="center"/>
          </w:tcPr>
          <w:p>
            <w:pPr>
              <w:pStyle w:val="197"/>
              <w:autoSpaceDE w:val="0"/>
              <w:autoSpaceDN w:val="0"/>
              <w:adjustRightInd w:val="0"/>
              <w:snapToGrid w:val="0"/>
              <w:ind w:firstLineChars="0"/>
              <w:rPr>
                <w:color w:val="auto"/>
                <w:kern w:val="21"/>
                <w:sz w:val="21"/>
                <w:szCs w:val="21"/>
              </w:rPr>
            </w:pPr>
            <w:r>
              <w:rPr>
                <w:color w:val="auto"/>
                <w:kern w:val="21"/>
                <w:sz w:val="21"/>
                <w:szCs w:val="21"/>
              </w:rPr>
              <w:t>1.园区各企业，尤其是赵家湾桃园工业区、苍岭工业区，涉及到危险废物的企业应严格按照国家相关规定送有资质单位依法安全处置，产生、利用含危险废物的企业，在贮存、转移、利用危险废物过程中，应配套防扬散、防流失、防渗漏及其他防止污染环境的措施。</w:t>
            </w:r>
          </w:p>
          <w:p>
            <w:pPr>
              <w:pStyle w:val="197"/>
              <w:autoSpaceDE w:val="0"/>
              <w:autoSpaceDN w:val="0"/>
              <w:adjustRightInd w:val="0"/>
              <w:snapToGrid w:val="0"/>
              <w:ind w:firstLineChars="0"/>
              <w:rPr>
                <w:color w:val="auto"/>
                <w:kern w:val="21"/>
                <w:sz w:val="21"/>
                <w:szCs w:val="21"/>
              </w:rPr>
            </w:pPr>
            <w:r>
              <w:rPr>
                <w:color w:val="auto"/>
                <w:kern w:val="21"/>
                <w:sz w:val="21"/>
                <w:szCs w:val="21"/>
              </w:rPr>
              <w:t>2.涉及易燃易爆物品、有毒有害物品、强腐蚀性物品的入驻企业应做好环境风险防范和编制应急预案。园区应建立危险废物环境风险防控体系。</w:t>
            </w:r>
          </w:p>
          <w:p>
            <w:pPr>
              <w:pStyle w:val="197"/>
              <w:autoSpaceDE w:val="0"/>
              <w:autoSpaceDN w:val="0"/>
              <w:adjustRightInd w:val="0"/>
              <w:snapToGrid w:val="0"/>
              <w:ind w:firstLineChars="0"/>
              <w:rPr>
                <w:color w:val="auto"/>
                <w:kern w:val="21"/>
                <w:sz w:val="21"/>
                <w:szCs w:val="21"/>
              </w:rPr>
            </w:pPr>
            <w:r>
              <w:rPr>
                <w:color w:val="auto"/>
                <w:kern w:val="21"/>
                <w:sz w:val="21"/>
                <w:szCs w:val="21"/>
              </w:rPr>
              <w:t>3.区域产业布局和项目建设应做好地下水污染防治和监控，涉及园区集中固废储存和处置设施建设，应严格对场地进行工程地质勘查，查明地质情况，有针对性的采取防治措施。</w:t>
            </w:r>
          </w:p>
        </w:tc>
        <w:tc>
          <w:tcPr>
            <w:tcW w:w="2754" w:type="dxa"/>
            <w:vAlign w:val="center"/>
          </w:tcPr>
          <w:p>
            <w:pPr>
              <w:pStyle w:val="197"/>
              <w:autoSpaceDE w:val="0"/>
              <w:autoSpaceDN w:val="0"/>
              <w:adjustRightInd w:val="0"/>
              <w:snapToGrid w:val="0"/>
              <w:ind w:firstLineChars="0"/>
              <w:jc w:val="center"/>
              <w:rPr>
                <w:color w:val="auto"/>
                <w:kern w:val="21"/>
                <w:sz w:val="21"/>
                <w:szCs w:val="21"/>
              </w:rPr>
            </w:pPr>
            <w:r>
              <w:rPr>
                <w:rFonts w:hint="eastAsia"/>
                <w:color w:val="auto"/>
                <w:kern w:val="21"/>
                <w:sz w:val="21"/>
                <w:szCs w:val="21"/>
              </w:rPr>
              <w:t>本环评已对项目环境风险提出风险防范措施和环境风险应急预案要求；项目选址已进行工程地质勘查，地质条件良好，本环评已对项目地下水提出分区防渗要求。</w:t>
            </w:r>
          </w:p>
        </w:tc>
        <w:tc>
          <w:tcPr>
            <w:tcW w:w="1048" w:type="dxa"/>
            <w:vAlign w:val="center"/>
          </w:tcPr>
          <w:p>
            <w:pPr>
              <w:pStyle w:val="197"/>
              <w:autoSpaceDE w:val="0"/>
              <w:autoSpaceDN w:val="0"/>
              <w:adjustRightInd w:val="0"/>
              <w:snapToGrid w:val="0"/>
              <w:ind w:firstLineChars="0"/>
              <w:jc w:val="center"/>
              <w:rPr>
                <w:color w:val="auto"/>
                <w:kern w:val="21"/>
                <w:sz w:val="21"/>
                <w:szCs w:val="21"/>
              </w:rPr>
            </w:pPr>
            <w:r>
              <w:rPr>
                <w:rFonts w:hint="eastAsia"/>
                <w:color w:val="auto"/>
                <w:kern w:val="21"/>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863" w:type="dxa"/>
            <w:vAlign w:val="center"/>
          </w:tcPr>
          <w:p>
            <w:pPr>
              <w:pStyle w:val="197"/>
              <w:autoSpaceDE w:val="0"/>
              <w:autoSpaceDN w:val="0"/>
              <w:adjustRightInd w:val="0"/>
              <w:snapToGrid w:val="0"/>
              <w:ind w:firstLineChars="0"/>
              <w:jc w:val="center"/>
              <w:rPr>
                <w:color w:val="auto"/>
                <w:kern w:val="21"/>
                <w:sz w:val="21"/>
                <w:szCs w:val="21"/>
              </w:rPr>
            </w:pPr>
            <w:r>
              <w:rPr>
                <w:color w:val="auto"/>
                <w:kern w:val="21"/>
                <w:sz w:val="21"/>
                <w:szCs w:val="21"/>
              </w:rPr>
              <w:t>资源开</w:t>
            </w:r>
          </w:p>
          <w:p>
            <w:pPr>
              <w:pStyle w:val="197"/>
              <w:autoSpaceDE w:val="0"/>
              <w:autoSpaceDN w:val="0"/>
              <w:adjustRightInd w:val="0"/>
              <w:snapToGrid w:val="0"/>
              <w:ind w:firstLineChars="0"/>
              <w:jc w:val="center"/>
              <w:rPr>
                <w:color w:val="auto"/>
                <w:kern w:val="21"/>
                <w:sz w:val="21"/>
                <w:szCs w:val="21"/>
              </w:rPr>
            </w:pPr>
            <w:r>
              <w:rPr>
                <w:color w:val="auto"/>
                <w:kern w:val="21"/>
                <w:sz w:val="21"/>
                <w:szCs w:val="21"/>
              </w:rPr>
              <w:t>发效率</w:t>
            </w:r>
          </w:p>
          <w:p>
            <w:pPr>
              <w:pStyle w:val="197"/>
              <w:autoSpaceDE w:val="0"/>
              <w:autoSpaceDN w:val="0"/>
              <w:adjustRightInd w:val="0"/>
              <w:snapToGrid w:val="0"/>
              <w:ind w:firstLineChars="0"/>
              <w:jc w:val="center"/>
              <w:rPr>
                <w:color w:val="auto"/>
                <w:kern w:val="21"/>
                <w:sz w:val="21"/>
                <w:szCs w:val="21"/>
              </w:rPr>
            </w:pPr>
            <w:r>
              <w:rPr>
                <w:color w:val="auto"/>
                <w:kern w:val="21"/>
                <w:sz w:val="21"/>
                <w:szCs w:val="21"/>
              </w:rPr>
              <w:t>要求</w:t>
            </w:r>
          </w:p>
        </w:tc>
        <w:tc>
          <w:tcPr>
            <w:tcW w:w="4026" w:type="dxa"/>
            <w:vAlign w:val="center"/>
          </w:tcPr>
          <w:p>
            <w:pPr>
              <w:pStyle w:val="197"/>
              <w:autoSpaceDE w:val="0"/>
              <w:autoSpaceDN w:val="0"/>
              <w:adjustRightInd w:val="0"/>
              <w:snapToGrid w:val="0"/>
              <w:ind w:firstLineChars="0"/>
              <w:rPr>
                <w:color w:val="auto"/>
                <w:kern w:val="21"/>
                <w:sz w:val="21"/>
                <w:szCs w:val="21"/>
              </w:rPr>
            </w:pPr>
            <w:r>
              <w:rPr>
                <w:color w:val="auto"/>
                <w:kern w:val="21"/>
                <w:sz w:val="21"/>
                <w:szCs w:val="21"/>
              </w:rPr>
              <w:t>1.富民庄甸工业区、苍岭工业区智明地块和黄草地块禁止抽取地下水。</w:t>
            </w:r>
          </w:p>
          <w:p>
            <w:pPr>
              <w:pStyle w:val="197"/>
              <w:autoSpaceDE w:val="0"/>
              <w:autoSpaceDN w:val="0"/>
              <w:adjustRightInd w:val="0"/>
              <w:snapToGrid w:val="0"/>
              <w:ind w:firstLineChars="0"/>
              <w:rPr>
                <w:color w:val="auto"/>
                <w:kern w:val="21"/>
                <w:sz w:val="21"/>
                <w:szCs w:val="21"/>
              </w:rPr>
            </w:pPr>
            <w:r>
              <w:rPr>
                <w:color w:val="auto"/>
                <w:kern w:val="21"/>
                <w:sz w:val="21"/>
                <w:szCs w:val="21"/>
              </w:rPr>
              <w:t>2.引进项目的生产工艺、设备、单位产品能耗、物耗、污染物排放和资源利用等，应达国内先进水平。</w:t>
            </w:r>
          </w:p>
        </w:tc>
        <w:tc>
          <w:tcPr>
            <w:tcW w:w="2754" w:type="dxa"/>
            <w:vAlign w:val="center"/>
          </w:tcPr>
          <w:p>
            <w:pPr>
              <w:pStyle w:val="197"/>
              <w:autoSpaceDE w:val="0"/>
              <w:autoSpaceDN w:val="0"/>
              <w:adjustRightInd w:val="0"/>
              <w:snapToGrid w:val="0"/>
              <w:ind w:firstLineChars="0"/>
              <w:jc w:val="center"/>
              <w:rPr>
                <w:color w:val="auto"/>
                <w:kern w:val="21"/>
                <w:sz w:val="21"/>
                <w:szCs w:val="21"/>
              </w:rPr>
            </w:pPr>
            <w:r>
              <w:rPr>
                <w:rFonts w:hint="eastAsia"/>
                <w:color w:val="auto"/>
                <w:kern w:val="21"/>
                <w:sz w:val="21"/>
                <w:szCs w:val="21"/>
              </w:rPr>
              <w:t>本项目用水量很小，由市政供水，不抽取地下水；项目采取的污水处理工艺经过比选为处理效果优良，国内较为先进的工艺。</w:t>
            </w:r>
          </w:p>
        </w:tc>
        <w:tc>
          <w:tcPr>
            <w:tcW w:w="1048" w:type="dxa"/>
            <w:vAlign w:val="center"/>
          </w:tcPr>
          <w:p>
            <w:pPr>
              <w:pStyle w:val="197"/>
              <w:autoSpaceDE w:val="0"/>
              <w:autoSpaceDN w:val="0"/>
              <w:adjustRightInd w:val="0"/>
              <w:snapToGrid w:val="0"/>
              <w:ind w:firstLineChars="0"/>
              <w:jc w:val="center"/>
              <w:rPr>
                <w:color w:val="auto"/>
                <w:kern w:val="21"/>
                <w:sz w:val="21"/>
                <w:szCs w:val="21"/>
              </w:rPr>
            </w:pPr>
            <w:r>
              <w:rPr>
                <w:rFonts w:hint="eastAsia"/>
                <w:color w:val="auto"/>
                <w:kern w:val="21"/>
                <w:sz w:val="21"/>
                <w:szCs w:val="21"/>
              </w:rPr>
              <w:t>符合</w:t>
            </w:r>
          </w:p>
        </w:tc>
      </w:tr>
    </w:tbl>
    <w:p>
      <w:pPr>
        <w:pStyle w:val="23"/>
        <w:spacing w:after="0" w:line="360" w:lineRule="auto"/>
        <w:ind w:left="0" w:leftChars="0" w:firstLine="480"/>
        <w:rPr>
          <w:b/>
          <w:bCs/>
          <w:color w:val="auto"/>
          <w:kern w:val="21"/>
        </w:rPr>
      </w:pPr>
      <w:r>
        <w:rPr>
          <w:rFonts w:hint="eastAsia"/>
          <w:color w:val="auto"/>
          <w:kern w:val="21"/>
        </w:rPr>
        <w:t>由</w:t>
      </w:r>
      <w:r>
        <w:rPr>
          <w:rFonts w:hint="eastAsia"/>
          <w:color w:val="auto"/>
          <w:kern w:val="21"/>
          <w:lang w:eastAsia="zh-CN"/>
        </w:rPr>
        <w:t>上表可知，</w:t>
      </w:r>
      <w:r>
        <w:rPr>
          <w:color w:val="auto"/>
          <w:kern w:val="21"/>
        </w:rPr>
        <w:t>本项目所属行业、选址及环境保护措施等</w:t>
      </w:r>
      <w:r>
        <w:rPr>
          <w:rFonts w:hint="eastAsia"/>
          <w:color w:val="auto"/>
          <w:kern w:val="21"/>
        </w:rPr>
        <w:t>符合</w:t>
      </w:r>
      <w:r>
        <w:rPr>
          <w:color w:val="auto"/>
          <w:kern w:val="21"/>
        </w:rPr>
        <w:t>楚雄产业园区重点管控单元生态环境准入清单</w:t>
      </w:r>
      <w:r>
        <w:rPr>
          <w:rFonts w:hint="eastAsia"/>
          <w:color w:val="auto"/>
          <w:kern w:val="21"/>
        </w:rPr>
        <w:t>要求，</w:t>
      </w:r>
      <w:r>
        <w:rPr>
          <w:color w:val="auto"/>
          <w:kern w:val="21"/>
        </w:rPr>
        <w:t>未列入环境准入负面清单内。</w:t>
      </w:r>
    </w:p>
    <w:p>
      <w:pPr>
        <w:ind w:firstLine="480"/>
        <w:rPr>
          <w:color w:val="auto"/>
          <w:kern w:val="21"/>
        </w:rPr>
      </w:pPr>
      <w:r>
        <w:rPr>
          <w:color w:val="auto"/>
          <w:kern w:val="21"/>
        </w:rPr>
        <w:t>综上所述，拟建项目符合“三线一单”的相关要求。</w:t>
      </w:r>
    </w:p>
    <w:p>
      <w:pPr>
        <w:pStyle w:val="5"/>
        <w:spacing w:after="0"/>
        <w:rPr>
          <w:color w:val="auto"/>
          <w:kern w:val="21"/>
          <w:sz w:val="28"/>
        </w:rPr>
      </w:pPr>
      <w:bookmarkStart w:id="333" w:name="_Toc20276"/>
      <w:r>
        <w:rPr>
          <w:color w:val="auto"/>
          <w:kern w:val="21"/>
          <w:sz w:val="28"/>
        </w:rPr>
        <w:t>7.</w:t>
      </w:r>
      <w:r>
        <w:rPr>
          <w:rFonts w:hint="eastAsia"/>
          <w:color w:val="auto"/>
          <w:kern w:val="21"/>
          <w:sz w:val="28"/>
        </w:rPr>
        <w:t>4</w:t>
      </w:r>
      <w:r>
        <w:rPr>
          <w:color w:val="auto"/>
          <w:kern w:val="21"/>
          <w:sz w:val="28"/>
        </w:rPr>
        <w:t>选址合理性分析</w:t>
      </w:r>
      <w:bookmarkEnd w:id="333"/>
    </w:p>
    <w:bookmarkEnd w:id="326"/>
    <w:p>
      <w:pPr>
        <w:ind w:firstLine="480"/>
        <w:rPr>
          <w:color w:val="auto"/>
          <w:kern w:val="21"/>
        </w:rPr>
      </w:pPr>
      <w:r>
        <w:rPr>
          <w:rFonts w:hint="eastAsia"/>
          <w:color w:val="auto"/>
          <w:kern w:val="21"/>
        </w:rPr>
        <w:t>（1）与环境保护规划相符性</w:t>
      </w:r>
    </w:p>
    <w:p>
      <w:pPr>
        <w:ind w:firstLine="480"/>
        <w:rPr>
          <w:color w:val="auto"/>
          <w:kern w:val="21"/>
        </w:rPr>
      </w:pPr>
      <w:r>
        <w:rPr>
          <w:rFonts w:hint="eastAsia"/>
          <w:color w:val="auto"/>
          <w:kern w:val="21"/>
        </w:rPr>
        <w:t>项目选址不涉及自然保护区、风景名胜区、饮用水水源保护区、基本农田保护区和其他需要特别保护的地区。</w:t>
      </w:r>
    </w:p>
    <w:p>
      <w:pPr>
        <w:ind w:firstLine="480"/>
        <w:rPr>
          <w:color w:val="auto"/>
          <w:kern w:val="21"/>
        </w:rPr>
      </w:pPr>
      <w:r>
        <w:rPr>
          <w:rFonts w:hint="eastAsia"/>
          <w:color w:val="auto"/>
          <w:kern w:val="21"/>
        </w:rPr>
        <w:t>根据现状监测数据显示，区域环境空气、地下水、土壤和噪声良好，均能满足区域环境功能区划要求。</w:t>
      </w:r>
      <w:r>
        <w:rPr>
          <w:color w:val="auto"/>
          <w:kern w:val="21"/>
        </w:rPr>
        <w:t>楚雄市人民政府已对地表水青龙河提出了限期达标方案，正在进行整治，在多项治理工程实施后将达到IV类水质环境质量要求。</w:t>
      </w:r>
      <w:r>
        <w:rPr>
          <w:rFonts w:hint="eastAsia"/>
          <w:color w:val="auto"/>
          <w:kern w:val="21"/>
        </w:rPr>
        <w:t>根据工程分析，在落实本环评提出的各项污染防治措施的前提下，处理后的尾水能达标排放，噪声和废气均能实现达标排放，不会改变当地声环境和大气环境功能，固体废弃物均得到合理处置。</w:t>
      </w:r>
    </w:p>
    <w:p>
      <w:pPr>
        <w:ind w:firstLine="480"/>
        <w:rPr>
          <w:color w:val="auto"/>
          <w:kern w:val="21"/>
        </w:rPr>
      </w:pPr>
      <w:r>
        <w:rPr>
          <w:rFonts w:hint="eastAsia"/>
          <w:color w:val="auto"/>
          <w:kern w:val="21"/>
        </w:rPr>
        <w:t>根据影响分析，本项目运营期间对水环境、声环境及环境空气的影响均在可接受范围内，正常营运状况下，区域水环境、声环境及空气环境质量符合相应功能区要求。</w:t>
      </w:r>
    </w:p>
    <w:p>
      <w:pPr>
        <w:ind w:firstLine="480"/>
        <w:rPr>
          <w:color w:val="auto"/>
          <w:kern w:val="21"/>
        </w:rPr>
      </w:pPr>
      <w:r>
        <w:rPr>
          <w:rFonts w:hint="eastAsia"/>
          <w:color w:val="auto"/>
          <w:kern w:val="21"/>
        </w:rPr>
        <w:t>（2）防护距离</w:t>
      </w:r>
    </w:p>
    <w:p>
      <w:pPr>
        <w:ind w:firstLine="480"/>
        <w:rPr>
          <w:color w:val="auto"/>
          <w:kern w:val="21"/>
        </w:rPr>
      </w:pPr>
      <w:r>
        <w:rPr>
          <w:rFonts w:hint="eastAsia"/>
          <w:color w:val="auto"/>
          <w:kern w:val="21"/>
        </w:rPr>
        <w:t>根据预测分析，项目无需设置大气环境防护距离；根据</w:t>
      </w:r>
      <w:r>
        <w:rPr>
          <w:color w:val="auto"/>
        </w:rPr>
        <w:t>《大气有害物质无组织排放卫生防护距离推导技术导则》（GB/T39499 -2020）</w:t>
      </w:r>
      <w:r>
        <w:rPr>
          <w:rFonts w:hint="eastAsia"/>
          <w:color w:val="auto"/>
          <w:kern w:val="21"/>
        </w:rPr>
        <w:t>推荐的公式进行计算，项目</w:t>
      </w:r>
      <w:r>
        <w:rPr>
          <w:rFonts w:hint="eastAsia"/>
          <w:color w:val="auto"/>
          <w:kern w:val="21"/>
          <w:lang w:eastAsia="zh-CN"/>
        </w:rPr>
        <w:t>以厂界为边界</w:t>
      </w:r>
      <w:r>
        <w:rPr>
          <w:rFonts w:hint="eastAsia"/>
          <w:color w:val="auto"/>
          <w:kern w:val="21"/>
        </w:rPr>
        <w:t>设置100m的卫生防护距离，</w:t>
      </w:r>
      <w:r>
        <w:rPr>
          <w:rFonts w:hint="eastAsia"/>
          <w:bCs/>
          <w:color w:val="auto"/>
          <w:kern w:val="21"/>
        </w:rPr>
        <w:t>距离本项目较近的迤周、外周、外干、迤干等村庄已全部拆除</w:t>
      </w:r>
      <w:r>
        <w:rPr>
          <w:rFonts w:hint="eastAsia"/>
          <w:color w:val="auto"/>
          <w:kern w:val="21"/>
        </w:rPr>
        <w:t>，项目厂区防护距离内无居民点，不涉及搬迁，可满足防护距离要求。</w:t>
      </w:r>
    </w:p>
    <w:p>
      <w:pPr>
        <w:ind w:firstLine="480"/>
        <w:rPr>
          <w:color w:val="auto"/>
          <w:kern w:val="21"/>
        </w:rPr>
      </w:pPr>
      <w:r>
        <w:rPr>
          <w:rFonts w:hint="eastAsia"/>
          <w:color w:val="auto"/>
          <w:kern w:val="21"/>
        </w:rPr>
        <w:t>（3）公众参与</w:t>
      </w:r>
    </w:p>
    <w:p>
      <w:pPr>
        <w:ind w:firstLine="480"/>
        <w:rPr>
          <w:color w:val="auto"/>
          <w:kern w:val="21"/>
        </w:rPr>
      </w:pPr>
      <w:r>
        <w:rPr>
          <w:rFonts w:hint="eastAsia"/>
          <w:color w:val="auto"/>
          <w:kern w:val="21"/>
        </w:rPr>
        <w:t>公众参与统计结果表明，100%被调查公众支持本项目在此建设，无反对意见。综上所述，项目选址合理。</w:t>
      </w:r>
    </w:p>
    <w:p>
      <w:pPr>
        <w:ind w:firstLine="480"/>
        <w:rPr>
          <w:color w:val="auto"/>
          <w:kern w:val="21"/>
        </w:rPr>
        <w:sectPr>
          <w:pgSz w:w="11906" w:h="16838"/>
          <w:pgMar w:top="1418" w:right="1134" w:bottom="1134" w:left="1418" w:header="851" w:footer="992" w:gutter="0"/>
          <w:cols w:space="720" w:num="1"/>
          <w:docGrid w:type="lines" w:linePitch="312" w:charSpace="0"/>
        </w:sectPr>
      </w:pPr>
    </w:p>
    <w:p>
      <w:pPr>
        <w:pStyle w:val="4"/>
        <w:rPr>
          <w:color w:val="auto"/>
          <w:kern w:val="21"/>
        </w:rPr>
      </w:pPr>
      <w:bookmarkStart w:id="334" w:name="_Toc173617308"/>
      <w:bookmarkStart w:id="335" w:name="_Toc188246213"/>
      <w:bookmarkStart w:id="336" w:name="_Toc173617170"/>
      <w:bookmarkStart w:id="337" w:name="_Toc22770"/>
      <w:r>
        <w:rPr>
          <w:color w:val="auto"/>
          <w:kern w:val="21"/>
        </w:rPr>
        <w:t>8</w:t>
      </w:r>
      <w:bookmarkEnd w:id="334"/>
      <w:bookmarkEnd w:id="335"/>
      <w:bookmarkEnd w:id="336"/>
      <w:r>
        <w:rPr>
          <w:color w:val="auto"/>
          <w:kern w:val="21"/>
        </w:rPr>
        <w:t>环境保护措施及其可行性论证</w:t>
      </w:r>
      <w:bookmarkEnd w:id="337"/>
    </w:p>
    <w:p>
      <w:pPr>
        <w:pStyle w:val="5"/>
        <w:spacing w:after="0"/>
        <w:rPr>
          <w:color w:val="auto"/>
          <w:kern w:val="21"/>
          <w:sz w:val="28"/>
        </w:rPr>
      </w:pPr>
      <w:bookmarkStart w:id="338" w:name="_Toc198624102"/>
      <w:bookmarkStart w:id="339" w:name="_Toc201722314"/>
      <w:bookmarkStart w:id="340" w:name="_Toc107580627"/>
      <w:bookmarkStart w:id="341" w:name="_Toc146453942"/>
      <w:bookmarkStart w:id="342" w:name="_Toc146453808"/>
      <w:bookmarkStart w:id="343" w:name="_Toc106553944"/>
      <w:bookmarkStart w:id="344" w:name="_Toc106447815"/>
      <w:bookmarkStart w:id="345" w:name="_Toc28772"/>
      <w:r>
        <w:rPr>
          <w:color w:val="auto"/>
          <w:kern w:val="21"/>
          <w:sz w:val="28"/>
        </w:rPr>
        <w:t>8.1施工期的</w:t>
      </w:r>
      <w:bookmarkEnd w:id="338"/>
      <w:bookmarkEnd w:id="339"/>
      <w:bookmarkEnd w:id="340"/>
      <w:bookmarkEnd w:id="341"/>
      <w:bookmarkEnd w:id="342"/>
      <w:bookmarkEnd w:id="343"/>
      <w:bookmarkEnd w:id="344"/>
      <w:r>
        <w:rPr>
          <w:color w:val="auto"/>
          <w:kern w:val="21"/>
          <w:sz w:val="28"/>
        </w:rPr>
        <w:t>环境保护措施</w:t>
      </w:r>
      <w:bookmarkEnd w:id="345"/>
    </w:p>
    <w:p>
      <w:pPr>
        <w:keepNext/>
        <w:keepLines/>
        <w:ind w:firstLine="480"/>
        <w:rPr>
          <w:bCs/>
          <w:color w:val="auto"/>
          <w:kern w:val="21"/>
        </w:rPr>
      </w:pPr>
      <w:bookmarkStart w:id="346" w:name="_Toc198624107"/>
      <w:bookmarkStart w:id="347" w:name="_Toc146453813"/>
      <w:r>
        <w:rPr>
          <w:rFonts w:hint="eastAsia"/>
          <w:bCs/>
          <w:color w:val="auto"/>
          <w:kern w:val="21"/>
        </w:rPr>
        <w:t>本项目于2020年8月份建成运行，施工期早已结束，施工期主要有施工扬尘、运输扬尘、施工废水、施工噪声、施工固废等污染物，同时对生态环境有一定影响，项目施工期针对相应的环境污染采取了防治措施，项目建成后采取了绿化措施，生态环境得到有效恢复，无施工遗留环境问题。</w:t>
      </w:r>
    </w:p>
    <w:p>
      <w:pPr>
        <w:pStyle w:val="5"/>
        <w:spacing w:after="0"/>
        <w:rPr>
          <w:color w:val="auto"/>
          <w:kern w:val="21"/>
          <w:sz w:val="28"/>
        </w:rPr>
      </w:pPr>
      <w:bookmarkStart w:id="348" w:name="_Toc14012"/>
      <w:r>
        <w:rPr>
          <w:color w:val="auto"/>
          <w:kern w:val="21"/>
          <w:sz w:val="28"/>
        </w:rPr>
        <w:t>8.2运营期环境保护措施</w:t>
      </w:r>
      <w:bookmarkEnd w:id="348"/>
    </w:p>
    <w:p>
      <w:pPr>
        <w:pStyle w:val="6"/>
        <w:spacing w:after="0"/>
        <w:rPr>
          <w:rFonts w:eastAsia="宋体"/>
          <w:color w:val="auto"/>
          <w:kern w:val="21"/>
          <w:sz w:val="24"/>
          <w:szCs w:val="24"/>
        </w:rPr>
      </w:pPr>
      <w:bookmarkStart w:id="349" w:name="_Toc32151"/>
      <w:r>
        <w:rPr>
          <w:rFonts w:eastAsia="宋体"/>
          <w:color w:val="auto"/>
          <w:kern w:val="21"/>
          <w:sz w:val="24"/>
          <w:szCs w:val="24"/>
        </w:rPr>
        <w:t>8.2.1地表水</w:t>
      </w:r>
      <w:r>
        <w:rPr>
          <w:rFonts w:hint="eastAsia" w:eastAsia="宋体"/>
          <w:color w:val="auto"/>
          <w:kern w:val="21"/>
          <w:sz w:val="24"/>
          <w:szCs w:val="24"/>
        </w:rPr>
        <w:t>污染防治措施</w:t>
      </w:r>
      <w:bookmarkEnd w:id="349"/>
    </w:p>
    <w:p>
      <w:pPr>
        <w:widowControl/>
        <w:ind w:firstLine="482"/>
        <w:jc w:val="left"/>
        <w:rPr>
          <w:color w:val="auto"/>
          <w:kern w:val="21"/>
        </w:rPr>
      </w:pPr>
      <w:r>
        <w:rPr>
          <w:b/>
          <w:color w:val="auto"/>
          <w:kern w:val="21"/>
          <w:lang w:bidi="ar"/>
        </w:rPr>
        <w:t>1、厂内运行管理</w:t>
      </w:r>
    </w:p>
    <w:p>
      <w:pPr>
        <w:widowControl/>
        <w:ind w:firstLine="480"/>
        <w:jc w:val="left"/>
        <w:rPr>
          <w:color w:val="auto"/>
          <w:kern w:val="21"/>
        </w:rPr>
      </w:pPr>
      <w:r>
        <w:rPr>
          <w:color w:val="auto"/>
          <w:kern w:val="21"/>
          <w:lang w:bidi="ar"/>
        </w:rPr>
        <w:t>在保证出水水质的条件下，为使污水处理厂高效运转，减少运行费用，提高利用率，应加强对污水处理厂内部的运行管理。</w:t>
      </w:r>
    </w:p>
    <w:p>
      <w:pPr>
        <w:ind w:firstLine="480"/>
        <w:rPr>
          <w:color w:val="auto"/>
          <w:kern w:val="21"/>
        </w:rPr>
      </w:pPr>
      <w:r>
        <w:rPr>
          <w:color w:val="auto"/>
          <w:kern w:val="21"/>
        </w:rPr>
        <w:t>（1）专业培训</w:t>
      </w:r>
    </w:p>
    <w:p>
      <w:pPr>
        <w:widowControl/>
        <w:ind w:firstLine="480"/>
        <w:jc w:val="left"/>
        <w:rPr>
          <w:color w:val="auto"/>
          <w:kern w:val="21"/>
        </w:rPr>
      </w:pPr>
      <w:r>
        <w:rPr>
          <w:color w:val="auto"/>
          <w:kern w:val="21"/>
          <w:lang w:bidi="ar"/>
        </w:rPr>
        <w:t>污水处理厂投入运行之前，对操作人员的专业化培训和考核是必要的一环，作为污水处理厂运行准备工作的必要条件，特别是对主要操作人员进行理论和实际的培训。</w:t>
      </w:r>
    </w:p>
    <w:p>
      <w:pPr>
        <w:widowControl/>
        <w:ind w:firstLine="480"/>
        <w:jc w:val="left"/>
        <w:rPr>
          <w:color w:val="auto"/>
          <w:kern w:val="21"/>
        </w:rPr>
      </w:pPr>
      <w:r>
        <w:rPr>
          <w:color w:val="auto"/>
          <w:kern w:val="21"/>
          <w:lang w:bidi="ar"/>
        </w:rPr>
        <w:t>（2）加强常规化验分析</w:t>
      </w:r>
    </w:p>
    <w:p>
      <w:pPr>
        <w:widowControl/>
        <w:ind w:firstLine="480"/>
        <w:jc w:val="left"/>
        <w:rPr>
          <w:color w:val="auto"/>
          <w:kern w:val="21"/>
        </w:rPr>
      </w:pPr>
      <w:r>
        <w:rPr>
          <w:color w:val="auto"/>
          <w:kern w:val="21"/>
          <w:lang w:bidi="ar"/>
        </w:rPr>
        <w:t>常规化验分析是污水厂的重要组成部分之一。污水处理厂的操作人员，必须根据水质变化情况，及时改变运行状况，实现最佳运行条件，减少运转费用，使污水处理达标。</w:t>
      </w:r>
    </w:p>
    <w:p>
      <w:pPr>
        <w:widowControl/>
        <w:ind w:firstLine="480"/>
        <w:jc w:val="left"/>
        <w:rPr>
          <w:color w:val="auto"/>
          <w:kern w:val="21"/>
        </w:rPr>
      </w:pPr>
      <w:r>
        <w:rPr>
          <w:color w:val="auto"/>
          <w:kern w:val="21"/>
          <w:lang w:bidi="ar"/>
        </w:rPr>
        <w:t>（3）建立较先进的自动控制系统</w:t>
      </w:r>
    </w:p>
    <w:p>
      <w:pPr>
        <w:widowControl/>
        <w:ind w:firstLine="480"/>
        <w:jc w:val="left"/>
        <w:rPr>
          <w:color w:val="auto"/>
          <w:kern w:val="21"/>
        </w:rPr>
      </w:pPr>
      <w:r>
        <w:rPr>
          <w:color w:val="auto"/>
          <w:kern w:val="21"/>
          <w:lang w:bidi="ar"/>
        </w:rPr>
        <w:t>先进的自动控制系统既是实现污水厂现代化管理的重要标志，也是提高操作及时发现事故隐患的重要手段。同时应加强自动化仪器仪表的维护管理。</w:t>
      </w:r>
    </w:p>
    <w:p>
      <w:pPr>
        <w:widowControl/>
        <w:ind w:firstLine="480"/>
        <w:jc w:val="left"/>
        <w:rPr>
          <w:color w:val="auto"/>
          <w:kern w:val="21"/>
        </w:rPr>
      </w:pPr>
      <w:r>
        <w:rPr>
          <w:color w:val="auto"/>
          <w:kern w:val="21"/>
          <w:lang w:bidi="ar"/>
        </w:rPr>
        <w:t>（4）建立一个完整的管理机构和制订-套完善的管理措施。污水处理厂应建立一套以厂长责任制为主要内容的责权利清晰的管理体系。</w:t>
      </w:r>
    </w:p>
    <w:p>
      <w:pPr>
        <w:widowControl/>
        <w:ind w:firstLine="480"/>
        <w:jc w:val="left"/>
        <w:rPr>
          <w:color w:val="auto"/>
          <w:kern w:val="21"/>
        </w:rPr>
      </w:pPr>
      <w:r>
        <w:rPr>
          <w:color w:val="auto"/>
          <w:kern w:val="21"/>
          <w:lang w:bidi="ar"/>
        </w:rPr>
        <w:t>（5）为了保证污水处理工程的稳定运行，应加强管网的维护和管理，防止泥积堵塞影响管道过水能力。</w:t>
      </w:r>
    </w:p>
    <w:p>
      <w:pPr>
        <w:widowControl/>
        <w:ind w:firstLine="480"/>
        <w:jc w:val="left"/>
        <w:rPr>
          <w:color w:val="auto"/>
          <w:kern w:val="21"/>
        </w:rPr>
      </w:pPr>
      <w:r>
        <w:rPr>
          <w:color w:val="auto"/>
          <w:kern w:val="21"/>
        </w:rPr>
        <w:t>2、</w:t>
      </w:r>
      <w:r>
        <w:rPr>
          <w:b/>
          <w:color w:val="auto"/>
          <w:kern w:val="21"/>
          <w:lang w:bidi="ar"/>
        </w:rPr>
        <w:t>接管水质管理措施</w:t>
      </w:r>
    </w:p>
    <w:p>
      <w:pPr>
        <w:widowControl/>
        <w:ind w:firstLine="480"/>
        <w:jc w:val="left"/>
        <w:rPr>
          <w:color w:val="auto"/>
          <w:kern w:val="21"/>
        </w:rPr>
      </w:pPr>
      <w:r>
        <w:rPr>
          <w:color w:val="auto"/>
          <w:kern w:val="21"/>
          <w:lang w:bidi="ar"/>
        </w:rPr>
        <w:t>为了确保污水处理厂的正常运转和处理后的尾水稳定达标运行，一定要做好进水污染源的源头控制和管理，接入污水处理管网的污水应符合有关要求。同时，提出以下的控制措施：</w:t>
      </w:r>
    </w:p>
    <w:p>
      <w:pPr>
        <w:widowControl/>
        <w:ind w:firstLine="480"/>
        <w:jc w:val="left"/>
        <w:rPr>
          <w:color w:val="auto"/>
          <w:kern w:val="21"/>
        </w:rPr>
      </w:pPr>
      <w:r>
        <w:rPr>
          <w:color w:val="auto"/>
          <w:kern w:val="21"/>
          <w:lang w:bidi="ar"/>
        </w:rPr>
        <w:t>（1）制定严格的污水排入许可制度，进入污水处理厂处理的废水必须达到接管要求后方可进入污水管网。为了确保排入污水管网的各企业污水符合接管要求，建议对主要排污企业（如排水量大于500m</w:t>
      </w:r>
      <w:r>
        <w:rPr>
          <w:color w:val="auto"/>
          <w:kern w:val="21"/>
          <w:vertAlign w:val="superscript"/>
          <w:lang w:bidi="ar"/>
        </w:rPr>
        <w:t>3</w:t>
      </w:r>
      <w:r>
        <w:rPr>
          <w:color w:val="auto"/>
          <w:kern w:val="21"/>
          <w:lang w:bidi="ar"/>
        </w:rPr>
        <w:t>/d）的污水排口建设在线监测装置，对污水</w:t>
      </w:r>
      <w:r>
        <w:rPr>
          <w:rFonts w:hint="eastAsia"/>
          <w:color w:val="auto"/>
          <w:kern w:val="21"/>
          <w:lang w:bidi="ar"/>
        </w:rPr>
        <w:t>p</w:t>
      </w:r>
      <w:r>
        <w:rPr>
          <w:color w:val="auto"/>
          <w:kern w:val="21"/>
          <w:lang w:bidi="ar"/>
        </w:rPr>
        <w:t>H、BOD</w:t>
      </w:r>
      <w:r>
        <w:rPr>
          <w:color w:val="auto"/>
          <w:kern w:val="21"/>
          <w:vertAlign w:val="subscript"/>
          <w:lang w:bidi="ar"/>
        </w:rPr>
        <w:t>5</w:t>
      </w:r>
      <w:r>
        <w:rPr>
          <w:color w:val="auto"/>
          <w:kern w:val="21"/>
          <w:lang w:bidi="ar"/>
        </w:rPr>
        <w:t>、SS、氨氮、COD</w:t>
      </w:r>
      <w:r>
        <w:rPr>
          <w:color w:val="auto"/>
          <w:kern w:val="21"/>
          <w:vertAlign w:val="subscript"/>
          <w:lang w:bidi="ar"/>
        </w:rPr>
        <w:t>Cr</w:t>
      </w:r>
      <w:r>
        <w:rPr>
          <w:color w:val="auto"/>
          <w:kern w:val="21"/>
          <w:lang w:bidi="ar"/>
        </w:rPr>
        <w:t>、总磷等浓度进行在线监测，在线监测装置必须与污水处理厂监控室、当地生态环境部门连通，以便接受监督。</w:t>
      </w:r>
    </w:p>
    <w:p>
      <w:pPr>
        <w:widowControl/>
        <w:ind w:firstLine="480"/>
        <w:jc w:val="left"/>
        <w:rPr>
          <w:color w:val="auto"/>
          <w:kern w:val="21"/>
        </w:rPr>
      </w:pPr>
      <w:r>
        <w:rPr>
          <w:color w:val="auto"/>
          <w:kern w:val="21"/>
          <w:lang w:bidi="ar"/>
        </w:rPr>
        <w:t>（2）为了使进入污水处理厂的污水水质稳定，各排污企业必须建设足够容量的污水调节池，确保排水水质水量稳定。</w:t>
      </w:r>
    </w:p>
    <w:p>
      <w:pPr>
        <w:widowControl/>
        <w:ind w:firstLine="480"/>
        <w:jc w:val="left"/>
        <w:rPr>
          <w:color w:val="auto"/>
          <w:kern w:val="21"/>
        </w:rPr>
      </w:pPr>
      <w:r>
        <w:rPr>
          <w:color w:val="auto"/>
          <w:kern w:val="21"/>
          <w:lang w:bidi="ar"/>
        </w:rPr>
        <w:t>（3）加强对区域内排污单位的监管，对于纳污范围内工业企业，根据各行业废水特点，严格要求各企业废水排入污水管网前经厂内污水处理设施预处理，对含有毒有害物质工业废水，需在各项目的环境影响评价中论证接管可行性，并经预处理后不影响污水处理厂正常运行方可接入。</w:t>
      </w:r>
    </w:p>
    <w:p>
      <w:pPr>
        <w:widowControl/>
        <w:ind w:firstLine="480"/>
        <w:jc w:val="left"/>
        <w:rPr>
          <w:color w:val="auto"/>
          <w:kern w:val="21"/>
        </w:rPr>
      </w:pPr>
      <w:r>
        <w:rPr>
          <w:color w:val="auto"/>
          <w:kern w:val="21"/>
          <w:lang w:bidi="ar"/>
        </w:rPr>
        <w:t>（4）污水处理厂需与主要的污水排放企业之间要有畅通的信息交流管道，建立企业的事故报告制度。一旦排水进入污水处理厂的企业发生事故，应要求企业在第一时间向污水处理厂报告事故的类型，估计事故源强，并关闭出水阀，停止将水送入本污水处理厂。</w:t>
      </w:r>
    </w:p>
    <w:p>
      <w:pPr>
        <w:widowControl/>
        <w:ind w:firstLine="480"/>
        <w:jc w:val="left"/>
        <w:rPr>
          <w:color w:val="auto"/>
          <w:kern w:val="21"/>
        </w:rPr>
      </w:pPr>
      <w:r>
        <w:rPr>
          <w:color w:val="auto"/>
          <w:kern w:val="21"/>
          <w:lang w:bidi="ar"/>
        </w:rPr>
        <w:t>（5）制订严格的奖惩制度，对超标排放污水的企业进行严格的处理，并限期整改。</w:t>
      </w:r>
    </w:p>
    <w:p>
      <w:pPr>
        <w:widowControl/>
        <w:ind w:firstLine="480"/>
        <w:jc w:val="left"/>
        <w:rPr>
          <w:color w:val="auto"/>
          <w:kern w:val="21"/>
          <w:lang w:bidi="ar"/>
        </w:rPr>
      </w:pPr>
      <w:r>
        <w:rPr>
          <w:color w:val="auto"/>
          <w:kern w:val="21"/>
          <w:lang w:bidi="ar"/>
        </w:rPr>
        <w:t>（6）为确保本项目能正常运行，不发生事故排放或偷排，污水处理厂在进水口、出水口分别安装1套自动在线监测装置，并配套视频监控系统，与环保部门监测网络</w:t>
      </w:r>
      <w:r>
        <w:rPr>
          <w:rFonts w:hint="eastAsia"/>
          <w:color w:val="auto"/>
          <w:kern w:val="21"/>
          <w:lang w:bidi="ar"/>
        </w:rPr>
        <w:t>平台连接</w:t>
      </w:r>
      <w:r>
        <w:rPr>
          <w:color w:val="auto"/>
          <w:kern w:val="21"/>
          <w:lang w:bidi="ar"/>
        </w:rPr>
        <w:t>，使污水处理厂的运营处在环保部门实时监管范围内。</w:t>
      </w:r>
    </w:p>
    <w:p>
      <w:pPr>
        <w:pStyle w:val="23"/>
        <w:spacing w:after="0" w:line="360" w:lineRule="auto"/>
        <w:ind w:left="0" w:leftChars="0" w:firstLine="480"/>
        <w:rPr>
          <w:color w:val="auto"/>
          <w:kern w:val="21"/>
        </w:rPr>
      </w:pPr>
      <w:r>
        <w:rPr>
          <w:color w:val="auto"/>
          <w:kern w:val="21"/>
        </w:rPr>
        <w:t>（7）污水管网定期清淤，以确保排水通畅。</w:t>
      </w:r>
    </w:p>
    <w:p>
      <w:pPr>
        <w:pStyle w:val="23"/>
        <w:spacing w:after="0" w:line="360" w:lineRule="auto"/>
        <w:ind w:left="0" w:leftChars="0" w:firstLine="482"/>
        <w:jc w:val="left"/>
        <w:rPr>
          <w:b/>
          <w:bCs/>
          <w:color w:val="auto"/>
          <w:kern w:val="21"/>
        </w:rPr>
      </w:pPr>
      <w:r>
        <w:rPr>
          <w:b/>
          <w:bCs/>
          <w:color w:val="auto"/>
          <w:kern w:val="21"/>
        </w:rPr>
        <w:t>3、废水在线监测要求</w:t>
      </w:r>
    </w:p>
    <w:p>
      <w:pPr>
        <w:pStyle w:val="23"/>
        <w:spacing w:after="0" w:line="360" w:lineRule="auto"/>
        <w:ind w:left="0" w:leftChars="0" w:firstLine="480"/>
        <w:jc w:val="left"/>
        <w:rPr>
          <w:color w:val="auto"/>
          <w:kern w:val="21"/>
        </w:rPr>
      </w:pPr>
      <w:r>
        <w:rPr>
          <w:color w:val="auto"/>
          <w:kern w:val="21"/>
        </w:rPr>
        <w:t>为监控进水水质、出水水质以及水量，项目分别在进水端、出水口安装水质、水量在线监测仪，废水在线监测要求如下：</w:t>
      </w:r>
    </w:p>
    <w:p>
      <w:pPr>
        <w:pStyle w:val="23"/>
        <w:spacing w:after="0" w:line="360" w:lineRule="auto"/>
        <w:ind w:left="0" w:leftChars="0" w:firstLine="480"/>
        <w:jc w:val="left"/>
        <w:rPr>
          <w:color w:val="auto"/>
          <w:kern w:val="21"/>
        </w:rPr>
      </w:pPr>
      <w:r>
        <w:rPr>
          <w:color w:val="auto"/>
          <w:kern w:val="21"/>
        </w:rPr>
        <w:t>（1）在线监测仪须符合国家有关产品质量标准并通过环境监测有关部门的适用性检测。</w:t>
      </w:r>
    </w:p>
    <w:p>
      <w:pPr>
        <w:widowControl/>
        <w:ind w:firstLine="480"/>
        <w:jc w:val="left"/>
        <w:rPr>
          <w:color w:val="auto"/>
          <w:kern w:val="21"/>
        </w:rPr>
      </w:pPr>
      <w:r>
        <w:rPr>
          <w:color w:val="auto"/>
          <w:kern w:val="21"/>
          <w:lang w:bidi="ar"/>
        </w:rPr>
        <w:t>（2）</w:t>
      </w:r>
      <w:r>
        <w:rPr>
          <w:color w:val="auto"/>
          <w:kern w:val="21"/>
        </w:rPr>
        <w:t>在线监测仪正常稳定运行，监测数据能够适时反映水质水量变化且为原始数据，当受到外界干扰或停电后又恢复供电等情况发生时，造成程序中断导致水质监测数据缺失的，缺失的数据应按《水污染物在线监测系统数据有效性判别技术规范（试行）》（HJ/T356-2007）进行处理。</w:t>
      </w:r>
    </w:p>
    <w:p>
      <w:pPr>
        <w:pStyle w:val="23"/>
        <w:spacing w:after="0" w:line="360" w:lineRule="auto"/>
        <w:ind w:left="0" w:leftChars="0" w:firstLine="480"/>
        <w:rPr>
          <w:color w:val="auto"/>
          <w:kern w:val="21"/>
        </w:rPr>
      </w:pPr>
      <w:r>
        <w:rPr>
          <w:color w:val="auto"/>
          <w:kern w:val="21"/>
        </w:rPr>
        <w:t>（3）在线监测系统意外断电再度通电时，应将断电前正在测定的试样和试剂清除并对监测仪清洗后才能重新开始测定。</w:t>
      </w:r>
    </w:p>
    <w:p>
      <w:pPr>
        <w:pStyle w:val="23"/>
        <w:spacing w:after="0" w:line="360" w:lineRule="auto"/>
        <w:ind w:left="0" w:leftChars="0" w:firstLine="480"/>
        <w:rPr>
          <w:color w:val="auto"/>
          <w:kern w:val="21"/>
        </w:rPr>
      </w:pPr>
      <w:r>
        <w:rPr>
          <w:color w:val="auto"/>
          <w:kern w:val="21"/>
        </w:rPr>
        <w:t>（4）废水在线监测进水和出水CODcr、氨氮、总磷、SS等污染物的同时，监测进水和出水水量、流速。</w:t>
      </w:r>
    </w:p>
    <w:p>
      <w:pPr>
        <w:pStyle w:val="23"/>
        <w:spacing w:after="0" w:line="360" w:lineRule="auto"/>
        <w:ind w:left="0" w:leftChars="0" w:firstLine="480"/>
        <w:rPr>
          <w:color w:val="auto"/>
          <w:kern w:val="21"/>
        </w:rPr>
      </w:pPr>
      <w:r>
        <w:rPr>
          <w:color w:val="auto"/>
          <w:kern w:val="21"/>
        </w:rPr>
        <w:t>（5）进水水质、出水水质须</w:t>
      </w:r>
      <w:r>
        <w:rPr>
          <w:rFonts w:hint="eastAsia"/>
          <w:color w:val="auto"/>
          <w:kern w:val="21"/>
        </w:rPr>
        <w:t>在</w:t>
      </w:r>
      <w:r>
        <w:rPr>
          <w:color w:val="auto"/>
          <w:kern w:val="21"/>
        </w:rPr>
        <w:t>线监测仪器量程范围以内。</w:t>
      </w:r>
    </w:p>
    <w:p>
      <w:pPr>
        <w:pStyle w:val="23"/>
        <w:spacing w:after="0" w:line="360" w:lineRule="auto"/>
        <w:ind w:left="0" w:leftChars="0" w:firstLine="480"/>
        <w:rPr>
          <w:color w:val="auto"/>
          <w:kern w:val="21"/>
        </w:rPr>
      </w:pPr>
      <w:r>
        <w:rPr>
          <w:color w:val="auto"/>
          <w:kern w:val="21"/>
        </w:rPr>
        <w:t>（6）为确保监测数据的准确性，在线监测仪自动采样取水管材应对所监测的项目没有干扰，且耐腐蚀。取水管应能保证自动分析仪所需的流量。</w:t>
      </w:r>
    </w:p>
    <w:p>
      <w:pPr>
        <w:pStyle w:val="23"/>
        <w:spacing w:after="0" w:line="360" w:lineRule="auto"/>
        <w:ind w:left="0" w:leftChars="0" w:firstLine="480"/>
        <w:rPr>
          <w:color w:val="auto"/>
          <w:kern w:val="21"/>
        </w:rPr>
      </w:pPr>
      <w:r>
        <w:rPr>
          <w:color w:val="auto"/>
          <w:kern w:val="21"/>
        </w:rPr>
        <w:t>（7）采样取水系统应保证采集的水样具有代表性，并保证将水样无变质地输送至采样器保存，供自动分析仪分析。</w:t>
      </w:r>
    </w:p>
    <w:p>
      <w:pPr>
        <w:pStyle w:val="23"/>
        <w:spacing w:after="0" w:line="360" w:lineRule="auto"/>
        <w:ind w:left="0" w:leftChars="0" w:firstLine="480"/>
        <w:rPr>
          <w:color w:val="auto"/>
          <w:kern w:val="21"/>
        </w:rPr>
      </w:pPr>
      <w:r>
        <w:rPr>
          <w:color w:val="auto"/>
          <w:kern w:val="21"/>
        </w:rPr>
        <w:t>（8）加强废水在线监测系统的维护管理，确保系统稳定有效运行。</w:t>
      </w:r>
    </w:p>
    <w:p>
      <w:pPr>
        <w:widowControl/>
        <w:ind w:firstLine="482"/>
        <w:jc w:val="left"/>
        <w:rPr>
          <w:b/>
          <w:bCs/>
          <w:color w:val="auto"/>
          <w:kern w:val="21"/>
        </w:rPr>
      </w:pPr>
      <w:r>
        <w:rPr>
          <w:b/>
          <w:bCs/>
          <w:color w:val="auto"/>
          <w:kern w:val="21"/>
          <w:lang w:bidi="ar"/>
        </w:rPr>
        <w:t>4、污水事故排放防治措施</w:t>
      </w:r>
    </w:p>
    <w:p>
      <w:pPr>
        <w:widowControl/>
        <w:ind w:firstLine="480"/>
        <w:jc w:val="left"/>
        <w:rPr>
          <w:color w:val="auto"/>
          <w:kern w:val="21"/>
        </w:rPr>
      </w:pPr>
      <w:r>
        <w:rPr>
          <w:color w:val="auto"/>
          <w:kern w:val="21"/>
          <w:lang w:bidi="ar"/>
        </w:rPr>
        <w:t>污水处理系统一旦发生停电和重大故障时会发生为水处理不达标或者污水发生事故外排，这种短时污染是无法从根本上避免的，但要减少其发生机率则主要是通过设计中提高处理系统的保证和加强运行维护管理两个方面来解决。为此在设计中对管道衔接切换，电源回路及设备备用方面应采取必要的措施，使事故发生的机率尽可能降低。其防治措施为：</w:t>
      </w:r>
    </w:p>
    <w:p>
      <w:pPr>
        <w:widowControl/>
        <w:ind w:firstLine="480"/>
        <w:jc w:val="left"/>
        <w:rPr>
          <w:color w:val="auto"/>
          <w:kern w:val="21"/>
        </w:rPr>
      </w:pPr>
      <w:r>
        <w:rPr>
          <w:color w:val="auto"/>
          <w:kern w:val="21"/>
          <w:lang w:bidi="ar"/>
        </w:rPr>
        <w:t>（1）泵站与污水处理厂采用双路供电，水泵设计考虑备用，机械设备采用性能可靠优质产品。</w:t>
      </w:r>
    </w:p>
    <w:p>
      <w:pPr>
        <w:widowControl/>
        <w:ind w:firstLine="480"/>
        <w:jc w:val="left"/>
        <w:rPr>
          <w:color w:val="auto"/>
          <w:kern w:val="21"/>
        </w:rPr>
      </w:pPr>
      <w:r>
        <w:rPr>
          <w:color w:val="auto"/>
          <w:kern w:val="21"/>
          <w:lang w:bidi="ar"/>
        </w:rPr>
        <w:t>（2）为使在事故状态下污水处理厂能够迅速恢复正常运行，应在主要水工建筑物的容积上留有相应的缓冲能力，并配有相应的设备（如回流泵、回流管道、阀门及仪表等）。</w:t>
      </w:r>
    </w:p>
    <w:p>
      <w:pPr>
        <w:widowControl/>
        <w:ind w:firstLine="480"/>
        <w:jc w:val="left"/>
        <w:rPr>
          <w:color w:val="auto"/>
          <w:kern w:val="21"/>
        </w:rPr>
      </w:pPr>
      <w:r>
        <w:rPr>
          <w:color w:val="auto"/>
          <w:kern w:val="21"/>
          <w:lang w:bidi="ar"/>
        </w:rPr>
        <w:t>（3）选用优质设备，对污水处理厂各种机械电器、仪表等设备，必须选择质量优良、事故率低、便于维修的产品。关键设备应一备一用，易损部件要有备用件，在出现事故时能及时更换。</w:t>
      </w:r>
    </w:p>
    <w:p>
      <w:pPr>
        <w:widowControl/>
        <w:ind w:firstLine="480"/>
        <w:jc w:val="left"/>
        <w:rPr>
          <w:color w:val="auto"/>
          <w:kern w:val="21"/>
        </w:rPr>
      </w:pPr>
      <w:r>
        <w:rPr>
          <w:color w:val="auto"/>
          <w:kern w:val="21"/>
          <w:lang w:bidi="ar"/>
        </w:rPr>
        <w:t>（4）加强事故苗头监控，定期巡检、调节、保养、维修。及时发现有可能引起事故的异常运行苗头，消除事故隐患。</w:t>
      </w:r>
    </w:p>
    <w:p>
      <w:pPr>
        <w:widowControl/>
        <w:ind w:firstLine="480"/>
        <w:jc w:val="left"/>
        <w:rPr>
          <w:color w:val="auto"/>
          <w:kern w:val="21"/>
        </w:rPr>
      </w:pPr>
      <w:r>
        <w:rPr>
          <w:color w:val="auto"/>
          <w:kern w:val="21"/>
          <w:lang w:bidi="ar"/>
        </w:rPr>
        <w:t>（5）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pPr>
        <w:widowControl/>
        <w:ind w:firstLine="480"/>
        <w:jc w:val="left"/>
        <w:rPr>
          <w:color w:val="auto"/>
          <w:kern w:val="21"/>
        </w:rPr>
      </w:pPr>
      <w:r>
        <w:rPr>
          <w:color w:val="auto"/>
          <w:kern w:val="21"/>
          <w:lang w:bidi="ar"/>
        </w:rPr>
        <w:t>（6）建立安全操作规程，在平时严格按规程办事，定期对污水处理厂人员的理论知识和操作技能进行培训和检查。</w:t>
      </w:r>
    </w:p>
    <w:p>
      <w:pPr>
        <w:widowControl/>
        <w:ind w:firstLine="480"/>
        <w:jc w:val="left"/>
        <w:rPr>
          <w:color w:val="auto"/>
          <w:kern w:val="21"/>
        </w:rPr>
      </w:pPr>
      <w:r>
        <w:rPr>
          <w:color w:val="auto"/>
          <w:kern w:val="21"/>
          <w:lang w:bidi="ar"/>
        </w:rPr>
        <w:t>（</w:t>
      </w:r>
      <w:r>
        <w:rPr>
          <w:rFonts w:hint="eastAsia"/>
          <w:color w:val="auto"/>
          <w:kern w:val="21"/>
          <w:lang w:bidi="ar"/>
        </w:rPr>
        <w:t>7</w:t>
      </w:r>
      <w:r>
        <w:rPr>
          <w:color w:val="auto"/>
          <w:kern w:val="21"/>
          <w:lang w:bidi="ar"/>
        </w:rPr>
        <w:t>）建立安全责任制度，在日常的工作管理方面建立一套完整的制度，落实到人、明确职责、定期检查。</w:t>
      </w:r>
    </w:p>
    <w:p>
      <w:pPr>
        <w:widowControl/>
        <w:ind w:firstLine="480"/>
        <w:jc w:val="left"/>
        <w:rPr>
          <w:color w:val="auto"/>
          <w:kern w:val="21"/>
        </w:rPr>
      </w:pPr>
      <w:r>
        <w:rPr>
          <w:color w:val="auto"/>
          <w:kern w:val="21"/>
          <w:lang w:bidi="ar"/>
        </w:rPr>
        <w:t>（</w:t>
      </w:r>
      <w:r>
        <w:rPr>
          <w:rFonts w:hint="eastAsia"/>
          <w:color w:val="auto"/>
          <w:kern w:val="21"/>
          <w:lang w:bidi="ar"/>
        </w:rPr>
        <w:t>8</w:t>
      </w:r>
      <w:r>
        <w:rPr>
          <w:color w:val="auto"/>
          <w:kern w:val="21"/>
          <w:lang w:bidi="ar"/>
        </w:rPr>
        <w:t>）制定风险事故的应急措施，明确事故发生时的应急、抢险操作制度。</w:t>
      </w:r>
    </w:p>
    <w:p>
      <w:pPr>
        <w:pStyle w:val="16"/>
        <w:adjustRightInd/>
        <w:spacing w:before="0"/>
        <w:ind w:right="0" w:firstLine="480"/>
        <w:jc w:val="both"/>
        <w:rPr>
          <w:color w:val="auto"/>
        </w:rPr>
      </w:pPr>
      <w:r>
        <w:rPr>
          <w:rFonts w:hint="eastAsia" w:ascii="Times New Roman" w:hAnsi="Times New Roman"/>
          <w:color w:val="auto"/>
          <w:kern w:val="21"/>
          <w:sz w:val="24"/>
          <w:szCs w:val="24"/>
        </w:rPr>
        <w:t>（9）本项目常规故障可能出现的最长维修时间不超过8小时，现已设置的</w:t>
      </w:r>
      <w:r>
        <w:rPr>
          <w:rFonts w:hint="eastAsia" w:ascii="Times New Roman" w:hAnsi="Times New Roman"/>
          <w:color w:val="auto"/>
          <w:kern w:val="21"/>
          <w:sz w:val="24"/>
          <w:szCs w:val="24"/>
          <w:lang w:eastAsia="zh-CN"/>
        </w:rPr>
        <w:t>调节池</w:t>
      </w:r>
      <w:r>
        <w:rPr>
          <w:rFonts w:hint="eastAsia" w:ascii="Times New Roman" w:hAnsi="Times New Roman"/>
          <w:color w:val="auto"/>
          <w:kern w:val="21"/>
          <w:sz w:val="24"/>
          <w:szCs w:val="24"/>
        </w:rPr>
        <w:t>（2000m</w:t>
      </w:r>
      <w:r>
        <w:rPr>
          <w:rFonts w:hint="eastAsia" w:ascii="Times New Roman" w:hAnsi="Times New Roman"/>
          <w:color w:val="auto"/>
          <w:kern w:val="21"/>
          <w:sz w:val="24"/>
          <w:szCs w:val="24"/>
          <w:vertAlign w:val="superscript"/>
        </w:rPr>
        <w:t>3</w:t>
      </w:r>
      <w:r>
        <w:rPr>
          <w:rFonts w:hint="eastAsia" w:ascii="Times New Roman" w:hAnsi="Times New Roman"/>
          <w:color w:val="auto"/>
          <w:kern w:val="21"/>
          <w:sz w:val="24"/>
          <w:szCs w:val="24"/>
        </w:rPr>
        <w:t>）可满足应急需要。当出现极端情况（如外部停电）时，可将进水临时切换至东升路市政污水管网，由一污厂、二污厂临时接纳处理。</w:t>
      </w:r>
    </w:p>
    <w:p>
      <w:pPr>
        <w:pStyle w:val="23"/>
        <w:spacing w:after="0" w:line="360" w:lineRule="auto"/>
        <w:ind w:left="0" w:leftChars="0" w:firstLine="480"/>
        <w:rPr>
          <w:b/>
          <w:bCs/>
          <w:color w:val="auto"/>
        </w:rPr>
      </w:pPr>
      <w:r>
        <w:rPr>
          <w:rFonts w:hint="eastAsia"/>
          <w:b/>
          <w:bCs/>
          <w:color w:val="auto"/>
        </w:rPr>
        <w:t>5、</w:t>
      </w:r>
      <w:r>
        <w:rPr>
          <w:rFonts w:hint="eastAsia"/>
          <w:b/>
          <w:bCs/>
          <w:color w:val="auto"/>
          <w:lang w:eastAsia="zh-CN"/>
        </w:rPr>
        <w:t>废水处理</w:t>
      </w:r>
      <w:r>
        <w:rPr>
          <w:rFonts w:hint="eastAsia"/>
          <w:b/>
          <w:bCs/>
          <w:color w:val="auto"/>
        </w:rPr>
        <w:t>工艺可行性分析</w:t>
      </w:r>
    </w:p>
    <w:p>
      <w:pPr>
        <w:pStyle w:val="23"/>
        <w:spacing w:after="0" w:line="360" w:lineRule="auto"/>
        <w:ind w:left="0" w:leftChars="0" w:firstLine="480"/>
        <w:rPr>
          <w:rFonts w:hint="eastAsia"/>
          <w:color w:val="auto"/>
          <w:kern w:val="21"/>
          <w:lang w:eastAsia="zh-CN" w:bidi="ar"/>
        </w:rPr>
      </w:pPr>
      <w:r>
        <w:rPr>
          <w:rFonts w:hint="eastAsia"/>
          <w:color w:val="auto"/>
          <w:kern w:val="21"/>
          <w:lang w:eastAsia="zh-CN" w:bidi="ar"/>
        </w:rPr>
        <w:t>根据项目废水处理工艺流程图，本项目预处理工艺包括</w:t>
      </w:r>
      <w:r>
        <w:rPr>
          <w:rFonts w:hint="eastAsia"/>
          <w:color w:val="auto"/>
          <w:kern w:val="21"/>
          <w:lang w:bidi="ar"/>
        </w:rPr>
        <w:t>粗细格栅、调节</w:t>
      </w:r>
      <w:r>
        <w:rPr>
          <w:rFonts w:hint="eastAsia"/>
          <w:color w:val="auto"/>
          <w:kern w:val="21"/>
          <w:lang w:eastAsia="zh-CN" w:bidi="ar"/>
        </w:rPr>
        <w:t>、</w:t>
      </w:r>
      <w:r>
        <w:rPr>
          <w:rFonts w:hint="eastAsia"/>
          <w:color w:val="auto"/>
          <w:kern w:val="21"/>
          <w:lang w:bidi="ar"/>
        </w:rPr>
        <w:t>混凝沉淀</w:t>
      </w:r>
      <w:r>
        <w:rPr>
          <w:rFonts w:hint="eastAsia"/>
          <w:color w:val="auto"/>
          <w:kern w:val="21"/>
          <w:lang w:eastAsia="zh-CN" w:bidi="ar"/>
        </w:rPr>
        <w:t>、水解酸化。粗细格栅将废水中的</w:t>
      </w:r>
      <w:r>
        <w:rPr>
          <w:color w:val="auto"/>
          <w:kern w:val="21"/>
          <w:lang w:bidi="ar"/>
        </w:rPr>
        <w:t>漂浮物</w:t>
      </w:r>
      <w:r>
        <w:rPr>
          <w:rFonts w:hint="eastAsia"/>
          <w:color w:val="auto"/>
          <w:kern w:val="21"/>
          <w:lang w:eastAsia="zh-CN" w:bidi="ar"/>
        </w:rPr>
        <w:t>及细小悬浮物拦截过滤，主要去除废水中的</w:t>
      </w:r>
      <w:r>
        <w:rPr>
          <w:rFonts w:hint="eastAsia"/>
          <w:color w:val="auto"/>
          <w:kern w:val="21"/>
          <w:lang w:val="en-US" w:eastAsia="zh-CN" w:bidi="ar"/>
        </w:rPr>
        <w:t>SS；调节池主要调节废水的水质及水量，使之均衡，减小冲击负荷，提高后续污水处理站的处理效果；混凝沉淀池主要通过加投药（PAC、PAM、生石灰）去除废水中的SS、总磷、氟化物等；水解酸化池主要通过</w:t>
      </w:r>
      <w:r>
        <w:rPr>
          <w:color w:val="auto"/>
          <w:kern w:val="21"/>
          <w:lang w:bidi="ar"/>
        </w:rPr>
        <w:t>厌氧菌、兼氧菌的作用，将废水中的不溶性有机物水解为可溶性物质，将大分子生物降解的物质转化为易于生物降解的物质，改善废水的可生化性</w:t>
      </w:r>
      <w:r>
        <w:rPr>
          <w:rFonts w:hint="eastAsia"/>
          <w:color w:val="auto"/>
          <w:kern w:val="21"/>
          <w:lang w:eastAsia="zh-CN" w:bidi="ar"/>
        </w:rPr>
        <w:t>。</w:t>
      </w:r>
    </w:p>
    <w:p>
      <w:pPr>
        <w:pStyle w:val="23"/>
        <w:spacing w:after="0" w:line="360" w:lineRule="auto"/>
        <w:ind w:left="0" w:leftChars="0" w:firstLine="480"/>
        <w:rPr>
          <w:rFonts w:hint="default" w:eastAsia="宋体"/>
          <w:color w:val="auto"/>
          <w:kern w:val="21"/>
          <w:lang w:val="en-US" w:eastAsia="zh-CN" w:bidi="ar"/>
        </w:rPr>
      </w:pPr>
      <w:r>
        <w:rPr>
          <w:rFonts w:hint="eastAsia"/>
          <w:color w:val="auto"/>
          <w:kern w:val="21"/>
          <w:lang w:eastAsia="zh-CN" w:bidi="ar"/>
        </w:rPr>
        <w:t>生化处理工艺包括“</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rFonts w:hint="eastAsia"/>
          <w:color w:val="auto"/>
          <w:kern w:val="21"/>
          <w:lang w:val="en-US" w:eastAsia="zh-CN" w:bidi="ar"/>
        </w:rPr>
        <w:t>+</w:t>
      </w:r>
      <w:r>
        <w:rPr>
          <w:rFonts w:hint="eastAsia"/>
          <w:color w:val="auto"/>
          <w:kern w:val="21"/>
          <w:lang w:bidi="ar"/>
        </w:rPr>
        <w:t>MBR</w:t>
      </w:r>
      <w:r>
        <w:rPr>
          <w:rFonts w:hint="eastAsia"/>
          <w:color w:val="auto"/>
          <w:kern w:val="21"/>
          <w:lang w:eastAsia="zh-CN" w:bidi="ar"/>
        </w:rPr>
        <w:t>膜”工艺。</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i w:val="0"/>
          <w:iCs/>
          <w:color w:val="auto"/>
          <w:kern w:val="21"/>
          <w:sz w:val="24"/>
          <w:szCs w:val="24"/>
          <w:vertAlign w:val="baseline"/>
          <w:lang w:val="en-US" w:eastAsia="zh-CN"/>
        </w:rPr>
        <w:t>/</w:t>
      </w:r>
      <w:r>
        <w:rPr>
          <w:rFonts w:hint="eastAsia"/>
          <w:color w:val="auto"/>
          <w:kern w:val="21"/>
          <w:lang w:val="en-US" w:eastAsia="zh-CN" w:bidi="ar"/>
        </w:rPr>
        <w:t>O工艺主要针对废水中的COD、BOD、氨氮、总氮进行去除，MBR膜工艺主要是为满足出水水质要求而设置的，进一步去除废水中的COD、BOD、氨氮、总氮。</w:t>
      </w:r>
    </w:p>
    <w:p>
      <w:pPr>
        <w:pStyle w:val="23"/>
        <w:spacing w:after="0" w:line="360" w:lineRule="auto"/>
        <w:ind w:left="0" w:leftChars="0" w:firstLine="480"/>
        <w:rPr>
          <w:rFonts w:hint="eastAsia"/>
          <w:color w:val="auto"/>
          <w:kern w:val="21"/>
          <w:lang w:eastAsia="zh-CN" w:bidi="ar"/>
        </w:rPr>
      </w:pPr>
      <w:r>
        <w:rPr>
          <w:rFonts w:hint="eastAsia"/>
          <w:color w:val="auto"/>
          <w:kern w:val="21"/>
          <w:lang w:eastAsia="zh-CN" w:bidi="ar"/>
        </w:rPr>
        <w:t>上述项目的处理工艺是比较成熟的污水处理工艺，在全国各地广泛应用，特别是在污水处理厂已有大量案例，出水水质能满足项目排放要求。</w:t>
      </w:r>
      <w:r>
        <w:rPr>
          <w:rFonts w:hint="eastAsia"/>
          <w:color w:val="auto"/>
          <w:kern w:val="21"/>
          <w:lang w:bidi="ar"/>
        </w:rPr>
        <w:t>根据《排污许可证申请与核发技术规范 水处理</w:t>
      </w:r>
      <w:r>
        <w:rPr>
          <w:rFonts w:hint="eastAsia"/>
          <w:color w:val="auto"/>
          <w:kern w:val="21"/>
          <w:lang w:eastAsia="zh-CN" w:bidi="ar"/>
        </w:rPr>
        <w:t>（试行）</w:t>
      </w:r>
      <w:r>
        <w:rPr>
          <w:rFonts w:hint="eastAsia"/>
          <w:color w:val="auto"/>
          <w:kern w:val="21"/>
          <w:lang w:bidi="ar"/>
        </w:rPr>
        <w:t>》（HJ</w:t>
      </w:r>
      <w:r>
        <w:rPr>
          <w:rFonts w:hint="eastAsia"/>
          <w:color w:val="auto"/>
          <w:kern w:val="21"/>
          <w:lang w:val="en-US" w:eastAsia="zh-CN" w:bidi="ar"/>
        </w:rPr>
        <w:t>978</w:t>
      </w:r>
      <w:r>
        <w:rPr>
          <w:rFonts w:hint="eastAsia"/>
          <w:color w:val="auto"/>
          <w:kern w:val="21"/>
          <w:lang w:bidi="ar"/>
        </w:rPr>
        <w:t>—20</w:t>
      </w:r>
      <w:r>
        <w:rPr>
          <w:rFonts w:hint="eastAsia"/>
          <w:color w:val="auto"/>
          <w:kern w:val="21"/>
          <w:lang w:val="en-US" w:eastAsia="zh-CN" w:bidi="ar"/>
        </w:rPr>
        <w:t>18</w:t>
      </w:r>
      <w:r>
        <w:rPr>
          <w:rFonts w:hint="eastAsia"/>
          <w:color w:val="auto"/>
          <w:kern w:val="21"/>
          <w:lang w:bidi="ar"/>
        </w:rPr>
        <w:t>）</w:t>
      </w:r>
      <w:r>
        <w:rPr>
          <w:rFonts w:hint="eastAsia"/>
          <w:color w:val="auto"/>
          <w:kern w:val="21"/>
          <w:lang w:eastAsia="zh-CN" w:bidi="ar"/>
        </w:rPr>
        <w:t>中“表</w:t>
      </w:r>
      <w:r>
        <w:rPr>
          <w:rFonts w:hint="eastAsia"/>
          <w:color w:val="auto"/>
          <w:kern w:val="21"/>
          <w:lang w:val="en-US" w:eastAsia="zh-CN" w:bidi="ar"/>
        </w:rPr>
        <w:t>4 污水处理可行技术参照表</w:t>
      </w:r>
      <w:r>
        <w:rPr>
          <w:rFonts w:hint="eastAsia"/>
          <w:color w:val="auto"/>
          <w:kern w:val="21"/>
          <w:lang w:eastAsia="zh-CN" w:bidi="ar"/>
        </w:rPr>
        <w:t>”</w:t>
      </w:r>
      <w:r>
        <w:rPr>
          <w:rFonts w:hint="eastAsia"/>
          <w:color w:val="auto"/>
          <w:kern w:val="21"/>
          <w:lang w:bidi="ar"/>
        </w:rPr>
        <w:t>，本项目预处理有粗细格栅、调节</w:t>
      </w:r>
      <w:r>
        <w:rPr>
          <w:rFonts w:hint="eastAsia"/>
          <w:color w:val="auto"/>
          <w:kern w:val="21"/>
          <w:lang w:eastAsia="zh-CN" w:bidi="ar"/>
        </w:rPr>
        <w:t>、</w:t>
      </w:r>
      <w:r>
        <w:rPr>
          <w:rFonts w:hint="eastAsia"/>
          <w:color w:val="auto"/>
          <w:kern w:val="21"/>
          <w:lang w:bidi="ar"/>
        </w:rPr>
        <w:t>混凝沉淀</w:t>
      </w:r>
      <w:r>
        <w:rPr>
          <w:rFonts w:hint="eastAsia"/>
          <w:color w:val="auto"/>
          <w:kern w:val="21"/>
          <w:lang w:eastAsia="zh-CN" w:bidi="ar"/>
        </w:rPr>
        <w:t>、水解酸化</w:t>
      </w:r>
      <w:r>
        <w:rPr>
          <w:rFonts w:hint="eastAsia"/>
          <w:color w:val="auto"/>
          <w:kern w:val="21"/>
          <w:lang w:bidi="ar"/>
        </w:rPr>
        <w:t>属于</w:t>
      </w:r>
      <w:r>
        <w:rPr>
          <w:rFonts w:hint="eastAsia"/>
          <w:color w:val="auto"/>
          <w:kern w:val="21"/>
          <w:lang w:eastAsia="zh-CN" w:bidi="ar"/>
        </w:rPr>
        <w:t>可行技术</w:t>
      </w:r>
      <w:r>
        <w:rPr>
          <w:rFonts w:hint="eastAsia"/>
          <w:color w:val="auto"/>
          <w:kern w:val="21"/>
          <w:lang w:bidi="ar"/>
        </w:rPr>
        <w:t>，生化处理采用厌氧缺氧好氧（</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rFonts w:hint="eastAsia"/>
          <w:color w:val="auto"/>
          <w:kern w:val="21"/>
          <w:lang w:eastAsia="zh-CN" w:bidi="ar"/>
        </w:rPr>
        <w:t>、</w:t>
      </w:r>
      <w:r>
        <w:rPr>
          <w:rFonts w:hint="eastAsia"/>
          <w:color w:val="auto"/>
          <w:kern w:val="21"/>
          <w:lang w:bidi="ar"/>
        </w:rPr>
        <w:t>MBR</w:t>
      </w:r>
      <w:r>
        <w:rPr>
          <w:rFonts w:hint="eastAsia"/>
          <w:color w:val="auto"/>
          <w:kern w:val="21"/>
          <w:lang w:eastAsia="zh-CN" w:bidi="ar"/>
        </w:rPr>
        <w:t>膜生物反应器</w:t>
      </w:r>
      <w:r>
        <w:rPr>
          <w:rFonts w:hint="eastAsia"/>
          <w:color w:val="auto"/>
          <w:kern w:val="21"/>
          <w:lang w:bidi="ar"/>
        </w:rPr>
        <w:t>属于</w:t>
      </w:r>
      <w:r>
        <w:rPr>
          <w:rFonts w:hint="eastAsia"/>
          <w:color w:val="auto"/>
          <w:kern w:val="21"/>
          <w:lang w:eastAsia="zh-CN" w:bidi="ar"/>
        </w:rPr>
        <w:t>可行技术，</w:t>
      </w:r>
      <w:r>
        <w:rPr>
          <w:rFonts w:hint="eastAsia"/>
          <w:color w:val="auto"/>
          <w:kern w:val="21"/>
          <w:lang w:bidi="ar"/>
        </w:rPr>
        <w:t>符合</w:t>
      </w:r>
      <w:r>
        <w:rPr>
          <w:rFonts w:hint="eastAsia"/>
          <w:color w:val="auto"/>
          <w:kern w:val="21"/>
          <w:lang w:eastAsia="zh-CN" w:bidi="ar"/>
        </w:rPr>
        <w:t>排污许可证推荐的可行技术</w:t>
      </w:r>
      <w:r>
        <w:rPr>
          <w:rFonts w:hint="eastAsia"/>
          <w:color w:val="auto"/>
          <w:kern w:val="21"/>
          <w:lang w:bidi="ar"/>
        </w:rPr>
        <w:t>。</w:t>
      </w:r>
      <w:r>
        <w:rPr>
          <w:rFonts w:hint="eastAsia"/>
          <w:color w:val="auto"/>
          <w:kern w:val="21"/>
          <w:lang w:eastAsia="zh-CN" w:bidi="ar"/>
        </w:rPr>
        <w:t>根据项目比选方案可知，</w:t>
      </w:r>
      <w:r>
        <w:rPr>
          <w:rFonts w:hint="eastAsia"/>
          <w:color w:val="auto"/>
          <w:kern w:val="21"/>
          <w:lang w:bidi="ar"/>
        </w:rPr>
        <w:t>本项目</w:t>
      </w:r>
      <w:r>
        <w:rPr>
          <w:rFonts w:hint="eastAsia"/>
          <w:color w:val="auto"/>
          <w:kern w:val="21"/>
          <w:lang w:eastAsia="zh-CN" w:bidi="ar"/>
        </w:rPr>
        <w:t>“</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+MBR</w:t>
      </w:r>
      <w:r>
        <w:rPr>
          <w:rFonts w:hint="eastAsia"/>
          <w:color w:val="auto"/>
          <w:kern w:val="21"/>
          <w:lang w:eastAsia="zh-CN" w:bidi="ar"/>
        </w:rPr>
        <w:t>”</w:t>
      </w:r>
      <w:r>
        <w:rPr>
          <w:rFonts w:hint="eastAsia"/>
          <w:color w:val="auto"/>
          <w:kern w:val="21"/>
          <w:lang w:bidi="ar"/>
        </w:rPr>
        <w:t>处理工艺</w:t>
      </w:r>
      <w:r>
        <w:rPr>
          <w:rFonts w:hint="eastAsia"/>
          <w:color w:val="auto"/>
          <w:kern w:val="21"/>
          <w:lang w:eastAsia="zh-CN" w:bidi="ar"/>
        </w:rPr>
        <w:t>建设投资及运行投资均小于比选方案“</w:t>
      </w:r>
      <w:r>
        <w:rPr>
          <w:rFonts w:hint="eastAsia"/>
          <w:color w:val="auto"/>
          <w:kern w:val="21"/>
          <w:lang w:val="en-US" w:eastAsia="zh-CN" w:bidi="ar"/>
        </w:rPr>
        <w:t>CASS+超滤膜</w:t>
      </w:r>
      <w:r>
        <w:rPr>
          <w:rFonts w:hint="eastAsia"/>
          <w:color w:val="auto"/>
          <w:kern w:val="21"/>
          <w:lang w:eastAsia="zh-CN" w:bidi="ar"/>
        </w:rPr>
        <w:t>”工艺，经济上较为合理。</w:t>
      </w:r>
    </w:p>
    <w:p>
      <w:pPr>
        <w:pStyle w:val="23"/>
        <w:spacing w:after="0" w:line="360" w:lineRule="auto"/>
        <w:ind w:left="0" w:leftChars="0" w:firstLine="480"/>
        <w:rPr>
          <w:rFonts w:hint="eastAsia" w:eastAsia="宋体"/>
          <w:color w:val="auto"/>
          <w:kern w:val="21"/>
          <w:lang w:eastAsia="zh-CN" w:bidi="ar"/>
        </w:rPr>
      </w:pPr>
      <w:r>
        <w:rPr>
          <w:rFonts w:hint="eastAsia"/>
          <w:color w:val="auto"/>
          <w:kern w:val="21"/>
          <w:lang w:eastAsia="zh-CN" w:bidi="ar"/>
        </w:rPr>
        <w:t>综上所述，本项目“</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+MBR</w:t>
      </w:r>
      <w:r>
        <w:rPr>
          <w:rFonts w:hint="eastAsia"/>
          <w:color w:val="auto"/>
          <w:kern w:val="21"/>
          <w:lang w:eastAsia="zh-CN" w:bidi="ar"/>
        </w:rPr>
        <w:t>”</w:t>
      </w:r>
      <w:r>
        <w:rPr>
          <w:rFonts w:hint="eastAsia"/>
          <w:color w:val="auto"/>
          <w:kern w:val="21"/>
          <w:lang w:bidi="ar"/>
        </w:rPr>
        <w:t>处理工艺</w:t>
      </w:r>
      <w:r>
        <w:rPr>
          <w:rFonts w:hint="eastAsia"/>
          <w:color w:val="auto"/>
          <w:kern w:val="21"/>
          <w:lang w:eastAsia="zh-CN" w:bidi="ar"/>
        </w:rPr>
        <w:t>经济合理，技术可行，已有大量污水处理厂运行案例佐证，出水水质能满足本环评表2-23设置的排放标准，项目废水处理工艺具有可行性。</w:t>
      </w:r>
    </w:p>
    <w:p>
      <w:pPr>
        <w:pStyle w:val="6"/>
        <w:spacing w:after="0"/>
        <w:rPr>
          <w:rFonts w:eastAsia="宋体"/>
          <w:color w:val="auto"/>
          <w:kern w:val="21"/>
          <w:sz w:val="24"/>
          <w:szCs w:val="24"/>
        </w:rPr>
      </w:pPr>
      <w:bookmarkStart w:id="350" w:name="_Toc23438"/>
      <w:r>
        <w:rPr>
          <w:rFonts w:eastAsia="宋体"/>
          <w:color w:val="auto"/>
          <w:kern w:val="21"/>
          <w:sz w:val="24"/>
          <w:szCs w:val="24"/>
        </w:rPr>
        <w:t>8.2.2地下水</w:t>
      </w:r>
      <w:r>
        <w:rPr>
          <w:rFonts w:hint="eastAsia" w:eastAsia="宋体"/>
          <w:color w:val="auto"/>
          <w:kern w:val="21"/>
          <w:sz w:val="24"/>
          <w:szCs w:val="24"/>
        </w:rPr>
        <w:t>污染防治</w:t>
      </w:r>
      <w:r>
        <w:rPr>
          <w:rFonts w:eastAsia="宋体"/>
          <w:color w:val="auto"/>
          <w:kern w:val="21"/>
          <w:sz w:val="24"/>
          <w:szCs w:val="24"/>
        </w:rPr>
        <w:t>措施</w:t>
      </w:r>
      <w:bookmarkEnd w:id="350"/>
    </w:p>
    <w:p>
      <w:pPr>
        <w:widowControl/>
        <w:ind w:firstLine="480"/>
        <w:jc w:val="left"/>
        <w:rPr>
          <w:color w:val="auto"/>
          <w:kern w:val="21"/>
          <w:lang w:bidi="ar"/>
        </w:rPr>
      </w:pPr>
      <w:r>
        <w:rPr>
          <w:color w:val="auto"/>
          <w:kern w:val="21"/>
          <w:lang w:bidi="ar"/>
        </w:rPr>
        <w:t>本项目为楚雄市富民工业园区污水处理项目，可有效削减园区内工业污水污染物的排放量，降低地表水污染负荷和受污染的风险，但在项目建设过程中，需做好厂区的污染防渗措施，污废水处理过程中，需加强污染管理，注重污染管控，避免对地下水环境产生污染。在项目建设及运行过程中，避免对地下水环境产生污染</w:t>
      </w:r>
      <w:r>
        <w:rPr>
          <w:rFonts w:hint="eastAsia"/>
          <w:color w:val="auto"/>
          <w:kern w:val="21"/>
          <w:lang w:bidi="ar"/>
        </w:rPr>
        <w:t>已采取的</w:t>
      </w:r>
      <w:r>
        <w:rPr>
          <w:color w:val="auto"/>
          <w:kern w:val="21"/>
          <w:lang w:bidi="ar"/>
        </w:rPr>
        <w:t>防治措施主要有：</w:t>
      </w:r>
    </w:p>
    <w:p>
      <w:pPr>
        <w:pStyle w:val="23"/>
        <w:spacing w:after="0" w:line="360" w:lineRule="auto"/>
        <w:ind w:left="0" w:leftChars="0" w:firstLine="480"/>
        <w:rPr>
          <w:color w:val="auto"/>
          <w:kern w:val="21"/>
          <w:lang w:bidi="ar"/>
        </w:rPr>
      </w:pPr>
      <w:r>
        <w:rPr>
          <w:rFonts w:hint="eastAsia"/>
          <w:color w:val="auto"/>
          <w:kern w:val="21"/>
          <w:lang w:bidi="ar"/>
        </w:rPr>
        <w:t>1、厂区污水管网防渗措施：</w:t>
      </w:r>
    </w:p>
    <w:p>
      <w:pPr>
        <w:pStyle w:val="23"/>
        <w:spacing w:after="0" w:line="360" w:lineRule="auto"/>
        <w:ind w:left="0" w:leftChars="0" w:firstLine="480"/>
        <w:rPr>
          <w:color w:val="auto"/>
          <w:kern w:val="21"/>
          <w:lang w:bidi="ar"/>
        </w:rPr>
      </w:pPr>
      <w:r>
        <w:rPr>
          <w:rFonts w:hint="eastAsia"/>
          <w:color w:val="auto"/>
          <w:kern w:val="21"/>
          <w:lang w:bidi="ar"/>
        </w:rPr>
        <w:t>材料：管材全部采用HDPE钢带增强聚乙烯螺旋波纹管，环刚度≥12.5KN/m</w:t>
      </w:r>
      <w:r>
        <w:rPr>
          <w:rFonts w:hint="eastAsia"/>
          <w:color w:val="auto"/>
          <w:kern w:val="21"/>
          <w:vertAlign w:val="superscript"/>
          <w:lang w:bidi="ar"/>
        </w:rPr>
        <w:t>2</w:t>
      </w:r>
      <w:r>
        <w:rPr>
          <w:rFonts w:hint="eastAsia"/>
          <w:color w:val="auto"/>
          <w:kern w:val="21"/>
          <w:lang w:bidi="ar"/>
        </w:rPr>
        <w:t>，该管材抗压性能高，抗冲、耐热性能好，耐酸碱，采用热收缩带连接，不会锈蚀，防渗性能优良。污水检查井采用钢筋砼污水检查井，C25混凝土（商混），抗渗等级为P6。</w:t>
      </w:r>
    </w:p>
    <w:p>
      <w:pPr>
        <w:pStyle w:val="23"/>
        <w:spacing w:after="0" w:line="360" w:lineRule="auto"/>
        <w:ind w:left="0" w:leftChars="0" w:firstLine="480"/>
        <w:rPr>
          <w:color w:val="auto"/>
          <w:kern w:val="21"/>
          <w:lang w:bidi="ar"/>
        </w:rPr>
      </w:pPr>
      <w:r>
        <w:rPr>
          <w:rFonts w:hint="eastAsia"/>
          <w:color w:val="auto"/>
          <w:kern w:val="21"/>
          <w:lang w:bidi="ar"/>
        </w:rPr>
        <w:t>质量控制：所有管材均采用大厂合格产品，管材进场须附出厂检验证明材料，并报监理验收确认方可使用；施工过程严格实行现场监理，每一道工序报验合格才能进入下一道工序；污水管网施工完毕后进行闭水试验，试验合格方可进入道路施工。</w:t>
      </w:r>
    </w:p>
    <w:p>
      <w:pPr>
        <w:pStyle w:val="23"/>
        <w:spacing w:after="0" w:line="360" w:lineRule="auto"/>
        <w:ind w:left="0" w:leftChars="0" w:firstLine="480"/>
        <w:rPr>
          <w:color w:val="auto"/>
          <w:kern w:val="21"/>
          <w:lang w:bidi="ar"/>
        </w:rPr>
      </w:pPr>
      <w:r>
        <w:rPr>
          <w:rFonts w:hint="eastAsia"/>
          <w:color w:val="auto"/>
          <w:kern w:val="21"/>
          <w:lang w:bidi="ar"/>
        </w:rPr>
        <w:t>2、厂区构筑物防渗措施：</w:t>
      </w:r>
    </w:p>
    <w:p>
      <w:pPr>
        <w:pStyle w:val="23"/>
        <w:spacing w:after="0" w:line="360" w:lineRule="auto"/>
        <w:ind w:left="0" w:leftChars="0" w:firstLine="480"/>
        <w:rPr>
          <w:color w:val="auto"/>
          <w:kern w:val="21"/>
          <w:lang w:bidi="ar"/>
        </w:rPr>
      </w:pPr>
      <w:r>
        <w:rPr>
          <w:rFonts w:hint="eastAsia"/>
          <w:color w:val="auto"/>
          <w:kern w:val="21"/>
          <w:lang w:bidi="ar"/>
        </w:rPr>
        <w:t>材料：本项目全部采用商品混凝土，混凝土抗渗等级为P6。采用补偿收缩混凝土，混凝土内掺入高效抗裂剂。设计要求抗裂剂掺量应在符合混凝土强度、抗渗等级以及膨胀率的前提下通过试验确定，微膨胀剂按GB50119-2013《混凝土外加剂应用技术规范》的规定施工。所有管道与构筑物的连接部位均设置防水套管。构筑物施工缝按规范设置钢板止水带。</w:t>
      </w:r>
    </w:p>
    <w:p>
      <w:pPr>
        <w:pStyle w:val="23"/>
        <w:spacing w:after="0" w:line="360" w:lineRule="auto"/>
        <w:ind w:left="0" w:leftChars="0" w:firstLine="480"/>
        <w:rPr>
          <w:color w:val="auto"/>
          <w:kern w:val="21"/>
          <w:lang w:bidi="ar"/>
        </w:rPr>
      </w:pPr>
      <w:r>
        <w:rPr>
          <w:rFonts w:hint="eastAsia"/>
          <w:color w:val="auto"/>
          <w:kern w:val="21"/>
          <w:lang w:bidi="ar"/>
        </w:rPr>
        <w:t>防水防腐：构筑物的防水等级为Ⅱ级，构筑物的内外表面、中隔墙、底板上表面、顶板下表面，迎水面等采用高分子防水防腐涂料刷厚1.0mm（每平米约2kg）。参考参数：延伸率不小于120%，抗拉强度不小于1.6MPa，耐10%常规酸（盐酸、硫酸），耐10%氢氧化钠，耐1%次氯酸钠，耐3%聚合氯化铝。</w:t>
      </w:r>
    </w:p>
    <w:p>
      <w:pPr>
        <w:pStyle w:val="23"/>
        <w:spacing w:after="0" w:line="360" w:lineRule="auto"/>
        <w:ind w:left="0" w:leftChars="0" w:firstLine="480"/>
        <w:rPr>
          <w:color w:val="auto"/>
          <w:kern w:val="21"/>
          <w:lang w:bidi="ar"/>
        </w:rPr>
      </w:pPr>
      <w:r>
        <w:rPr>
          <w:rFonts w:hint="eastAsia"/>
          <w:color w:val="auto"/>
          <w:kern w:val="21"/>
          <w:lang w:bidi="ar"/>
        </w:rPr>
        <w:t>质量控制：所有材料均采用大厂合格产品，材料进场须附出厂检验证明材料，并报监理验收确认方可使用；施工过程严格实行现场监理，每一道工序报验合格才能进入下一道工序；抗渗混凝土按要求附具出厂检测报告、现场取样混凝土检测报告。</w:t>
      </w:r>
    </w:p>
    <w:p>
      <w:pPr>
        <w:pStyle w:val="23"/>
        <w:spacing w:after="0" w:line="360" w:lineRule="auto"/>
        <w:ind w:left="0" w:leftChars="0" w:firstLine="480"/>
        <w:rPr>
          <w:color w:val="auto"/>
          <w:kern w:val="21"/>
          <w:lang w:bidi="ar"/>
        </w:rPr>
      </w:pPr>
      <w:r>
        <w:rPr>
          <w:rFonts w:hint="eastAsia"/>
          <w:color w:val="auto"/>
          <w:kern w:val="21"/>
          <w:lang w:bidi="ar"/>
        </w:rPr>
        <w:t>满水试验：所有容纳污水的构筑物，都必须进行满水试验。满水试验的方法与要求应严格按照GB50141-2008《给水排水构筑物工程施工及验收规范》中第9.1～9.2条的规定执行。满水试验必须在池壁及中隔墙的砼强度达到100%以后方可进行。试水合格以后，立即进行内外防水防腐涂刷和回填土工作，不得继续曝露；回填土时，池内应保持一定的水位以平衡地下土地压力。</w:t>
      </w:r>
    </w:p>
    <w:p>
      <w:pPr>
        <w:pStyle w:val="23"/>
        <w:spacing w:after="0" w:line="360" w:lineRule="auto"/>
        <w:ind w:left="0" w:leftChars="0" w:firstLine="480"/>
        <w:rPr>
          <w:color w:val="auto"/>
          <w:kern w:val="21"/>
          <w:lang w:bidi="ar"/>
        </w:rPr>
      </w:pPr>
      <w:r>
        <w:rPr>
          <w:rFonts w:hint="eastAsia"/>
          <w:color w:val="auto"/>
          <w:kern w:val="21"/>
          <w:lang w:bidi="ar"/>
        </w:rPr>
        <w:t>3、工艺管道防腐：</w:t>
      </w:r>
    </w:p>
    <w:p>
      <w:pPr>
        <w:pStyle w:val="23"/>
        <w:spacing w:after="0" w:line="360" w:lineRule="auto"/>
        <w:ind w:left="0" w:leftChars="0" w:firstLine="480"/>
        <w:rPr>
          <w:color w:val="auto"/>
          <w:kern w:val="21"/>
          <w:lang w:bidi="ar"/>
        </w:rPr>
      </w:pPr>
      <w:r>
        <w:rPr>
          <w:rFonts w:hint="eastAsia"/>
          <w:color w:val="auto"/>
          <w:kern w:val="21"/>
          <w:lang w:bidi="ar"/>
        </w:rPr>
        <w:t>管道内壁防腐（出厂前完成）：本工程管道内壁防腐采用无溶剂饮水舱防腐涂料，该涂料以无溶剂纯树脂为主要原料，配以填料、进口固化剂等组成。该涂料具有优异的耐水、耐海水、耐油及耐高压水等防腐性能。该涂料不含溶剂无气味，漆膜坚韧无毒，防腐蚀耐久性效果好。具体步骤如下：首先进行表面处理：钢材表面抛丸除锈至Sa2.5级，表面粗糙度等级规定中等50-75微米，再进行防腐涂料喷涂。钢管出厂前内壁防腐喷涂方法：无溶剂饮水舱防腐涂料（白色）加热至65℃成流态后，与固化剂前端混合（无溶剂饮水舱防腐涂料：固化剂的质量比6:1），使用管路具有保温功能的高压无气喷涂设备进行自动喷涂，一次成膜厚度500um。</w:t>
      </w:r>
    </w:p>
    <w:p>
      <w:pPr>
        <w:pStyle w:val="23"/>
        <w:spacing w:after="0" w:line="360" w:lineRule="auto"/>
        <w:ind w:left="0" w:leftChars="0" w:firstLine="480"/>
        <w:rPr>
          <w:color w:val="auto"/>
          <w:kern w:val="21"/>
          <w:lang w:bidi="ar"/>
        </w:rPr>
      </w:pPr>
      <w:r>
        <w:rPr>
          <w:rFonts w:hint="eastAsia"/>
          <w:color w:val="auto"/>
          <w:kern w:val="21"/>
          <w:lang w:bidi="ar"/>
        </w:rPr>
        <w:t>管道外壁防腐（一底一布三油）：本工程管道外壁防腐采用IPN8710系列聚氨酯聚乙烯涂料，该涂料附着力强，防锈性能好，耐酸、碱、盐等腐蚀介质，具有较好的耐候性、装饰性和防腐性。具体步骤如下：首先进行表面处理：钢材表面抛丸除锈至Sa2.5级，表面粗糙度等级规定中等50-75微米，再进行防腐涂料喷涂。先刷IPN8710-1G底漆一道，涂IPN8710-3H面漆一道，缠绕玻璃纤维布一层，再涂IPN8710-3H面漆一道。金属除锈后应立即涂上底漆，底漆表干后可涂面漆。玻璃纤维布应选用中碱或无碱脱脂方格平纹布，厚度0.15mm。工地焊缝两侧各留100mm不衬涂，待安装完毕后，再按要求进行涂装。</w:t>
      </w:r>
    </w:p>
    <w:p>
      <w:pPr>
        <w:widowControl/>
        <w:ind w:firstLine="480"/>
        <w:jc w:val="left"/>
        <w:rPr>
          <w:bCs/>
          <w:color w:val="auto"/>
          <w:kern w:val="21"/>
        </w:rPr>
      </w:pPr>
      <w:r>
        <w:rPr>
          <w:rFonts w:hint="eastAsia"/>
          <w:bCs/>
          <w:color w:val="auto"/>
          <w:kern w:val="21"/>
          <w:lang w:bidi="ar"/>
        </w:rPr>
        <w:t>4</w:t>
      </w:r>
      <w:r>
        <w:rPr>
          <w:bCs/>
          <w:color w:val="auto"/>
          <w:kern w:val="21"/>
          <w:lang w:bidi="ar"/>
        </w:rPr>
        <w:t>、地下水环境跟踪监测与信息公开</w:t>
      </w:r>
    </w:p>
    <w:p>
      <w:pPr>
        <w:widowControl/>
        <w:ind w:firstLine="480"/>
        <w:jc w:val="left"/>
        <w:rPr>
          <w:color w:val="auto"/>
          <w:kern w:val="21"/>
          <w:lang w:bidi="ar"/>
        </w:rPr>
      </w:pPr>
      <w:r>
        <w:rPr>
          <w:color w:val="auto"/>
          <w:kern w:val="21"/>
          <w:lang w:bidi="ar"/>
        </w:rPr>
        <w:t>建立项目区地下水环境监控体系，包括建立地下水监控制度和环境管理体系、制定监测计划、配备必要的检测仪器和设备，以便及时发现问题，及时采取措施。</w:t>
      </w:r>
    </w:p>
    <w:p>
      <w:pPr>
        <w:widowControl/>
        <w:ind w:firstLine="480"/>
        <w:jc w:val="left"/>
        <w:rPr>
          <w:color w:val="auto"/>
          <w:kern w:val="21"/>
          <w:lang w:bidi="ar"/>
        </w:rPr>
      </w:pPr>
      <w:r>
        <w:rPr>
          <w:color w:val="auto"/>
          <w:kern w:val="21"/>
          <w:lang w:bidi="ar"/>
        </w:rPr>
        <w:t>（1）地下水跟踪监测计划</w:t>
      </w:r>
    </w:p>
    <w:p>
      <w:pPr>
        <w:widowControl/>
        <w:ind w:firstLine="480"/>
        <w:jc w:val="left"/>
        <w:rPr>
          <w:color w:val="auto"/>
          <w:kern w:val="21"/>
          <w:lang w:bidi="ar"/>
        </w:rPr>
      </w:pPr>
      <w:r>
        <w:rPr>
          <w:color w:val="auto"/>
          <w:kern w:val="21"/>
          <w:lang w:bidi="ar"/>
        </w:rPr>
        <w:t>项目地下水跟踪监测计划内容如下：</w:t>
      </w:r>
    </w:p>
    <w:p>
      <w:pPr>
        <w:pStyle w:val="23"/>
        <w:spacing w:after="0" w:line="360" w:lineRule="auto"/>
        <w:ind w:left="0" w:leftChars="0" w:firstLine="480"/>
        <w:rPr>
          <w:color w:val="auto"/>
          <w:kern w:val="21"/>
          <w:lang w:bidi="ar"/>
        </w:rPr>
      </w:pPr>
      <w:r>
        <w:rPr>
          <w:color w:val="auto"/>
          <w:kern w:val="21"/>
          <w:lang w:bidi="ar"/>
        </w:rPr>
        <w:t>①监测点位：上游跟踪监测井设在综合楼</w:t>
      </w:r>
      <w:r>
        <w:rPr>
          <w:rFonts w:hint="eastAsia"/>
          <w:color w:val="auto"/>
          <w:kern w:val="21"/>
          <w:lang w:bidi="ar"/>
        </w:rPr>
        <w:t>南侧</w:t>
      </w:r>
      <w:r>
        <w:rPr>
          <w:color w:val="auto"/>
          <w:kern w:val="21"/>
          <w:lang w:bidi="ar"/>
        </w:rPr>
        <w:t>（1</w:t>
      </w:r>
      <w:r>
        <w:rPr>
          <w:color w:val="auto"/>
          <w:kern w:val="21"/>
          <w:vertAlign w:val="superscript"/>
          <w:lang w:bidi="ar"/>
        </w:rPr>
        <w:t>#</w:t>
      </w:r>
      <w:r>
        <w:rPr>
          <w:color w:val="auto"/>
          <w:kern w:val="21"/>
          <w:lang w:bidi="ar"/>
        </w:rPr>
        <w:t>监测点，坐标E：101°36′14.54″</w:t>
      </w:r>
      <w:r>
        <w:rPr>
          <w:color w:val="auto"/>
          <w:kern w:val="21"/>
        </w:rPr>
        <w:t>、N：25°1′15.08″</w:t>
      </w:r>
      <w:r>
        <w:rPr>
          <w:color w:val="auto"/>
          <w:kern w:val="21"/>
          <w:lang w:bidi="ar"/>
        </w:rPr>
        <w:t>），厂区跟踪监测井设在在线检测房北侧（2</w:t>
      </w:r>
      <w:r>
        <w:rPr>
          <w:color w:val="auto"/>
          <w:kern w:val="21"/>
          <w:vertAlign w:val="superscript"/>
          <w:lang w:bidi="ar"/>
        </w:rPr>
        <w:t>#</w:t>
      </w:r>
      <w:r>
        <w:rPr>
          <w:color w:val="auto"/>
          <w:kern w:val="21"/>
          <w:lang w:bidi="ar"/>
        </w:rPr>
        <w:t>监测点，坐标E：101°36′11.22″</w:t>
      </w:r>
      <w:r>
        <w:rPr>
          <w:color w:val="auto"/>
          <w:kern w:val="21"/>
        </w:rPr>
        <w:t>、N：25°1′18.69″</w:t>
      </w:r>
      <w:r>
        <w:rPr>
          <w:color w:val="auto"/>
          <w:kern w:val="21"/>
          <w:lang w:bidi="ar"/>
        </w:rPr>
        <w:t>），下游跟踪监测井设在二期北厂界（3#监测点，坐标E：101°36′5.54″</w:t>
      </w:r>
      <w:r>
        <w:rPr>
          <w:color w:val="auto"/>
          <w:kern w:val="21"/>
        </w:rPr>
        <w:t>、N：</w:t>
      </w:r>
      <w:r>
        <w:rPr>
          <w:color w:val="auto"/>
          <w:kern w:val="21"/>
          <w:szCs w:val="20"/>
        </w:rPr>
        <w:t>25°1′22.33″</w:t>
      </w:r>
      <w:r>
        <w:rPr>
          <w:color w:val="auto"/>
          <w:kern w:val="21"/>
          <w:lang w:bidi="ar"/>
        </w:rPr>
        <w:t>）</w:t>
      </w:r>
      <w:r>
        <w:rPr>
          <w:rFonts w:hint="eastAsia"/>
          <w:color w:val="auto"/>
          <w:kern w:val="21"/>
          <w:lang w:bidi="ar"/>
        </w:rPr>
        <w:t>。</w:t>
      </w:r>
    </w:p>
    <w:p>
      <w:pPr>
        <w:pStyle w:val="23"/>
        <w:spacing w:after="0" w:line="360" w:lineRule="auto"/>
        <w:ind w:left="0" w:leftChars="0" w:firstLine="480"/>
        <w:rPr>
          <w:color w:val="auto"/>
          <w:kern w:val="21"/>
          <w:lang w:bidi="ar"/>
        </w:rPr>
      </w:pPr>
      <w:r>
        <w:rPr>
          <w:color w:val="auto"/>
          <w:kern w:val="21"/>
          <w:lang w:bidi="ar"/>
        </w:rPr>
        <w:t>②监测因子：</w:t>
      </w:r>
      <w:r>
        <w:rPr>
          <w:color w:val="auto"/>
          <w:kern w:val="21"/>
        </w:rPr>
        <w:t>pH、耗氧量、总硬度、溶解性固体总量、氯化物、硫酸盐、硝酸盐、亚硝酸盐、硫化物、氰化物、氟化物、氨氮、砷、镉、铅、铜、锌、铁、锰、汞、六价铬、总大肠菌群、细菌总数</w:t>
      </w:r>
      <w:r>
        <w:rPr>
          <w:rFonts w:hint="eastAsia"/>
          <w:color w:val="auto"/>
          <w:kern w:val="21"/>
        </w:rPr>
        <w:t>等</w:t>
      </w:r>
      <w:r>
        <w:rPr>
          <w:color w:val="auto"/>
          <w:kern w:val="21"/>
          <w:lang w:bidi="ar"/>
        </w:rPr>
        <w:t>。</w:t>
      </w:r>
    </w:p>
    <w:p>
      <w:pPr>
        <w:pStyle w:val="23"/>
        <w:spacing w:after="0" w:line="360" w:lineRule="auto"/>
        <w:ind w:left="0" w:leftChars="0" w:firstLine="480"/>
        <w:rPr>
          <w:color w:val="auto"/>
          <w:kern w:val="21"/>
          <w:lang w:bidi="ar"/>
        </w:rPr>
      </w:pPr>
      <w:r>
        <w:rPr>
          <w:color w:val="auto"/>
          <w:kern w:val="21"/>
          <w:lang w:bidi="ar"/>
        </w:rPr>
        <w:t>③</w:t>
      </w:r>
      <w:r>
        <w:rPr>
          <w:color w:val="auto"/>
          <w:kern w:val="21"/>
        </w:rPr>
        <w:t>监测频率：每年监测</w:t>
      </w:r>
      <w:r>
        <w:rPr>
          <w:rFonts w:hint="eastAsia"/>
          <w:color w:val="auto"/>
          <w:kern w:val="21"/>
        </w:rPr>
        <w:t>1</w:t>
      </w:r>
      <w:r>
        <w:rPr>
          <w:color w:val="auto"/>
          <w:kern w:val="21"/>
        </w:rPr>
        <w:t>次。</w:t>
      </w:r>
    </w:p>
    <w:p>
      <w:pPr>
        <w:widowControl/>
        <w:ind w:firstLine="480"/>
        <w:jc w:val="left"/>
        <w:rPr>
          <w:color w:val="auto"/>
          <w:kern w:val="21"/>
          <w:lang w:bidi="ar"/>
        </w:rPr>
      </w:pPr>
      <w:r>
        <w:rPr>
          <w:color w:val="auto"/>
          <w:kern w:val="21"/>
          <w:lang w:bidi="ar"/>
        </w:rPr>
        <w:t>（2）地下水环境公开信息</w:t>
      </w:r>
    </w:p>
    <w:p>
      <w:pPr>
        <w:widowControl/>
        <w:ind w:firstLine="480"/>
        <w:jc w:val="left"/>
        <w:rPr>
          <w:color w:val="auto"/>
          <w:kern w:val="21"/>
          <w:lang w:bidi="ar"/>
        </w:rPr>
      </w:pPr>
      <w:r>
        <w:rPr>
          <w:color w:val="auto"/>
          <w:kern w:val="21"/>
          <w:lang w:bidi="ar"/>
        </w:rPr>
        <w:t>地下水环境信息公开内容如下：</w:t>
      </w:r>
    </w:p>
    <w:p>
      <w:pPr>
        <w:pStyle w:val="23"/>
        <w:spacing w:after="0" w:line="360" w:lineRule="auto"/>
        <w:ind w:left="0" w:leftChars="0" w:firstLine="480"/>
        <w:rPr>
          <w:color w:val="auto"/>
          <w:kern w:val="21"/>
          <w:lang w:bidi="ar"/>
        </w:rPr>
      </w:pPr>
      <w:r>
        <w:rPr>
          <w:color w:val="auto"/>
          <w:kern w:val="21"/>
          <w:lang w:bidi="ar"/>
        </w:rPr>
        <w:t>①三</w:t>
      </w:r>
      <w:r>
        <w:rPr>
          <w:rFonts w:hint="eastAsia"/>
          <w:color w:val="auto"/>
          <w:kern w:val="21"/>
          <w:lang w:bidi="ar"/>
        </w:rPr>
        <w:t>个</w:t>
      </w:r>
      <w:r>
        <w:rPr>
          <w:color w:val="auto"/>
          <w:kern w:val="21"/>
          <w:lang w:bidi="ar"/>
        </w:rPr>
        <w:t>地下水环境跟踪监测</w:t>
      </w:r>
      <w:r>
        <w:rPr>
          <w:rFonts w:hint="eastAsia"/>
          <w:color w:val="auto"/>
          <w:kern w:val="21"/>
          <w:lang w:bidi="ar"/>
        </w:rPr>
        <w:t>点</w:t>
      </w:r>
      <w:r>
        <w:rPr>
          <w:color w:val="auto"/>
          <w:kern w:val="21"/>
          <w:lang w:bidi="ar"/>
        </w:rPr>
        <w:t>的监测数据，包括个监测因子的监测时间、频次、各监测因子的监测数据、监测单位等。</w:t>
      </w:r>
    </w:p>
    <w:p>
      <w:pPr>
        <w:pStyle w:val="23"/>
        <w:spacing w:after="0" w:line="360" w:lineRule="auto"/>
        <w:ind w:left="0" w:leftChars="0" w:firstLine="480"/>
        <w:rPr>
          <w:color w:val="auto"/>
          <w:kern w:val="21"/>
          <w:lang w:bidi="ar"/>
        </w:rPr>
      </w:pPr>
      <w:r>
        <w:rPr>
          <w:color w:val="auto"/>
          <w:kern w:val="21"/>
          <w:lang w:bidi="ar"/>
        </w:rPr>
        <w:t>②生产设备、管线、污水储存与处理设施、污泥储存等设施的运行状况、跑冒滴漏记录、维护记录。</w:t>
      </w:r>
    </w:p>
    <w:p>
      <w:pPr>
        <w:pStyle w:val="23"/>
        <w:spacing w:after="0" w:line="360" w:lineRule="auto"/>
        <w:ind w:left="0" w:leftChars="0" w:firstLine="480"/>
        <w:rPr>
          <w:color w:val="auto"/>
          <w:kern w:val="21"/>
          <w:lang w:bidi="ar"/>
        </w:rPr>
      </w:pPr>
      <w:r>
        <w:rPr>
          <w:color w:val="auto"/>
          <w:kern w:val="21"/>
          <w:lang w:bidi="ar"/>
        </w:rPr>
        <w:t>③环境信息公开频次：每半年至少公开一次。</w:t>
      </w:r>
    </w:p>
    <w:p>
      <w:pPr>
        <w:widowControl/>
        <w:ind w:firstLine="480"/>
        <w:jc w:val="left"/>
        <w:rPr>
          <w:bCs/>
          <w:color w:val="auto"/>
          <w:kern w:val="21"/>
        </w:rPr>
      </w:pPr>
      <w:r>
        <w:rPr>
          <w:bCs/>
          <w:color w:val="auto"/>
          <w:kern w:val="21"/>
          <w:lang w:bidi="ar"/>
        </w:rPr>
        <w:t>（3）应急处理措施</w:t>
      </w:r>
    </w:p>
    <w:p>
      <w:pPr>
        <w:widowControl/>
        <w:ind w:firstLine="480"/>
        <w:jc w:val="left"/>
        <w:rPr>
          <w:color w:val="auto"/>
          <w:kern w:val="21"/>
        </w:rPr>
      </w:pPr>
      <w:r>
        <w:rPr>
          <w:color w:val="auto"/>
          <w:kern w:val="21"/>
          <w:lang w:bidi="ar"/>
        </w:rPr>
        <w:t>①应急预案</w:t>
      </w:r>
    </w:p>
    <w:p>
      <w:pPr>
        <w:widowControl/>
        <w:ind w:firstLine="480"/>
        <w:jc w:val="left"/>
        <w:rPr>
          <w:color w:val="auto"/>
          <w:kern w:val="21"/>
        </w:rPr>
      </w:pPr>
      <w:r>
        <w:rPr>
          <w:color w:val="auto"/>
          <w:kern w:val="21"/>
          <w:lang w:bidi="ar"/>
        </w:rPr>
        <w:t>项目运行过程中，应按国家、地方及行业相关规范要求，制定地下水污染应急预案，并在发现污废水出现跑冒滴漏等情况时立刻启动应急预案，采取应急措施阻止污染扩散，降低地下水受污染程度。地下水污染应急预案应包括以下要点：如发现污废水出现跑冒滴漏等情况时，应立即向公司环保部门及行政管理部门报告，调查并确认污染源位置，采取有效措施及时阻断确认的污染源，防止污染物继续渗漏到地下，导致土壤和地下水受污染范围扩大；对泄漏至地面的污废水或固废及时进行清理；定期检查粗格栅及进水泵房、细格栅及调节池、混凝沉淀池、水解酸化池、</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生化池、MBR膜池及设备间（含储罐区）、污泥脱水车间、储泥池等防渗层的破损情况。</w:t>
      </w:r>
    </w:p>
    <w:p>
      <w:pPr>
        <w:widowControl/>
        <w:ind w:firstLine="480"/>
        <w:jc w:val="left"/>
        <w:rPr>
          <w:color w:val="auto"/>
          <w:kern w:val="21"/>
        </w:rPr>
      </w:pPr>
      <w:r>
        <w:rPr>
          <w:color w:val="auto"/>
          <w:kern w:val="21"/>
          <w:lang w:bidi="ar"/>
        </w:rPr>
        <w:t>②应急措施</w:t>
      </w:r>
    </w:p>
    <w:p>
      <w:pPr>
        <w:widowControl/>
        <w:ind w:firstLine="480"/>
        <w:jc w:val="left"/>
        <w:rPr>
          <w:color w:val="auto"/>
          <w:kern w:val="21"/>
        </w:rPr>
      </w:pPr>
      <w:r>
        <w:rPr>
          <w:color w:val="auto"/>
          <w:kern w:val="21"/>
          <w:lang w:bidi="ar"/>
        </w:rPr>
        <w:t>（a）粗格栅及进水泵房、细格栅及调节池、混凝沉淀池、水解酸化池、</w:t>
      </w:r>
      <w:r>
        <w:rPr>
          <w:rFonts w:hint="eastAsia"/>
          <w:color w:val="auto"/>
          <w:kern w:val="21"/>
          <w:lang w:bidi="ar"/>
        </w:rPr>
        <w:t>A</w:t>
      </w:r>
      <w:r>
        <w:rPr>
          <w:rFonts w:hint="eastAsia"/>
          <w:color w:val="auto"/>
          <w:kern w:val="21"/>
          <w:vertAlign w:val="superscript"/>
          <w:lang w:bidi="ar"/>
        </w:rPr>
        <w:t>2</w:t>
      </w:r>
      <w:r>
        <w:rPr>
          <w:rFonts w:hint="eastAsia"/>
          <w:color w:val="auto"/>
          <w:kern w:val="21"/>
          <w:lang w:bidi="ar"/>
        </w:rPr>
        <w:t>/O</w:t>
      </w:r>
      <w:r>
        <w:rPr>
          <w:color w:val="auto"/>
          <w:kern w:val="21"/>
          <w:lang w:bidi="ar"/>
        </w:rPr>
        <w:t>生化池、MBR膜池及设备间（含储罐区）、污泥脱水车间、储泥池等发生破损或破裂，导致污废水发生渗漏时，应将池中污水抽出并暂存于事故池中进行处理，对池中破损部位进行修补，杜绝形成持续的污染源；</w:t>
      </w:r>
    </w:p>
    <w:p>
      <w:pPr>
        <w:widowControl/>
        <w:ind w:firstLine="480"/>
        <w:jc w:val="left"/>
        <w:rPr>
          <w:color w:val="auto"/>
          <w:kern w:val="21"/>
        </w:rPr>
      </w:pPr>
      <w:r>
        <w:rPr>
          <w:color w:val="auto"/>
          <w:kern w:val="21"/>
          <w:lang w:bidi="ar"/>
        </w:rPr>
        <w:t>（b）对厂区内泄漏至地面的污废水或固废，须及时进行清理。</w:t>
      </w:r>
    </w:p>
    <w:p>
      <w:pPr>
        <w:widowControl/>
        <w:ind w:firstLine="480"/>
        <w:jc w:val="left"/>
        <w:rPr>
          <w:color w:val="auto"/>
          <w:kern w:val="21"/>
          <w:lang w:bidi="ar"/>
        </w:rPr>
      </w:pPr>
      <w:r>
        <w:rPr>
          <w:color w:val="auto"/>
          <w:kern w:val="21"/>
          <w:lang w:bidi="ar"/>
        </w:rPr>
        <w:t>（c）定期对地下水监测井进行水质监测，若发现水质有较大变化时，需适当增加监测频率，密切关注地下水受污染程度，并查找水质变化原因。</w:t>
      </w:r>
    </w:p>
    <w:p>
      <w:pPr>
        <w:widowControl/>
        <w:ind w:firstLine="480"/>
        <w:jc w:val="left"/>
        <w:rPr>
          <w:color w:val="auto"/>
          <w:kern w:val="21"/>
        </w:rPr>
      </w:pPr>
      <w:r>
        <w:rPr>
          <w:color w:val="auto"/>
          <w:kern w:val="21"/>
          <w:lang w:bidi="ar"/>
        </w:rPr>
        <w:t>（d）储罐区、污泥脱水车间、储泥池的防渗出现破损或破裂时，应及时对其进行修补；其应避免雨淋，屋顶出现破损须及时进行修补。</w:t>
      </w:r>
    </w:p>
    <w:p>
      <w:pPr>
        <w:pStyle w:val="6"/>
        <w:spacing w:after="0"/>
        <w:rPr>
          <w:color w:val="auto"/>
          <w:kern w:val="21"/>
          <w:sz w:val="24"/>
          <w:szCs w:val="24"/>
        </w:rPr>
      </w:pPr>
      <w:bookmarkStart w:id="351" w:name="_Toc27007"/>
      <w:r>
        <w:rPr>
          <w:rFonts w:eastAsia="宋体"/>
          <w:color w:val="auto"/>
          <w:kern w:val="21"/>
          <w:sz w:val="24"/>
          <w:szCs w:val="24"/>
        </w:rPr>
        <w:t>8.2.3</w:t>
      </w:r>
      <w:r>
        <w:rPr>
          <w:rFonts w:eastAsia="宋体"/>
          <w:color w:val="auto"/>
          <w:kern w:val="21"/>
          <w:sz w:val="24"/>
          <w:szCs w:val="24"/>
          <w:lang w:bidi="ar"/>
        </w:rPr>
        <w:t>环境空气</w:t>
      </w:r>
      <w:r>
        <w:rPr>
          <w:rFonts w:hint="eastAsia" w:eastAsia="宋体"/>
          <w:color w:val="auto"/>
          <w:kern w:val="21"/>
          <w:sz w:val="24"/>
          <w:szCs w:val="24"/>
          <w:lang w:bidi="ar"/>
        </w:rPr>
        <w:t>污染防治</w:t>
      </w:r>
      <w:r>
        <w:rPr>
          <w:rFonts w:eastAsia="宋体"/>
          <w:color w:val="auto"/>
          <w:kern w:val="21"/>
          <w:sz w:val="24"/>
          <w:szCs w:val="24"/>
          <w:lang w:bidi="ar"/>
        </w:rPr>
        <w:t>措施</w:t>
      </w:r>
      <w:bookmarkEnd w:id="351"/>
    </w:p>
    <w:p>
      <w:pPr>
        <w:spacing w:line="360" w:lineRule="auto"/>
        <w:ind w:firstLine="480"/>
        <w:rPr>
          <w:rFonts w:hint="default" w:hAnsi="宋体" w:cs="宋体"/>
          <w:bCs/>
          <w:color w:val="auto"/>
          <w:szCs w:val="44"/>
          <w:lang w:val="en-US" w:eastAsia="zh-CN"/>
        </w:rPr>
      </w:pPr>
      <w:r>
        <w:rPr>
          <w:rFonts w:hint="eastAsia" w:hAnsi="宋体" w:cs="宋体"/>
          <w:bCs/>
          <w:color w:val="auto"/>
          <w:szCs w:val="44"/>
          <w:lang w:val="en-US" w:eastAsia="zh-CN"/>
        </w:rPr>
        <w:t>1、恶臭治理措施</w:t>
      </w:r>
    </w:p>
    <w:p>
      <w:pPr>
        <w:spacing w:line="360" w:lineRule="auto"/>
        <w:ind w:firstLine="480"/>
        <w:rPr>
          <w:rFonts w:hint="eastAsia"/>
          <w:color w:val="auto"/>
          <w:kern w:val="21"/>
          <w:lang w:eastAsia="zh-CN"/>
        </w:rPr>
      </w:pPr>
      <w:r>
        <w:rPr>
          <w:rFonts w:hint="eastAsia" w:hAnsi="宋体" w:cs="宋体"/>
          <w:bCs/>
          <w:color w:val="auto"/>
          <w:szCs w:val="44"/>
          <w:lang w:eastAsia="zh-CN"/>
        </w:rPr>
        <w:t>项目产生的</w:t>
      </w:r>
      <w:r>
        <w:rPr>
          <w:rFonts w:hint="eastAsia" w:hAnsi="宋体" w:cs="宋体"/>
          <w:bCs/>
          <w:color w:val="auto"/>
          <w:szCs w:val="44"/>
        </w:rPr>
        <w:t>废气主要为</w:t>
      </w:r>
      <w:r>
        <w:rPr>
          <w:rFonts w:hint="eastAsia" w:hAnsi="宋体" w:cs="宋体"/>
          <w:bCs/>
          <w:color w:val="auto"/>
          <w:szCs w:val="44"/>
          <w:lang w:eastAsia="zh-CN"/>
        </w:rPr>
        <w:t>污水处理过程中产生的</w:t>
      </w:r>
      <w:r>
        <w:rPr>
          <w:rFonts w:hint="eastAsia" w:hAnsi="宋体" w:cs="宋体"/>
          <w:bCs/>
          <w:color w:val="auto"/>
          <w:szCs w:val="44"/>
        </w:rPr>
        <w:t>恶臭气体，</w:t>
      </w:r>
      <w:r>
        <w:rPr>
          <w:rFonts w:hint="eastAsia"/>
          <w:color w:val="auto"/>
          <w:kern w:val="21"/>
          <w:lang w:eastAsia="zh-CN"/>
        </w:rPr>
        <w:t>根据国内外已建成的污水处理厂的运营经验，现行主要除臭技术及方法有燃烧法（直接燃烧法、催化燃烧法）、洗涤吸收法、吸附法、高级氧化法、生物降解法、掩蔽法。各种除臭技术及方法的优缺点如下表所示。</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auto"/>
        </w:rPr>
      </w:pP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auto"/>
        </w:rPr>
      </w:pP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auto"/>
        </w:rPr>
      </w:pP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auto"/>
        </w:rPr>
      </w:pP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auto"/>
        </w:rPr>
      </w:pPr>
    </w:p>
    <w:p>
      <w:pPr>
        <w:numPr>
          <w:ilvl w:val="0"/>
          <w:numId w:val="17"/>
        </w:numPr>
        <w:ind w:left="0" w:leftChars="0" w:firstLine="420" w:firstLineChars="0"/>
        <w:jc w:val="center"/>
        <w:rPr>
          <w:rFonts w:hint="default" w:eastAsia="宋体"/>
          <w:b/>
          <w:bCs/>
          <w:color w:val="auto"/>
          <w:kern w:val="21"/>
          <w:vertAlign w:val="baseline"/>
          <w:lang w:val="en-US" w:eastAsia="zh-CN"/>
        </w:rPr>
      </w:pPr>
      <w:r>
        <w:rPr>
          <w:rFonts w:hint="eastAsia"/>
          <w:b/>
          <w:bCs/>
          <w:color w:val="auto"/>
          <w:kern w:val="21"/>
          <w:lang w:val="en-US" w:eastAsia="zh-CN"/>
        </w:rPr>
        <w:t>恶臭处理方法</w:t>
      </w:r>
      <w:r>
        <w:rPr>
          <w:rFonts w:hint="eastAsia"/>
          <w:b/>
          <w:color w:val="auto"/>
          <w:kern w:val="21"/>
          <w:lang w:val="en-US" w:eastAsia="zh-CN"/>
        </w:rPr>
        <w:t>比较</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color w:val="auto"/>
          <w:kern w:val="21"/>
          <w:lang w:eastAsia="zh-CN"/>
        </w:rPr>
      </w:pPr>
      <w:r>
        <w:rPr>
          <w:color w:val="auto"/>
        </w:rPr>
        <w:drawing>
          <wp:inline distT="0" distB="0" distL="114300" distR="114300">
            <wp:extent cx="6030595" cy="3485515"/>
            <wp:effectExtent l="0" t="0" r="8255" b="63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66"/>
                    <a:stretch>
                      <a:fillRect/>
                    </a:stretch>
                  </pic:blipFill>
                  <pic:spPr>
                    <a:xfrm>
                      <a:off x="0" y="0"/>
                      <a:ext cx="6030595" cy="3485515"/>
                    </a:xfrm>
                    <a:prstGeom prst="rect">
                      <a:avLst/>
                    </a:prstGeom>
                    <a:noFill/>
                    <a:ln>
                      <a:noFill/>
                    </a:ln>
                  </pic:spPr>
                </pic:pic>
              </a:graphicData>
            </a:graphic>
          </wp:inline>
        </w:drawing>
      </w:r>
    </w:p>
    <w:p>
      <w:pPr>
        <w:spacing w:line="360" w:lineRule="auto"/>
        <w:ind w:firstLine="480"/>
        <w:rPr>
          <w:rFonts w:hint="eastAsia" w:hAnsi="宋体" w:cs="宋体"/>
          <w:bCs/>
          <w:color w:val="auto"/>
          <w:szCs w:val="44"/>
        </w:rPr>
      </w:pPr>
      <w:r>
        <w:rPr>
          <w:rFonts w:hint="eastAsia"/>
          <w:color w:val="auto"/>
          <w:kern w:val="21"/>
          <w:lang w:eastAsia="zh-CN"/>
        </w:rPr>
        <w:t>本项目恶臭浓度不高，不宜采用燃烧法、洗涤吸收法；高级氧化法主要应用于室内空气净化，且处于研发阶段，本项目不适用；生物降解法对于本项目而言是最适宜采用的方法，但项目已建成，厂区布置紧凑，无场地条件设置生物滤池，因此也不考虑生物降解法；掩蔽法仅是通过加投药物与臭气混合，掩蔽臭气，使人</w:t>
      </w:r>
      <w:r>
        <w:rPr>
          <w:rFonts w:hint="eastAsia"/>
          <w:color w:val="auto"/>
          <w:kern w:val="21"/>
          <w:lang w:val="en-US" w:eastAsia="zh-CN"/>
        </w:rPr>
        <w:t>可以接受，但从本质上没有改变臭气成分和源强，本项目不考虑。综上，本项目只能采取吸附法对臭气进行治理，因此，</w:t>
      </w:r>
      <w:r>
        <w:rPr>
          <w:rFonts w:hint="eastAsia" w:hAnsi="宋体" w:cs="宋体"/>
          <w:bCs/>
          <w:color w:val="auto"/>
          <w:szCs w:val="44"/>
        </w:rPr>
        <w:t>环评</w:t>
      </w:r>
      <w:r>
        <w:rPr>
          <w:rFonts w:hint="eastAsia" w:hAnsi="宋体" w:cs="宋体"/>
          <w:bCs/>
          <w:color w:val="auto"/>
          <w:szCs w:val="44"/>
          <w:lang w:eastAsia="zh-CN"/>
        </w:rPr>
        <w:t>要求设置</w:t>
      </w:r>
      <w:r>
        <w:rPr>
          <w:rFonts w:hint="eastAsia" w:hAnsi="宋体" w:cs="宋体"/>
          <w:bCs/>
          <w:color w:val="auto"/>
          <w:szCs w:val="44"/>
        </w:rPr>
        <w:t>1套</w:t>
      </w:r>
      <w:r>
        <w:rPr>
          <w:rFonts w:hint="eastAsia" w:hAnsi="宋体" w:cs="宋体"/>
          <w:bCs/>
          <w:color w:val="auto"/>
          <w:szCs w:val="44"/>
          <w:lang w:eastAsia="zh-CN"/>
        </w:rPr>
        <w:t>活性炭吸附塔</w:t>
      </w:r>
      <w:r>
        <w:rPr>
          <w:rFonts w:hint="eastAsia" w:hAnsi="宋体" w:cs="宋体"/>
          <w:bCs/>
          <w:color w:val="auto"/>
          <w:szCs w:val="44"/>
        </w:rPr>
        <w:t>进行治理。</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eastAsia="宋体"/>
          <w:color w:val="auto"/>
          <w:lang w:val="en-US" w:eastAsia="zh-CN"/>
        </w:rPr>
      </w:pPr>
      <w:r>
        <w:rPr>
          <w:rFonts w:hint="eastAsia"/>
          <w:color w:val="auto"/>
          <w:lang w:val="en-US" w:eastAsia="zh-CN"/>
        </w:rPr>
        <w:t>2、措施可行性分析</w:t>
      </w:r>
    </w:p>
    <w:p>
      <w:pPr>
        <w:spacing w:line="360" w:lineRule="auto"/>
        <w:ind w:firstLine="480"/>
        <w:rPr>
          <w:rFonts w:hint="eastAsia" w:hAnsi="宋体" w:cs="宋体"/>
          <w:bCs/>
          <w:color w:val="auto"/>
          <w:szCs w:val="44"/>
          <w:lang w:val="en-US" w:eastAsia="zh-CN"/>
        </w:rPr>
      </w:pPr>
      <w:r>
        <w:rPr>
          <w:rFonts w:hint="eastAsia" w:hAnsi="宋体" w:cs="宋体"/>
          <w:bCs/>
          <w:color w:val="auto"/>
          <w:szCs w:val="44"/>
          <w:lang w:eastAsia="zh-CN"/>
        </w:rPr>
        <w:t>从恶臭气体收集的难易程度看，国内已有多家污水处理厂采用加盖的方式对各类池体及设施密闭，通过引风机收集废气至治理措施集中进行治理，收集效率可达</w:t>
      </w:r>
      <w:r>
        <w:rPr>
          <w:rFonts w:hint="eastAsia" w:hAnsi="宋体" w:cs="宋体"/>
          <w:bCs/>
          <w:color w:val="auto"/>
          <w:szCs w:val="44"/>
          <w:lang w:val="en-US" w:eastAsia="zh-CN"/>
        </w:rPr>
        <w:t>85%以上，加盖密闭的措施比较容易实现，技术简单可行。</w:t>
      </w:r>
    </w:p>
    <w:p>
      <w:pPr>
        <w:spacing w:line="360" w:lineRule="auto"/>
        <w:ind w:firstLine="480"/>
        <w:rPr>
          <w:rFonts w:hint="eastAsia" w:hAnsi="宋体" w:cs="宋体"/>
          <w:bCs/>
          <w:color w:val="auto"/>
          <w:szCs w:val="44"/>
          <w:lang w:val="en-US" w:eastAsia="zh-CN"/>
        </w:rPr>
      </w:pPr>
      <w:r>
        <w:rPr>
          <w:rFonts w:hint="eastAsia" w:hAnsi="宋体" w:cs="宋体"/>
          <w:bCs/>
          <w:color w:val="auto"/>
          <w:szCs w:val="44"/>
          <w:lang w:val="en-US" w:eastAsia="zh-CN"/>
        </w:rPr>
        <w:t>从恶臭气体治理效率看，活性炭吸附法治理效率不高，仅为60%~70%，不及微生物降解除臭技术，但根据本项目实际情况，厂区已无场地条件设置微生物滤池。活性炭吸附技术虽然不是最好的，但是最适宜本项目的治理方式。</w:t>
      </w:r>
    </w:p>
    <w:p>
      <w:pPr>
        <w:spacing w:line="360" w:lineRule="auto"/>
        <w:ind w:firstLine="480"/>
        <w:rPr>
          <w:color w:val="auto"/>
        </w:rPr>
      </w:pPr>
      <w:r>
        <w:rPr>
          <w:rFonts w:hint="eastAsia"/>
          <w:color w:val="auto"/>
          <w:lang w:eastAsia="zh-CN"/>
        </w:rPr>
        <w:t>从排放速率看，</w:t>
      </w:r>
      <w:r>
        <w:rPr>
          <w:rFonts w:hint="eastAsia"/>
          <w:color w:val="auto"/>
        </w:rPr>
        <w:t>本项目使用</w:t>
      </w:r>
      <w:r>
        <w:rPr>
          <w:rFonts w:hint="eastAsia"/>
          <w:color w:val="auto"/>
          <w:lang w:eastAsia="zh-CN"/>
        </w:rPr>
        <w:t>活性炭吸附塔</w:t>
      </w:r>
      <w:r>
        <w:rPr>
          <w:rFonts w:hint="eastAsia"/>
          <w:color w:val="auto"/>
        </w:rPr>
        <w:t>治理后</w:t>
      </w:r>
      <w:r>
        <w:rPr>
          <w:rFonts w:hint="eastAsia" w:hAnsi="宋体" w:cs="宋体"/>
          <w:bCs/>
          <w:color w:val="auto"/>
          <w:szCs w:val="44"/>
        </w:rPr>
        <w:t>H</w:t>
      </w:r>
      <w:r>
        <w:rPr>
          <w:rFonts w:hint="eastAsia" w:hAnsi="宋体" w:cs="宋体"/>
          <w:bCs/>
          <w:color w:val="auto"/>
          <w:szCs w:val="44"/>
          <w:vertAlign w:val="subscript"/>
        </w:rPr>
        <w:t>2</w:t>
      </w:r>
      <w:r>
        <w:rPr>
          <w:rFonts w:hint="eastAsia" w:hAnsi="宋体" w:cs="宋体"/>
          <w:bCs/>
          <w:color w:val="auto"/>
          <w:szCs w:val="44"/>
        </w:rPr>
        <w:t>S、NH</w:t>
      </w:r>
      <w:r>
        <w:rPr>
          <w:rFonts w:hint="eastAsia" w:hAnsi="宋体" w:cs="宋体"/>
          <w:bCs/>
          <w:color w:val="auto"/>
          <w:szCs w:val="44"/>
          <w:vertAlign w:val="subscript"/>
        </w:rPr>
        <w:t>3</w:t>
      </w:r>
      <w:r>
        <w:rPr>
          <w:rFonts w:hint="eastAsia" w:hAnsi="宋体" w:cs="宋体"/>
          <w:bCs/>
          <w:color w:val="auto"/>
          <w:szCs w:val="44"/>
        </w:rPr>
        <w:t>通过</w:t>
      </w:r>
      <w:r>
        <w:rPr>
          <w:rFonts w:hint="eastAsia" w:hAnsi="宋体" w:cs="宋体"/>
          <w:bCs/>
          <w:color w:val="auto"/>
          <w:szCs w:val="44"/>
          <w:lang w:val="en-US" w:eastAsia="zh-CN"/>
        </w:rPr>
        <w:t>1</w:t>
      </w:r>
      <w:r>
        <w:rPr>
          <w:rFonts w:hint="eastAsia" w:hAnsi="宋体" w:cs="宋体"/>
          <w:bCs/>
          <w:color w:val="auto"/>
          <w:szCs w:val="44"/>
        </w:rPr>
        <w:t>5m排气筒排放，排放</w:t>
      </w:r>
      <w:r>
        <w:rPr>
          <w:rFonts w:hint="eastAsia" w:hAnsi="宋体" w:cs="宋体"/>
          <w:bCs/>
          <w:color w:val="auto"/>
          <w:szCs w:val="44"/>
          <w:lang w:eastAsia="zh-CN"/>
        </w:rPr>
        <w:t>速率</w:t>
      </w:r>
      <w:r>
        <w:rPr>
          <w:rFonts w:hint="eastAsia" w:hAnsi="宋体" w:cs="宋体"/>
          <w:bCs/>
          <w:color w:val="auto"/>
          <w:szCs w:val="44"/>
        </w:rPr>
        <w:t>能满足</w:t>
      </w:r>
      <w:r>
        <w:rPr>
          <w:rFonts w:hint="eastAsia"/>
          <w:color w:val="auto"/>
          <w:kern w:val="21"/>
          <w:lang w:val="en-US" w:eastAsia="zh-CN"/>
        </w:rPr>
        <w:t>《恶臭污染物排放标准》（GB14554-1993）中表2排放速率的限值要求</w:t>
      </w:r>
      <w:r>
        <w:rPr>
          <w:rFonts w:hint="eastAsia"/>
          <w:color w:val="auto"/>
        </w:rPr>
        <w:t>。除臭技术也属于</w:t>
      </w:r>
      <w:r>
        <w:rPr>
          <w:color w:val="auto"/>
        </w:rPr>
        <w:t>《排污许可证申请与核发技术规范</w:t>
      </w:r>
      <w:r>
        <w:rPr>
          <w:rFonts w:hint="eastAsia"/>
          <w:color w:val="auto"/>
        </w:rPr>
        <w:t xml:space="preserve"> </w:t>
      </w:r>
      <w:r>
        <w:rPr>
          <w:rFonts w:hint="eastAsia"/>
          <w:color w:val="auto"/>
          <w:lang w:eastAsia="zh-CN"/>
        </w:rPr>
        <w:t>水处理（试行）</w:t>
      </w:r>
      <w:r>
        <w:rPr>
          <w:color w:val="auto"/>
        </w:rPr>
        <w:t>》</w:t>
      </w:r>
      <w:r>
        <w:rPr>
          <w:rFonts w:hint="eastAsia"/>
          <w:color w:val="auto"/>
        </w:rPr>
        <w:t>（</w:t>
      </w:r>
      <w:r>
        <w:rPr>
          <w:color w:val="auto"/>
        </w:rPr>
        <w:t>HJ</w:t>
      </w:r>
      <w:r>
        <w:rPr>
          <w:rFonts w:hint="eastAsia"/>
          <w:color w:val="auto"/>
          <w:lang w:val="en-US" w:eastAsia="zh-CN"/>
        </w:rPr>
        <w:t>978</w:t>
      </w:r>
      <w:r>
        <w:rPr>
          <w:color w:val="auto"/>
        </w:rPr>
        <w:t>-201</w:t>
      </w:r>
      <w:r>
        <w:rPr>
          <w:rFonts w:hint="eastAsia"/>
          <w:color w:val="auto"/>
          <w:lang w:val="en-US" w:eastAsia="zh-CN"/>
        </w:rPr>
        <w:t>8</w:t>
      </w:r>
      <w:r>
        <w:rPr>
          <w:rFonts w:hint="eastAsia"/>
          <w:color w:val="auto"/>
        </w:rPr>
        <w:t>）中</w:t>
      </w:r>
      <w:r>
        <w:rPr>
          <w:rFonts w:hint="eastAsia"/>
          <w:color w:val="auto"/>
          <w:lang w:eastAsia="zh-CN"/>
        </w:rPr>
        <w:t>表</w:t>
      </w:r>
      <w:r>
        <w:rPr>
          <w:rFonts w:hint="eastAsia"/>
          <w:color w:val="auto"/>
          <w:lang w:val="en-US" w:eastAsia="zh-CN"/>
        </w:rPr>
        <w:t>5</w:t>
      </w:r>
      <w:r>
        <w:rPr>
          <w:rFonts w:hint="eastAsia"/>
          <w:color w:val="auto"/>
        </w:rPr>
        <w:t>推荐的可行技术，</w:t>
      </w:r>
      <w:r>
        <w:rPr>
          <w:rFonts w:hint="eastAsia"/>
          <w:color w:val="auto"/>
          <w:lang w:eastAsia="zh-CN"/>
        </w:rPr>
        <w:t>该</w:t>
      </w:r>
      <w:r>
        <w:rPr>
          <w:color w:val="auto"/>
        </w:rPr>
        <w:t>处理</w:t>
      </w:r>
      <w:r>
        <w:rPr>
          <w:rFonts w:hint="eastAsia"/>
          <w:color w:val="auto"/>
          <w:lang w:eastAsia="zh-CN"/>
        </w:rPr>
        <w:t>措施</w:t>
      </w:r>
      <w:r>
        <w:rPr>
          <w:color w:val="auto"/>
        </w:rPr>
        <w:t>技术可行</w:t>
      </w:r>
      <w:r>
        <w:rPr>
          <w:rFonts w:hint="eastAsia"/>
          <w:color w:val="auto"/>
          <w:lang w:eastAsia="zh-CN"/>
        </w:rPr>
        <w:t>，经济合理</w:t>
      </w:r>
      <w:r>
        <w:rPr>
          <w:color w:val="auto"/>
        </w:rPr>
        <w:t>。</w:t>
      </w:r>
    </w:p>
    <w:p>
      <w:pPr>
        <w:widowControl/>
        <w:ind w:firstLine="480"/>
        <w:jc w:val="left"/>
        <w:rPr>
          <w:rFonts w:hint="eastAsia" w:eastAsia="宋体"/>
          <w:color w:val="auto"/>
          <w:kern w:val="21"/>
          <w:lang w:val="en-US" w:eastAsia="zh-CN" w:bidi="ar"/>
        </w:rPr>
      </w:pPr>
      <w:r>
        <w:rPr>
          <w:rFonts w:hint="eastAsia"/>
          <w:color w:val="auto"/>
          <w:kern w:val="21"/>
          <w:lang w:val="en-US" w:eastAsia="zh-CN" w:bidi="ar"/>
        </w:rPr>
        <w:t>3、其他防治措施</w:t>
      </w:r>
    </w:p>
    <w:p>
      <w:pPr>
        <w:widowControl/>
        <w:ind w:firstLine="480"/>
        <w:jc w:val="left"/>
        <w:rPr>
          <w:color w:val="auto"/>
          <w:kern w:val="21"/>
        </w:rPr>
      </w:pPr>
      <w:r>
        <w:rPr>
          <w:color w:val="auto"/>
          <w:kern w:val="21"/>
          <w:lang w:bidi="ar"/>
        </w:rPr>
        <w:t>为了改善污水厂内部及周边环境质量，从而达到最终降低、消除异味对周边环境影响的目的，采取以下措施：</w:t>
      </w:r>
    </w:p>
    <w:p>
      <w:pPr>
        <w:widowControl/>
        <w:ind w:firstLine="480"/>
        <w:jc w:val="left"/>
        <w:rPr>
          <w:color w:val="auto"/>
          <w:kern w:val="21"/>
        </w:rPr>
      </w:pPr>
      <w:r>
        <w:rPr>
          <w:rFonts w:hint="eastAsia"/>
          <w:color w:val="auto"/>
          <w:kern w:val="21"/>
          <w:lang w:eastAsia="zh-CN" w:bidi="ar"/>
        </w:rPr>
        <w:t>（</w:t>
      </w:r>
      <w:r>
        <w:rPr>
          <w:rFonts w:hint="eastAsia"/>
          <w:color w:val="auto"/>
          <w:kern w:val="21"/>
          <w:lang w:val="en-US" w:eastAsia="zh-CN" w:bidi="ar"/>
        </w:rPr>
        <w:t>1</w:t>
      </w:r>
      <w:r>
        <w:rPr>
          <w:rFonts w:hint="eastAsia"/>
          <w:color w:val="auto"/>
          <w:kern w:val="21"/>
          <w:lang w:eastAsia="zh-CN" w:bidi="ar"/>
        </w:rPr>
        <w:t>）</w:t>
      </w:r>
      <w:r>
        <w:rPr>
          <w:color w:val="auto"/>
          <w:kern w:val="21"/>
          <w:lang w:bidi="ar"/>
        </w:rPr>
        <w:t>适地适树，选择适应当地气候及上壤条件的植物；</w:t>
      </w:r>
    </w:p>
    <w:p>
      <w:pPr>
        <w:widowControl/>
        <w:ind w:firstLine="480"/>
        <w:jc w:val="left"/>
        <w:rPr>
          <w:color w:val="auto"/>
          <w:kern w:val="21"/>
        </w:rPr>
      </w:pPr>
      <w:r>
        <w:rPr>
          <w:rFonts w:hint="eastAsia"/>
          <w:color w:val="auto"/>
          <w:kern w:val="21"/>
          <w:lang w:eastAsia="zh-CN" w:bidi="ar"/>
        </w:rPr>
        <w:t>（</w:t>
      </w:r>
      <w:r>
        <w:rPr>
          <w:rFonts w:hint="eastAsia"/>
          <w:color w:val="auto"/>
          <w:kern w:val="21"/>
          <w:lang w:val="en-US" w:eastAsia="zh-CN" w:bidi="ar"/>
        </w:rPr>
        <w:t>2</w:t>
      </w:r>
      <w:r>
        <w:rPr>
          <w:rFonts w:hint="eastAsia"/>
          <w:color w:val="auto"/>
          <w:kern w:val="21"/>
          <w:lang w:eastAsia="zh-CN" w:bidi="ar"/>
        </w:rPr>
        <w:t>）</w:t>
      </w:r>
      <w:r>
        <w:rPr>
          <w:color w:val="auto"/>
          <w:kern w:val="21"/>
          <w:lang w:bidi="ar"/>
        </w:rPr>
        <w:t>抗污染能力强的植物，根据不同的工段的污染情况选择不同的抗性树种；</w:t>
      </w:r>
    </w:p>
    <w:p>
      <w:pPr>
        <w:widowControl/>
        <w:ind w:firstLine="480"/>
        <w:jc w:val="left"/>
        <w:rPr>
          <w:color w:val="auto"/>
          <w:kern w:val="21"/>
        </w:rPr>
      </w:pPr>
      <w:r>
        <w:rPr>
          <w:rFonts w:hint="eastAsia"/>
          <w:color w:val="auto"/>
          <w:kern w:val="21"/>
          <w:lang w:eastAsia="zh-CN" w:bidi="ar"/>
        </w:rPr>
        <w:t>（</w:t>
      </w:r>
      <w:r>
        <w:rPr>
          <w:rFonts w:hint="eastAsia"/>
          <w:color w:val="auto"/>
          <w:kern w:val="21"/>
          <w:lang w:val="en-US" w:eastAsia="zh-CN" w:bidi="ar"/>
        </w:rPr>
        <w:t>3</w:t>
      </w:r>
      <w:r>
        <w:rPr>
          <w:rFonts w:hint="eastAsia"/>
          <w:color w:val="auto"/>
          <w:kern w:val="21"/>
          <w:lang w:eastAsia="zh-CN" w:bidi="ar"/>
        </w:rPr>
        <w:t>）</w:t>
      </w:r>
      <w:r>
        <w:rPr>
          <w:color w:val="auto"/>
          <w:kern w:val="21"/>
          <w:lang w:bidi="ar"/>
        </w:rPr>
        <w:t>以项目区</w:t>
      </w:r>
      <w:r>
        <w:rPr>
          <w:rFonts w:hint="eastAsia"/>
          <w:color w:val="auto"/>
          <w:kern w:val="21"/>
          <w:lang w:eastAsia="zh-CN" w:bidi="ar"/>
        </w:rPr>
        <w:t>厂界为</w:t>
      </w:r>
      <w:r>
        <w:rPr>
          <w:color w:val="auto"/>
          <w:kern w:val="21"/>
          <w:lang w:bidi="ar"/>
        </w:rPr>
        <w:t>边界向外设置100m卫生防护距离，卫生防护距离内不适宜建设医院、学校等建筑。厂内应制定工作人员的个人卫生防护制度，尽可能避免在</w:t>
      </w:r>
      <w:r>
        <w:rPr>
          <w:rFonts w:hint="eastAsia"/>
          <w:color w:val="auto"/>
          <w:kern w:val="21"/>
          <w:lang w:bidi="ar"/>
        </w:rPr>
        <w:t>臭气</w:t>
      </w:r>
      <w:r>
        <w:rPr>
          <w:color w:val="auto"/>
          <w:kern w:val="21"/>
          <w:lang w:bidi="ar"/>
        </w:rPr>
        <w:t>污染源附近的人员与</w:t>
      </w:r>
      <w:r>
        <w:rPr>
          <w:rFonts w:hint="eastAsia"/>
          <w:color w:val="auto"/>
          <w:kern w:val="21"/>
          <w:lang w:eastAsia="zh-CN" w:bidi="ar"/>
        </w:rPr>
        <w:t>恶臭气体</w:t>
      </w:r>
      <w:r>
        <w:rPr>
          <w:color w:val="auto"/>
          <w:kern w:val="21"/>
          <w:lang w:bidi="ar"/>
        </w:rPr>
        <w:t>长时间接触。</w:t>
      </w:r>
    </w:p>
    <w:p>
      <w:pPr>
        <w:widowControl/>
        <w:ind w:firstLine="480"/>
        <w:jc w:val="left"/>
        <w:rPr>
          <w:color w:val="auto"/>
          <w:kern w:val="21"/>
        </w:rPr>
      </w:pPr>
      <w:r>
        <w:rPr>
          <w:rFonts w:hint="eastAsia"/>
          <w:color w:val="auto"/>
          <w:kern w:val="21"/>
          <w:lang w:eastAsia="zh-CN" w:bidi="ar"/>
        </w:rPr>
        <w:t>（</w:t>
      </w:r>
      <w:r>
        <w:rPr>
          <w:rFonts w:hint="eastAsia"/>
          <w:color w:val="auto"/>
          <w:kern w:val="21"/>
          <w:lang w:val="en-US" w:eastAsia="zh-CN" w:bidi="ar"/>
        </w:rPr>
        <w:t>4</w:t>
      </w:r>
      <w:r>
        <w:rPr>
          <w:rFonts w:hint="eastAsia"/>
          <w:color w:val="auto"/>
          <w:kern w:val="21"/>
          <w:lang w:eastAsia="zh-CN" w:bidi="ar"/>
        </w:rPr>
        <w:t>）</w:t>
      </w:r>
      <w:r>
        <w:rPr>
          <w:color w:val="auto"/>
          <w:kern w:val="21"/>
          <w:lang w:bidi="ar"/>
        </w:rPr>
        <w:t>厂区的污水管设计流速应足够大，尽量避免产生死区。厂区保持清洁，沉淀池表面漂浮污泥层和固体定期清除。</w:t>
      </w:r>
    </w:p>
    <w:p>
      <w:pPr>
        <w:widowControl/>
        <w:ind w:firstLine="480"/>
        <w:jc w:val="left"/>
        <w:rPr>
          <w:color w:val="auto"/>
          <w:kern w:val="21"/>
        </w:rPr>
      </w:pPr>
      <w:r>
        <w:rPr>
          <w:rFonts w:hint="eastAsia"/>
          <w:color w:val="auto"/>
          <w:kern w:val="21"/>
          <w:lang w:eastAsia="zh-CN" w:bidi="ar"/>
        </w:rPr>
        <w:t>（</w:t>
      </w:r>
      <w:r>
        <w:rPr>
          <w:rFonts w:hint="eastAsia"/>
          <w:color w:val="auto"/>
          <w:kern w:val="21"/>
          <w:lang w:val="en-US" w:eastAsia="zh-CN" w:bidi="ar"/>
        </w:rPr>
        <w:t>5</w:t>
      </w:r>
      <w:r>
        <w:rPr>
          <w:rFonts w:hint="eastAsia"/>
          <w:color w:val="auto"/>
          <w:kern w:val="21"/>
          <w:lang w:eastAsia="zh-CN" w:bidi="ar"/>
        </w:rPr>
        <w:t>）</w:t>
      </w:r>
      <w:r>
        <w:rPr>
          <w:color w:val="auto"/>
          <w:kern w:val="21"/>
          <w:lang w:bidi="ar"/>
        </w:rPr>
        <w:t>脱水污泥禁止露天堆放，要封闭操作，以减轻臭味的扩散和滋生蚊蝇，脱水后的污泥要及时清运，脱水机要定时清洗。</w:t>
      </w:r>
    </w:p>
    <w:p>
      <w:pPr>
        <w:widowControl/>
        <w:ind w:firstLine="480"/>
        <w:jc w:val="left"/>
        <w:rPr>
          <w:color w:val="auto"/>
          <w:kern w:val="21"/>
        </w:rPr>
      </w:pPr>
      <w:r>
        <w:rPr>
          <w:rFonts w:hint="eastAsia"/>
          <w:color w:val="auto"/>
          <w:kern w:val="21"/>
          <w:lang w:eastAsia="zh-CN" w:bidi="ar"/>
        </w:rPr>
        <w:t>（</w:t>
      </w:r>
      <w:r>
        <w:rPr>
          <w:rFonts w:hint="eastAsia"/>
          <w:color w:val="auto"/>
          <w:kern w:val="21"/>
          <w:lang w:val="en-US" w:eastAsia="zh-CN" w:bidi="ar"/>
        </w:rPr>
        <w:t>6</w:t>
      </w:r>
      <w:r>
        <w:rPr>
          <w:rFonts w:hint="eastAsia"/>
          <w:color w:val="auto"/>
          <w:kern w:val="21"/>
          <w:lang w:eastAsia="zh-CN" w:bidi="ar"/>
        </w:rPr>
        <w:t>）</w:t>
      </w:r>
      <w:r>
        <w:rPr>
          <w:color w:val="auto"/>
          <w:kern w:val="21"/>
          <w:lang w:bidi="ar"/>
        </w:rPr>
        <w:t>对</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生化池，应加强管理，使污水全流程都处于正常运行状态。确保污水处理厂的正常运行，减少污染物的产生量。类比调查发现，处理能力如果无法满足所有污水的处理，会造成严重</w:t>
      </w:r>
      <w:r>
        <w:rPr>
          <w:rFonts w:hint="eastAsia"/>
          <w:color w:val="auto"/>
          <w:kern w:val="21"/>
          <w:lang w:bidi="ar"/>
        </w:rPr>
        <w:t>臭气</w:t>
      </w:r>
      <w:r>
        <w:rPr>
          <w:color w:val="auto"/>
          <w:kern w:val="21"/>
          <w:lang w:bidi="ar"/>
        </w:rPr>
        <w:t>污染。</w:t>
      </w:r>
    </w:p>
    <w:p>
      <w:pPr>
        <w:widowControl/>
        <w:ind w:firstLine="480"/>
        <w:jc w:val="left"/>
        <w:rPr>
          <w:color w:val="auto"/>
          <w:kern w:val="21"/>
        </w:rPr>
      </w:pPr>
      <w:r>
        <w:rPr>
          <w:rFonts w:hint="eastAsia"/>
          <w:color w:val="auto"/>
          <w:kern w:val="21"/>
          <w:lang w:eastAsia="zh-CN" w:bidi="ar"/>
        </w:rPr>
        <w:t>（</w:t>
      </w:r>
      <w:r>
        <w:rPr>
          <w:rFonts w:hint="eastAsia"/>
          <w:color w:val="auto"/>
          <w:kern w:val="21"/>
          <w:lang w:val="en-US" w:eastAsia="zh-CN" w:bidi="ar"/>
        </w:rPr>
        <w:t>7</w:t>
      </w:r>
      <w:r>
        <w:rPr>
          <w:rFonts w:hint="eastAsia"/>
          <w:color w:val="auto"/>
          <w:kern w:val="21"/>
          <w:lang w:eastAsia="zh-CN" w:bidi="ar"/>
        </w:rPr>
        <w:t>）</w:t>
      </w:r>
      <w:r>
        <w:rPr>
          <w:color w:val="auto"/>
          <w:kern w:val="21"/>
          <w:lang w:bidi="ar"/>
        </w:rPr>
        <w:t>在污水处理厂停产修理时，池底沉积的污泥会暴露出来散发臭气，应采取及时清除积泥的措施来防止臭气的影响。</w:t>
      </w:r>
    </w:p>
    <w:p>
      <w:pPr>
        <w:pStyle w:val="6"/>
        <w:spacing w:after="0"/>
        <w:rPr>
          <w:color w:val="auto"/>
          <w:kern w:val="21"/>
          <w:sz w:val="24"/>
          <w:szCs w:val="24"/>
        </w:rPr>
      </w:pPr>
      <w:bookmarkStart w:id="352" w:name="_Toc18911"/>
      <w:r>
        <w:rPr>
          <w:rFonts w:eastAsia="宋体"/>
          <w:color w:val="auto"/>
          <w:kern w:val="21"/>
          <w:sz w:val="24"/>
          <w:szCs w:val="24"/>
        </w:rPr>
        <w:t>8.2.4</w:t>
      </w:r>
      <w:r>
        <w:rPr>
          <w:rFonts w:eastAsia="宋体"/>
          <w:color w:val="auto"/>
          <w:kern w:val="21"/>
          <w:sz w:val="24"/>
          <w:szCs w:val="24"/>
          <w:lang w:bidi="ar"/>
        </w:rPr>
        <w:t>固体废物污染防治措施</w:t>
      </w:r>
      <w:bookmarkEnd w:id="352"/>
    </w:p>
    <w:p>
      <w:pPr>
        <w:pStyle w:val="23"/>
        <w:spacing w:after="0" w:line="360" w:lineRule="auto"/>
        <w:ind w:left="0" w:leftChars="0" w:firstLine="482"/>
        <w:jc w:val="left"/>
        <w:rPr>
          <w:color w:val="auto"/>
          <w:kern w:val="21"/>
        </w:rPr>
      </w:pPr>
      <w:r>
        <w:rPr>
          <w:b/>
          <w:bCs/>
          <w:color w:val="auto"/>
          <w:kern w:val="21"/>
          <w:lang w:bidi="ar"/>
        </w:rPr>
        <w:t>1、</w:t>
      </w:r>
      <w:r>
        <w:rPr>
          <w:b/>
          <w:color w:val="auto"/>
          <w:kern w:val="21"/>
          <w:lang w:bidi="ar"/>
        </w:rPr>
        <w:t>污泥处置措施</w:t>
      </w:r>
    </w:p>
    <w:p>
      <w:pPr>
        <w:widowControl/>
        <w:ind w:firstLine="480"/>
        <w:jc w:val="left"/>
        <w:rPr>
          <w:color w:val="auto"/>
          <w:kern w:val="21"/>
        </w:rPr>
      </w:pPr>
      <w:r>
        <w:rPr>
          <w:color w:val="auto"/>
          <w:kern w:val="21"/>
          <w:lang w:bidi="ar"/>
        </w:rPr>
        <w:t>（1）污泥的处理措施</w:t>
      </w:r>
    </w:p>
    <w:p>
      <w:pPr>
        <w:widowControl/>
        <w:ind w:firstLine="480"/>
        <w:jc w:val="left"/>
        <w:rPr>
          <w:color w:val="auto"/>
          <w:kern w:val="21"/>
          <w:lang w:bidi="ar"/>
        </w:rPr>
      </w:pPr>
      <w:r>
        <w:rPr>
          <w:color w:val="auto"/>
          <w:kern w:val="21"/>
          <w:lang w:bidi="ar"/>
        </w:rPr>
        <w:t>污泥经污泥脱水机脱水后，污泥含水率为</w:t>
      </w:r>
      <w:r>
        <w:rPr>
          <w:rFonts w:hint="eastAsia"/>
          <w:color w:val="auto"/>
          <w:kern w:val="21"/>
          <w:lang w:bidi="ar"/>
        </w:rPr>
        <w:t>50%</w:t>
      </w:r>
      <w:r>
        <w:rPr>
          <w:color w:val="auto"/>
          <w:kern w:val="21"/>
          <w:lang w:bidi="ar"/>
        </w:rPr>
        <w:t>~</w:t>
      </w:r>
      <w:r>
        <w:rPr>
          <w:rFonts w:hint="eastAsia"/>
          <w:color w:val="auto"/>
          <w:kern w:val="21"/>
          <w:lang w:bidi="ar"/>
        </w:rPr>
        <w:t>6</w:t>
      </w:r>
      <w:r>
        <w:rPr>
          <w:color w:val="auto"/>
          <w:kern w:val="21"/>
          <w:lang w:bidi="ar"/>
        </w:rPr>
        <w:t>0%，低于80%，符合《城镇污水处理厂污染物排放标准》（GB18918-2002）中相关污泥控制标准的要求。污泥处理工艺流程见</w:t>
      </w:r>
      <w:r>
        <w:rPr>
          <w:rFonts w:hint="eastAsia"/>
          <w:color w:val="auto"/>
          <w:kern w:val="21"/>
          <w:lang w:eastAsia="zh-CN" w:bidi="ar"/>
        </w:rPr>
        <w:t>下图</w:t>
      </w:r>
      <w:r>
        <w:rPr>
          <w:color w:val="auto"/>
          <w:kern w:val="21"/>
          <w:lang w:bidi="ar"/>
        </w:rPr>
        <w:t>。</w:t>
      </w:r>
    </w:p>
    <w:p>
      <w:pPr>
        <w:pStyle w:val="23"/>
        <w:ind w:left="0" w:leftChars="0" w:firstLine="0" w:firstLineChars="0"/>
        <w:jc w:val="center"/>
        <w:rPr>
          <w:color w:val="auto"/>
          <w:kern w:val="21"/>
        </w:rPr>
      </w:pPr>
      <w:r>
        <w:rPr>
          <w:color w:val="auto"/>
          <w:kern w:val="21"/>
        </w:rPr>
        <w:object>
          <v:shape id="_x0000_i1030" o:spt="75" type="#_x0000_t75" style="height:59.5pt;width:413.3pt;" o:ole="t" filled="f" o:preferrelative="t" stroked="f" coordsize="21600,21600">
            <v:path/>
            <v:fill on="f" focussize="0,0"/>
            <v:stroke on="f" joinstyle="miter"/>
            <v:imagedata r:id="rId29" o:title=""/>
            <o:lock v:ext="edit" aspectratio="f"/>
            <w10:wrap type="none"/>
            <w10:anchorlock/>
          </v:shape>
          <o:OLEObject Type="Embed" ProgID="Visio.Drawing.11" ShapeID="_x0000_i1030" DrawAspect="Content" ObjectID="_1468075730" r:id="rId67">
            <o:LockedField>false</o:LockedField>
          </o:OLEObject>
        </w:object>
      </w:r>
    </w:p>
    <w:p>
      <w:pPr>
        <w:pStyle w:val="23"/>
        <w:numPr>
          <w:ilvl w:val="0"/>
          <w:numId w:val="18"/>
        </w:numPr>
        <w:adjustRightInd w:val="0"/>
        <w:snapToGrid w:val="0"/>
        <w:spacing w:after="0" w:line="360" w:lineRule="auto"/>
        <w:ind w:left="0" w:leftChars="0" w:firstLine="420" w:firstLineChars="0"/>
        <w:jc w:val="center"/>
        <w:rPr>
          <w:b/>
          <w:bCs/>
          <w:color w:val="auto"/>
          <w:kern w:val="21"/>
          <w:lang w:bidi="ar"/>
        </w:rPr>
      </w:pPr>
      <w:r>
        <w:rPr>
          <w:b/>
          <w:bCs/>
          <w:color w:val="auto"/>
          <w:kern w:val="21"/>
          <w:lang w:bidi="ar"/>
        </w:rPr>
        <w:t>污泥处理工艺流程图</w:t>
      </w:r>
    </w:p>
    <w:p>
      <w:pPr>
        <w:widowControl/>
        <w:ind w:firstLine="480"/>
        <w:jc w:val="left"/>
        <w:rPr>
          <w:color w:val="auto"/>
          <w:kern w:val="21"/>
        </w:rPr>
      </w:pPr>
      <w:r>
        <w:rPr>
          <w:color w:val="auto"/>
          <w:kern w:val="21"/>
          <w:lang w:bidi="ar"/>
        </w:rPr>
        <w:t>（2）污泥贮存措施</w:t>
      </w:r>
    </w:p>
    <w:p>
      <w:pPr>
        <w:widowControl/>
        <w:ind w:firstLine="480"/>
        <w:jc w:val="left"/>
        <w:rPr>
          <w:color w:val="auto"/>
          <w:kern w:val="21"/>
        </w:rPr>
      </w:pPr>
      <w:r>
        <w:rPr>
          <w:color w:val="auto"/>
          <w:kern w:val="21"/>
          <w:lang w:bidi="ar"/>
        </w:rPr>
        <w:t>污泥在厂区大量堆存会产生一系列不良后果，主要表现为产生</w:t>
      </w:r>
      <w:r>
        <w:rPr>
          <w:rFonts w:hint="eastAsia"/>
          <w:color w:val="auto"/>
          <w:kern w:val="21"/>
          <w:lang w:eastAsia="zh-CN" w:bidi="ar"/>
        </w:rPr>
        <w:t>恶臭气体</w:t>
      </w:r>
      <w:r>
        <w:rPr>
          <w:color w:val="auto"/>
          <w:kern w:val="21"/>
          <w:lang w:bidi="ar"/>
        </w:rPr>
        <w:t>和遇雨对水体造成污染。项目在生产用房内设置了一座污泥脱水车间，用于污泥脱水及暂存脱水后的干污泥。采取防流失、防渗漏及排水措施，尽量避免污泥在厂区长期堆存。</w:t>
      </w:r>
    </w:p>
    <w:p>
      <w:pPr>
        <w:widowControl/>
        <w:ind w:firstLine="480"/>
        <w:jc w:val="left"/>
        <w:rPr>
          <w:color w:val="auto"/>
          <w:kern w:val="21"/>
        </w:rPr>
      </w:pPr>
      <w:r>
        <w:rPr>
          <w:color w:val="auto"/>
          <w:kern w:val="21"/>
          <w:lang w:bidi="ar"/>
        </w:rPr>
        <w:t>污泥贮存措施有：</w:t>
      </w:r>
    </w:p>
    <w:p>
      <w:pPr>
        <w:widowControl/>
        <w:ind w:firstLine="480"/>
        <w:jc w:val="left"/>
        <w:rPr>
          <w:color w:val="auto"/>
          <w:kern w:val="21"/>
        </w:rPr>
      </w:pPr>
      <w:r>
        <w:rPr>
          <w:color w:val="auto"/>
          <w:kern w:val="21"/>
          <w:lang w:bidi="ar"/>
        </w:rPr>
        <w:t>①污泥脱水间地面需用水泥硬化且必须进行防腐防渗处理。</w:t>
      </w:r>
    </w:p>
    <w:p>
      <w:pPr>
        <w:widowControl/>
        <w:ind w:firstLine="480"/>
        <w:jc w:val="left"/>
        <w:rPr>
          <w:color w:val="auto"/>
          <w:kern w:val="21"/>
        </w:rPr>
      </w:pPr>
      <w:r>
        <w:rPr>
          <w:color w:val="auto"/>
          <w:kern w:val="21"/>
          <w:lang w:bidi="ar"/>
        </w:rPr>
        <w:t>②暂存池应有防流失、防渗漏及封闭措施，池子内部四周围及底部也必须做好防渗处理。</w:t>
      </w:r>
    </w:p>
    <w:p>
      <w:pPr>
        <w:widowControl/>
        <w:ind w:firstLine="480"/>
        <w:jc w:val="left"/>
        <w:rPr>
          <w:color w:val="auto"/>
          <w:kern w:val="21"/>
        </w:rPr>
      </w:pPr>
      <w:r>
        <w:rPr>
          <w:color w:val="auto"/>
          <w:kern w:val="21"/>
          <w:lang w:bidi="ar"/>
        </w:rPr>
        <w:t>③暂存区应按《危险废物贮存污染控制标准》（GB18597-2001）的要求设置环境保护警示标志，并加强监督管理。</w:t>
      </w:r>
    </w:p>
    <w:p>
      <w:pPr>
        <w:widowControl/>
        <w:ind w:firstLine="480"/>
        <w:jc w:val="left"/>
        <w:rPr>
          <w:color w:val="auto"/>
          <w:kern w:val="21"/>
        </w:rPr>
      </w:pPr>
      <w:r>
        <w:rPr>
          <w:color w:val="auto"/>
          <w:kern w:val="21"/>
          <w:lang w:bidi="ar"/>
        </w:rPr>
        <w:t>（3）污泥运输防治措施</w:t>
      </w:r>
    </w:p>
    <w:p>
      <w:pPr>
        <w:widowControl/>
        <w:ind w:firstLine="480"/>
        <w:jc w:val="left"/>
        <w:rPr>
          <w:color w:val="auto"/>
          <w:kern w:val="21"/>
        </w:rPr>
      </w:pPr>
      <w:r>
        <w:rPr>
          <w:color w:val="auto"/>
          <w:kern w:val="21"/>
          <w:lang w:bidi="ar"/>
        </w:rPr>
        <w:t>①污泥运输要有称重等的记录。</w:t>
      </w:r>
    </w:p>
    <w:p>
      <w:pPr>
        <w:widowControl/>
        <w:ind w:firstLine="480"/>
        <w:jc w:val="left"/>
        <w:rPr>
          <w:color w:val="auto"/>
          <w:kern w:val="21"/>
        </w:rPr>
      </w:pPr>
      <w:r>
        <w:rPr>
          <w:color w:val="auto"/>
          <w:kern w:val="21"/>
          <w:lang w:bidi="ar"/>
        </w:rPr>
        <w:t>②污泥的运输要采用密封性能好的专用车辆，并加强车辆的管理与维护，杜绝运输过程中的沿途抛洒滴漏。</w:t>
      </w:r>
    </w:p>
    <w:p>
      <w:pPr>
        <w:widowControl/>
        <w:ind w:firstLine="480"/>
        <w:jc w:val="left"/>
        <w:rPr>
          <w:color w:val="auto"/>
          <w:kern w:val="21"/>
        </w:rPr>
      </w:pPr>
      <w:r>
        <w:rPr>
          <w:color w:val="auto"/>
          <w:kern w:val="21"/>
          <w:lang w:bidi="ar"/>
        </w:rPr>
        <w:t>③运输车辆不得超载，车辆驶出污水厂前必须对车轮、车厢等进行清洗、消毒，以避免沿途撒漏和散逸</w:t>
      </w:r>
      <w:r>
        <w:rPr>
          <w:rFonts w:hint="eastAsia"/>
          <w:color w:val="auto"/>
          <w:kern w:val="21"/>
          <w:lang w:eastAsia="zh-CN" w:bidi="ar"/>
        </w:rPr>
        <w:t>恶臭气体</w:t>
      </w:r>
      <w:r>
        <w:rPr>
          <w:color w:val="auto"/>
          <w:kern w:val="21"/>
          <w:lang w:bidi="ar"/>
        </w:rPr>
        <w:t>，造成二次污染。</w:t>
      </w:r>
    </w:p>
    <w:p>
      <w:pPr>
        <w:widowControl/>
        <w:ind w:firstLine="480"/>
        <w:jc w:val="left"/>
        <w:rPr>
          <w:color w:val="auto"/>
          <w:kern w:val="21"/>
        </w:rPr>
      </w:pPr>
      <w:r>
        <w:rPr>
          <w:color w:val="auto"/>
          <w:kern w:val="21"/>
          <w:lang w:bidi="ar"/>
        </w:rPr>
        <w:t>④污泥运输时要避开运输高峰期，按规定时间和行驶路线运输，尽量减小臭气对运输线路附近大气环境的影响。</w:t>
      </w:r>
    </w:p>
    <w:p>
      <w:pPr>
        <w:widowControl/>
        <w:ind w:firstLine="482"/>
        <w:jc w:val="left"/>
        <w:rPr>
          <w:color w:val="auto"/>
          <w:kern w:val="21"/>
        </w:rPr>
      </w:pPr>
      <w:r>
        <w:rPr>
          <w:b/>
          <w:color w:val="auto"/>
          <w:kern w:val="21"/>
          <w:lang w:bidi="ar"/>
        </w:rPr>
        <w:t>2、污泥处理措施的可行性分析</w:t>
      </w:r>
    </w:p>
    <w:p>
      <w:pPr>
        <w:ind w:firstLine="480"/>
        <w:rPr>
          <w:color w:val="auto"/>
          <w:kern w:val="21"/>
        </w:rPr>
      </w:pPr>
      <w:r>
        <w:rPr>
          <w:color w:val="auto"/>
          <w:kern w:val="21"/>
          <w:lang w:bidi="ar"/>
        </w:rPr>
        <w:t>污水处理厂污泥主要来源为：絮凝沉淀池、</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color w:val="auto"/>
          <w:kern w:val="21"/>
          <w:lang w:bidi="ar"/>
        </w:rPr>
        <w:t>/O</w:t>
      </w:r>
      <w:r>
        <w:rPr>
          <w:color w:val="auto"/>
          <w:kern w:val="21"/>
          <w:lang w:bidi="ar"/>
        </w:rPr>
        <w:t>生化池、MBR膜池、污泥脱水车间，污水处理厂将污水中大部分污染物质转化成污泥，含水率高，必须进行减量处理，以便于运输和后续处理；有机物含量较高，不稳定，易腐化，必须减少有机物使污泥稳定化；污泥中还含有致病菌和寄生虫卵，必须妥善安置处理；同时还要避免磷的二次释放。污泥处理不当，会造成二次污染，甚至会抵消污水生物处理的功效。所以，必须高度重视污水处理厂的污泥处置，项目采取</w:t>
      </w:r>
      <w:r>
        <w:rPr>
          <w:rFonts w:hint="eastAsia"/>
          <w:color w:val="auto"/>
          <w:kern w:val="21"/>
          <w:lang w:val="zh-CN"/>
        </w:rPr>
        <w:t>板框压滤机</w:t>
      </w:r>
      <w:r>
        <w:rPr>
          <w:color w:val="auto"/>
          <w:kern w:val="21"/>
          <w:lang w:bidi="ar"/>
        </w:rPr>
        <w:t>进行污泥脱水是可行的。</w:t>
      </w:r>
    </w:p>
    <w:p>
      <w:pPr>
        <w:widowControl/>
        <w:ind w:firstLine="480"/>
        <w:rPr>
          <w:color w:val="auto"/>
          <w:kern w:val="21"/>
        </w:rPr>
      </w:pPr>
      <w:r>
        <w:rPr>
          <w:color w:val="auto"/>
          <w:kern w:val="21"/>
          <w:lang w:bidi="ar"/>
        </w:rPr>
        <w:t>根据环境保护部《关于污（废）水处理设施产生污泥危险特性鉴别有关意见的函》（环函</w:t>
      </w:r>
      <w:r>
        <w:rPr>
          <w:rFonts w:hint="eastAsia"/>
          <w:color w:val="auto"/>
          <w:kern w:val="21"/>
          <w:lang w:bidi="ar"/>
        </w:rPr>
        <w:t>[</w:t>
      </w:r>
      <w:r>
        <w:rPr>
          <w:color w:val="auto"/>
          <w:kern w:val="21"/>
          <w:lang w:bidi="ar"/>
        </w:rPr>
        <w:t>2010</w:t>
      </w:r>
      <w:r>
        <w:rPr>
          <w:rFonts w:hint="eastAsia"/>
          <w:color w:val="auto"/>
          <w:kern w:val="21"/>
          <w:lang w:bidi="ar"/>
        </w:rPr>
        <w:t>]</w:t>
      </w:r>
      <w:r>
        <w:rPr>
          <w:color w:val="auto"/>
          <w:kern w:val="21"/>
          <w:lang w:bidi="ar"/>
        </w:rPr>
        <w:t>129号），“专门处理工业废水（或同时处理少量生活污水）的处理设施产生的污泥，可能具有危险特性，应按《国家危险废物名录》、国家环境保护标准《危险废物鉴别技术规范》（HJ/T298-2007）和危险废物鉴别标准的规定，对污泥进行危险特性鉴别”。</w:t>
      </w:r>
    </w:p>
    <w:p>
      <w:pPr>
        <w:widowControl/>
        <w:ind w:firstLine="480"/>
        <w:jc w:val="left"/>
        <w:rPr>
          <w:color w:val="auto"/>
          <w:kern w:val="21"/>
        </w:rPr>
      </w:pPr>
      <w:r>
        <w:rPr>
          <w:color w:val="auto"/>
          <w:kern w:val="21"/>
          <w:lang w:bidi="ar"/>
        </w:rPr>
        <w:t>因此，建议建设单位在建设项目竣工环保验收前对污泥进行毒性鉴别，根据鉴别结果决定最终处置方式。</w:t>
      </w:r>
    </w:p>
    <w:p>
      <w:pPr>
        <w:widowControl/>
        <w:ind w:firstLine="480"/>
        <w:jc w:val="left"/>
        <w:rPr>
          <w:color w:val="auto"/>
          <w:kern w:val="21"/>
        </w:rPr>
      </w:pPr>
      <w:r>
        <w:rPr>
          <w:color w:val="auto"/>
          <w:kern w:val="21"/>
          <w:lang w:bidi="ar"/>
        </w:rPr>
        <w:t>①如经鉴定属于一般废物，则应按照《城镇污水处理厂污泥处理处置及污染防治技术政策（试行）》（建城</w:t>
      </w:r>
      <w:r>
        <w:rPr>
          <w:rFonts w:hint="eastAsia"/>
          <w:color w:val="auto"/>
          <w:kern w:val="21"/>
          <w:lang w:bidi="ar"/>
        </w:rPr>
        <w:t>[</w:t>
      </w:r>
      <w:r>
        <w:rPr>
          <w:color w:val="auto"/>
          <w:kern w:val="21"/>
          <w:lang w:bidi="ar"/>
        </w:rPr>
        <w:t>2009</w:t>
      </w:r>
      <w:r>
        <w:rPr>
          <w:rFonts w:hint="eastAsia"/>
          <w:color w:val="auto"/>
          <w:kern w:val="21"/>
          <w:lang w:bidi="ar"/>
        </w:rPr>
        <w:t>]</w:t>
      </w:r>
      <w:r>
        <w:rPr>
          <w:color w:val="auto"/>
          <w:kern w:val="21"/>
          <w:lang w:bidi="ar"/>
        </w:rPr>
        <w:t>23号）、《关于加强城镇污水处理厂污泥污染防治工作的通知》（环办</w:t>
      </w:r>
      <w:r>
        <w:rPr>
          <w:rFonts w:hint="eastAsia"/>
          <w:color w:val="auto"/>
          <w:kern w:val="21"/>
          <w:lang w:bidi="ar"/>
        </w:rPr>
        <w:t>[</w:t>
      </w:r>
      <w:r>
        <w:rPr>
          <w:color w:val="auto"/>
          <w:kern w:val="21"/>
          <w:lang w:bidi="ar"/>
        </w:rPr>
        <w:t>2010</w:t>
      </w:r>
      <w:r>
        <w:rPr>
          <w:rFonts w:hint="eastAsia"/>
          <w:color w:val="auto"/>
          <w:kern w:val="21"/>
          <w:lang w:bidi="ar"/>
        </w:rPr>
        <w:t>]</w:t>
      </w:r>
      <w:r>
        <w:rPr>
          <w:color w:val="auto"/>
          <w:kern w:val="21"/>
          <w:lang w:bidi="ar"/>
        </w:rPr>
        <w:t>157号）和《城镇污水处理厂污泥处理处置污染防治最佳可行技术指南（试行）》（环保部公告2010年第26号）的相关要求进行管理、处置。</w:t>
      </w:r>
    </w:p>
    <w:p>
      <w:pPr>
        <w:widowControl/>
        <w:ind w:firstLine="480"/>
        <w:jc w:val="left"/>
        <w:rPr>
          <w:color w:val="auto"/>
          <w:kern w:val="21"/>
          <w:lang w:bidi="ar"/>
        </w:rPr>
      </w:pPr>
      <w:r>
        <w:rPr>
          <w:color w:val="auto"/>
          <w:kern w:val="21"/>
          <w:lang w:bidi="ar"/>
        </w:rPr>
        <w:t>②如经鉴定属于危险废物，则按照危废相关管理规定，委托有危险废物处置资质的单位进行处置。</w:t>
      </w:r>
    </w:p>
    <w:p>
      <w:pPr>
        <w:pStyle w:val="23"/>
        <w:spacing w:after="0" w:line="360" w:lineRule="auto"/>
        <w:ind w:left="0" w:leftChars="0" w:firstLine="480"/>
        <w:rPr>
          <w:color w:val="auto"/>
          <w:kern w:val="21"/>
        </w:rPr>
      </w:pPr>
      <w:r>
        <w:rPr>
          <w:color w:val="auto"/>
          <w:kern w:val="21"/>
        </w:rPr>
        <w:t>本项目为新建项目，污泥属性暂无法确定，本评价将污泥按照危废进行管理，其贮存应满足</w:t>
      </w:r>
      <w:r>
        <w:rPr>
          <w:color w:val="auto"/>
          <w:kern w:val="21"/>
          <w:lang w:bidi="ar"/>
        </w:rPr>
        <w:t>《危险废物贮存污染控制标准》（GB18597-2001）及其修改单的要求，</w:t>
      </w:r>
      <w:r>
        <w:rPr>
          <w:rFonts w:hint="eastAsia"/>
          <w:color w:val="auto"/>
          <w:kern w:val="21"/>
          <w:lang w:bidi="ar"/>
        </w:rPr>
        <w:t>本项目拟将加药间北区</w:t>
      </w:r>
      <w:r>
        <w:rPr>
          <w:rFonts w:hint="eastAsia"/>
          <w:color w:val="auto"/>
          <w:kern w:val="21"/>
          <w:lang w:eastAsia="zh-CN" w:bidi="ar"/>
        </w:rPr>
        <w:t>设置</w:t>
      </w:r>
      <w:r>
        <w:rPr>
          <w:rFonts w:hint="eastAsia"/>
          <w:color w:val="auto"/>
          <w:kern w:val="21"/>
          <w:lang w:bidi="ar"/>
        </w:rPr>
        <w:t>为危废暂存间，占地面积25m</w:t>
      </w:r>
      <w:r>
        <w:rPr>
          <w:rFonts w:hint="eastAsia"/>
          <w:color w:val="auto"/>
          <w:kern w:val="21"/>
          <w:vertAlign w:val="superscript"/>
          <w:lang w:bidi="ar"/>
        </w:rPr>
        <w:t>2</w:t>
      </w:r>
      <w:r>
        <w:rPr>
          <w:rFonts w:hint="eastAsia"/>
          <w:color w:val="auto"/>
          <w:kern w:val="21"/>
          <w:lang w:bidi="ar"/>
        </w:rPr>
        <w:t>，容积约100m</w:t>
      </w:r>
      <w:r>
        <w:rPr>
          <w:rFonts w:hint="eastAsia"/>
          <w:color w:val="auto"/>
          <w:kern w:val="21"/>
          <w:vertAlign w:val="superscript"/>
          <w:lang w:bidi="ar"/>
        </w:rPr>
        <w:t>3</w:t>
      </w:r>
      <w:r>
        <w:rPr>
          <w:rFonts w:hint="eastAsia"/>
          <w:color w:val="auto"/>
          <w:kern w:val="21"/>
          <w:lang w:bidi="ar"/>
        </w:rPr>
        <w:t>，</w:t>
      </w:r>
      <w:r>
        <w:rPr>
          <w:color w:val="auto"/>
          <w:kern w:val="21"/>
          <w:lang w:bidi="ar"/>
        </w:rPr>
        <w:t>污泥经脱水后，含水率约50%，比重1.3t/m</w:t>
      </w:r>
      <w:r>
        <w:rPr>
          <w:color w:val="auto"/>
          <w:kern w:val="21"/>
          <w:vertAlign w:val="superscript"/>
          <w:lang w:bidi="ar"/>
        </w:rPr>
        <w:t>3</w:t>
      </w:r>
      <w:r>
        <w:rPr>
          <w:color w:val="auto"/>
          <w:kern w:val="21"/>
          <w:lang w:bidi="ar"/>
        </w:rPr>
        <w:t>，每天产生的干污泥为1.54m</w:t>
      </w:r>
      <w:r>
        <w:rPr>
          <w:color w:val="auto"/>
          <w:kern w:val="21"/>
          <w:vertAlign w:val="superscript"/>
          <w:lang w:bidi="ar"/>
        </w:rPr>
        <w:t>3</w:t>
      </w:r>
      <w:r>
        <w:rPr>
          <w:color w:val="auto"/>
          <w:kern w:val="21"/>
          <w:lang w:bidi="ar"/>
        </w:rPr>
        <w:t>/d</w:t>
      </w:r>
      <w:r>
        <w:rPr>
          <w:rFonts w:hint="eastAsia"/>
          <w:color w:val="auto"/>
          <w:kern w:val="21"/>
          <w:lang w:bidi="ar"/>
        </w:rPr>
        <w:t>，足够容纳50天的干污泥量。</w:t>
      </w:r>
    </w:p>
    <w:p>
      <w:pPr>
        <w:widowControl/>
        <w:ind w:firstLine="482"/>
        <w:jc w:val="left"/>
        <w:rPr>
          <w:color w:val="auto"/>
          <w:kern w:val="21"/>
        </w:rPr>
      </w:pPr>
      <w:r>
        <w:rPr>
          <w:b/>
          <w:color w:val="auto"/>
          <w:kern w:val="21"/>
          <w:lang w:bidi="ar"/>
        </w:rPr>
        <w:t>3、其它固废处置措施</w:t>
      </w:r>
    </w:p>
    <w:p>
      <w:pPr>
        <w:keepNext w:val="0"/>
        <w:keepLines w:val="0"/>
        <w:pageBreakBefore w:val="0"/>
        <w:widowControl/>
        <w:kinsoku/>
        <w:wordWrap/>
        <w:overflowPunct/>
        <w:topLinePunct w:val="0"/>
        <w:autoSpaceDE/>
        <w:autoSpaceDN/>
        <w:bidi w:val="0"/>
        <w:adjustRightInd/>
        <w:snapToGrid/>
        <w:ind w:firstLine="480"/>
        <w:jc w:val="left"/>
        <w:textAlignment w:val="auto"/>
        <w:rPr>
          <w:color w:val="auto"/>
          <w:kern w:val="21"/>
        </w:rPr>
      </w:pPr>
      <w:r>
        <w:rPr>
          <w:color w:val="auto"/>
          <w:kern w:val="21"/>
          <w:lang w:bidi="ar"/>
        </w:rPr>
        <w:t>（1）生活垃圾</w:t>
      </w:r>
    </w:p>
    <w:p>
      <w:pPr>
        <w:keepNext w:val="0"/>
        <w:keepLines w:val="0"/>
        <w:pageBreakBefore w:val="0"/>
        <w:widowControl/>
        <w:kinsoku/>
        <w:wordWrap/>
        <w:overflowPunct/>
        <w:topLinePunct w:val="0"/>
        <w:autoSpaceDE/>
        <w:autoSpaceDN/>
        <w:bidi w:val="0"/>
        <w:adjustRightInd/>
        <w:snapToGrid/>
        <w:ind w:firstLine="480"/>
        <w:jc w:val="left"/>
        <w:textAlignment w:val="auto"/>
        <w:rPr>
          <w:color w:val="auto"/>
          <w:kern w:val="21"/>
        </w:rPr>
      </w:pPr>
      <w:r>
        <w:rPr>
          <w:color w:val="auto"/>
          <w:kern w:val="21"/>
          <w:lang w:bidi="ar"/>
        </w:rPr>
        <w:t>生活垃圾经收集后运至由环卫部门指定地点，由环卫部门集中处理处置。</w:t>
      </w:r>
    </w:p>
    <w:p>
      <w:pPr>
        <w:keepNext w:val="0"/>
        <w:keepLines w:val="0"/>
        <w:pageBreakBefore w:val="0"/>
        <w:kinsoku/>
        <w:wordWrap/>
        <w:overflowPunct/>
        <w:topLinePunct w:val="0"/>
        <w:autoSpaceDE/>
        <w:autoSpaceDN/>
        <w:bidi w:val="0"/>
        <w:adjustRightInd/>
        <w:snapToGrid/>
        <w:ind w:firstLine="480"/>
        <w:jc w:val="left"/>
        <w:textAlignment w:val="auto"/>
        <w:rPr>
          <w:color w:val="auto"/>
          <w:kern w:val="21"/>
        </w:rPr>
      </w:pPr>
      <w:r>
        <w:rPr>
          <w:color w:val="auto"/>
          <w:kern w:val="21"/>
        </w:rPr>
        <w:t>（2）栅渣</w:t>
      </w:r>
    </w:p>
    <w:p>
      <w:pPr>
        <w:keepNext w:val="0"/>
        <w:keepLines w:val="0"/>
        <w:pageBreakBefore w:val="0"/>
        <w:kinsoku/>
        <w:wordWrap/>
        <w:overflowPunct/>
        <w:topLinePunct w:val="0"/>
        <w:autoSpaceDE/>
        <w:autoSpaceDN/>
        <w:bidi w:val="0"/>
        <w:adjustRightInd/>
        <w:snapToGrid/>
        <w:ind w:firstLine="480"/>
        <w:jc w:val="left"/>
        <w:textAlignment w:val="auto"/>
        <w:rPr>
          <w:rFonts w:hint="eastAsia"/>
          <w:color w:val="auto"/>
          <w:kern w:val="21"/>
        </w:rPr>
      </w:pPr>
      <w:r>
        <w:rPr>
          <w:color w:val="auto"/>
          <w:kern w:val="21"/>
        </w:rPr>
        <w:t>本项目产生的栅渣属于一般工业固废，压榨后含水率为50%-60%，</w:t>
      </w:r>
      <w:r>
        <w:rPr>
          <w:rFonts w:hint="eastAsia"/>
          <w:color w:val="auto"/>
          <w:kern w:val="21"/>
        </w:rPr>
        <w:t>集中收集至厂区垃圾箱内，由当地环卫部门清运处置。</w:t>
      </w:r>
    </w:p>
    <w:p>
      <w:pPr>
        <w:keepNext w:val="0"/>
        <w:keepLines w:val="0"/>
        <w:pageBreakBefore w:val="0"/>
        <w:kinsoku/>
        <w:wordWrap/>
        <w:overflowPunct/>
        <w:topLinePunct w:val="0"/>
        <w:autoSpaceDE/>
        <w:autoSpaceDN/>
        <w:bidi w:val="0"/>
        <w:adjustRightInd/>
        <w:snapToGrid/>
        <w:ind w:firstLine="480"/>
        <w:jc w:val="left"/>
        <w:textAlignment w:val="auto"/>
        <w:rPr>
          <w:rFonts w:hint="eastAsia" w:ascii="Times New Roman" w:hAnsi="Times New Roman" w:eastAsia="宋体" w:cs="Times New Roman"/>
          <w:color w:val="auto"/>
          <w:kern w:val="21"/>
          <w:lang w:eastAsia="zh-CN"/>
        </w:rPr>
      </w:pPr>
      <w:r>
        <w:rPr>
          <w:rFonts w:hint="eastAsia" w:ascii="Times New Roman" w:hAnsi="Times New Roman" w:eastAsia="宋体" w:cs="Times New Roman"/>
          <w:color w:val="auto"/>
          <w:kern w:val="21"/>
          <w:lang w:eastAsia="zh-CN"/>
        </w:rPr>
        <w:t>（</w:t>
      </w:r>
      <w:r>
        <w:rPr>
          <w:rFonts w:hint="eastAsia" w:ascii="Times New Roman" w:hAnsi="Times New Roman" w:eastAsia="宋体" w:cs="Times New Roman"/>
          <w:color w:val="auto"/>
          <w:kern w:val="21"/>
          <w:lang w:val="en-US" w:eastAsia="zh-CN"/>
        </w:rPr>
        <w:t>3</w:t>
      </w:r>
      <w:r>
        <w:rPr>
          <w:rFonts w:hint="eastAsia" w:ascii="Times New Roman" w:hAnsi="Times New Roman" w:eastAsia="宋体" w:cs="Times New Roman"/>
          <w:color w:val="auto"/>
          <w:kern w:val="21"/>
          <w:lang w:eastAsia="zh-CN"/>
        </w:rPr>
        <w:t>）废活性炭</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rPr>
          <w:rFonts w:hint="eastAsia"/>
          <w:b w:val="0"/>
          <w:bCs w:val="0"/>
          <w:color w:val="auto"/>
          <w:lang w:eastAsia="zh-CN"/>
        </w:rPr>
      </w:pPr>
      <w:r>
        <w:rPr>
          <w:rFonts w:hint="eastAsia"/>
          <w:b w:val="0"/>
          <w:bCs w:val="0"/>
          <w:color w:val="auto"/>
          <w:lang w:eastAsia="zh-CN"/>
        </w:rPr>
        <w:t>本项目活性炭吸附塔产生的废活性炭属于一般工业固废，由设备厂家定期上门更换回收再生处理。</w:t>
      </w:r>
    </w:p>
    <w:p>
      <w:pPr>
        <w:keepNext w:val="0"/>
        <w:keepLines w:val="0"/>
        <w:pageBreakBefore w:val="0"/>
        <w:kinsoku/>
        <w:wordWrap/>
        <w:overflowPunct/>
        <w:topLinePunct w:val="0"/>
        <w:autoSpaceDE/>
        <w:autoSpaceDN/>
        <w:bidi w:val="0"/>
        <w:adjustRightInd/>
        <w:snapToGrid/>
        <w:ind w:firstLine="480"/>
        <w:jc w:val="left"/>
        <w:textAlignment w:val="auto"/>
        <w:rPr>
          <w:color w:val="auto"/>
          <w:kern w:val="21"/>
        </w:rPr>
      </w:pPr>
      <w:r>
        <w:rPr>
          <w:rFonts w:hint="eastAsia"/>
          <w:color w:val="auto"/>
          <w:kern w:val="21"/>
        </w:rPr>
        <w:t>（</w:t>
      </w:r>
      <w:r>
        <w:rPr>
          <w:rFonts w:hint="eastAsia"/>
          <w:color w:val="auto"/>
          <w:kern w:val="21"/>
          <w:lang w:val="en-US" w:eastAsia="zh-CN"/>
        </w:rPr>
        <w:t>4</w:t>
      </w:r>
      <w:r>
        <w:rPr>
          <w:rFonts w:hint="eastAsia"/>
          <w:color w:val="auto"/>
          <w:kern w:val="21"/>
        </w:rPr>
        <w:t>）废机油</w:t>
      </w:r>
    </w:p>
    <w:p>
      <w:pPr>
        <w:keepNext w:val="0"/>
        <w:keepLines w:val="0"/>
        <w:pageBreakBefore w:val="0"/>
        <w:kinsoku/>
        <w:wordWrap/>
        <w:overflowPunct/>
        <w:topLinePunct w:val="0"/>
        <w:autoSpaceDE/>
        <w:autoSpaceDN/>
        <w:bidi w:val="0"/>
        <w:adjustRightInd/>
        <w:snapToGrid/>
        <w:ind w:firstLine="480"/>
        <w:jc w:val="left"/>
        <w:textAlignment w:val="auto"/>
        <w:rPr>
          <w:color w:val="auto"/>
          <w:kern w:val="21"/>
        </w:rPr>
      </w:pPr>
      <w:r>
        <w:rPr>
          <w:rFonts w:hint="eastAsia"/>
          <w:color w:val="auto"/>
          <w:kern w:val="21"/>
        </w:rPr>
        <w:t>本项目污水处理厂采取定期维护制度，由设备、管网等设备厂家定期上门维护，保障污水处理厂事故率降到最低，维护保养过程中产生的少量废机油暂存污水厂危废暂存间，委托资质单位清运处置。</w:t>
      </w:r>
    </w:p>
    <w:p>
      <w:pPr>
        <w:ind w:firstLine="480"/>
        <w:rPr>
          <w:color w:val="auto"/>
          <w:kern w:val="21"/>
        </w:rPr>
      </w:pPr>
      <w:r>
        <w:rPr>
          <w:rFonts w:hint="eastAsia"/>
          <w:color w:val="auto"/>
          <w:kern w:val="21"/>
        </w:rPr>
        <w:t>（</w:t>
      </w:r>
      <w:r>
        <w:rPr>
          <w:rFonts w:hint="eastAsia"/>
          <w:color w:val="auto"/>
          <w:kern w:val="21"/>
          <w:lang w:val="en-US" w:eastAsia="zh-CN"/>
        </w:rPr>
        <w:t>5</w:t>
      </w:r>
      <w:r>
        <w:rPr>
          <w:rFonts w:hint="eastAsia"/>
          <w:color w:val="auto"/>
          <w:kern w:val="21"/>
        </w:rPr>
        <w:t>）废紫外灯管</w:t>
      </w:r>
    </w:p>
    <w:p>
      <w:pPr>
        <w:pStyle w:val="16"/>
        <w:ind w:firstLine="480"/>
        <w:rPr>
          <w:rFonts w:hint="eastAsia"/>
          <w:color w:val="auto"/>
          <w:kern w:val="21"/>
          <w:sz w:val="24"/>
          <w:szCs w:val="24"/>
        </w:rPr>
      </w:pPr>
      <w:r>
        <w:rPr>
          <w:rFonts w:hint="eastAsia"/>
          <w:color w:val="auto"/>
          <w:kern w:val="21"/>
          <w:sz w:val="24"/>
          <w:szCs w:val="24"/>
        </w:rPr>
        <w:t>废紫外灯管</w:t>
      </w:r>
      <w:r>
        <w:rPr>
          <w:rFonts w:hint="eastAsia"/>
          <w:color w:val="auto"/>
          <w:kern w:val="21"/>
          <w:sz w:val="24"/>
          <w:szCs w:val="24"/>
          <w:lang w:eastAsia="zh-CN"/>
        </w:rPr>
        <w:t>使用</w:t>
      </w:r>
      <w:r>
        <w:rPr>
          <w:rFonts w:hint="eastAsia"/>
          <w:color w:val="auto"/>
          <w:kern w:val="21"/>
          <w:sz w:val="24"/>
          <w:szCs w:val="24"/>
        </w:rPr>
        <w:t>密闭桶装收集，</w:t>
      </w:r>
      <w:r>
        <w:rPr>
          <w:rFonts w:hint="eastAsia"/>
          <w:color w:val="auto"/>
          <w:kern w:val="21"/>
          <w:sz w:val="24"/>
          <w:szCs w:val="24"/>
          <w:lang w:eastAsia="zh-CN"/>
        </w:rPr>
        <w:t>暂存</w:t>
      </w:r>
      <w:r>
        <w:rPr>
          <w:rFonts w:hint="eastAsia"/>
          <w:color w:val="auto"/>
          <w:kern w:val="21"/>
          <w:sz w:val="24"/>
          <w:szCs w:val="24"/>
        </w:rPr>
        <w:t>污水厂危废暂存间，委托资质单位清运处置。</w:t>
      </w:r>
    </w:p>
    <w:p>
      <w:pPr>
        <w:ind w:firstLine="480"/>
        <w:rPr>
          <w:rFonts w:hint="eastAsia" w:eastAsia="宋体"/>
          <w:color w:val="auto"/>
          <w:kern w:val="21"/>
          <w:lang w:eastAsia="zh-CN"/>
        </w:rPr>
      </w:pPr>
      <w:r>
        <w:rPr>
          <w:rFonts w:hint="eastAsia"/>
          <w:color w:val="auto"/>
          <w:kern w:val="21"/>
        </w:rPr>
        <w:t>（</w:t>
      </w:r>
      <w:r>
        <w:rPr>
          <w:rFonts w:hint="eastAsia"/>
          <w:color w:val="auto"/>
          <w:kern w:val="21"/>
          <w:lang w:val="en-US" w:eastAsia="zh-CN"/>
        </w:rPr>
        <w:t>6</w:t>
      </w:r>
      <w:r>
        <w:rPr>
          <w:rFonts w:hint="eastAsia"/>
          <w:color w:val="auto"/>
          <w:kern w:val="21"/>
        </w:rPr>
        <w:t>）</w:t>
      </w:r>
      <w:r>
        <w:rPr>
          <w:rFonts w:hint="eastAsia"/>
          <w:color w:val="auto"/>
          <w:kern w:val="21"/>
          <w:lang w:eastAsia="zh-CN"/>
        </w:rPr>
        <w:t>在线监测设备废液</w:t>
      </w:r>
    </w:p>
    <w:p>
      <w:pPr>
        <w:pStyle w:val="16"/>
        <w:ind w:firstLine="480"/>
        <w:rPr>
          <w:rFonts w:hint="eastAsia"/>
          <w:color w:val="auto"/>
          <w:kern w:val="21"/>
          <w:sz w:val="24"/>
          <w:szCs w:val="24"/>
        </w:rPr>
      </w:pPr>
      <w:r>
        <w:rPr>
          <w:rFonts w:hint="eastAsia"/>
          <w:color w:val="auto"/>
          <w:kern w:val="21"/>
          <w:sz w:val="24"/>
          <w:szCs w:val="24"/>
          <w:lang w:eastAsia="zh-CN"/>
        </w:rPr>
        <w:t>在线监测设备废液使用</w:t>
      </w:r>
      <w:r>
        <w:rPr>
          <w:rFonts w:hint="eastAsia"/>
          <w:color w:val="auto"/>
          <w:kern w:val="21"/>
          <w:sz w:val="24"/>
          <w:szCs w:val="24"/>
        </w:rPr>
        <w:t>密闭桶装收集，</w:t>
      </w:r>
      <w:r>
        <w:rPr>
          <w:rFonts w:hint="eastAsia"/>
          <w:color w:val="auto"/>
          <w:kern w:val="21"/>
          <w:sz w:val="24"/>
          <w:szCs w:val="24"/>
          <w:lang w:eastAsia="zh-CN"/>
        </w:rPr>
        <w:t>暂存</w:t>
      </w:r>
      <w:r>
        <w:rPr>
          <w:rFonts w:hint="eastAsia"/>
          <w:color w:val="auto"/>
          <w:kern w:val="21"/>
          <w:sz w:val="24"/>
          <w:szCs w:val="24"/>
        </w:rPr>
        <w:t>污水厂危废暂存间，委托资质单位清运处置。</w:t>
      </w:r>
    </w:p>
    <w:p>
      <w:pPr>
        <w:widowControl/>
        <w:ind w:firstLine="480"/>
        <w:jc w:val="left"/>
        <w:rPr>
          <w:color w:val="auto"/>
          <w:kern w:val="21"/>
        </w:rPr>
      </w:pPr>
      <w:r>
        <w:rPr>
          <w:color w:val="auto"/>
          <w:kern w:val="21"/>
          <w:lang w:bidi="ar"/>
        </w:rPr>
        <w:t>项目运营期产生的固体废物所采取的治理措施属于常用的固体废物处置措施，技术成熟，费用较低，所采取的处置措施是合理、可行的。</w:t>
      </w:r>
    </w:p>
    <w:p>
      <w:pPr>
        <w:pStyle w:val="6"/>
        <w:spacing w:after="0"/>
        <w:rPr>
          <w:color w:val="auto"/>
          <w:kern w:val="21"/>
          <w:sz w:val="24"/>
          <w:szCs w:val="24"/>
        </w:rPr>
      </w:pPr>
      <w:bookmarkStart w:id="353" w:name="_Toc17688"/>
      <w:r>
        <w:rPr>
          <w:rFonts w:eastAsia="宋体"/>
          <w:color w:val="auto"/>
          <w:kern w:val="21"/>
          <w:sz w:val="24"/>
          <w:szCs w:val="24"/>
        </w:rPr>
        <w:t>8.2.5</w:t>
      </w:r>
      <w:r>
        <w:rPr>
          <w:rFonts w:eastAsia="宋体"/>
          <w:color w:val="auto"/>
          <w:kern w:val="21"/>
          <w:sz w:val="24"/>
          <w:szCs w:val="24"/>
          <w:lang w:bidi="ar"/>
        </w:rPr>
        <w:t>噪声污染防治措施</w:t>
      </w:r>
      <w:bookmarkEnd w:id="353"/>
    </w:p>
    <w:p>
      <w:pPr>
        <w:ind w:firstLine="480"/>
        <w:rPr>
          <w:color w:val="auto"/>
          <w:kern w:val="21"/>
        </w:rPr>
      </w:pPr>
      <w:r>
        <w:rPr>
          <w:color w:val="auto"/>
          <w:kern w:val="21"/>
        </w:rPr>
        <w:t>（1）选用低噪声设备，并做好建筑物隔声措施的设计、建设工作。</w:t>
      </w:r>
    </w:p>
    <w:p>
      <w:pPr>
        <w:ind w:firstLine="480"/>
        <w:rPr>
          <w:color w:val="auto"/>
          <w:kern w:val="21"/>
        </w:rPr>
      </w:pPr>
      <w:r>
        <w:rPr>
          <w:color w:val="auto"/>
          <w:kern w:val="21"/>
        </w:rPr>
        <w:t>（2）合理安排运输作业时间，尽量不在夜间进行运输。</w:t>
      </w:r>
    </w:p>
    <w:p>
      <w:pPr>
        <w:ind w:firstLine="480"/>
        <w:rPr>
          <w:color w:val="auto"/>
          <w:kern w:val="21"/>
        </w:rPr>
      </w:pPr>
      <w:r>
        <w:rPr>
          <w:color w:val="auto"/>
          <w:kern w:val="21"/>
        </w:rPr>
        <w:t>（3）对泵类、搅拌机、压滤机、空压机、风机等相对固定的设备采取减震、隔声措施。</w:t>
      </w:r>
    </w:p>
    <w:p>
      <w:pPr>
        <w:ind w:firstLine="480"/>
        <w:rPr>
          <w:color w:val="auto"/>
          <w:kern w:val="21"/>
        </w:rPr>
      </w:pPr>
      <w:r>
        <w:rPr>
          <w:color w:val="auto"/>
          <w:kern w:val="21"/>
        </w:rPr>
        <w:t>（4）对机械设备加强维护保养，保证机械设备在运营期间始终处于良好运转状态，避免由于设备性能变差而导致噪声增强现象的发生。</w:t>
      </w:r>
    </w:p>
    <w:p>
      <w:pPr>
        <w:ind w:firstLine="480"/>
        <w:rPr>
          <w:color w:val="auto"/>
          <w:kern w:val="21"/>
        </w:rPr>
      </w:pPr>
      <w:r>
        <w:rPr>
          <w:color w:val="auto"/>
          <w:kern w:val="21"/>
        </w:rPr>
        <w:t>（5）对空压机、风机等产噪较大的设备在进出口安装消声器。</w:t>
      </w:r>
    </w:p>
    <w:p>
      <w:pPr>
        <w:ind w:firstLine="480"/>
        <w:rPr>
          <w:color w:val="auto"/>
          <w:kern w:val="21"/>
        </w:rPr>
      </w:pPr>
      <w:r>
        <w:rPr>
          <w:color w:val="auto"/>
          <w:kern w:val="21"/>
        </w:rPr>
        <w:t>项目运营期拟采取的声环境保护措施，采用管理手段和技术手段相结合的方式控制环境噪声污染，对空压机、</w:t>
      </w:r>
      <w:r>
        <w:rPr>
          <w:color w:val="auto"/>
          <w:kern w:val="21"/>
          <w:szCs w:val="28"/>
        </w:rPr>
        <w:t>风机等生产设备</w:t>
      </w:r>
      <w:r>
        <w:rPr>
          <w:color w:val="auto"/>
          <w:kern w:val="21"/>
        </w:rPr>
        <w:t>噪声采取从声源上降低噪声的方法，其它的噪声主要采取管理手段，降低噪声对环境的影响。</w:t>
      </w:r>
    </w:p>
    <w:p>
      <w:pPr>
        <w:ind w:firstLine="480"/>
        <w:rPr>
          <w:color w:val="auto"/>
          <w:kern w:val="21"/>
        </w:rPr>
      </w:pPr>
      <w:r>
        <w:rPr>
          <w:color w:val="auto"/>
          <w:kern w:val="21"/>
        </w:rPr>
        <w:t>项目运营期拟采取的声环境保护措施，均属于通用成熟，并且容易实施的措施，技术上可行，投资相对较少，经济合理。因此运营期拟采取的声环境保护措施是可行的。</w:t>
      </w:r>
    </w:p>
    <w:p>
      <w:pPr>
        <w:pStyle w:val="6"/>
        <w:spacing w:after="0"/>
        <w:rPr>
          <w:color w:val="auto"/>
          <w:kern w:val="21"/>
          <w:sz w:val="24"/>
          <w:szCs w:val="24"/>
        </w:rPr>
      </w:pPr>
      <w:bookmarkStart w:id="354" w:name="_Toc3471"/>
      <w:r>
        <w:rPr>
          <w:rFonts w:eastAsia="宋体"/>
          <w:color w:val="auto"/>
          <w:kern w:val="21"/>
          <w:sz w:val="24"/>
          <w:szCs w:val="24"/>
        </w:rPr>
        <w:t>8.2.6土壤</w:t>
      </w:r>
      <w:r>
        <w:rPr>
          <w:rFonts w:hint="eastAsia" w:eastAsia="宋体"/>
          <w:color w:val="auto"/>
          <w:kern w:val="21"/>
          <w:sz w:val="24"/>
          <w:szCs w:val="24"/>
        </w:rPr>
        <w:t>污染防治</w:t>
      </w:r>
      <w:r>
        <w:rPr>
          <w:rFonts w:eastAsia="宋体"/>
          <w:color w:val="auto"/>
          <w:kern w:val="21"/>
          <w:sz w:val="24"/>
          <w:szCs w:val="24"/>
          <w:lang w:bidi="ar"/>
        </w:rPr>
        <w:t>措施</w:t>
      </w:r>
      <w:bookmarkEnd w:id="354"/>
    </w:p>
    <w:p>
      <w:pPr>
        <w:pStyle w:val="23"/>
        <w:spacing w:after="0" w:line="360" w:lineRule="auto"/>
        <w:ind w:left="0" w:leftChars="0" w:firstLine="480"/>
        <w:rPr>
          <w:color w:val="auto"/>
          <w:kern w:val="21"/>
          <w:lang w:bidi="ar"/>
        </w:rPr>
      </w:pPr>
      <w:r>
        <w:rPr>
          <w:color w:val="auto"/>
          <w:kern w:val="21"/>
          <w:lang w:bidi="ar"/>
        </w:rPr>
        <w:t>（1）源头控制措施：加强管理，保证污水处理设施正常运行以及及时对损坏的设备进行修复，最大限度减少由于设备损坏引起的排水不畅，导致的污水漫溢流出污水处理设施，对土壤造成污染。</w:t>
      </w:r>
    </w:p>
    <w:p>
      <w:pPr>
        <w:pStyle w:val="23"/>
        <w:spacing w:after="0" w:line="360" w:lineRule="auto"/>
        <w:ind w:left="480" w:firstLine="0" w:firstLineChars="0"/>
        <w:rPr>
          <w:color w:val="auto"/>
          <w:kern w:val="21"/>
        </w:rPr>
      </w:pPr>
      <w:r>
        <w:rPr>
          <w:color w:val="auto"/>
          <w:kern w:val="21"/>
          <w:lang w:bidi="ar"/>
        </w:rPr>
        <w:t>（2）分区防渗措施</w:t>
      </w:r>
    </w:p>
    <w:p>
      <w:pPr>
        <w:pStyle w:val="23"/>
        <w:spacing w:after="0" w:line="360" w:lineRule="auto"/>
        <w:ind w:left="0" w:leftChars="0" w:firstLine="480"/>
        <w:rPr>
          <w:color w:val="auto"/>
          <w:kern w:val="21"/>
          <w:lang w:bidi="ar"/>
        </w:rPr>
      </w:pPr>
      <w:r>
        <w:rPr>
          <w:color w:val="auto"/>
          <w:kern w:val="21"/>
          <w:lang w:bidi="ar"/>
        </w:rPr>
        <w:t>根据项目平面布置，将项目分为重点防渗区、一般防渗区和简单防渗区，项目区按不同的防渗要求进行了分区防渗，防止污水下渗对土壤环境产生影响，正常情况下项目对土壤环境不会产生影响。</w:t>
      </w:r>
    </w:p>
    <w:p>
      <w:pPr>
        <w:pStyle w:val="6"/>
        <w:spacing w:after="0"/>
        <w:rPr>
          <w:color w:val="auto"/>
          <w:kern w:val="21"/>
          <w:sz w:val="24"/>
          <w:szCs w:val="24"/>
        </w:rPr>
      </w:pPr>
      <w:bookmarkStart w:id="355" w:name="_Toc6197"/>
      <w:r>
        <w:rPr>
          <w:rFonts w:eastAsia="宋体"/>
          <w:color w:val="auto"/>
          <w:kern w:val="21"/>
          <w:sz w:val="24"/>
          <w:szCs w:val="24"/>
        </w:rPr>
        <w:t>8.2.7环境风险防范及应急</w:t>
      </w:r>
      <w:r>
        <w:rPr>
          <w:rFonts w:eastAsia="宋体"/>
          <w:color w:val="auto"/>
          <w:kern w:val="21"/>
          <w:sz w:val="24"/>
          <w:szCs w:val="24"/>
          <w:lang w:bidi="ar"/>
        </w:rPr>
        <w:t>措施</w:t>
      </w:r>
      <w:bookmarkEnd w:id="355"/>
    </w:p>
    <w:p>
      <w:pPr>
        <w:pStyle w:val="23"/>
        <w:spacing w:after="0" w:line="360" w:lineRule="auto"/>
        <w:ind w:left="0" w:leftChars="0" w:firstLine="480"/>
        <w:rPr>
          <w:color w:val="auto"/>
          <w:kern w:val="21"/>
          <w:lang w:bidi="ar"/>
        </w:rPr>
      </w:pPr>
      <w:r>
        <w:rPr>
          <w:rFonts w:hint="eastAsia"/>
          <w:color w:val="auto"/>
          <w:kern w:val="21"/>
          <w:lang w:bidi="ar"/>
        </w:rPr>
        <w:t>详见6.3章节内容。</w:t>
      </w:r>
    </w:p>
    <w:p>
      <w:pPr>
        <w:pStyle w:val="5"/>
        <w:spacing w:after="0"/>
        <w:rPr>
          <w:color w:val="auto"/>
          <w:kern w:val="21"/>
          <w:sz w:val="28"/>
        </w:rPr>
      </w:pPr>
      <w:bookmarkStart w:id="356" w:name="_Toc21715"/>
      <w:r>
        <w:rPr>
          <w:color w:val="auto"/>
          <w:kern w:val="21"/>
          <w:sz w:val="28"/>
        </w:rPr>
        <w:t>8.3本项目环境保护措施</w:t>
      </w:r>
      <w:bookmarkEnd w:id="356"/>
    </w:p>
    <w:p>
      <w:pPr>
        <w:ind w:firstLine="480"/>
        <w:rPr>
          <w:color w:val="auto"/>
          <w:kern w:val="21"/>
        </w:rPr>
      </w:pPr>
      <w:r>
        <w:rPr>
          <w:color w:val="auto"/>
          <w:kern w:val="21"/>
        </w:rPr>
        <w:t>本评价提出的主要环境保护措施见</w:t>
      </w:r>
      <w:r>
        <w:rPr>
          <w:rFonts w:hint="eastAsia"/>
          <w:color w:val="auto"/>
          <w:kern w:val="21"/>
          <w:lang w:eastAsia="zh-CN"/>
        </w:rPr>
        <w:t>下表</w:t>
      </w:r>
      <w:r>
        <w:rPr>
          <w:color w:val="auto"/>
          <w:kern w:val="21"/>
        </w:rPr>
        <w:t>。</w:t>
      </w:r>
    </w:p>
    <w:p>
      <w:pPr>
        <w:numPr>
          <w:ilvl w:val="0"/>
          <w:numId w:val="17"/>
        </w:numPr>
        <w:ind w:left="0" w:leftChars="0" w:firstLine="420" w:firstLineChars="0"/>
        <w:jc w:val="center"/>
        <w:rPr>
          <w:b/>
          <w:color w:val="auto"/>
          <w:kern w:val="21"/>
        </w:rPr>
      </w:pPr>
      <w:r>
        <w:rPr>
          <w:b/>
          <w:color w:val="auto"/>
          <w:kern w:val="21"/>
        </w:rPr>
        <w:t>本评价提出的主要环境保护措施一览表</w:t>
      </w:r>
    </w:p>
    <w:tbl>
      <w:tblPr>
        <w:tblStyle w:val="51"/>
        <w:tblW w:w="9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7"/>
        <w:gridCol w:w="877"/>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jc w:val="center"/>
        </w:trPr>
        <w:tc>
          <w:tcPr>
            <w:tcW w:w="937" w:type="dxa"/>
            <w:vAlign w:val="center"/>
          </w:tcPr>
          <w:p>
            <w:pPr>
              <w:spacing w:line="240" w:lineRule="auto"/>
              <w:ind w:firstLine="0" w:firstLineChars="0"/>
              <w:jc w:val="center"/>
              <w:rPr>
                <w:b/>
                <w:bCs/>
                <w:color w:val="auto"/>
                <w:kern w:val="21"/>
                <w:sz w:val="21"/>
                <w:szCs w:val="21"/>
              </w:rPr>
            </w:pPr>
            <w:r>
              <w:rPr>
                <w:b/>
                <w:bCs/>
                <w:color w:val="auto"/>
                <w:kern w:val="21"/>
                <w:sz w:val="21"/>
                <w:szCs w:val="21"/>
              </w:rPr>
              <w:t>类别</w:t>
            </w:r>
          </w:p>
        </w:tc>
        <w:tc>
          <w:tcPr>
            <w:tcW w:w="877" w:type="dxa"/>
            <w:vAlign w:val="center"/>
          </w:tcPr>
          <w:p>
            <w:pPr>
              <w:spacing w:line="240" w:lineRule="auto"/>
              <w:ind w:firstLine="0" w:firstLineChars="0"/>
              <w:jc w:val="center"/>
              <w:rPr>
                <w:b/>
                <w:bCs/>
                <w:color w:val="auto"/>
                <w:kern w:val="21"/>
                <w:sz w:val="21"/>
                <w:szCs w:val="21"/>
              </w:rPr>
            </w:pPr>
            <w:r>
              <w:rPr>
                <w:b/>
                <w:bCs/>
                <w:color w:val="auto"/>
                <w:kern w:val="21"/>
                <w:sz w:val="21"/>
                <w:szCs w:val="21"/>
              </w:rPr>
              <w:t>污染物</w:t>
            </w:r>
          </w:p>
        </w:tc>
        <w:tc>
          <w:tcPr>
            <w:tcW w:w="8080" w:type="dxa"/>
            <w:vAlign w:val="center"/>
          </w:tcPr>
          <w:p>
            <w:pPr>
              <w:spacing w:line="240" w:lineRule="auto"/>
              <w:ind w:firstLine="0" w:firstLineChars="0"/>
              <w:jc w:val="center"/>
              <w:rPr>
                <w:b/>
                <w:bCs/>
                <w:color w:val="auto"/>
                <w:kern w:val="21"/>
                <w:sz w:val="21"/>
                <w:szCs w:val="21"/>
              </w:rPr>
            </w:pPr>
            <w:r>
              <w:rPr>
                <w:b/>
                <w:bCs/>
                <w:color w:val="auto"/>
                <w:kern w:val="21"/>
                <w:sz w:val="21"/>
                <w:szCs w:val="21"/>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9894" w:type="dxa"/>
            <w:gridSpan w:val="3"/>
            <w:vAlign w:val="center"/>
          </w:tcPr>
          <w:p>
            <w:pPr>
              <w:spacing w:line="240" w:lineRule="auto"/>
              <w:ind w:firstLine="0" w:firstLineChars="0"/>
              <w:jc w:val="center"/>
              <w:rPr>
                <w:color w:val="auto"/>
                <w:kern w:val="21"/>
                <w:sz w:val="21"/>
                <w:szCs w:val="21"/>
              </w:rPr>
            </w:pPr>
            <w:r>
              <w:rPr>
                <w:color w:val="auto"/>
                <w:kern w:val="21"/>
                <w:sz w:val="21"/>
                <w:szCs w:val="21"/>
              </w:rPr>
              <w:t>施工期主要环保措施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9894" w:type="dxa"/>
            <w:gridSpan w:val="3"/>
            <w:vAlign w:val="center"/>
          </w:tcPr>
          <w:p>
            <w:pPr>
              <w:keepNext/>
              <w:keepLines/>
              <w:spacing w:line="240" w:lineRule="auto"/>
              <w:ind w:firstLine="420"/>
              <w:rPr>
                <w:color w:val="auto"/>
                <w:kern w:val="21"/>
                <w:sz w:val="21"/>
                <w:szCs w:val="21"/>
              </w:rPr>
            </w:pPr>
            <w:r>
              <w:rPr>
                <w:rFonts w:hint="eastAsia"/>
                <w:bCs/>
                <w:color w:val="auto"/>
                <w:kern w:val="21"/>
                <w:sz w:val="21"/>
                <w:szCs w:val="21"/>
              </w:rPr>
              <w:t>本项目于2020年8月份建成运行，施工期早已结束，施工期主要有施工扬尘、运输扬尘、施工废水、施工噪声、施工固废等污染物，同时对生态环境有一定影响，项目施工期针对相应的环境污染采取了防治措施，项目建成后采取了绿化措施，生态环境得到有效恢复，无施工遗留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9894" w:type="dxa"/>
            <w:gridSpan w:val="3"/>
            <w:vAlign w:val="center"/>
          </w:tcPr>
          <w:p>
            <w:pPr>
              <w:spacing w:line="240" w:lineRule="auto"/>
              <w:ind w:firstLine="0" w:firstLineChars="0"/>
              <w:jc w:val="center"/>
              <w:rPr>
                <w:color w:val="auto"/>
                <w:kern w:val="21"/>
                <w:sz w:val="21"/>
                <w:szCs w:val="21"/>
              </w:rPr>
            </w:pPr>
            <w:r>
              <w:rPr>
                <w:color w:val="auto"/>
                <w:kern w:val="21"/>
                <w:sz w:val="21"/>
                <w:szCs w:val="21"/>
              </w:rPr>
              <w:t>运营期环保措施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3" w:hRule="atLeast"/>
          <w:jc w:val="center"/>
        </w:trPr>
        <w:tc>
          <w:tcPr>
            <w:tcW w:w="937"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大气</w:t>
            </w:r>
          </w:p>
        </w:tc>
        <w:tc>
          <w:tcPr>
            <w:tcW w:w="877"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恶臭气体</w:t>
            </w:r>
          </w:p>
        </w:tc>
        <w:tc>
          <w:tcPr>
            <w:tcW w:w="8080" w:type="dxa"/>
            <w:vAlign w:val="center"/>
          </w:tcPr>
          <w:p>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eastAsia="宋体"/>
                <w:color w:val="auto"/>
                <w:kern w:val="21"/>
                <w:sz w:val="21"/>
                <w:szCs w:val="21"/>
                <w:lang w:val="en-US" w:eastAsia="zh-CN" w:bidi="ar"/>
              </w:rPr>
            </w:pPr>
            <w:r>
              <w:rPr>
                <w:rFonts w:hint="eastAsia"/>
                <w:color w:val="auto"/>
                <w:kern w:val="21"/>
                <w:sz w:val="21"/>
                <w:szCs w:val="21"/>
                <w:lang w:eastAsia="zh-CN" w:bidi="ar"/>
              </w:rPr>
              <w:t>（</w:t>
            </w:r>
            <w:r>
              <w:rPr>
                <w:rFonts w:hint="eastAsia"/>
                <w:color w:val="auto"/>
                <w:kern w:val="21"/>
                <w:sz w:val="21"/>
                <w:szCs w:val="21"/>
                <w:lang w:val="en-US" w:eastAsia="zh-CN" w:bidi="ar"/>
              </w:rPr>
              <w:t>1</w:t>
            </w:r>
            <w:r>
              <w:rPr>
                <w:rFonts w:hint="eastAsia"/>
                <w:color w:val="auto"/>
                <w:kern w:val="21"/>
                <w:sz w:val="21"/>
                <w:szCs w:val="21"/>
                <w:lang w:eastAsia="zh-CN" w:bidi="ar"/>
              </w:rPr>
              <w:t>）对粗格栅及进水泵房、细格栅及调节池、混凝沉淀池、水解酸化池、污泥脱水车间、污泥浓缩池进行加盖密闭，通过引风机将恶臭气体收集至活性炭吸附塔进行处理后通过</w:t>
            </w:r>
            <w:r>
              <w:rPr>
                <w:rFonts w:hint="eastAsia"/>
                <w:color w:val="auto"/>
                <w:kern w:val="21"/>
                <w:sz w:val="21"/>
                <w:szCs w:val="21"/>
                <w:lang w:val="en-US" w:eastAsia="zh-CN" w:bidi="ar"/>
              </w:rPr>
              <w:t>15m排气筒排放；</w:t>
            </w:r>
          </w:p>
          <w:p>
            <w:pPr>
              <w:keepNext w:val="0"/>
              <w:keepLines w:val="0"/>
              <w:pageBreakBefore w:val="0"/>
              <w:widowControl/>
              <w:kinsoku/>
              <w:wordWrap/>
              <w:overflowPunct/>
              <w:autoSpaceDE/>
              <w:autoSpaceDN/>
              <w:bidi w:val="0"/>
              <w:adjustRightInd/>
              <w:snapToGrid/>
              <w:spacing w:line="240" w:lineRule="auto"/>
              <w:ind w:firstLine="0" w:firstLineChars="0"/>
              <w:textAlignment w:val="auto"/>
              <w:rPr>
                <w:color w:val="auto"/>
                <w:kern w:val="21"/>
                <w:sz w:val="21"/>
                <w:szCs w:val="21"/>
              </w:rPr>
            </w:pPr>
            <w:r>
              <w:rPr>
                <w:rFonts w:hint="eastAsia"/>
                <w:color w:val="auto"/>
                <w:kern w:val="21"/>
                <w:sz w:val="21"/>
                <w:szCs w:val="21"/>
                <w:lang w:bidi="ar"/>
              </w:rPr>
              <w:t>（</w:t>
            </w:r>
            <w:r>
              <w:rPr>
                <w:rFonts w:hint="eastAsia"/>
                <w:color w:val="auto"/>
                <w:kern w:val="21"/>
                <w:sz w:val="21"/>
                <w:szCs w:val="21"/>
                <w:lang w:val="en-US" w:eastAsia="zh-CN" w:bidi="ar"/>
              </w:rPr>
              <w:t>2</w:t>
            </w:r>
            <w:r>
              <w:rPr>
                <w:rFonts w:hint="eastAsia"/>
                <w:color w:val="auto"/>
                <w:kern w:val="21"/>
                <w:sz w:val="21"/>
                <w:szCs w:val="21"/>
                <w:lang w:bidi="ar"/>
              </w:rPr>
              <w:t>）</w:t>
            </w:r>
            <w:r>
              <w:rPr>
                <w:color w:val="auto"/>
                <w:kern w:val="21"/>
                <w:sz w:val="21"/>
                <w:szCs w:val="21"/>
                <w:lang w:bidi="ar"/>
              </w:rPr>
              <w:t>适地适树，选择适应当地气候及上壤条件的植物；</w:t>
            </w:r>
          </w:p>
          <w:p>
            <w:pPr>
              <w:keepNext w:val="0"/>
              <w:keepLines w:val="0"/>
              <w:pageBreakBefore w:val="0"/>
              <w:widowControl/>
              <w:kinsoku/>
              <w:wordWrap/>
              <w:overflowPunct/>
              <w:autoSpaceDE/>
              <w:autoSpaceDN/>
              <w:bidi w:val="0"/>
              <w:adjustRightInd/>
              <w:snapToGrid/>
              <w:spacing w:line="240" w:lineRule="auto"/>
              <w:ind w:firstLine="0" w:firstLineChars="0"/>
              <w:textAlignment w:val="auto"/>
              <w:rPr>
                <w:color w:val="auto"/>
                <w:kern w:val="21"/>
                <w:sz w:val="21"/>
                <w:szCs w:val="21"/>
              </w:rPr>
            </w:pPr>
            <w:r>
              <w:rPr>
                <w:rFonts w:hint="eastAsia"/>
                <w:color w:val="auto"/>
                <w:kern w:val="21"/>
                <w:sz w:val="21"/>
                <w:szCs w:val="21"/>
                <w:lang w:bidi="ar"/>
              </w:rPr>
              <w:t>（</w:t>
            </w:r>
            <w:r>
              <w:rPr>
                <w:rFonts w:hint="eastAsia"/>
                <w:color w:val="auto"/>
                <w:kern w:val="21"/>
                <w:sz w:val="21"/>
                <w:szCs w:val="21"/>
                <w:lang w:val="en-US" w:eastAsia="zh-CN" w:bidi="ar"/>
              </w:rPr>
              <w:t>3</w:t>
            </w:r>
            <w:r>
              <w:rPr>
                <w:rFonts w:hint="eastAsia"/>
                <w:color w:val="auto"/>
                <w:kern w:val="21"/>
                <w:sz w:val="21"/>
                <w:szCs w:val="21"/>
                <w:lang w:bidi="ar"/>
              </w:rPr>
              <w:t>）</w:t>
            </w:r>
            <w:r>
              <w:rPr>
                <w:color w:val="auto"/>
                <w:kern w:val="21"/>
                <w:sz w:val="21"/>
                <w:szCs w:val="21"/>
                <w:lang w:bidi="ar"/>
              </w:rPr>
              <w:t>抗污染能力强的植物，根据不同的工段的污染情况选择不同的抗性树种；</w:t>
            </w:r>
          </w:p>
          <w:p>
            <w:pPr>
              <w:keepNext w:val="0"/>
              <w:keepLines w:val="0"/>
              <w:pageBreakBefore w:val="0"/>
              <w:widowControl/>
              <w:kinsoku/>
              <w:wordWrap/>
              <w:overflowPunct/>
              <w:autoSpaceDE/>
              <w:autoSpaceDN/>
              <w:bidi w:val="0"/>
              <w:adjustRightInd/>
              <w:snapToGrid/>
              <w:spacing w:line="240" w:lineRule="auto"/>
              <w:ind w:firstLine="0" w:firstLineChars="0"/>
              <w:textAlignment w:val="auto"/>
              <w:rPr>
                <w:color w:val="auto"/>
                <w:kern w:val="21"/>
                <w:sz w:val="21"/>
                <w:szCs w:val="21"/>
              </w:rPr>
            </w:pPr>
            <w:r>
              <w:rPr>
                <w:rFonts w:hint="eastAsia"/>
                <w:color w:val="auto"/>
                <w:kern w:val="21"/>
                <w:sz w:val="21"/>
                <w:szCs w:val="21"/>
                <w:lang w:bidi="ar"/>
              </w:rPr>
              <w:t>（</w:t>
            </w:r>
            <w:r>
              <w:rPr>
                <w:rFonts w:hint="eastAsia"/>
                <w:color w:val="auto"/>
                <w:kern w:val="21"/>
                <w:sz w:val="21"/>
                <w:szCs w:val="21"/>
                <w:lang w:val="en-US" w:eastAsia="zh-CN" w:bidi="ar"/>
              </w:rPr>
              <w:t>4</w:t>
            </w:r>
            <w:r>
              <w:rPr>
                <w:rFonts w:hint="eastAsia"/>
                <w:color w:val="auto"/>
                <w:kern w:val="21"/>
                <w:sz w:val="21"/>
                <w:szCs w:val="21"/>
                <w:lang w:bidi="ar"/>
              </w:rPr>
              <w:t>）</w:t>
            </w:r>
            <w:r>
              <w:rPr>
                <w:color w:val="auto"/>
                <w:kern w:val="21"/>
                <w:sz w:val="21"/>
                <w:szCs w:val="21"/>
                <w:lang w:bidi="ar"/>
              </w:rPr>
              <w:t>以项目区</w:t>
            </w:r>
            <w:r>
              <w:rPr>
                <w:rFonts w:hint="eastAsia"/>
                <w:color w:val="auto"/>
                <w:kern w:val="21"/>
                <w:sz w:val="21"/>
                <w:szCs w:val="21"/>
                <w:lang w:eastAsia="zh-CN" w:bidi="ar"/>
              </w:rPr>
              <w:t>厂界为</w:t>
            </w:r>
            <w:r>
              <w:rPr>
                <w:color w:val="auto"/>
                <w:kern w:val="21"/>
                <w:sz w:val="21"/>
                <w:szCs w:val="21"/>
                <w:lang w:bidi="ar"/>
              </w:rPr>
              <w:t>边界向外设置100m卫生防护距离，卫生防护距离内不适宜建设医院、学校等建筑。厂内应制定工作人员的个人卫生防护制度，尽可能避免在</w:t>
            </w:r>
            <w:r>
              <w:rPr>
                <w:rFonts w:hint="eastAsia"/>
                <w:color w:val="auto"/>
                <w:kern w:val="21"/>
                <w:sz w:val="21"/>
                <w:szCs w:val="21"/>
                <w:lang w:bidi="ar"/>
              </w:rPr>
              <w:t>臭气</w:t>
            </w:r>
            <w:r>
              <w:rPr>
                <w:color w:val="auto"/>
                <w:kern w:val="21"/>
                <w:sz w:val="21"/>
                <w:szCs w:val="21"/>
                <w:lang w:bidi="ar"/>
              </w:rPr>
              <w:t>污染源附近的人员与</w:t>
            </w:r>
            <w:r>
              <w:rPr>
                <w:rFonts w:hint="eastAsia"/>
                <w:color w:val="auto"/>
                <w:kern w:val="21"/>
                <w:sz w:val="21"/>
                <w:szCs w:val="21"/>
                <w:lang w:eastAsia="zh-CN" w:bidi="ar"/>
              </w:rPr>
              <w:t>恶臭气体</w:t>
            </w:r>
            <w:r>
              <w:rPr>
                <w:color w:val="auto"/>
                <w:kern w:val="21"/>
                <w:sz w:val="21"/>
                <w:szCs w:val="21"/>
                <w:lang w:bidi="ar"/>
              </w:rPr>
              <w:t>长时间接触。</w:t>
            </w:r>
          </w:p>
          <w:p>
            <w:pPr>
              <w:keepNext w:val="0"/>
              <w:keepLines w:val="0"/>
              <w:pageBreakBefore w:val="0"/>
              <w:widowControl/>
              <w:kinsoku/>
              <w:wordWrap/>
              <w:overflowPunct/>
              <w:autoSpaceDE/>
              <w:autoSpaceDN/>
              <w:bidi w:val="0"/>
              <w:adjustRightInd/>
              <w:snapToGrid/>
              <w:spacing w:line="240" w:lineRule="auto"/>
              <w:ind w:firstLine="0" w:firstLineChars="0"/>
              <w:textAlignment w:val="auto"/>
              <w:rPr>
                <w:color w:val="auto"/>
                <w:kern w:val="21"/>
                <w:sz w:val="21"/>
                <w:szCs w:val="21"/>
              </w:rPr>
            </w:pPr>
            <w:r>
              <w:rPr>
                <w:rFonts w:hint="eastAsia"/>
                <w:color w:val="auto"/>
                <w:kern w:val="21"/>
                <w:sz w:val="21"/>
                <w:szCs w:val="21"/>
                <w:lang w:bidi="ar"/>
              </w:rPr>
              <w:t>（</w:t>
            </w:r>
            <w:r>
              <w:rPr>
                <w:rFonts w:hint="eastAsia"/>
                <w:color w:val="auto"/>
                <w:kern w:val="21"/>
                <w:sz w:val="21"/>
                <w:szCs w:val="21"/>
                <w:lang w:val="en-US" w:eastAsia="zh-CN" w:bidi="ar"/>
              </w:rPr>
              <w:t>5</w:t>
            </w:r>
            <w:r>
              <w:rPr>
                <w:rFonts w:hint="eastAsia"/>
                <w:color w:val="auto"/>
                <w:kern w:val="21"/>
                <w:sz w:val="21"/>
                <w:szCs w:val="21"/>
                <w:lang w:bidi="ar"/>
              </w:rPr>
              <w:t>）</w:t>
            </w:r>
            <w:r>
              <w:rPr>
                <w:color w:val="auto"/>
                <w:kern w:val="21"/>
                <w:sz w:val="21"/>
                <w:szCs w:val="21"/>
                <w:lang w:bidi="ar"/>
              </w:rPr>
              <w:t>厂区的污水管设计流速应足够大，尽量避免产生死区。厂区保持清洁，沉淀池表面漂浮污泥层和固体定期清除。</w:t>
            </w:r>
          </w:p>
          <w:p>
            <w:pPr>
              <w:keepNext w:val="0"/>
              <w:keepLines w:val="0"/>
              <w:pageBreakBefore w:val="0"/>
              <w:widowControl/>
              <w:kinsoku/>
              <w:wordWrap/>
              <w:overflowPunct/>
              <w:autoSpaceDE/>
              <w:autoSpaceDN/>
              <w:bidi w:val="0"/>
              <w:adjustRightInd/>
              <w:snapToGrid/>
              <w:spacing w:line="240" w:lineRule="auto"/>
              <w:ind w:firstLine="0" w:firstLineChars="0"/>
              <w:textAlignment w:val="auto"/>
              <w:rPr>
                <w:color w:val="auto"/>
                <w:kern w:val="21"/>
                <w:sz w:val="21"/>
                <w:szCs w:val="21"/>
              </w:rPr>
            </w:pPr>
            <w:r>
              <w:rPr>
                <w:rFonts w:hint="eastAsia"/>
                <w:color w:val="auto"/>
                <w:kern w:val="21"/>
                <w:sz w:val="21"/>
                <w:szCs w:val="21"/>
                <w:lang w:bidi="ar"/>
              </w:rPr>
              <w:t>（</w:t>
            </w:r>
            <w:r>
              <w:rPr>
                <w:rFonts w:hint="eastAsia"/>
                <w:color w:val="auto"/>
                <w:kern w:val="21"/>
                <w:sz w:val="21"/>
                <w:szCs w:val="21"/>
                <w:lang w:val="en-US" w:eastAsia="zh-CN" w:bidi="ar"/>
              </w:rPr>
              <w:t>6</w:t>
            </w:r>
            <w:r>
              <w:rPr>
                <w:rFonts w:hint="eastAsia"/>
                <w:color w:val="auto"/>
                <w:kern w:val="21"/>
                <w:sz w:val="21"/>
                <w:szCs w:val="21"/>
                <w:lang w:bidi="ar"/>
              </w:rPr>
              <w:t>）</w:t>
            </w:r>
            <w:r>
              <w:rPr>
                <w:color w:val="auto"/>
                <w:kern w:val="21"/>
                <w:sz w:val="21"/>
                <w:szCs w:val="21"/>
                <w:lang w:bidi="ar"/>
              </w:rPr>
              <w:t>脱水污泥禁止露天堆放，要封闭操作，以减轻臭味的扩散和滋生蚊蝇，脱水后的污泥要及时清运，脱水机要定时清洗。</w:t>
            </w:r>
          </w:p>
          <w:p>
            <w:pPr>
              <w:keepNext w:val="0"/>
              <w:keepLines w:val="0"/>
              <w:pageBreakBefore w:val="0"/>
              <w:widowControl/>
              <w:kinsoku/>
              <w:wordWrap/>
              <w:overflowPunct/>
              <w:autoSpaceDE/>
              <w:autoSpaceDN/>
              <w:bidi w:val="0"/>
              <w:adjustRightInd/>
              <w:snapToGrid/>
              <w:spacing w:line="240" w:lineRule="auto"/>
              <w:ind w:firstLine="0" w:firstLineChars="0"/>
              <w:textAlignment w:val="auto"/>
              <w:rPr>
                <w:color w:val="auto"/>
                <w:kern w:val="21"/>
                <w:sz w:val="21"/>
                <w:szCs w:val="21"/>
              </w:rPr>
            </w:pPr>
            <w:r>
              <w:rPr>
                <w:rFonts w:hint="eastAsia"/>
                <w:color w:val="auto"/>
                <w:kern w:val="21"/>
                <w:sz w:val="21"/>
                <w:szCs w:val="21"/>
                <w:lang w:bidi="ar"/>
              </w:rPr>
              <w:t>（</w:t>
            </w:r>
            <w:r>
              <w:rPr>
                <w:rFonts w:hint="eastAsia"/>
                <w:color w:val="auto"/>
                <w:kern w:val="21"/>
                <w:sz w:val="21"/>
                <w:szCs w:val="21"/>
                <w:lang w:val="en-US" w:eastAsia="zh-CN" w:bidi="ar"/>
              </w:rPr>
              <w:t>7</w:t>
            </w:r>
            <w:r>
              <w:rPr>
                <w:rFonts w:hint="eastAsia"/>
                <w:color w:val="auto"/>
                <w:kern w:val="21"/>
                <w:sz w:val="21"/>
                <w:szCs w:val="21"/>
                <w:lang w:bidi="ar"/>
              </w:rPr>
              <w:t>）</w:t>
            </w:r>
            <w:r>
              <w:rPr>
                <w:color w:val="auto"/>
                <w:kern w:val="21"/>
                <w:sz w:val="21"/>
                <w:szCs w:val="21"/>
                <w:lang w:bidi="ar"/>
              </w:rPr>
              <w:t>对</w:t>
            </w:r>
            <w:r>
              <w:rPr>
                <w:rFonts w:hint="eastAsia"/>
                <w:color w:val="auto"/>
                <w:kern w:val="21"/>
                <w:sz w:val="21"/>
                <w:szCs w:val="21"/>
                <w:lang w:bidi="ar"/>
              </w:rPr>
              <w:t>A</w:t>
            </w:r>
            <w:r>
              <w:rPr>
                <w:rFonts w:hint="eastAsia"/>
                <w:color w:val="auto"/>
                <w:kern w:val="21"/>
                <w:sz w:val="21"/>
                <w:szCs w:val="21"/>
                <w:vertAlign w:val="superscript"/>
                <w:lang w:bidi="ar"/>
              </w:rPr>
              <w:t>2</w:t>
            </w:r>
            <w:r>
              <w:rPr>
                <w:rFonts w:hint="eastAsia"/>
                <w:color w:val="auto"/>
                <w:kern w:val="21"/>
                <w:sz w:val="21"/>
                <w:szCs w:val="21"/>
                <w:lang w:bidi="ar"/>
              </w:rPr>
              <w:t>/O</w:t>
            </w:r>
            <w:r>
              <w:rPr>
                <w:color w:val="auto"/>
                <w:kern w:val="21"/>
                <w:sz w:val="21"/>
                <w:szCs w:val="21"/>
                <w:lang w:bidi="ar"/>
              </w:rPr>
              <w:t>生化池，应加强管理，使污水全流程都处于正常运行状态。确保污水处理厂的正常运行，减少污染物的产生量。类比调查发现，处理能力如果无法满足所有污水的处理，会造成严重</w:t>
            </w:r>
            <w:r>
              <w:rPr>
                <w:rFonts w:hint="eastAsia"/>
                <w:color w:val="auto"/>
                <w:kern w:val="21"/>
                <w:sz w:val="21"/>
                <w:szCs w:val="21"/>
                <w:lang w:bidi="ar"/>
              </w:rPr>
              <w:t>臭气</w:t>
            </w:r>
            <w:r>
              <w:rPr>
                <w:color w:val="auto"/>
                <w:kern w:val="21"/>
                <w:sz w:val="21"/>
                <w:szCs w:val="21"/>
                <w:lang w:bidi="ar"/>
              </w:rPr>
              <w:t>污染。</w:t>
            </w:r>
          </w:p>
          <w:p>
            <w:pPr>
              <w:keepNext w:val="0"/>
              <w:keepLines w:val="0"/>
              <w:pageBreakBefore w:val="0"/>
              <w:widowControl/>
              <w:kinsoku/>
              <w:wordWrap/>
              <w:overflowPunct/>
              <w:autoSpaceDE/>
              <w:autoSpaceDN/>
              <w:bidi w:val="0"/>
              <w:adjustRightInd/>
              <w:snapToGrid/>
              <w:spacing w:line="240" w:lineRule="auto"/>
              <w:ind w:firstLine="0" w:firstLineChars="0"/>
              <w:textAlignment w:val="auto"/>
              <w:rPr>
                <w:color w:val="auto"/>
                <w:kern w:val="21"/>
                <w:sz w:val="21"/>
                <w:szCs w:val="21"/>
              </w:rPr>
            </w:pPr>
            <w:r>
              <w:rPr>
                <w:rFonts w:hint="eastAsia"/>
                <w:color w:val="auto"/>
                <w:kern w:val="21"/>
                <w:sz w:val="21"/>
                <w:szCs w:val="21"/>
                <w:lang w:bidi="ar"/>
              </w:rPr>
              <w:t>（</w:t>
            </w:r>
            <w:r>
              <w:rPr>
                <w:rFonts w:hint="eastAsia"/>
                <w:color w:val="auto"/>
                <w:kern w:val="21"/>
                <w:sz w:val="21"/>
                <w:szCs w:val="21"/>
                <w:lang w:val="en-US" w:eastAsia="zh-CN" w:bidi="ar"/>
              </w:rPr>
              <w:t>8</w:t>
            </w:r>
            <w:r>
              <w:rPr>
                <w:rFonts w:hint="eastAsia"/>
                <w:color w:val="auto"/>
                <w:kern w:val="21"/>
                <w:sz w:val="21"/>
                <w:szCs w:val="21"/>
                <w:lang w:bidi="ar"/>
              </w:rPr>
              <w:t>）</w:t>
            </w:r>
            <w:r>
              <w:rPr>
                <w:color w:val="auto"/>
                <w:kern w:val="21"/>
                <w:sz w:val="21"/>
                <w:szCs w:val="21"/>
                <w:lang w:bidi="ar"/>
              </w:rPr>
              <w:t>在污水处理厂停产修理时，池底沉积的污泥会暴露出来散发臭气，应采取及时清除积泥的措施来防止臭气的影响。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937" w:type="dxa"/>
            <w:vMerge w:val="continue"/>
            <w:vAlign w:val="center"/>
          </w:tcPr>
          <w:p>
            <w:pPr>
              <w:spacing w:line="240" w:lineRule="auto"/>
              <w:ind w:firstLine="0" w:firstLineChars="0"/>
              <w:jc w:val="center"/>
              <w:rPr>
                <w:color w:val="auto"/>
                <w:kern w:val="21"/>
                <w:sz w:val="21"/>
                <w:szCs w:val="21"/>
              </w:rPr>
            </w:pPr>
          </w:p>
        </w:tc>
        <w:tc>
          <w:tcPr>
            <w:tcW w:w="877" w:type="dxa"/>
            <w:vAlign w:val="center"/>
          </w:tcPr>
          <w:p>
            <w:pPr>
              <w:spacing w:line="240" w:lineRule="auto"/>
              <w:ind w:firstLine="0" w:firstLineChars="0"/>
              <w:jc w:val="center"/>
              <w:rPr>
                <w:color w:val="auto"/>
                <w:kern w:val="21"/>
                <w:sz w:val="21"/>
                <w:szCs w:val="21"/>
              </w:rPr>
            </w:pPr>
            <w:r>
              <w:rPr>
                <w:color w:val="auto"/>
                <w:kern w:val="21"/>
                <w:sz w:val="21"/>
                <w:szCs w:val="21"/>
              </w:rPr>
              <w:t>油烟</w:t>
            </w:r>
          </w:p>
        </w:tc>
        <w:tc>
          <w:tcPr>
            <w:tcW w:w="8080" w:type="dxa"/>
            <w:vAlign w:val="center"/>
          </w:tcPr>
          <w:p>
            <w:pPr>
              <w:keepNext w:val="0"/>
              <w:keepLines w:val="0"/>
              <w:pageBreakBefore w:val="0"/>
              <w:kinsoku/>
              <w:wordWrap/>
              <w:overflowPunct/>
              <w:autoSpaceDE/>
              <w:autoSpaceDN/>
              <w:bidi w:val="0"/>
              <w:adjustRightInd/>
              <w:snapToGrid/>
              <w:spacing w:line="240" w:lineRule="auto"/>
              <w:ind w:firstLine="0" w:firstLineChars="0"/>
              <w:textAlignment w:val="auto"/>
              <w:rPr>
                <w:color w:val="auto"/>
                <w:kern w:val="21"/>
                <w:sz w:val="21"/>
                <w:szCs w:val="21"/>
              </w:rPr>
            </w:pPr>
            <w:r>
              <w:rPr>
                <w:color w:val="auto"/>
                <w:kern w:val="21"/>
                <w:sz w:val="21"/>
                <w:szCs w:val="21"/>
              </w:rPr>
              <w:t>安装一套</w:t>
            </w:r>
            <w:r>
              <w:rPr>
                <w:rFonts w:hint="eastAsia"/>
                <w:color w:val="auto"/>
                <w:kern w:val="21"/>
                <w:sz w:val="21"/>
                <w:szCs w:val="21"/>
                <w:lang w:eastAsia="zh-CN"/>
              </w:rPr>
              <w:t>油烟净化器</w:t>
            </w:r>
            <w:r>
              <w:rPr>
                <w:color w:val="auto"/>
                <w:kern w:val="21"/>
                <w:sz w:val="21"/>
                <w:szCs w:val="21"/>
              </w:rPr>
              <w:t>对油烟进行处理，达到《饮食业油烟排放标准》</w:t>
            </w:r>
            <w:r>
              <w:rPr>
                <w:rFonts w:hint="eastAsia"/>
                <w:color w:val="auto"/>
                <w:kern w:val="21"/>
                <w:sz w:val="21"/>
                <w:szCs w:val="21"/>
              </w:rPr>
              <w:t>（</w:t>
            </w:r>
            <w:r>
              <w:rPr>
                <w:color w:val="auto"/>
                <w:kern w:val="21"/>
                <w:sz w:val="21"/>
                <w:szCs w:val="21"/>
              </w:rPr>
              <w:t>GB18483—2001</w:t>
            </w:r>
            <w:r>
              <w:rPr>
                <w:rFonts w:hint="eastAsia"/>
                <w:color w:val="auto"/>
                <w:kern w:val="21"/>
                <w:sz w:val="21"/>
                <w:szCs w:val="21"/>
              </w:rPr>
              <w:t>）</w:t>
            </w:r>
            <w:r>
              <w:rPr>
                <w:color w:val="auto"/>
                <w:kern w:val="21"/>
                <w:sz w:val="21"/>
                <w:szCs w:val="21"/>
              </w:rPr>
              <w:t>中的规模为小型的饮食业单位的油烟最高允许排放浓度后通过综合楼顶1.5m的排气筒排放。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6" w:hRule="atLeast"/>
          <w:jc w:val="center"/>
        </w:trPr>
        <w:tc>
          <w:tcPr>
            <w:tcW w:w="937" w:type="dxa"/>
            <w:vAlign w:val="center"/>
          </w:tcPr>
          <w:p>
            <w:pPr>
              <w:spacing w:line="240" w:lineRule="auto"/>
              <w:ind w:firstLine="0" w:firstLineChars="0"/>
              <w:jc w:val="center"/>
              <w:rPr>
                <w:color w:val="auto"/>
                <w:kern w:val="21"/>
                <w:sz w:val="21"/>
                <w:szCs w:val="21"/>
              </w:rPr>
            </w:pPr>
            <w:r>
              <w:rPr>
                <w:color w:val="auto"/>
                <w:kern w:val="21"/>
                <w:sz w:val="21"/>
                <w:szCs w:val="21"/>
              </w:rPr>
              <w:t>废水</w:t>
            </w:r>
          </w:p>
        </w:tc>
        <w:tc>
          <w:tcPr>
            <w:tcW w:w="877" w:type="dxa"/>
            <w:vAlign w:val="center"/>
          </w:tcPr>
          <w:p>
            <w:pPr>
              <w:spacing w:line="240" w:lineRule="auto"/>
              <w:ind w:firstLine="0" w:firstLineChars="0"/>
              <w:jc w:val="center"/>
              <w:rPr>
                <w:color w:val="auto"/>
                <w:kern w:val="21"/>
                <w:sz w:val="21"/>
                <w:szCs w:val="21"/>
              </w:rPr>
            </w:pPr>
            <w:r>
              <w:rPr>
                <w:color w:val="auto"/>
                <w:kern w:val="21"/>
                <w:sz w:val="21"/>
                <w:szCs w:val="21"/>
              </w:rPr>
              <w:t>水污染物</w:t>
            </w:r>
          </w:p>
        </w:tc>
        <w:tc>
          <w:tcPr>
            <w:tcW w:w="8080" w:type="dxa"/>
            <w:vAlign w:val="center"/>
          </w:tcPr>
          <w:p>
            <w:pPr>
              <w:keepNext w:val="0"/>
              <w:keepLines w:val="0"/>
              <w:pageBreakBefore w:val="0"/>
              <w:widowControl/>
              <w:kinsoku/>
              <w:wordWrap/>
              <w:overflowPunct/>
              <w:autoSpaceDE/>
              <w:autoSpaceDN/>
              <w:bidi w:val="0"/>
              <w:adjustRightInd/>
              <w:snapToGrid/>
              <w:spacing w:line="240" w:lineRule="auto"/>
              <w:ind w:firstLine="0" w:firstLineChars="0"/>
              <w:textAlignment w:val="auto"/>
              <w:rPr>
                <w:color w:val="auto"/>
                <w:sz w:val="21"/>
                <w:szCs w:val="21"/>
              </w:rPr>
            </w:pPr>
            <w:r>
              <w:rPr>
                <w:color w:val="auto"/>
                <w:sz w:val="21"/>
                <w:szCs w:val="21"/>
              </w:rPr>
              <w:t>（1）在污水处理厂的进水口、出水口分别安装1套自动在线监测装置，并配套视频监控系统，与环保部门监测网络</w:t>
            </w:r>
            <w:r>
              <w:rPr>
                <w:rFonts w:hint="eastAsia"/>
                <w:color w:val="auto"/>
                <w:sz w:val="21"/>
                <w:szCs w:val="21"/>
              </w:rPr>
              <w:t>平台连</w:t>
            </w:r>
            <w:r>
              <w:rPr>
                <w:color w:val="auto"/>
                <w:sz w:val="21"/>
                <w:szCs w:val="21"/>
              </w:rPr>
              <w:t>接，使污水处理厂的运营处在环保部门实时监管范围内。</w:t>
            </w:r>
          </w:p>
          <w:p>
            <w:pPr>
              <w:keepNext w:val="0"/>
              <w:keepLines w:val="0"/>
              <w:pageBreakBefore w:val="0"/>
              <w:tabs>
                <w:tab w:val="left" w:pos="2700"/>
              </w:tabs>
              <w:kinsoku/>
              <w:wordWrap/>
              <w:overflowPunct/>
              <w:autoSpaceDE/>
              <w:autoSpaceDN/>
              <w:bidi w:val="0"/>
              <w:adjustRightInd/>
              <w:snapToGrid/>
              <w:spacing w:line="240" w:lineRule="auto"/>
              <w:ind w:firstLine="0" w:firstLineChars="0"/>
              <w:textAlignment w:val="auto"/>
              <w:rPr>
                <w:color w:val="auto"/>
                <w:sz w:val="21"/>
                <w:szCs w:val="21"/>
              </w:rPr>
            </w:pPr>
            <w:r>
              <w:rPr>
                <w:color w:val="auto"/>
                <w:sz w:val="21"/>
                <w:szCs w:val="21"/>
              </w:rPr>
              <w:t>（2）制定严格的污水排入许可制度，进入污水处理厂处理的废水必须达到接管要求后方可进入污水管网。</w:t>
            </w:r>
          </w:p>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rPr>
            </w:pPr>
            <w:r>
              <w:rPr>
                <w:rFonts w:hint="eastAsia"/>
                <w:color w:val="auto"/>
                <w:kern w:val="21"/>
                <w:sz w:val="21"/>
                <w:szCs w:val="21"/>
              </w:rPr>
              <w:t>（3）本项目常规故障可能出现的最长维修时间不超过8小时，现已设置的</w:t>
            </w:r>
            <w:r>
              <w:rPr>
                <w:rFonts w:hint="eastAsia"/>
                <w:color w:val="auto"/>
                <w:kern w:val="21"/>
                <w:sz w:val="21"/>
                <w:szCs w:val="21"/>
                <w:lang w:eastAsia="zh-CN"/>
              </w:rPr>
              <w:t>调节池</w:t>
            </w:r>
            <w:r>
              <w:rPr>
                <w:rFonts w:hint="eastAsia"/>
                <w:color w:val="auto"/>
                <w:kern w:val="21"/>
                <w:sz w:val="21"/>
                <w:szCs w:val="21"/>
              </w:rPr>
              <w:t>（2000m</w:t>
            </w:r>
            <w:r>
              <w:rPr>
                <w:rFonts w:hint="eastAsia"/>
                <w:color w:val="auto"/>
                <w:kern w:val="21"/>
                <w:sz w:val="21"/>
                <w:szCs w:val="21"/>
                <w:vertAlign w:val="superscript"/>
              </w:rPr>
              <w:t>3</w:t>
            </w:r>
            <w:r>
              <w:rPr>
                <w:rFonts w:hint="eastAsia"/>
                <w:color w:val="auto"/>
                <w:kern w:val="21"/>
                <w:sz w:val="21"/>
                <w:szCs w:val="21"/>
              </w:rPr>
              <w:t>）可满足应急需要。当出现极端情况（如外部停电）时，可将进水临时切换至东升路市政污水管网，由一污厂、二污厂临时接纳处理。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7" w:hRule="atLeast"/>
          <w:jc w:val="center"/>
        </w:trPr>
        <w:tc>
          <w:tcPr>
            <w:tcW w:w="937" w:type="dxa"/>
            <w:vAlign w:val="center"/>
          </w:tcPr>
          <w:p>
            <w:pPr>
              <w:spacing w:line="240" w:lineRule="auto"/>
              <w:ind w:firstLine="0" w:firstLineChars="0"/>
              <w:jc w:val="center"/>
              <w:rPr>
                <w:color w:val="auto"/>
                <w:kern w:val="21"/>
                <w:sz w:val="21"/>
                <w:szCs w:val="21"/>
              </w:rPr>
            </w:pPr>
            <w:r>
              <w:rPr>
                <w:color w:val="auto"/>
                <w:kern w:val="21"/>
                <w:sz w:val="21"/>
                <w:szCs w:val="21"/>
              </w:rPr>
              <w:t>地下水</w:t>
            </w:r>
          </w:p>
        </w:tc>
        <w:tc>
          <w:tcPr>
            <w:tcW w:w="877" w:type="dxa"/>
            <w:vAlign w:val="center"/>
          </w:tcPr>
          <w:p>
            <w:pPr>
              <w:spacing w:line="240" w:lineRule="auto"/>
              <w:ind w:firstLine="0" w:firstLineChars="0"/>
              <w:jc w:val="center"/>
              <w:rPr>
                <w:color w:val="auto"/>
                <w:kern w:val="21"/>
                <w:sz w:val="21"/>
                <w:szCs w:val="21"/>
              </w:rPr>
            </w:pPr>
            <w:r>
              <w:rPr>
                <w:color w:val="auto"/>
                <w:kern w:val="21"/>
                <w:sz w:val="21"/>
                <w:szCs w:val="21"/>
              </w:rPr>
              <w:t>水污染物</w:t>
            </w:r>
          </w:p>
        </w:tc>
        <w:tc>
          <w:tcPr>
            <w:tcW w:w="8080" w:type="dxa"/>
            <w:vAlign w:val="center"/>
          </w:tcPr>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lang w:bidi="ar"/>
              </w:rPr>
            </w:pPr>
            <w:r>
              <w:rPr>
                <w:rFonts w:hint="eastAsia"/>
                <w:color w:val="auto"/>
                <w:kern w:val="21"/>
                <w:sz w:val="21"/>
                <w:szCs w:val="21"/>
                <w:lang w:bidi="ar"/>
              </w:rPr>
              <w:t>（1）厂区污水管网防渗措施：</w:t>
            </w:r>
          </w:p>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lang w:bidi="ar"/>
              </w:rPr>
            </w:pPr>
            <w:r>
              <w:rPr>
                <w:rFonts w:hint="eastAsia"/>
                <w:color w:val="auto"/>
                <w:kern w:val="21"/>
                <w:sz w:val="21"/>
                <w:szCs w:val="21"/>
                <w:lang w:bidi="ar"/>
              </w:rPr>
              <w:t>材料：管材全部采用HDPE钢带增强聚乙烯螺旋波纹管，环刚度≥12.5KN/m2，该管材抗压性能高，抗冲、耐热性能好，耐酸碱，采用热收缩带连接，不会锈蚀，防渗性能优良。污水检查井采用钢筋砼污水检查井，C25混凝土（商混），抗渗等级为P6。</w:t>
            </w:r>
          </w:p>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lang w:bidi="ar"/>
              </w:rPr>
            </w:pPr>
            <w:r>
              <w:rPr>
                <w:rFonts w:hint="eastAsia"/>
                <w:color w:val="auto"/>
                <w:kern w:val="21"/>
                <w:sz w:val="21"/>
                <w:szCs w:val="21"/>
                <w:lang w:bidi="ar"/>
              </w:rPr>
              <w:t>（2）厂区构筑物防渗措施：</w:t>
            </w:r>
          </w:p>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lang w:bidi="ar"/>
              </w:rPr>
            </w:pPr>
            <w:r>
              <w:rPr>
                <w:rFonts w:hint="eastAsia"/>
                <w:color w:val="auto"/>
                <w:kern w:val="21"/>
                <w:sz w:val="21"/>
                <w:szCs w:val="21"/>
                <w:lang w:bidi="ar"/>
              </w:rPr>
              <w:t>材料：本项目全部采用商品混凝土，混凝土抗渗等级为P6。采用补偿收缩混凝土，混凝土内掺入高效抗裂剂。设计要求抗裂剂掺量应在符合混凝土强度、抗渗等级以及膨胀率的前提下通过试验确定，微膨胀剂按GB50119-2013《混凝土外加剂应用技术规范》的规定施工。所有管道与构筑物的连接部位均设置防水套管。构筑物施工缝按规范设置钢板止水带。</w:t>
            </w:r>
          </w:p>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lang w:bidi="ar"/>
              </w:rPr>
            </w:pPr>
            <w:r>
              <w:rPr>
                <w:rFonts w:hint="eastAsia"/>
                <w:color w:val="auto"/>
                <w:kern w:val="21"/>
                <w:sz w:val="21"/>
                <w:szCs w:val="21"/>
                <w:lang w:bidi="ar"/>
              </w:rPr>
              <w:t>防水防腐：构筑物的防水等级为Ⅱ级，构筑物的内外表面、中隔墙、底板上表面、顶板下表面，迎水面等采用高分子防水防腐涂料刷厚1.0mm（每平米约2kg）。参考参数：延伸率不小于120%，抗拉强度不小于1.6MPa，耐10%常规酸（盐酸、硫酸），耐10%氢氧化钠，耐1%次氯酸钠，耐3%聚合氯化铝。</w:t>
            </w:r>
          </w:p>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lang w:bidi="ar"/>
              </w:rPr>
            </w:pPr>
            <w:r>
              <w:rPr>
                <w:rFonts w:hint="eastAsia"/>
                <w:color w:val="auto"/>
                <w:kern w:val="21"/>
                <w:sz w:val="21"/>
                <w:szCs w:val="21"/>
                <w:lang w:bidi="ar"/>
              </w:rPr>
              <w:t>（3）工艺管道防腐：</w:t>
            </w:r>
          </w:p>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lang w:bidi="ar"/>
              </w:rPr>
            </w:pPr>
            <w:r>
              <w:rPr>
                <w:rFonts w:hint="eastAsia"/>
                <w:color w:val="auto"/>
                <w:kern w:val="21"/>
                <w:sz w:val="21"/>
                <w:szCs w:val="21"/>
                <w:lang w:bidi="ar"/>
              </w:rPr>
              <w:t>管道内壁防腐（出厂前完成）：本工程管道内壁防腐采用无溶剂饮水舱防腐涂料，该涂料以无溶剂纯树脂为主要原料，配以填料、进口固化剂等组成。该涂料具有优异的耐水、耐海水、耐油及耐高压水等防腐性能。该涂料不含溶剂无气味，漆膜坚韧无毒，防腐蚀耐久性效果好。具体步骤如下：首先进行表面处理：钢材表面抛丸除锈至Sa2.5级，表面粗糙度等级规定中等50-75微米，再进行防腐涂料喷涂。钢管出厂前内壁防腐喷涂方法：无溶剂饮水舱防腐涂料（白色）加热至65℃成流态后，与固化剂前端混合（无溶剂饮水舱防腐涂料：固化剂的质量比6:1），使用管路具有保温功能的高压无气喷涂设备进行自动喷涂，一次成膜厚度500um。</w:t>
            </w:r>
          </w:p>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rFonts w:hint="default" w:ascii="Times New Roman" w:hAnsi="Times New Roman" w:cs="Times New Roman"/>
                <w:color w:val="auto"/>
                <w:kern w:val="21"/>
                <w:sz w:val="21"/>
                <w:szCs w:val="21"/>
                <w:lang w:bidi="ar"/>
              </w:rPr>
            </w:pPr>
            <w:r>
              <w:rPr>
                <w:rFonts w:hint="eastAsia"/>
                <w:color w:val="auto"/>
                <w:kern w:val="21"/>
                <w:sz w:val="21"/>
                <w:szCs w:val="21"/>
                <w:lang w:bidi="ar"/>
              </w:rPr>
              <w:t>管道外壁防腐（一底一布三油）：本工程管道外壁防腐采用IPN8710系列聚氨酯聚乙烯涂料，该涂料附着力强，防锈性能好，耐酸、碱、盐等腐蚀介质，具有较好的耐候性、装饰性和防腐性。具体步骤如下：首先进行表面处理：钢材表面抛丸除锈至Sa2.5级，表面粗糙度等</w:t>
            </w:r>
            <w:r>
              <w:rPr>
                <w:rFonts w:hint="default" w:ascii="Times New Roman" w:hAnsi="Times New Roman" w:cs="Times New Roman"/>
                <w:color w:val="auto"/>
                <w:kern w:val="21"/>
                <w:sz w:val="21"/>
                <w:szCs w:val="21"/>
                <w:lang w:bidi="ar"/>
              </w:rPr>
              <w:t>级规定中等50-75微米，再进行防腐涂料喷涂。先刷IPN8710-1G底漆一道，涂IPN8710-3H面漆一道，缠绕玻璃纤维布一层，再涂IPN8710-3H面漆一道。金属除锈后应立即涂上底漆，底漆表干后可涂面漆。玻璃纤维布应选用中碱或无碱脱脂方格平纹布，厚度0.15mm。工地焊缝两侧各留100mm不衬涂，待安装完毕后，再按要求进行涂装。</w:t>
            </w:r>
          </w:p>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lang w:bidi="ar"/>
              </w:rPr>
            </w:pPr>
            <w:r>
              <w:rPr>
                <w:rFonts w:hint="default" w:ascii="Times New Roman" w:hAnsi="Times New Roman" w:cs="Times New Roman"/>
                <w:color w:val="auto"/>
                <w:kern w:val="21"/>
                <w:sz w:val="21"/>
                <w:szCs w:val="21"/>
                <w:lang w:bidi="ar"/>
              </w:rPr>
              <w:t>（4）上游跟踪监测井设在综合楼南侧（1#监测点，坐标E：101°36′14.54″、N：25°1′15.08″），厂区跟踪监测井设在在线检测房北侧（2#监测点，坐标E：101°36′11.22″、N：25°1′18.69″），下游跟踪监测井设在二期北厂界（3#监测点，坐标E：101°36′5.54″、N：25°1′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2" w:hRule="atLeast"/>
          <w:jc w:val="center"/>
        </w:trPr>
        <w:tc>
          <w:tcPr>
            <w:tcW w:w="937" w:type="dxa"/>
            <w:vMerge w:val="restart"/>
            <w:vAlign w:val="center"/>
          </w:tcPr>
          <w:p>
            <w:pPr>
              <w:spacing w:line="240" w:lineRule="auto"/>
              <w:ind w:firstLine="0" w:firstLineChars="0"/>
              <w:jc w:val="center"/>
              <w:rPr>
                <w:color w:val="auto"/>
                <w:kern w:val="21"/>
                <w:sz w:val="21"/>
                <w:szCs w:val="21"/>
              </w:rPr>
            </w:pPr>
            <w:r>
              <w:rPr>
                <w:color w:val="auto"/>
                <w:kern w:val="21"/>
                <w:sz w:val="21"/>
                <w:szCs w:val="21"/>
              </w:rPr>
              <w:t>固体废物</w:t>
            </w:r>
          </w:p>
        </w:tc>
        <w:tc>
          <w:tcPr>
            <w:tcW w:w="877" w:type="dxa"/>
            <w:vAlign w:val="center"/>
          </w:tcPr>
          <w:p>
            <w:pPr>
              <w:spacing w:line="240" w:lineRule="auto"/>
              <w:ind w:firstLine="0" w:firstLineChars="0"/>
              <w:jc w:val="center"/>
              <w:rPr>
                <w:color w:val="auto"/>
                <w:kern w:val="21"/>
                <w:sz w:val="21"/>
                <w:szCs w:val="21"/>
              </w:rPr>
            </w:pPr>
            <w:r>
              <w:rPr>
                <w:color w:val="auto"/>
                <w:kern w:val="21"/>
                <w:sz w:val="21"/>
                <w:szCs w:val="21"/>
              </w:rPr>
              <w:t>污泥</w:t>
            </w:r>
          </w:p>
        </w:tc>
        <w:tc>
          <w:tcPr>
            <w:tcW w:w="8080" w:type="dxa"/>
            <w:vAlign w:val="center"/>
          </w:tcPr>
          <w:p>
            <w:pPr>
              <w:keepNext w:val="0"/>
              <w:keepLines w:val="0"/>
              <w:pageBreakBefore w:val="0"/>
              <w:widowControl/>
              <w:numPr>
                <w:ilvl w:val="0"/>
                <w:numId w:val="19"/>
              </w:numPr>
              <w:kinsoku/>
              <w:wordWrap/>
              <w:overflowPunct/>
              <w:autoSpaceDE/>
              <w:autoSpaceDN/>
              <w:bidi w:val="0"/>
              <w:adjustRightInd/>
              <w:snapToGrid/>
              <w:spacing w:line="240" w:lineRule="auto"/>
              <w:ind w:firstLine="0" w:firstLineChars="0"/>
              <w:textAlignment w:val="auto"/>
              <w:rPr>
                <w:color w:val="auto"/>
                <w:kern w:val="21"/>
                <w:sz w:val="21"/>
                <w:szCs w:val="21"/>
                <w:lang w:bidi="ar"/>
              </w:rPr>
            </w:pPr>
            <w:r>
              <w:rPr>
                <w:color w:val="auto"/>
                <w:kern w:val="21"/>
                <w:sz w:val="21"/>
                <w:szCs w:val="21"/>
                <w:lang w:bidi="ar"/>
              </w:rPr>
              <w:t>对污泥按照《国家危险废物名录》、国家环境保护标准《危险废物鉴别技术规范》（HJ/T298-2007）和危险废物鉴别标准的规定，进行危险特性鉴别”</w:t>
            </w:r>
            <w:r>
              <w:rPr>
                <w:rFonts w:hint="eastAsia"/>
                <w:color w:val="auto"/>
                <w:kern w:val="21"/>
                <w:sz w:val="21"/>
                <w:szCs w:val="21"/>
                <w:lang w:bidi="ar"/>
              </w:rPr>
              <w:t>，</w:t>
            </w:r>
            <w:r>
              <w:rPr>
                <w:color w:val="auto"/>
                <w:kern w:val="21"/>
                <w:sz w:val="21"/>
                <w:szCs w:val="21"/>
                <w:lang w:bidi="ar"/>
              </w:rPr>
              <w:t>如经鉴定属于危险废物，则按照相关管理制度委托有危险废物处置资质的单位进行处置。</w:t>
            </w:r>
            <w:r>
              <w:rPr>
                <w:rFonts w:hint="eastAsia"/>
                <w:color w:val="auto"/>
                <w:kern w:val="21"/>
                <w:sz w:val="21"/>
                <w:szCs w:val="21"/>
                <w:lang w:bidi="ar"/>
              </w:rPr>
              <w:t>本项目拟将加药间北区改造为危废暂存间，占地面积25m</w:t>
            </w:r>
            <w:r>
              <w:rPr>
                <w:rFonts w:hint="eastAsia"/>
                <w:color w:val="auto"/>
                <w:kern w:val="21"/>
                <w:sz w:val="21"/>
                <w:szCs w:val="21"/>
                <w:vertAlign w:val="superscript"/>
                <w:lang w:bidi="ar"/>
              </w:rPr>
              <w:t>2</w:t>
            </w:r>
            <w:r>
              <w:rPr>
                <w:rFonts w:hint="eastAsia"/>
                <w:color w:val="auto"/>
                <w:kern w:val="21"/>
                <w:sz w:val="21"/>
                <w:szCs w:val="21"/>
                <w:lang w:bidi="ar"/>
              </w:rPr>
              <w:t>，容积约100m</w:t>
            </w:r>
            <w:r>
              <w:rPr>
                <w:rFonts w:hint="eastAsia"/>
                <w:color w:val="auto"/>
                <w:kern w:val="21"/>
                <w:sz w:val="21"/>
                <w:szCs w:val="21"/>
                <w:vertAlign w:val="superscript"/>
                <w:lang w:bidi="ar"/>
              </w:rPr>
              <w:t>3</w:t>
            </w:r>
            <w:r>
              <w:rPr>
                <w:rFonts w:hint="eastAsia"/>
                <w:color w:val="auto"/>
                <w:kern w:val="21"/>
                <w:sz w:val="21"/>
                <w:szCs w:val="21"/>
                <w:lang w:eastAsia="zh-CN" w:bidi="ar"/>
              </w:rPr>
              <w:t>。</w:t>
            </w:r>
          </w:p>
          <w:p>
            <w:pPr>
              <w:keepNext w:val="0"/>
              <w:keepLines w:val="0"/>
              <w:pageBreakBefore w:val="0"/>
              <w:widowControl/>
              <w:kinsoku/>
              <w:wordWrap/>
              <w:overflowPunct/>
              <w:autoSpaceDE/>
              <w:autoSpaceDN/>
              <w:bidi w:val="0"/>
              <w:adjustRightInd/>
              <w:snapToGrid/>
              <w:spacing w:line="240" w:lineRule="auto"/>
              <w:ind w:firstLine="0" w:firstLineChars="0"/>
              <w:textAlignment w:val="auto"/>
              <w:rPr>
                <w:color w:val="auto"/>
                <w:kern w:val="21"/>
                <w:sz w:val="21"/>
                <w:szCs w:val="21"/>
              </w:rPr>
            </w:pPr>
            <w:r>
              <w:rPr>
                <w:rFonts w:hint="eastAsia"/>
                <w:color w:val="auto"/>
                <w:kern w:val="21"/>
                <w:sz w:val="21"/>
                <w:szCs w:val="21"/>
                <w:lang w:bidi="ar"/>
              </w:rPr>
              <w:t>（2）</w:t>
            </w:r>
            <w:r>
              <w:rPr>
                <w:color w:val="auto"/>
                <w:kern w:val="21"/>
                <w:sz w:val="21"/>
                <w:szCs w:val="21"/>
                <w:lang w:bidi="ar"/>
              </w:rPr>
              <w:t>如经鉴定属于一般废物，按照一般工业固体废物进行处置。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937" w:type="dxa"/>
            <w:vMerge w:val="continue"/>
            <w:vAlign w:val="center"/>
          </w:tcPr>
          <w:p>
            <w:pPr>
              <w:spacing w:line="240" w:lineRule="auto"/>
              <w:ind w:firstLine="0" w:firstLineChars="0"/>
              <w:jc w:val="center"/>
              <w:rPr>
                <w:color w:val="auto"/>
                <w:kern w:val="21"/>
                <w:sz w:val="21"/>
                <w:szCs w:val="21"/>
              </w:rPr>
            </w:pPr>
          </w:p>
        </w:tc>
        <w:tc>
          <w:tcPr>
            <w:tcW w:w="877" w:type="dxa"/>
            <w:vAlign w:val="center"/>
          </w:tcPr>
          <w:p>
            <w:pPr>
              <w:spacing w:line="240" w:lineRule="auto"/>
              <w:ind w:firstLine="0" w:firstLineChars="0"/>
              <w:jc w:val="center"/>
              <w:rPr>
                <w:color w:val="auto"/>
                <w:kern w:val="21"/>
                <w:sz w:val="21"/>
                <w:szCs w:val="21"/>
              </w:rPr>
            </w:pPr>
            <w:r>
              <w:rPr>
                <w:color w:val="auto"/>
                <w:kern w:val="21"/>
                <w:sz w:val="21"/>
                <w:szCs w:val="21"/>
              </w:rPr>
              <w:t>栅渣</w:t>
            </w:r>
          </w:p>
        </w:tc>
        <w:tc>
          <w:tcPr>
            <w:tcW w:w="8080" w:type="dxa"/>
            <w:vMerge w:val="restart"/>
            <w:vAlign w:val="center"/>
          </w:tcPr>
          <w:p>
            <w:pPr>
              <w:keepNext w:val="0"/>
              <w:keepLines w:val="0"/>
              <w:pageBreakBefore w:val="0"/>
              <w:kinsoku/>
              <w:wordWrap/>
              <w:overflowPunct/>
              <w:autoSpaceDE/>
              <w:autoSpaceDN/>
              <w:bidi w:val="0"/>
              <w:adjustRightInd/>
              <w:snapToGrid/>
              <w:spacing w:line="240" w:lineRule="auto"/>
              <w:ind w:firstLine="0" w:firstLineChars="0"/>
              <w:textAlignment w:val="auto"/>
              <w:rPr>
                <w:color w:val="auto"/>
                <w:kern w:val="21"/>
                <w:sz w:val="21"/>
                <w:szCs w:val="21"/>
              </w:rPr>
            </w:pPr>
            <w:r>
              <w:rPr>
                <w:color w:val="auto"/>
                <w:kern w:val="21"/>
                <w:sz w:val="21"/>
                <w:szCs w:val="21"/>
              </w:rPr>
              <w:t>本项目产生的栅渣属于一般工业固废，压榨后含水率为50%-60%，</w:t>
            </w:r>
            <w:r>
              <w:rPr>
                <w:rFonts w:hint="eastAsia"/>
                <w:color w:val="auto"/>
                <w:kern w:val="21"/>
                <w:sz w:val="21"/>
                <w:szCs w:val="21"/>
              </w:rPr>
              <w:t>集中收集至厂区垃圾箱内，和生活垃圾一起由当地环卫部门清运处置。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937" w:type="dxa"/>
            <w:vMerge w:val="continue"/>
            <w:vAlign w:val="center"/>
          </w:tcPr>
          <w:p>
            <w:pPr>
              <w:spacing w:line="240" w:lineRule="auto"/>
              <w:ind w:firstLine="0" w:firstLineChars="0"/>
              <w:jc w:val="center"/>
              <w:rPr>
                <w:color w:val="auto"/>
                <w:kern w:val="21"/>
                <w:sz w:val="21"/>
                <w:szCs w:val="21"/>
              </w:rPr>
            </w:pPr>
          </w:p>
        </w:tc>
        <w:tc>
          <w:tcPr>
            <w:tcW w:w="877" w:type="dxa"/>
            <w:vAlign w:val="center"/>
          </w:tcPr>
          <w:p>
            <w:pPr>
              <w:spacing w:line="240" w:lineRule="auto"/>
              <w:ind w:firstLine="0" w:firstLineChars="0"/>
              <w:jc w:val="center"/>
              <w:rPr>
                <w:color w:val="auto"/>
                <w:kern w:val="21"/>
                <w:sz w:val="21"/>
                <w:szCs w:val="21"/>
              </w:rPr>
            </w:pPr>
            <w:r>
              <w:rPr>
                <w:color w:val="auto"/>
                <w:kern w:val="21"/>
                <w:sz w:val="21"/>
                <w:szCs w:val="21"/>
              </w:rPr>
              <w:t>生活垃圾</w:t>
            </w:r>
          </w:p>
        </w:tc>
        <w:tc>
          <w:tcPr>
            <w:tcW w:w="8080" w:type="dxa"/>
            <w:vMerge w:val="continue"/>
            <w:vAlign w:val="center"/>
          </w:tcPr>
          <w:p>
            <w:pPr>
              <w:keepNext w:val="0"/>
              <w:keepLines w:val="0"/>
              <w:pageBreakBefore w:val="0"/>
              <w:kinsoku/>
              <w:wordWrap/>
              <w:overflowPunct/>
              <w:autoSpaceDE/>
              <w:autoSpaceDN/>
              <w:bidi w:val="0"/>
              <w:adjustRightInd/>
              <w:snapToGrid/>
              <w:spacing w:line="240" w:lineRule="auto"/>
              <w:ind w:firstLine="0" w:firstLineChars="0"/>
              <w:textAlignment w:val="auto"/>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937" w:type="dxa"/>
            <w:vMerge w:val="continue"/>
            <w:vAlign w:val="center"/>
          </w:tcPr>
          <w:p>
            <w:pPr>
              <w:spacing w:line="240" w:lineRule="auto"/>
              <w:ind w:firstLine="0" w:firstLineChars="0"/>
              <w:jc w:val="center"/>
              <w:rPr>
                <w:color w:val="auto"/>
                <w:kern w:val="21"/>
                <w:sz w:val="21"/>
                <w:szCs w:val="21"/>
              </w:rPr>
            </w:pPr>
          </w:p>
        </w:tc>
        <w:tc>
          <w:tcPr>
            <w:tcW w:w="877"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废活性炭</w:t>
            </w:r>
          </w:p>
        </w:tc>
        <w:tc>
          <w:tcPr>
            <w:tcW w:w="8080" w:type="dxa"/>
            <w:vAlign w:val="center"/>
          </w:tcPr>
          <w:p>
            <w:pPr>
              <w:keepNext w:val="0"/>
              <w:keepLines w:val="0"/>
              <w:pageBreakBefore w:val="0"/>
              <w:kinsoku/>
              <w:wordWrap/>
              <w:overflowPunct/>
              <w:autoSpaceDE/>
              <w:autoSpaceDN/>
              <w:bidi w:val="0"/>
              <w:adjustRightInd/>
              <w:snapToGrid/>
              <w:spacing w:line="240" w:lineRule="auto"/>
              <w:ind w:firstLine="0" w:firstLineChars="0"/>
              <w:textAlignment w:val="auto"/>
              <w:rPr>
                <w:rFonts w:hint="eastAsia" w:eastAsia="宋体"/>
                <w:color w:val="auto"/>
                <w:kern w:val="21"/>
                <w:sz w:val="21"/>
                <w:szCs w:val="21"/>
                <w:lang w:eastAsia="zh-CN"/>
              </w:rPr>
            </w:pPr>
            <w:r>
              <w:rPr>
                <w:rFonts w:hint="eastAsia"/>
                <w:color w:val="auto"/>
                <w:kern w:val="21"/>
                <w:sz w:val="21"/>
                <w:szCs w:val="21"/>
                <w:lang w:eastAsia="zh-CN"/>
              </w:rPr>
              <w:t>由设备厂家定期上门更换回收并再生处理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937" w:type="dxa"/>
            <w:vMerge w:val="continue"/>
            <w:vAlign w:val="center"/>
          </w:tcPr>
          <w:p>
            <w:pPr>
              <w:spacing w:line="240" w:lineRule="auto"/>
              <w:ind w:firstLine="0" w:firstLineChars="0"/>
              <w:jc w:val="center"/>
              <w:rPr>
                <w:color w:val="auto"/>
                <w:kern w:val="21"/>
                <w:sz w:val="21"/>
                <w:szCs w:val="21"/>
              </w:rPr>
            </w:pPr>
          </w:p>
        </w:tc>
        <w:tc>
          <w:tcPr>
            <w:tcW w:w="877"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废机油</w:t>
            </w:r>
          </w:p>
        </w:tc>
        <w:tc>
          <w:tcPr>
            <w:tcW w:w="8080" w:type="dxa"/>
            <w:vAlign w:val="center"/>
          </w:tcPr>
          <w:p>
            <w:pPr>
              <w:keepNext w:val="0"/>
              <w:keepLines w:val="0"/>
              <w:pageBreakBefore w:val="0"/>
              <w:kinsoku/>
              <w:wordWrap/>
              <w:overflowPunct/>
              <w:autoSpaceDE/>
              <w:autoSpaceDN/>
              <w:bidi w:val="0"/>
              <w:adjustRightInd/>
              <w:snapToGrid/>
              <w:spacing w:line="240" w:lineRule="auto"/>
              <w:ind w:firstLine="0" w:firstLineChars="0"/>
              <w:textAlignment w:val="auto"/>
              <w:rPr>
                <w:color w:val="auto"/>
                <w:kern w:val="21"/>
                <w:sz w:val="21"/>
                <w:szCs w:val="21"/>
              </w:rPr>
            </w:pPr>
            <w:r>
              <w:rPr>
                <w:rFonts w:hint="eastAsia"/>
                <w:color w:val="auto"/>
                <w:kern w:val="21"/>
                <w:sz w:val="21"/>
                <w:szCs w:val="21"/>
              </w:rPr>
              <w:t>维护保养过程中产生的少量废机油暂存污水厂危废暂存间，委托资质单位清运处置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937" w:type="dxa"/>
            <w:vMerge w:val="continue"/>
            <w:vAlign w:val="center"/>
          </w:tcPr>
          <w:p>
            <w:pPr>
              <w:spacing w:line="240" w:lineRule="auto"/>
              <w:ind w:firstLine="0" w:firstLineChars="0"/>
              <w:jc w:val="center"/>
              <w:rPr>
                <w:color w:val="auto"/>
                <w:kern w:val="21"/>
                <w:sz w:val="21"/>
                <w:szCs w:val="21"/>
              </w:rPr>
            </w:pPr>
          </w:p>
        </w:tc>
        <w:tc>
          <w:tcPr>
            <w:tcW w:w="877" w:type="dxa"/>
            <w:vAlign w:val="center"/>
          </w:tcPr>
          <w:p>
            <w:pPr>
              <w:spacing w:line="240" w:lineRule="auto"/>
              <w:ind w:firstLine="0" w:firstLineChars="0"/>
              <w:jc w:val="center"/>
              <w:rPr>
                <w:color w:val="auto"/>
                <w:kern w:val="21"/>
                <w:sz w:val="21"/>
                <w:szCs w:val="21"/>
              </w:rPr>
            </w:pPr>
            <w:r>
              <w:rPr>
                <w:rFonts w:hint="eastAsia"/>
                <w:color w:val="auto"/>
                <w:kern w:val="21"/>
                <w:sz w:val="21"/>
                <w:szCs w:val="21"/>
              </w:rPr>
              <w:t>废紫外灯管</w:t>
            </w:r>
          </w:p>
        </w:tc>
        <w:tc>
          <w:tcPr>
            <w:tcW w:w="8080" w:type="dxa"/>
            <w:vAlign w:val="center"/>
          </w:tcPr>
          <w:p>
            <w:pPr>
              <w:keepNext w:val="0"/>
              <w:keepLines w:val="0"/>
              <w:pageBreakBefore w:val="0"/>
              <w:kinsoku/>
              <w:wordWrap/>
              <w:overflowPunct/>
              <w:autoSpaceDE/>
              <w:autoSpaceDN/>
              <w:bidi w:val="0"/>
              <w:adjustRightInd/>
              <w:snapToGrid/>
              <w:spacing w:line="240" w:lineRule="auto"/>
              <w:ind w:firstLine="0" w:firstLineChars="0"/>
              <w:textAlignment w:val="auto"/>
              <w:rPr>
                <w:color w:val="auto"/>
                <w:kern w:val="21"/>
                <w:sz w:val="21"/>
                <w:szCs w:val="21"/>
              </w:rPr>
            </w:pPr>
            <w:r>
              <w:rPr>
                <w:rFonts w:hint="eastAsia"/>
                <w:color w:val="auto"/>
                <w:kern w:val="21"/>
                <w:sz w:val="21"/>
                <w:szCs w:val="21"/>
                <w:lang w:eastAsia="zh-CN"/>
              </w:rPr>
              <w:t>使用</w:t>
            </w:r>
            <w:r>
              <w:rPr>
                <w:rFonts w:hint="eastAsia"/>
                <w:color w:val="auto"/>
                <w:kern w:val="21"/>
                <w:sz w:val="21"/>
                <w:szCs w:val="21"/>
              </w:rPr>
              <w:t>密闭桶装收集，暂存污水厂危废暂存间，委托资质单位清运处置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937" w:type="dxa"/>
            <w:vMerge w:val="continue"/>
            <w:vAlign w:val="center"/>
          </w:tcPr>
          <w:p>
            <w:pPr>
              <w:spacing w:line="240" w:lineRule="auto"/>
              <w:ind w:firstLine="0" w:firstLineChars="0"/>
              <w:jc w:val="center"/>
              <w:rPr>
                <w:color w:val="auto"/>
                <w:kern w:val="21"/>
                <w:sz w:val="21"/>
                <w:szCs w:val="21"/>
              </w:rPr>
            </w:pPr>
          </w:p>
        </w:tc>
        <w:tc>
          <w:tcPr>
            <w:tcW w:w="877"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在线监测设备废液</w:t>
            </w:r>
          </w:p>
        </w:tc>
        <w:tc>
          <w:tcPr>
            <w:tcW w:w="8080" w:type="dxa"/>
            <w:vAlign w:val="center"/>
          </w:tcPr>
          <w:p>
            <w:pPr>
              <w:keepNext w:val="0"/>
              <w:keepLines w:val="0"/>
              <w:pageBreakBefore w:val="0"/>
              <w:kinsoku/>
              <w:wordWrap/>
              <w:overflowPunct/>
              <w:autoSpaceDE/>
              <w:autoSpaceDN/>
              <w:bidi w:val="0"/>
              <w:adjustRightInd/>
              <w:snapToGrid/>
              <w:spacing w:line="240" w:lineRule="auto"/>
              <w:ind w:firstLine="0" w:firstLineChars="0"/>
              <w:textAlignment w:val="auto"/>
              <w:rPr>
                <w:rFonts w:hint="eastAsia"/>
                <w:color w:val="auto"/>
                <w:kern w:val="21"/>
                <w:sz w:val="21"/>
                <w:szCs w:val="21"/>
              </w:rPr>
            </w:pPr>
            <w:r>
              <w:rPr>
                <w:rFonts w:hint="eastAsia"/>
                <w:color w:val="auto"/>
                <w:kern w:val="21"/>
                <w:sz w:val="21"/>
                <w:szCs w:val="21"/>
                <w:lang w:eastAsia="zh-CN"/>
              </w:rPr>
              <w:t>使用</w:t>
            </w:r>
            <w:r>
              <w:rPr>
                <w:rFonts w:hint="eastAsia"/>
                <w:color w:val="auto"/>
                <w:kern w:val="21"/>
                <w:sz w:val="21"/>
                <w:szCs w:val="21"/>
              </w:rPr>
              <w:t>密闭桶装收集，暂存污水厂危废暂存间，委托资质单位清运处置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4" w:hRule="atLeast"/>
          <w:jc w:val="center"/>
        </w:trPr>
        <w:tc>
          <w:tcPr>
            <w:tcW w:w="937" w:type="dxa"/>
            <w:vAlign w:val="center"/>
          </w:tcPr>
          <w:p>
            <w:pPr>
              <w:spacing w:line="240" w:lineRule="auto"/>
              <w:ind w:firstLine="0" w:firstLineChars="0"/>
              <w:jc w:val="center"/>
              <w:rPr>
                <w:color w:val="auto"/>
                <w:kern w:val="21"/>
                <w:sz w:val="21"/>
                <w:szCs w:val="21"/>
              </w:rPr>
            </w:pPr>
            <w:r>
              <w:rPr>
                <w:color w:val="auto"/>
                <w:kern w:val="21"/>
                <w:sz w:val="21"/>
                <w:szCs w:val="21"/>
              </w:rPr>
              <w:t>噪声污染</w:t>
            </w:r>
          </w:p>
        </w:tc>
        <w:tc>
          <w:tcPr>
            <w:tcW w:w="877" w:type="dxa"/>
            <w:vAlign w:val="center"/>
          </w:tcPr>
          <w:p>
            <w:pPr>
              <w:spacing w:line="240" w:lineRule="auto"/>
              <w:ind w:firstLine="0" w:firstLineChars="0"/>
              <w:jc w:val="center"/>
              <w:rPr>
                <w:color w:val="auto"/>
                <w:kern w:val="21"/>
                <w:sz w:val="21"/>
                <w:szCs w:val="21"/>
              </w:rPr>
            </w:pPr>
            <w:r>
              <w:rPr>
                <w:color w:val="auto"/>
                <w:kern w:val="21"/>
                <w:sz w:val="21"/>
                <w:szCs w:val="21"/>
              </w:rPr>
              <w:t>噪声</w:t>
            </w:r>
          </w:p>
        </w:tc>
        <w:tc>
          <w:tcPr>
            <w:tcW w:w="8080" w:type="dxa"/>
            <w:vAlign w:val="center"/>
          </w:tcPr>
          <w:p>
            <w:pPr>
              <w:pStyle w:val="180"/>
              <w:keepNext w:val="0"/>
              <w:keepLines w:val="0"/>
              <w:pageBreakBefore w:val="0"/>
              <w:kinsoku/>
              <w:wordWrap/>
              <w:overflowPunct/>
              <w:autoSpaceDE/>
              <w:autoSpaceDN/>
              <w:bidi w:val="0"/>
              <w:adjustRightInd/>
              <w:snapToGrid/>
              <w:spacing w:line="240" w:lineRule="auto"/>
              <w:ind w:firstLine="0" w:firstLineChars="0"/>
              <w:textAlignment w:val="auto"/>
              <w:rPr>
                <w:color w:val="auto"/>
                <w:kern w:val="21"/>
                <w:sz w:val="21"/>
                <w:szCs w:val="21"/>
              </w:rPr>
            </w:pPr>
            <w:r>
              <w:rPr>
                <w:color w:val="auto"/>
                <w:kern w:val="21"/>
                <w:sz w:val="21"/>
                <w:szCs w:val="21"/>
              </w:rPr>
              <w:t>（1）选用低噪声设备，并做好建筑物隔声措施的设计、建设工作。</w:t>
            </w:r>
          </w:p>
          <w:p>
            <w:pPr>
              <w:pStyle w:val="180"/>
              <w:keepNext w:val="0"/>
              <w:keepLines w:val="0"/>
              <w:pageBreakBefore w:val="0"/>
              <w:kinsoku/>
              <w:wordWrap/>
              <w:overflowPunct/>
              <w:autoSpaceDE/>
              <w:autoSpaceDN/>
              <w:bidi w:val="0"/>
              <w:adjustRightInd/>
              <w:snapToGrid/>
              <w:spacing w:line="240" w:lineRule="auto"/>
              <w:ind w:firstLine="0" w:firstLineChars="0"/>
              <w:textAlignment w:val="auto"/>
              <w:rPr>
                <w:color w:val="auto"/>
                <w:kern w:val="21"/>
                <w:sz w:val="21"/>
                <w:szCs w:val="21"/>
              </w:rPr>
            </w:pPr>
            <w:r>
              <w:rPr>
                <w:color w:val="auto"/>
                <w:kern w:val="21"/>
                <w:sz w:val="21"/>
                <w:szCs w:val="21"/>
              </w:rPr>
              <w:t>（2）合理安排运输作业时间，尽量不在夜间进行运输。</w:t>
            </w:r>
          </w:p>
          <w:p>
            <w:pPr>
              <w:pStyle w:val="180"/>
              <w:keepNext w:val="0"/>
              <w:keepLines w:val="0"/>
              <w:pageBreakBefore w:val="0"/>
              <w:kinsoku/>
              <w:wordWrap/>
              <w:overflowPunct/>
              <w:autoSpaceDE/>
              <w:autoSpaceDN/>
              <w:bidi w:val="0"/>
              <w:adjustRightInd/>
              <w:snapToGrid/>
              <w:spacing w:line="240" w:lineRule="auto"/>
              <w:ind w:firstLine="0" w:firstLineChars="0"/>
              <w:textAlignment w:val="auto"/>
              <w:rPr>
                <w:color w:val="auto"/>
                <w:kern w:val="21"/>
                <w:sz w:val="21"/>
                <w:szCs w:val="21"/>
              </w:rPr>
            </w:pPr>
            <w:r>
              <w:rPr>
                <w:color w:val="auto"/>
                <w:kern w:val="21"/>
                <w:sz w:val="21"/>
                <w:szCs w:val="21"/>
              </w:rPr>
              <w:t>（3）对泵类、搅拌机、压滤机、空压机、风机等相对固定的设备采取减震、隔声措施。</w:t>
            </w:r>
          </w:p>
          <w:p>
            <w:pPr>
              <w:pStyle w:val="180"/>
              <w:keepNext w:val="0"/>
              <w:keepLines w:val="0"/>
              <w:pageBreakBefore w:val="0"/>
              <w:kinsoku/>
              <w:wordWrap/>
              <w:overflowPunct/>
              <w:autoSpaceDE/>
              <w:autoSpaceDN/>
              <w:bidi w:val="0"/>
              <w:adjustRightInd/>
              <w:snapToGrid/>
              <w:spacing w:line="240" w:lineRule="auto"/>
              <w:ind w:firstLine="0" w:firstLineChars="0"/>
              <w:textAlignment w:val="auto"/>
              <w:rPr>
                <w:color w:val="auto"/>
                <w:kern w:val="21"/>
                <w:sz w:val="21"/>
                <w:szCs w:val="21"/>
              </w:rPr>
            </w:pPr>
            <w:r>
              <w:rPr>
                <w:color w:val="auto"/>
                <w:kern w:val="21"/>
                <w:sz w:val="21"/>
                <w:szCs w:val="21"/>
              </w:rPr>
              <w:t>（4）对机械设备加强维护保养，保证机械设备在运营期间始终处于良好运转状态，避免由于设备性能变差而导致噪声增强现象的发生。</w:t>
            </w:r>
          </w:p>
          <w:p>
            <w:pPr>
              <w:pStyle w:val="180"/>
              <w:keepNext w:val="0"/>
              <w:keepLines w:val="0"/>
              <w:pageBreakBefore w:val="0"/>
              <w:kinsoku/>
              <w:wordWrap/>
              <w:overflowPunct/>
              <w:autoSpaceDE/>
              <w:autoSpaceDN/>
              <w:bidi w:val="0"/>
              <w:adjustRightInd/>
              <w:snapToGrid/>
              <w:spacing w:line="240" w:lineRule="auto"/>
              <w:ind w:firstLine="0" w:firstLineChars="0"/>
              <w:textAlignment w:val="auto"/>
              <w:rPr>
                <w:color w:val="auto"/>
                <w:kern w:val="21"/>
                <w:sz w:val="21"/>
                <w:szCs w:val="21"/>
              </w:rPr>
            </w:pPr>
            <w:r>
              <w:rPr>
                <w:color w:val="auto"/>
                <w:kern w:val="21"/>
                <w:sz w:val="21"/>
                <w:szCs w:val="21"/>
              </w:rPr>
              <w:t>（5）对空压机、风机等产噪较大的设备在进出口安装消声器。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937" w:type="dxa"/>
            <w:vAlign w:val="center"/>
          </w:tcPr>
          <w:p>
            <w:pPr>
              <w:spacing w:line="240" w:lineRule="auto"/>
              <w:ind w:firstLine="0" w:firstLineChars="0"/>
              <w:jc w:val="center"/>
              <w:rPr>
                <w:color w:val="auto"/>
                <w:kern w:val="21"/>
                <w:sz w:val="21"/>
                <w:szCs w:val="21"/>
              </w:rPr>
            </w:pPr>
            <w:r>
              <w:rPr>
                <w:color w:val="auto"/>
                <w:kern w:val="21"/>
                <w:sz w:val="21"/>
                <w:szCs w:val="21"/>
              </w:rPr>
              <w:t>土壤</w:t>
            </w:r>
          </w:p>
        </w:tc>
        <w:tc>
          <w:tcPr>
            <w:tcW w:w="877" w:type="dxa"/>
            <w:vAlign w:val="center"/>
          </w:tcPr>
          <w:p>
            <w:pPr>
              <w:spacing w:line="240" w:lineRule="auto"/>
              <w:ind w:firstLine="0" w:firstLineChars="0"/>
              <w:jc w:val="center"/>
              <w:rPr>
                <w:color w:val="auto"/>
                <w:kern w:val="21"/>
                <w:sz w:val="21"/>
                <w:szCs w:val="21"/>
              </w:rPr>
            </w:pPr>
            <w:r>
              <w:rPr>
                <w:color w:val="auto"/>
                <w:kern w:val="21"/>
                <w:sz w:val="21"/>
                <w:szCs w:val="21"/>
              </w:rPr>
              <w:t>水污染物</w:t>
            </w:r>
          </w:p>
        </w:tc>
        <w:tc>
          <w:tcPr>
            <w:tcW w:w="8080" w:type="dxa"/>
            <w:vAlign w:val="center"/>
          </w:tcPr>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lang w:bidi="ar"/>
              </w:rPr>
            </w:pPr>
            <w:r>
              <w:rPr>
                <w:color w:val="auto"/>
                <w:kern w:val="21"/>
                <w:sz w:val="21"/>
                <w:szCs w:val="21"/>
                <w:lang w:bidi="ar"/>
              </w:rPr>
              <w:t>（1）源头控制措施：加强管理，保证污水处理设施正常运行以及及时对损坏的设备进行修复，最大限度减少由于设备损坏引起的排水不畅，导致的污水漫溢流出污水处理设施，对土壤造成污染。</w:t>
            </w:r>
          </w:p>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rPr>
            </w:pPr>
            <w:r>
              <w:rPr>
                <w:color w:val="auto"/>
                <w:kern w:val="21"/>
                <w:sz w:val="21"/>
                <w:szCs w:val="21"/>
                <w:lang w:bidi="ar"/>
              </w:rPr>
              <w:t>（2）分区防渗措施：根据项目平面布置，将项目分为重点防渗区、一般防渗区和简单防渗区，项目区按不同的防渗要求进行了分区防渗，防止污水下渗对土壤环境产生影响，正常情况下项目对土壤环境不会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1814" w:type="dxa"/>
            <w:gridSpan w:val="2"/>
            <w:vAlign w:val="center"/>
          </w:tcPr>
          <w:p>
            <w:pPr>
              <w:spacing w:line="240" w:lineRule="auto"/>
              <w:ind w:firstLine="0" w:firstLineChars="0"/>
              <w:jc w:val="center"/>
              <w:rPr>
                <w:color w:val="auto"/>
                <w:kern w:val="21"/>
                <w:sz w:val="21"/>
                <w:szCs w:val="21"/>
              </w:rPr>
            </w:pPr>
            <w:r>
              <w:rPr>
                <w:color w:val="auto"/>
                <w:kern w:val="21"/>
                <w:sz w:val="21"/>
                <w:szCs w:val="21"/>
              </w:rPr>
              <w:t>环境风险</w:t>
            </w:r>
          </w:p>
        </w:tc>
        <w:tc>
          <w:tcPr>
            <w:tcW w:w="8080" w:type="dxa"/>
            <w:vAlign w:val="center"/>
          </w:tcPr>
          <w:p>
            <w:pPr>
              <w:pStyle w:val="23"/>
              <w:keepNext w:val="0"/>
              <w:keepLines w:val="0"/>
              <w:pageBreakBefore w:val="0"/>
              <w:kinsoku/>
              <w:wordWrap/>
              <w:overflowPunct/>
              <w:autoSpaceDE/>
              <w:autoSpaceDN/>
              <w:bidi w:val="0"/>
              <w:adjustRightInd/>
              <w:snapToGrid/>
              <w:spacing w:after="0" w:line="240" w:lineRule="auto"/>
              <w:ind w:left="0" w:leftChars="0" w:firstLine="0" w:firstLineChars="0"/>
              <w:textAlignment w:val="auto"/>
              <w:rPr>
                <w:color w:val="auto"/>
                <w:kern w:val="21"/>
                <w:sz w:val="21"/>
                <w:szCs w:val="21"/>
              </w:rPr>
            </w:pPr>
            <w:r>
              <w:rPr>
                <w:rFonts w:hint="eastAsia"/>
                <w:color w:val="auto"/>
                <w:kern w:val="21"/>
                <w:sz w:val="21"/>
                <w:szCs w:val="21"/>
                <w:lang w:bidi="ar"/>
              </w:rPr>
              <w:t>详见6.3章节内容。</w:t>
            </w:r>
          </w:p>
        </w:tc>
      </w:tr>
      <w:bookmarkEnd w:id="346"/>
      <w:bookmarkEnd w:id="347"/>
    </w:tbl>
    <w:p>
      <w:pPr>
        <w:pStyle w:val="163"/>
        <w:spacing w:line="360" w:lineRule="auto"/>
        <w:ind w:firstLine="0" w:firstLineChars="0"/>
        <w:outlineLvl w:val="1"/>
        <w:rPr>
          <w:b/>
          <w:bCs/>
          <w:color w:val="auto"/>
          <w:kern w:val="21"/>
          <w:sz w:val="28"/>
          <w:szCs w:val="28"/>
        </w:rPr>
      </w:pPr>
      <w:bookmarkStart w:id="357" w:name="_Toc12086"/>
      <w:r>
        <w:rPr>
          <w:rFonts w:hint="eastAsia"/>
          <w:b/>
          <w:bCs/>
          <w:color w:val="auto"/>
          <w:kern w:val="21"/>
          <w:sz w:val="28"/>
          <w:szCs w:val="28"/>
          <w:lang w:bidi="ar"/>
        </w:rPr>
        <w:t>8.4</w:t>
      </w:r>
      <w:r>
        <w:rPr>
          <w:b/>
          <w:bCs/>
          <w:color w:val="auto"/>
          <w:kern w:val="21"/>
          <w:sz w:val="28"/>
          <w:szCs w:val="28"/>
        </w:rPr>
        <w:t>污染物总量控制</w:t>
      </w:r>
      <w:bookmarkEnd w:id="357"/>
    </w:p>
    <w:p>
      <w:pPr>
        <w:pStyle w:val="163"/>
        <w:spacing w:line="360" w:lineRule="auto"/>
        <w:jc w:val="left"/>
        <w:rPr>
          <w:color w:val="auto"/>
          <w:kern w:val="21"/>
        </w:rPr>
      </w:pPr>
      <w:r>
        <w:rPr>
          <w:color w:val="auto"/>
          <w:kern w:val="21"/>
          <w:lang w:bidi="ar"/>
        </w:rPr>
        <w:t>（1）</w:t>
      </w:r>
      <w:r>
        <w:rPr>
          <w:color w:val="auto"/>
          <w:kern w:val="21"/>
        </w:rPr>
        <w:t>水污染物</w:t>
      </w:r>
    </w:p>
    <w:p>
      <w:pPr>
        <w:pStyle w:val="23"/>
        <w:spacing w:after="0" w:line="360" w:lineRule="auto"/>
        <w:ind w:left="0" w:leftChars="0" w:firstLine="480"/>
        <w:jc w:val="left"/>
        <w:rPr>
          <w:b/>
          <w:bCs/>
          <w:color w:val="auto"/>
          <w:kern w:val="21"/>
          <w:lang w:bidi="ar"/>
        </w:rPr>
      </w:pPr>
      <w:r>
        <w:rPr>
          <w:color w:val="auto"/>
          <w:kern w:val="21"/>
          <w:lang w:bidi="ar"/>
        </w:rPr>
        <w:t>①废水量：</w:t>
      </w:r>
      <w:r>
        <w:rPr>
          <w:rFonts w:hint="eastAsia"/>
          <w:color w:val="auto"/>
          <w:kern w:val="21"/>
          <w:lang w:eastAsia="zh-CN" w:bidi="ar"/>
        </w:rPr>
        <w:t>1750646.1</w:t>
      </w:r>
      <w:r>
        <w:rPr>
          <w:color w:val="auto"/>
          <w:kern w:val="21"/>
          <w:lang w:bidi="ar"/>
        </w:rPr>
        <w:t>m</w:t>
      </w:r>
      <w:r>
        <w:rPr>
          <w:color w:val="auto"/>
          <w:kern w:val="21"/>
          <w:vertAlign w:val="superscript"/>
          <w:lang w:bidi="ar"/>
        </w:rPr>
        <w:t>3</w:t>
      </w:r>
      <w:r>
        <w:rPr>
          <w:color w:val="auto"/>
          <w:kern w:val="21"/>
          <w:lang w:bidi="ar"/>
        </w:rPr>
        <w:t>/a；②COD</w:t>
      </w:r>
      <w:r>
        <w:rPr>
          <w:color w:val="auto"/>
          <w:kern w:val="21"/>
          <w:vertAlign w:val="subscript"/>
          <w:lang w:bidi="ar"/>
        </w:rPr>
        <w:t>C</w:t>
      </w:r>
      <w:r>
        <w:rPr>
          <w:color w:val="auto"/>
          <w:kern w:val="21"/>
          <w:lang w:bidi="ar"/>
        </w:rPr>
        <w:t>r：</w:t>
      </w:r>
      <w:r>
        <w:rPr>
          <w:rFonts w:hint="eastAsia"/>
          <w:color w:val="auto"/>
          <w:kern w:val="21"/>
          <w:lang w:val="en-US" w:eastAsia="zh-CN" w:bidi="ar"/>
        </w:rPr>
        <w:t>34.45</w:t>
      </w:r>
      <w:r>
        <w:rPr>
          <w:color w:val="auto"/>
          <w:kern w:val="21"/>
          <w:lang w:bidi="ar"/>
        </w:rPr>
        <w:t>t/a；</w:t>
      </w:r>
    </w:p>
    <w:p>
      <w:pPr>
        <w:pStyle w:val="23"/>
        <w:spacing w:after="0" w:line="360" w:lineRule="auto"/>
        <w:ind w:left="0" w:leftChars="0" w:firstLine="480"/>
        <w:jc w:val="left"/>
        <w:rPr>
          <w:color w:val="auto"/>
          <w:kern w:val="21"/>
          <w:lang w:bidi="ar"/>
        </w:rPr>
      </w:pPr>
      <w:r>
        <w:rPr>
          <w:color w:val="auto"/>
          <w:kern w:val="21"/>
        </w:rPr>
        <w:t>③氨氮：</w:t>
      </w:r>
      <w:r>
        <w:rPr>
          <w:rFonts w:hint="eastAsia"/>
          <w:color w:val="auto"/>
          <w:kern w:val="21"/>
          <w:lang w:val="en-US" w:eastAsia="zh-CN" w:bidi="ar"/>
        </w:rPr>
        <w:t>3.62</w:t>
      </w:r>
      <w:r>
        <w:rPr>
          <w:color w:val="auto"/>
          <w:kern w:val="21"/>
          <w:lang w:bidi="ar"/>
        </w:rPr>
        <w:t>t/a；④总磷：</w:t>
      </w:r>
      <w:r>
        <w:rPr>
          <w:rFonts w:hint="eastAsia"/>
          <w:color w:val="auto"/>
          <w:kern w:val="21"/>
          <w:lang w:bidi="ar"/>
        </w:rPr>
        <w:t>0.52</w:t>
      </w:r>
      <w:r>
        <w:rPr>
          <w:color w:val="auto"/>
          <w:kern w:val="21"/>
          <w:lang w:bidi="ar"/>
        </w:rPr>
        <w:t>t/a</w:t>
      </w:r>
      <w:r>
        <w:rPr>
          <w:rFonts w:hint="eastAsia"/>
          <w:color w:val="auto"/>
          <w:kern w:val="21"/>
          <w:lang w:bidi="ar"/>
        </w:rPr>
        <w:t>；</w:t>
      </w:r>
      <w:r>
        <w:rPr>
          <w:rFonts w:hint="eastAsia"/>
          <w:color w:val="auto"/>
          <w:kern w:val="21"/>
          <w:lang w:bidi="ar"/>
        </w:rPr>
        <w:fldChar w:fldCharType="begin"/>
      </w:r>
      <w:r>
        <w:rPr>
          <w:rFonts w:hint="eastAsia"/>
          <w:color w:val="auto"/>
          <w:kern w:val="21"/>
          <w:lang w:bidi="ar"/>
        </w:rPr>
        <w:instrText xml:space="preserve"> = 5 \* GB3 \* MERGEFORMAT </w:instrText>
      </w:r>
      <w:r>
        <w:rPr>
          <w:rFonts w:hint="eastAsia"/>
          <w:color w:val="auto"/>
          <w:kern w:val="21"/>
          <w:lang w:bidi="ar"/>
        </w:rPr>
        <w:fldChar w:fldCharType="separate"/>
      </w:r>
      <w:r>
        <w:rPr>
          <w:rFonts w:hint="eastAsia"/>
          <w:color w:val="auto"/>
        </w:rPr>
        <w:t>⑤</w:t>
      </w:r>
      <w:r>
        <w:rPr>
          <w:rFonts w:hint="eastAsia"/>
          <w:color w:val="auto"/>
          <w:kern w:val="21"/>
          <w:lang w:bidi="ar"/>
        </w:rPr>
        <w:fldChar w:fldCharType="end"/>
      </w:r>
      <w:r>
        <w:rPr>
          <w:rFonts w:hint="eastAsia"/>
          <w:color w:val="auto"/>
          <w:kern w:val="21"/>
          <w:lang w:bidi="ar"/>
        </w:rPr>
        <w:t>氟化物：</w:t>
      </w:r>
      <w:r>
        <w:rPr>
          <w:rFonts w:hint="eastAsia"/>
          <w:color w:val="auto"/>
          <w:kern w:val="21"/>
          <w:lang w:val="en-US" w:eastAsia="zh-CN" w:bidi="ar"/>
        </w:rPr>
        <w:t>4.04</w:t>
      </w:r>
      <w:r>
        <w:rPr>
          <w:rFonts w:hint="eastAsia"/>
          <w:color w:val="auto"/>
          <w:kern w:val="21"/>
          <w:lang w:bidi="ar"/>
        </w:rPr>
        <w:t>t/a</w:t>
      </w:r>
    </w:p>
    <w:p>
      <w:pPr>
        <w:pStyle w:val="163"/>
        <w:spacing w:line="360" w:lineRule="auto"/>
        <w:jc w:val="left"/>
        <w:rPr>
          <w:color w:val="auto"/>
          <w:kern w:val="21"/>
        </w:rPr>
      </w:pPr>
      <w:r>
        <w:rPr>
          <w:color w:val="auto"/>
          <w:kern w:val="21"/>
        </w:rPr>
        <w:t>（2）大气污染物</w:t>
      </w:r>
    </w:p>
    <w:p>
      <w:pPr>
        <w:pStyle w:val="23"/>
        <w:spacing w:after="0" w:line="360" w:lineRule="auto"/>
        <w:ind w:left="0" w:leftChars="0" w:firstLine="480"/>
        <w:jc w:val="left"/>
        <w:rPr>
          <w:color w:val="auto"/>
          <w:kern w:val="21"/>
        </w:rPr>
      </w:pPr>
      <w:r>
        <w:rPr>
          <w:color w:val="auto"/>
          <w:kern w:val="21"/>
          <w:lang w:bidi="ar"/>
        </w:rPr>
        <w:t>①</w:t>
      </w:r>
      <w:r>
        <w:rPr>
          <w:color w:val="auto"/>
          <w:kern w:val="21"/>
        </w:rPr>
        <w:t>氨：</w:t>
      </w:r>
      <w:r>
        <w:rPr>
          <w:rFonts w:hint="eastAsia"/>
          <w:color w:val="auto"/>
          <w:kern w:val="21"/>
          <w:lang w:val="en-US" w:eastAsia="zh-CN"/>
        </w:rPr>
        <w:t>0.825</w:t>
      </w:r>
      <w:r>
        <w:rPr>
          <w:color w:val="auto"/>
          <w:kern w:val="21"/>
          <w:lang w:bidi="ar"/>
        </w:rPr>
        <w:t>t/a；②硫化氢：</w:t>
      </w:r>
      <w:r>
        <w:rPr>
          <w:bCs/>
          <w:color w:val="auto"/>
          <w:kern w:val="21"/>
        </w:rPr>
        <w:t>0.0</w:t>
      </w:r>
      <w:r>
        <w:rPr>
          <w:rFonts w:hint="eastAsia"/>
          <w:bCs/>
          <w:color w:val="auto"/>
          <w:kern w:val="21"/>
          <w:lang w:val="en-US" w:eastAsia="zh-CN"/>
        </w:rPr>
        <w:t>02455</w:t>
      </w:r>
      <w:r>
        <w:rPr>
          <w:color w:val="auto"/>
          <w:kern w:val="21"/>
          <w:lang w:bidi="ar"/>
        </w:rPr>
        <w:t>t/a。</w:t>
      </w:r>
    </w:p>
    <w:p>
      <w:pPr>
        <w:pStyle w:val="23"/>
        <w:spacing w:after="0" w:line="360" w:lineRule="auto"/>
        <w:ind w:left="0" w:leftChars="0" w:firstLine="480"/>
        <w:jc w:val="left"/>
        <w:rPr>
          <w:color w:val="auto"/>
          <w:kern w:val="21"/>
        </w:rPr>
      </w:pPr>
      <w:r>
        <w:rPr>
          <w:color w:val="auto"/>
          <w:kern w:val="21"/>
        </w:rPr>
        <w:t>（3）固体废物：固体废物均得到合理有效处置，处置率为100%。</w:t>
      </w:r>
    </w:p>
    <w:p>
      <w:pPr>
        <w:ind w:firstLine="0" w:firstLineChars="0"/>
        <w:rPr>
          <w:color w:val="auto"/>
          <w:kern w:val="21"/>
        </w:rPr>
        <w:sectPr>
          <w:headerReference r:id="rId17" w:type="default"/>
          <w:pgSz w:w="11906" w:h="16838"/>
          <w:pgMar w:top="1418" w:right="1134" w:bottom="1134" w:left="1418" w:header="851" w:footer="992" w:gutter="0"/>
          <w:cols w:space="720" w:num="1"/>
          <w:docGrid w:type="lines" w:linePitch="312" w:charSpace="0"/>
        </w:sectPr>
      </w:pPr>
    </w:p>
    <w:p>
      <w:pPr>
        <w:pStyle w:val="4"/>
        <w:rPr>
          <w:color w:val="auto"/>
          <w:kern w:val="21"/>
        </w:rPr>
      </w:pPr>
      <w:bookmarkStart w:id="358" w:name="_Toc107650487"/>
      <w:bookmarkStart w:id="359" w:name="_Toc90810454"/>
      <w:bookmarkStart w:id="360" w:name="_Toc112890566"/>
      <w:bookmarkStart w:id="361" w:name="_Toc107546910"/>
      <w:bookmarkStart w:id="362" w:name="_Toc112903179"/>
      <w:bookmarkStart w:id="363" w:name="_Toc107557196"/>
      <w:bookmarkStart w:id="364" w:name="_Toc107650270"/>
      <w:bookmarkStart w:id="365" w:name="_Toc158166557"/>
      <w:bookmarkStart w:id="366" w:name="_Toc107649872"/>
      <w:bookmarkStart w:id="367" w:name="_Toc15749"/>
      <w:bookmarkStart w:id="368" w:name="_Toc107556967"/>
      <w:bookmarkStart w:id="369" w:name="_Toc81630178"/>
      <w:bookmarkStart w:id="370" w:name="_Toc94629573"/>
      <w:bookmarkStart w:id="371" w:name="_Toc107557417"/>
      <w:bookmarkStart w:id="372" w:name="_Toc106553955"/>
      <w:bookmarkStart w:id="373" w:name="_Toc113790915"/>
      <w:bookmarkStart w:id="374" w:name="_Toc188246225"/>
      <w:bookmarkStart w:id="375" w:name="_Toc106447825"/>
      <w:bookmarkStart w:id="376" w:name="_Toc85044658"/>
      <w:r>
        <w:rPr>
          <w:color w:val="auto"/>
          <w:kern w:val="21"/>
        </w:rPr>
        <w:t>9环境管理与监测计划</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pStyle w:val="5"/>
        <w:spacing w:after="0"/>
        <w:rPr>
          <w:color w:val="auto"/>
          <w:kern w:val="21"/>
          <w:sz w:val="28"/>
        </w:rPr>
      </w:pPr>
      <w:bookmarkStart w:id="377" w:name="_Toc113790916"/>
      <w:bookmarkStart w:id="378" w:name="_Toc158166558"/>
      <w:bookmarkStart w:id="379" w:name="_Toc112890567"/>
      <w:bookmarkStart w:id="380" w:name="_Toc106447826"/>
      <w:bookmarkStart w:id="381" w:name="_Toc188246226"/>
      <w:bookmarkStart w:id="382" w:name="_Toc107557197"/>
      <w:bookmarkStart w:id="383" w:name="_Toc107557418"/>
      <w:bookmarkStart w:id="384" w:name="_Toc107556968"/>
      <w:bookmarkStart w:id="385" w:name="_Toc81630179"/>
      <w:bookmarkStart w:id="386" w:name="_Toc90810455"/>
      <w:bookmarkStart w:id="387" w:name="_Toc107650271"/>
      <w:bookmarkStart w:id="388" w:name="_Toc85044659"/>
      <w:bookmarkStart w:id="389" w:name="_Toc94629574"/>
      <w:bookmarkStart w:id="390" w:name="_Toc107649873"/>
      <w:bookmarkStart w:id="391" w:name="_Toc107650488"/>
      <w:bookmarkStart w:id="392" w:name="_Toc106553956"/>
      <w:bookmarkStart w:id="393" w:name="_Toc107546911"/>
      <w:bookmarkStart w:id="394" w:name="_Toc112903180"/>
      <w:bookmarkStart w:id="395" w:name="_Toc4003"/>
      <w:r>
        <w:rPr>
          <w:color w:val="auto"/>
          <w:kern w:val="21"/>
          <w:sz w:val="28"/>
        </w:rPr>
        <w:t>9.1环境管理</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pPr>
        <w:pStyle w:val="71"/>
        <w:ind w:firstLine="480"/>
        <w:rPr>
          <w:color w:val="auto"/>
          <w:kern w:val="21"/>
        </w:rPr>
      </w:pPr>
      <w:r>
        <w:rPr>
          <w:color w:val="auto"/>
          <w:kern w:val="21"/>
        </w:rPr>
        <w:t>建设项目的环境管理是指项目在施工期和营运期执行和遵守国家、省和项目所在地（州）、县的有关环境保护法规、法律与环境标准，按管理权限接受地方环境保护主管部门的监督，制定和调整环境保护目标和计划，协调有关部门的关系以及一切同改善环境有关的管理活动。</w:t>
      </w:r>
    </w:p>
    <w:p>
      <w:pPr>
        <w:pStyle w:val="6"/>
        <w:spacing w:after="0"/>
        <w:rPr>
          <w:rFonts w:eastAsia="宋体"/>
          <w:color w:val="auto"/>
          <w:kern w:val="21"/>
          <w:sz w:val="24"/>
          <w:szCs w:val="24"/>
        </w:rPr>
      </w:pPr>
      <w:bookmarkStart w:id="396" w:name="_Toc25046"/>
      <w:r>
        <w:rPr>
          <w:rFonts w:eastAsia="宋体"/>
          <w:color w:val="auto"/>
          <w:kern w:val="21"/>
          <w:sz w:val="24"/>
          <w:szCs w:val="24"/>
        </w:rPr>
        <w:t>9.1.1环境管理目的</w:t>
      </w:r>
      <w:bookmarkEnd w:id="396"/>
    </w:p>
    <w:p>
      <w:pPr>
        <w:pStyle w:val="71"/>
        <w:ind w:firstLine="480"/>
        <w:rPr>
          <w:color w:val="auto"/>
          <w:kern w:val="21"/>
        </w:rPr>
      </w:pPr>
      <w:r>
        <w:rPr>
          <w:color w:val="auto"/>
          <w:kern w:val="21"/>
        </w:rPr>
        <w:t>环境管理的目的是在整个建设期及营运期，严格执行国家和地方的有关环境保护的法律法规，监督和检查项目建设和营运过程中环保措施的落实情况，通过现代化管理提高项目的社会效益和减小项目对环境的负面影响。</w:t>
      </w:r>
    </w:p>
    <w:p>
      <w:pPr>
        <w:pStyle w:val="6"/>
        <w:spacing w:after="0"/>
        <w:rPr>
          <w:rFonts w:eastAsia="宋体"/>
          <w:color w:val="auto"/>
          <w:kern w:val="21"/>
          <w:sz w:val="24"/>
          <w:szCs w:val="24"/>
        </w:rPr>
      </w:pPr>
      <w:bookmarkStart w:id="397" w:name="_Toc112890568"/>
      <w:bookmarkStart w:id="398" w:name="_Toc112903181"/>
      <w:bookmarkStart w:id="399" w:name="_Toc113790917"/>
      <w:bookmarkStart w:id="400" w:name="_Toc4745"/>
      <w:r>
        <w:rPr>
          <w:rFonts w:eastAsia="宋体"/>
          <w:color w:val="auto"/>
          <w:kern w:val="21"/>
          <w:sz w:val="24"/>
          <w:szCs w:val="24"/>
        </w:rPr>
        <w:t>9.1.2环境管理机构</w:t>
      </w:r>
      <w:bookmarkEnd w:id="397"/>
      <w:bookmarkEnd w:id="398"/>
      <w:bookmarkEnd w:id="399"/>
      <w:bookmarkEnd w:id="400"/>
    </w:p>
    <w:p>
      <w:pPr>
        <w:pStyle w:val="201"/>
        <w:adjustRightInd/>
        <w:spacing w:line="360" w:lineRule="auto"/>
        <w:ind w:firstLine="480"/>
        <w:rPr>
          <w:rFonts w:ascii="Times New Roman" w:eastAsia="宋体"/>
          <w:color w:val="auto"/>
          <w:kern w:val="21"/>
        </w:rPr>
      </w:pPr>
      <w:r>
        <w:rPr>
          <w:rFonts w:ascii="Times New Roman" w:eastAsia="宋体"/>
          <w:color w:val="auto"/>
          <w:kern w:val="21"/>
        </w:rPr>
        <w:t>公司设置环保管理机构，主要承担全公司的环保管理、污染治理、对外协调等工作。制定环保工作计划，建立环保责任制度。公司应加强本部门的专职环境保护机构力量，应配备1-2人以上专职人员，创造必要的工作条件和建立相应的工作制度和权利。设立检验（监测）室，并建立相应的工作制度，由一名公司领导管理该部门。</w:t>
      </w:r>
    </w:p>
    <w:p>
      <w:pPr>
        <w:pStyle w:val="5"/>
        <w:spacing w:after="0"/>
        <w:rPr>
          <w:color w:val="auto"/>
          <w:kern w:val="21"/>
          <w:sz w:val="24"/>
          <w:szCs w:val="24"/>
        </w:rPr>
      </w:pPr>
      <w:bookmarkStart w:id="401" w:name="_Toc395794166"/>
      <w:bookmarkStart w:id="402" w:name="_Toc18359"/>
      <w:r>
        <w:rPr>
          <w:color w:val="auto"/>
          <w:kern w:val="21"/>
          <w:sz w:val="24"/>
          <w:szCs w:val="24"/>
        </w:rPr>
        <w:t>9.2施工期环境监理</w:t>
      </w:r>
      <w:bookmarkEnd w:id="401"/>
      <w:bookmarkEnd w:id="402"/>
    </w:p>
    <w:p>
      <w:pPr>
        <w:pStyle w:val="16"/>
        <w:autoSpaceDE/>
        <w:autoSpaceDN/>
        <w:spacing w:before="0"/>
        <w:ind w:right="0" w:firstLine="480"/>
        <w:jc w:val="both"/>
        <w:rPr>
          <w:rFonts w:ascii="Times New Roman" w:hAnsi="Times New Roman"/>
          <w:color w:val="auto"/>
          <w:kern w:val="21"/>
          <w:sz w:val="24"/>
          <w:szCs w:val="24"/>
        </w:rPr>
      </w:pPr>
      <w:r>
        <w:rPr>
          <w:rFonts w:ascii="Times New Roman" w:hAnsi="Times New Roman"/>
          <w:color w:val="auto"/>
          <w:kern w:val="21"/>
          <w:sz w:val="24"/>
          <w:szCs w:val="24"/>
        </w:rPr>
        <w:t>建设项目施工期环境监理是整个工程监理的一部分，建设单位应委托监理公司承担环境监理工作，且监理人员需经过相关的环保培训，建设单位应在工程建设前与承担环境监理的单位签订环境监理合同。监理单位应依据环境影响评价文件及环境保护行政主管部门批复、以及环境监理合同，对项目施工建设实行的环境保护措施进行监督管理。</w:t>
      </w:r>
    </w:p>
    <w:p>
      <w:pPr>
        <w:pStyle w:val="6"/>
        <w:spacing w:after="0"/>
        <w:rPr>
          <w:rFonts w:eastAsia="宋体"/>
          <w:color w:val="auto"/>
          <w:kern w:val="21"/>
          <w:sz w:val="24"/>
          <w:szCs w:val="24"/>
        </w:rPr>
      </w:pPr>
      <w:bookmarkStart w:id="403" w:name="_Toc23239"/>
      <w:r>
        <w:rPr>
          <w:rFonts w:eastAsia="宋体"/>
          <w:color w:val="auto"/>
          <w:kern w:val="21"/>
          <w:sz w:val="24"/>
          <w:szCs w:val="24"/>
        </w:rPr>
        <w:t>9.2.1环境监理范围</w:t>
      </w:r>
      <w:bookmarkEnd w:id="403"/>
    </w:p>
    <w:p>
      <w:pPr>
        <w:pStyle w:val="16"/>
        <w:autoSpaceDE/>
        <w:autoSpaceDN/>
        <w:spacing w:before="0"/>
        <w:ind w:right="0" w:firstLine="480"/>
        <w:rPr>
          <w:rFonts w:ascii="Times New Roman" w:hAnsi="Times New Roman"/>
          <w:color w:val="auto"/>
          <w:kern w:val="21"/>
          <w:sz w:val="24"/>
          <w:szCs w:val="24"/>
        </w:rPr>
      </w:pPr>
      <w:r>
        <w:rPr>
          <w:rFonts w:ascii="Times New Roman" w:hAnsi="Times New Roman"/>
          <w:color w:val="auto"/>
          <w:kern w:val="21"/>
          <w:sz w:val="24"/>
          <w:szCs w:val="24"/>
        </w:rPr>
        <w:t>项目的环境监理工作应由监理公司承担</w:t>
      </w:r>
      <w:r>
        <w:rPr>
          <w:rFonts w:hint="eastAsia" w:ascii="Times New Roman" w:hAnsi="Times New Roman"/>
          <w:color w:val="auto"/>
          <w:kern w:val="21"/>
          <w:sz w:val="24"/>
          <w:szCs w:val="24"/>
        </w:rPr>
        <w:t>（</w:t>
      </w:r>
      <w:r>
        <w:rPr>
          <w:rFonts w:ascii="Times New Roman" w:hAnsi="Times New Roman"/>
          <w:color w:val="auto"/>
          <w:kern w:val="21"/>
          <w:sz w:val="24"/>
          <w:szCs w:val="24"/>
        </w:rPr>
        <w:t>但监理人员需经环保培训</w:t>
      </w:r>
      <w:r>
        <w:rPr>
          <w:rFonts w:hint="eastAsia" w:ascii="Times New Roman" w:hAnsi="Times New Roman"/>
          <w:color w:val="auto"/>
          <w:kern w:val="21"/>
          <w:sz w:val="24"/>
          <w:szCs w:val="24"/>
        </w:rPr>
        <w:t>）</w:t>
      </w:r>
      <w:r>
        <w:rPr>
          <w:rFonts w:ascii="Times New Roman" w:hAnsi="Times New Roman"/>
          <w:color w:val="auto"/>
          <w:kern w:val="21"/>
          <w:sz w:val="24"/>
          <w:szCs w:val="24"/>
        </w:rPr>
        <w:t>，建设单位应在工程建设前与承担环境监理的单位签订环境监理合同。</w:t>
      </w:r>
    </w:p>
    <w:p>
      <w:pPr>
        <w:pStyle w:val="16"/>
        <w:autoSpaceDE/>
        <w:autoSpaceDN/>
        <w:adjustRightInd/>
        <w:spacing w:before="0"/>
        <w:ind w:right="0" w:firstLine="480"/>
        <w:jc w:val="both"/>
        <w:rPr>
          <w:rFonts w:ascii="Times New Roman" w:hAnsi="Times New Roman"/>
          <w:color w:val="auto"/>
          <w:kern w:val="21"/>
          <w:sz w:val="24"/>
          <w:szCs w:val="24"/>
        </w:rPr>
      </w:pPr>
      <w:r>
        <w:rPr>
          <w:rFonts w:ascii="Times New Roman" w:hAnsi="Times New Roman"/>
          <w:color w:val="auto"/>
          <w:kern w:val="21"/>
          <w:sz w:val="24"/>
          <w:szCs w:val="24"/>
        </w:rPr>
        <w:t>环境监理范围包括工程所在区域与工程影响区域，主要有施工现场、施工道路、工程办公区、附属设施、受项目施工影响造成环境污染和生态破坏的区域以及运行期受工程影响的区域。环境监理工作必须贯穿于施工准备阶段、施工阶段及工程保修阶段（交工及缺陷责任期）。</w:t>
      </w:r>
    </w:p>
    <w:p>
      <w:pPr>
        <w:pStyle w:val="6"/>
        <w:spacing w:after="0"/>
        <w:rPr>
          <w:rFonts w:eastAsia="宋体"/>
          <w:color w:val="auto"/>
          <w:kern w:val="21"/>
          <w:sz w:val="24"/>
          <w:szCs w:val="24"/>
        </w:rPr>
      </w:pPr>
      <w:bookmarkStart w:id="404" w:name="_Toc12411"/>
      <w:r>
        <w:rPr>
          <w:rFonts w:eastAsia="宋体"/>
          <w:color w:val="auto"/>
          <w:kern w:val="21"/>
          <w:sz w:val="24"/>
          <w:szCs w:val="24"/>
        </w:rPr>
        <w:t>9.2.2环境监理程序</w:t>
      </w:r>
      <w:bookmarkEnd w:id="404"/>
    </w:p>
    <w:p>
      <w:pPr>
        <w:pStyle w:val="152"/>
        <w:tabs>
          <w:tab w:val="left" w:pos="1257"/>
        </w:tabs>
        <w:ind w:left="0" w:firstLine="480"/>
        <w:jc w:val="left"/>
        <w:rPr>
          <w:rFonts w:ascii="Times New Roman" w:hAnsi="Times New Roman" w:cs="Times New Roman"/>
          <w:color w:val="auto"/>
          <w:kern w:val="21"/>
        </w:rPr>
      </w:pPr>
      <w:r>
        <w:rPr>
          <w:rFonts w:ascii="Times New Roman" w:hAnsi="Times New Roman" w:cs="Times New Roman"/>
          <w:color w:val="auto"/>
          <w:kern w:val="21"/>
        </w:rPr>
        <w:t>（</w:t>
      </w:r>
      <w:r>
        <w:rPr>
          <w:rFonts w:ascii="Times New Roman" w:hAnsi="Times New Roman" w:cs="Times New Roman"/>
          <w:color w:val="auto"/>
          <w:kern w:val="21"/>
          <w:lang w:val="en-US"/>
        </w:rPr>
        <w:t>1</w:t>
      </w:r>
      <w:r>
        <w:rPr>
          <w:rFonts w:ascii="Times New Roman" w:hAnsi="Times New Roman" w:cs="Times New Roman"/>
          <w:color w:val="auto"/>
          <w:kern w:val="21"/>
        </w:rPr>
        <w:t>）制定工程施工期的环境监理计划；</w:t>
      </w:r>
    </w:p>
    <w:p>
      <w:pPr>
        <w:pStyle w:val="152"/>
        <w:tabs>
          <w:tab w:val="left" w:pos="1257"/>
        </w:tabs>
        <w:ind w:left="0" w:firstLine="480"/>
        <w:jc w:val="left"/>
        <w:rPr>
          <w:rFonts w:ascii="Times New Roman" w:hAnsi="Times New Roman" w:cs="Times New Roman"/>
          <w:color w:val="auto"/>
          <w:kern w:val="21"/>
        </w:rPr>
      </w:pPr>
      <w:r>
        <w:rPr>
          <w:rFonts w:ascii="Times New Roman" w:hAnsi="Times New Roman" w:cs="Times New Roman"/>
          <w:color w:val="auto"/>
          <w:kern w:val="21"/>
        </w:rPr>
        <w:t>（</w:t>
      </w:r>
      <w:r>
        <w:rPr>
          <w:rFonts w:ascii="Times New Roman" w:hAnsi="Times New Roman" w:cs="Times New Roman"/>
          <w:color w:val="auto"/>
          <w:kern w:val="21"/>
          <w:lang w:val="en-US"/>
        </w:rPr>
        <w:t>2</w:t>
      </w:r>
      <w:r>
        <w:rPr>
          <w:rFonts w:ascii="Times New Roman" w:hAnsi="Times New Roman" w:cs="Times New Roman"/>
          <w:color w:val="auto"/>
          <w:kern w:val="21"/>
        </w:rPr>
        <w:t>）根据各项环保措施编制环境监理细则；</w:t>
      </w:r>
    </w:p>
    <w:p>
      <w:pPr>
        <w:pStyle w:val="152"/>
        <w:tabs>
          <w:tab w:val="left" w:pos="1257"/>
        </w:tabs>
        <w:ind w:left="0" w:firstLine="480"/>
        <w:jc w:val="left"/>
        <w:rPr>
          <w:rFonts w:ascii="Times New Roman" w:hAnsi="Times New Roman" w:cs="Times New Roman"/>
          <w:color w:val="auto"/>
          <w:kern w:val="21"/>
        </w:rPr>
      </w:pPr>
      <w:r>
        <w:rPr>
          <w:rFonts w:ascii="Times New Roman" w:hAnsi="Times New Roman" w:cs="Times New Roman"/>
          <w:color w:val="auto"/>
          <w:kern w:val="21"/>
        </w:rPr>
        <w:t>（</w:t>
      </w:r>
      <w:r>
        <w:rPr>
          <w:rFonts w:ascii="Times New Roman" w:hAnsi="Times New Roman" w:cs="Times New Roman"/>
          <w:color w:val="auto"/>
          <w:kern w:val="21"/>
          <w:lang w:val="en-US"/>
        </w:rPr>
        <w:t>3</w:t>
      </w:r>
      <w:r>
        <w:rPr>
          <w:rFonts w:ascii="Times New Roman" w:hAnsi="Times New Roman" w:cs="Times New Roman"/>
          <w:color w:val="auto"/>
          <w:kern w:val="21"/>
        </w:rPr>
        <w:t>）根据环境监理细则进行施工期环境监理；</w:t>
      </w:r>
    </w:p>
    <w:p>
      <w:pPr>
        <w:pStyle w:val="152"/>
        <w:tabs>
          <w:tab w:val="left" w:pos="1257"/>
        </w:tabs>
        <w:ind w:left="0" w:firstLine="480"/>
        <w:jc w:val="left"/>
        <w:rPr>
          <w:rFonts w:ascii="Times New Roman" w:hAnsi="Times New Roman" w:cs="Times New Roman"/>
          <w:color w:val="auto"/>
          <w:kern w:val="21"/>
        </w:rPr>
      </w:pPr>
      <w:r>
        <w:rPr>
          <w:rFonts w:ascii="Times New Roman" w:hAnsi="Times New Roman" w:cs="Times New Roman"/>
          <w:color w:val="auto"/>
          <w:kern w:val="21"/>
        </w:rPr>
        <w:t>（</w:t>
      </w:r>
      <w:r>
        <w:rPr>
          <w:rFonts w:ascii="Times New Roman" w:hAnsi="Times New Roman" w:cs="Times New Roman"/>
          <w:color w:val="auto"/>
          <w:kern w:val="21"/>
          <w:lang w:val="en-US"/>
        </w:rPr>
        <w:t>4</w:t>
      </w:r>
      <w:r>
        <w:rPr>
          <w:rFonts w:ascii="Times New Roman" w:hAnsi="Times New Roman" w:cs="Times New Roman"/>
          <w:color w:val="auto"/>
          <w:kern w:val="21"/>
        </w:rPr>
        <w:t>）参与工程环保验收，签署环境监理意见；</w:t>
      </w:r>
    </w:p>
    <w:p>
      <w:pPr>
        <w:ind w:firstLine="480"/>
        <w:rPr>
          <w:color w:val="auto"/>
          <w:kern w:val="21"/>
        </w:rPr>
      </w:pPr>
      <w:r>
        <w:rPr>
          <w:color w:val="auto"/>
          <w:kern w:val="21"/>
        </w:rPr>
        <w:t>（5）监理项目完成后，向项目法人提交监理档案资料。</w:t>
      </w:r>
    </w:p>
    <w:p>
      <w:pPr>
        <w:pStyle w:val="6"/>
        <w:spacing w:after="0"/>
        <w:rPr>
          <w:rFonts w:eastAsia="宋体"/>
          <w:color w:val="auto"/>
          <w:kern w:val="21"/>
          <w:sz w:val="24"/>
          <w:szCs w:val="24"/>
        </w:rPr>
      </w:pPr>
      <w:bookmarkStart w:id="405" w:name="_Toc20137"/>
      <w:r>
        <w:rPr>
          <w:rFonts w:eastAsia="宋体"/>
          <w:color w:val="auto"/>
          <w:kern w:val="21"/>
          <w:sz w:val="24"/>
          <w:szCs w:val="24"/>
        </w:rPr>
        <w:t>9.2.3环境监理内容</w:t>
      </w:r>
      <w:bookmarkEnd w:id="405"/>
    </w:p>
    <w:p>
      <w:pPr>
        <w:adjustRightInd w:val="0"/>
        <w:ind w:firstLine="480"/>
        <w:rPr>
          <w:color w:val="auto"/>
          <w:kern w:val="21"/>
        </w:rPr>
      </w:pPr>
      <w:r>
        <w:rPr>
          <w:color w:val="auto"/>
          <w:kern w:val="21"/>
        </w:rPr>
        <w:t>项目环境监理内容见</w:t>
      </w:r>
      <w:r>
        <w:rPr>
          <w:rFonts w:hint="eastAsia"/>
          <w:color w:val="auto"/>
          <w:kern w:val="21"/>
          <w:lang w:eastAsia="zh-CN"/>
        </w:rPr>
        <w:t>下表</w:t>
      </w:r>
      <w:r>
        <w:rPr>
          <w:color w:val="auto"/>
          <w:kern w:val="21"/>
        </w:rPr>
        <w:t>。</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60" w:lineRule="auto"/>
        <w:ind w:left="0" w:leftChars="0" w:firstLine="0" w:firstLineChars="0"/>
        <w:jc w:val="center"/>
        <w:textAlignment w:val="auto"/>
        <w:rPr>
          <w:b/>
          <w:color w:val="auto"/>
          <w:kern w:val="21"/>
        </w:rPr>
      </w:pPr>
      <w:r>
        <w:rPr>
          <w:b/>
          <w:color w:val="auto"/>
          <w:kern w:val="21"/>
        </w:rPr>
        <w:t>项目环境监理措施一览表</w:t>
      </w:r>
    </w:p>
    <w:tbl>
      <w:tblPr>
        <w:tblStyle w:val="51"/>
        <w:tblW w:w="96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8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22" w:type="dxa"/>
            <w:vAlign w:val="center"/>
          </w:tcPr>
          <w:p>
            <w:pPr>
              <w:spacing w:line="240" w:lineRule="auto"/>
              <w:ind w:firstLine="0" w:firstLineChars="0"/>
              <w:jc w:val="center"/>
              <w:rPr>
                <w:color w:val="auto"/>
                <w:kern w:val="21"/>
                <w:sz w:val="21"/>
              </w:rPr>
            </w:pPr>
            <w:r>
              <w:rPr>
                <w:color w:val="auto"/>
                <w:kern w:val="21"/>
                <w:sz w:val="21"/>
              </w:rPr>
              <w:t>阶段</w:t>
            </w:r>
          </w:p>
        </w:tc>
        <w:tc>
          <w:tcPr>
            <w:tcW w:w="8959" w:type="dxa"/>
            <w:vAlign w:val="center"/>
          </w:tcPr>
          <w:p>
            <w:pPr>
              <w:spacing w:line="240" w:lineRule="auto"/>
              <w:ind w:firstLine="0" w:firstLineChars="0"/>
              <w:jc w:val="center"/>
              <w:rPr>
                <w:color w:val="auto"/>
                <w:kern w:val="21"/>
                <w:sz w:val="21"/>
              </w:rPr>
            </w:pPr>
            <w:r>
              <w:rPr>
                <w:color w:val="auto"/>
                <w:kern w:val="21"/>
                <w:sz w:val="21"/>
              </w:rPr>
              <w:t>监理内容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22" w:type="dxa"/>
            <w:vAlign w:val="center"/>
          </w:tcPr>
          <w:p>
            <w:pPr>
              <w:spacing w:line="240" w:lineRule="auto"/>
              <w:ind w:firstLine="0" w:firstLineChars="0"/>
              <w:rPr>
                <w:color w:val="auto"/>
                <w:kern w:val="21"/>
                <w:sz w:val="21"/>
              </w:rPr>
            </w:pPr>
            <w:r>
              <w:rPr>
                <w:color w:val="auto"/>
                <w:kern w:val="21"/>
                <w:sz w:val="21"/>
              </w:rPr>
              <w:t>施工准备阶段</w:t>
            </w:r>
          </w:p>
        </w:tc>
        <w:tc>
          <w:tcPr>
            <w:tcW w:w="8959" w:type="dxa"/>
            <w:vAlign w:val="center"/>
          </w:tcPr>
          <w:p>
            <w:pPr>
              <w:spacing w:line="240" w:lineRule="auto"/>
              <w:ind w:firstLine="0" w:firstLineChars="0"/>
              <w:rPr>
                <w:color w:val="auto"/>
                <w:kern w:val="21"/>
                <w:sz w:val="21"/>
              </w:rPr>
            </w:pPr>
            <w:r>
              <w:rPr>
                <w:color w:val="auto"/>
                <w:kern w:val="21"/>
                <w:sz w:val="21"/>
              </w:rPr>
              <w:t>1、审核招标文件中设置的环境保护条款并在工程招标过程中向施工单位解释招标文件和承包合同的环境条款以及国家与地方的有关环保法规、工程施工期环境保护规定等，其中特别注意余土及施工废水的处置问题；</w:t>
            </w:r>
          </w:p>
          <w:p>
            <w:pPr>
              <w:tabs>
                <w:tab w:val="left" w:pos="268"/>
              </w:tabs>
              <w:spacing w:line="240" w:lineRule="auto"/>
              <w:ind w:firstLine="0" w:firstLineChars="0"/>
              <w:jc w:val="left"/>
              <w:rPr>
                <w:color w:val="auto"/>
                <w:kern w:val="21"/>
                <w:sz w:val="21"/>
              </w:rPr>
            </w:pPr>
            <w:r>
              <w:rPr>
                <w:color w:val="auto"/>
                <w:kern w:val="21"/>
                <w:sz w:val="21"/>
              </w:rPr>
              <w:t>2、审查工程初步设计过程中环境保护措施是否正确落实了经批准的环境影响报告书提出的环境保护措施；</w:t>
            </w:r>
          </w:p>
          <w:p>
            <w:pPr>
              <w:tabs>
                <w:tab w:val="left" w:pos="264"/>
              </w:tabs>
              <w:spacing w:line="240" w:lineRule="auto"/>
              <w:ind w:firstLine="0" w:firstLineChars="0"/>
              <w:jc w:val="left"/>
              <w:rPr>
                <w:color w:val="auto"/>
                <w:kern w:val="21"/>
                <w:sz w:val="21"/>
              </w:rPr>
            </w:pPr>
            <w:r>
              <w:rPr>
                <w:color w:val="auto"/>
                <w:kern w:val="21"/>
                <w:sz w:val="21"/>
              </w:rPr>
              <w:t>3、向施工单位提出应特别注意的环境敏感因子、有关环境保护要求、环境管理及监控的工作程序；</w:t>
            </w:r>
          </w:p>
          <w:p>
            <w:pPr>
              <w:tabs>
                <w:tab w:val="left" w:pos="268"/>
              </w:tabs>
              <w:spacing w:line="240" w:lineRule="auto"/>
              <w:ind w:firstLine="0" w:firstLineChars="0"/>
              <w:rPr>
                <w:color w:val="auto"/>
                <w:kern w:val="21"/>
                <w:sz w:val="21"/>
              </w:rPr>
            </w:pPr>
            <w:r>
              <w:rPr>
                <w:color w:val="auto"/>
                <w:kern w:val="21"/>
                <w:sz w:val="21"/>
              </w:rPr>
              <w:t>4、对施工单位报送的单位工程和分部工程施工组织计划中有关环境保护的内容进行</w:t>
            </w:r>
          </w:p>
          <w:p>
            <w:pPr>
              <w:spacing w:line="240" w:lineRule="auto"/>
              <w:ind w:firstLine="0" w:firstLineChars="0"/>
              <w:rPr>
                <w:color w:val="auto"/>
                <w:kern w:val="21"/>
                <w:sz w:val="21"/>
              </w:rPr>
            </w:pPr>
            <w:r>
              <w:rPr>
                <w:color w:val="auto"/>
                <w:kern w:val="21"/>
                <w:sz w:val="21"/>
              </w:rPr>
              <w:t>审核，从环境保护的角度提出优化施工方案与方法的建议，并签署意见，作为对施工组织计划审核意见的组成部分；</w:t>
            </w:r>
          </w:p>
          <w:p>
            <w:pPr>
              <w:spacing w:line="240" w:lineRule="auto"/>
              <w:ind w:firstLine="0" w:firstLineChars="0"/>
              <w:rPr>
                <w:color w:val="auto"/>
                <w:kern w:val="21"/>
                <w:sz w:val="21"/>
              </w:rPr>
            </w:pPr>
            <w:r>
              <w:rPr>
                <w:color w:val="auto"/>
                <w:kern w:val="21"/>
                <w:sz w:val="21"/>
              </w:rPr>
              <w:t>5、检查登记施工单位主要设备与工艺、材料的环境指标，按照环保规范向施工单位提出使用操作要求。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22" w:type="dxa"/>
            <w:vAlign w:val="center"/>
          </w:tcPr>
          <w:p>
            <w:pPr>
              <w:spacing w:line="240" w:lineRule="auto"/>
              <w:ind w:firstLine="0" w:firstLineChars="0"/>
              <w:jc w:val="center"/>
              <w:rPr>
                <w:color w:val="auto"/>
                <w:kern w:val="21"/>
                <w:sz w:val="21"/>
              </w:rPr>
            </w:pPr>
            <w:r>
              <w:rPr>
                <w:color w:val="auto"/>
                <w:kern w:val="21"/>
                <w:sz w:val="21"/>
              </w:rPr>
              <w:t>施工阶段</w:t>
            </w:r>
          </w:p>
        </w:tc>
        <w:tc>
          <w:tcPr>
            <w:tcW w:w="8959" w:type="dxa"/>
            <w:vAlign w:val="center"/>
          </w:tcPr>
          <w:p>
            <w:pPr>
              <w:tabs>
                <w:tab w:val="left" w:pos="264"/>
              </w:tabs>
              <w:spacing w:line="240" w:lineRule="auto"/>
              <w:ind w:firstLine="0" w:firstLineChars="0"/>
              <w:rPr>
                <w:color w:val="auto"/>
                <w:kern w:val="21"/>
                <w:sz w:val="21"/>
              </w:rPr>
            </w:pPr>
            <w:r>
              <w:rPr>
                <w:color w:val="auto"/>
                <w:kern w:val="21"/>
                <w:sz w:val="21"/>
              </w:rPr>
              <w:t>1、检查施工单位环境保护管理机构的运行情况；</w:t>
            </w:r>
          </w:p>
          <w:p>
            <w:pPr>
              <w:tabs>
                <w:tab w:val="left" w:pos="267"/>
              </w:tabs>
              <w:spacing w:line="240" w:lineRule="auto"/>
              <w:ind w:firstLine="0" w:firstLineChars="0"/>
              <w:rPr>
                <w:color w:val="auto"/>
                <w:kern w:val="21"/>
                <w:sz w:val="21"/>
              </w:rPr>
            </w:pPr>
            <w:r>
              <w:rPr>
                <w:color w:val="auto"/>
                <w:kern w:val="21"/>
                <w:sz w:val="21"/>
              </w:rPr>
              <w:t>2、检查施工过程中施工单位对承包合同中环境保护条款的执行与环境保护措施落实情况，重点监督检查施工区扬尘控制、污水处理、噪声污染控制、固体废物处置和卫生防疫等方面；</w:t>
            </w:r>
          </w:p>
          <w:p>
            <w:pPr>
              <w:tabs>
                <w:tab w:val="left" w:pos="267"/>
              </w:tabs>
              <w:spacing w:line="240" w:lineRule="auto"/>
              <w:ind w:firstLine="0" w:firstLineChars="0"/>
              <w:rPr>
                <w:color w:val="auto"/>
                <w:kern w:val="21"/>
                <w:sz w:val="21"/>
              </w:rPr>
            </w:pPr>
            <w:r>
              <w:rPr>
                <w:color w:val="auto"/>
                <w:kern w:val="21"/>
                <w:sz w:val="21"/>
              </w:rPr>
              <w:t>3、主持召开工程区域范围内与环境保护有关的会议，对有关环境方面的意见进行汇总，交流并审核施工单位提出的处理措施；</w:t>
            </w:r>
          </w:p>
          <w:p>
            <w:pPr>
              <w:tabs>
                <w:tab w:val="left" w:pos="264"/>
              </w:tabs>
              <w:spacing w:line="240" w:lineRule="auto"/>
              <w:ind w:firstLine="0" w:firstLineChars="0"/>
              <w:rPr>
                <w:color w:val="auto"/>
                <w:kern w:val="21"/>
                <w:sz w:val="21"/>
              </w:rPr>
            </w:pPr>
            <w:r>
              <w:rPr>
                <w:color w:val="auto"/>
                <w:kern w:val="21"/>
                <w:sz w:val="21"/>
              </w:rPr>
              <w:t>4、协调建设各方有关环保的工作关系和调节有关环境的争议；</w:t>
            </w:r>
          </w:p>
          <w:p>
            <w:pPr>
              <w:tabs>
                <w:tab w:val="left" w:pos="264"/>
              </w:tabs>
              <w:spacing w:line="240" w:lineRule="auto"/>
              <w:ind w:firstLine="0" w:firstLineChars="0"/>
              <w:rPr>
                <w:color w:val="auto"/>
                <w:kern w:val="21"/>
                <w:sz w:val="21"/>
              </w:rPr>
            </w:pPr>
            <w:r>
              <w:rPr>
                <w:color w:val="auto"/>
                <w:kern w:val="21"/>
                <w:sz w:val="21"/>
              </w:rPr>
              <w:t>5、系统记录工程施工环境影响，环境保护措施效果，环境保护工程施工质量，定期评价，并反馈或上报给施工单位、监理公司、建设单位环保机构等有关单位；</w:t>
            </w:r>
          </w:p>
          <w:p>
            <w:pPr>
              <w:tabs>
                <w:tab w:val="left" w:pos="264"/>
              </w:tabs>
              <w:spacing w:line="240" w:lineRule="auto"/>
              <w:ind w:firstLine="0" w:firstLineChars="0"/>
              <w:rPr>
                <w:color w:val="auto"/>
                <w:kern w:val="21"/>
                <w:sz w:val="21"/>
              </w:rPr>
            </w:pPr>
            <w:r>
              <w:rPr>
                <w:color w:val="auto"/>
                <w:kern w:val="21"/>
                <w:sz w:val="21"/>
              </w:rPr>
              <w:t>6、施工单位的进度款支付签证中，除原审意见不变外，环境监理应签署对施工单位环境保护的评价意见，作为计量支付的依据之一；</w:t>
            </w:r>
          </w:p>
          <w:p>
            <w:pPr>
              <w:tabs>
                <w:tab w:val="left" w:pos="264"/>
              </w:tabs>
              <w:spacing w:line="240" w:lineRule="auto"/>
              <w:ind w:firstLine="0" w:firstLineChars="0"/>
              <w:rPr>
                <w:color w:val="auto"/>
                <w:kern w:val="21"/>
                <w:sz w:val="21"/>
              </w:rPr>
            </w:pPr>
            <w:r>
              <w:rPr>
                <w:color w:val="auto"/>
                <w:kern w:val="21"/>
                <w:sz w:val="21"/>
              </w:rPr>
              <w:t>7、编写环境监理月报和工程环境监理报告。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22" w:type="dxa"/>
            <w:vAlign w:val="center"/>
          </w:tcPr>
          <w:p>
            <w:pPr>
              <w:spacing w:line="240" w:lineRule="auto"/>
              <w:ind w:firstLine="0" w:firstLineChars="0"/>
              <w:rPr>
                <w:color w:val="auto"/>
                <w:kern w:val="21"/>
                <w:sz w:val="21"/>
              </w:rPr>
            </w:pPr>
            <w:r>
              <w:rPr>
                <w:color w:val="auto"/>
                <w:kern w:val="21"/>
                <w:sz w:val="21"/>
              </w:rPr>
              <w:t>工程验收阶段</w:t>
            </w:r>
          </w:p>
        </w:tc>
        <w:tc>
          <w:tcPr>
            <w:tcW w:w="8959" w:type="dxa"/>
            <w:vAlign w:val="center"/>
          </w:tcPr>
          <w:p>
            <w:pPr>
              <w:tabs>
                <w:tab w:val="left" w:pos="264"/>
              </w:tabs>
              <w:spacing w:line="240" w:lineRule="auto"/>
              <w:ind w:firstLine="0" w:firstLineChars="0"/>
              <w:rPr>
                <w:color w:val="auto"/>
                <w:kern w:val="21"/>
                <w:sz w:val="21"/>
              </w:rPr>
            </w:pPr>
            <w:r>
              <w:rPr>
                <w:color w:val="auto"/>
                <w:kern w:val="21"/>
                <w:sz w:val="21"/>
              </w:rPr>
              <w:t>1、审查施工单位报送的有关工程验收的环保资料；</w:t>
            </w:r>
          </w:p>
          <w:p>
            <w:pPr>
              <w:tabs>
                <w:tab w:val="left" w:pos="264"/>
              </w:tabs>
              <w:spacing w:line="240" w:lineRule="auto"/>
              <w:ind w:firstLine="0" w:firstLineChars="0"/>
              <w:rPr>
                <w:color w:val="auto"/>
                <w:kern w:val="21"/>
                <w:sz w:val="21"/>
              </w:rPr>
            </w:pPr>
            <w:r>
              <w:rPr>
                <w:color w:val="auto"/>
                <w:kern w:val="21"/>
                <w:sz w:val="21"/>
              </w:rPr>
              <w:t>2、对工程区环境质量状况进行预检，主要通过感观和利用环境监测的资料与数据进行检查，必要时进行环境监理监测；</w:t>
            </w:r>
          </w:p>
          <w:p>
            <w:pPr>
              <w:tabs>
                <w:tab w:val="left" w:pos="264"/>
              </w:tabs>
              <w:spacing w:line="240" w:lineRule="auto"/>
              <w:ind w:firstLine="0" w:firstLineChars="0"/>
              <w:rPr>
                <w:color w:val="auto"/>
                <w:kern w:val="21"/>
                <w:sz w:val="21"/>
              </w:rPr>
            </w:pPr>
            <w:r>
              <w:rPr>
                <w:color w:val="auto"/>
                <w:kern w:val="21"/>
                <w:sz w:val="21"/>
              </w:rPr>
              <w:t>3、现场监督检查施工单位对遗留环境问题的处理；</w:t>
            </w:r>
          </w:p>
          <w:p>
            <w:pPr>
              <w:tabs>
                <w:tab w:val="left" w:pos="268"/>
              </w:tabs>
              <w:spacing w:line="240" w:lineRule="auto"/>
              <w:ind w:firstLine="0" w:firstLineChars="0"/>
              <w:rPr>
                <w:color w:val="auto"/>
                <w:kern w:val="21"/>
                <w:sz w:val="21"/>
              </w:rPr>
            </w:pPr>
            <w:r>
              <w:rPr>
                <w:color w:val="auto"/>
                <w:kern w:val="21"/>
                <w:sz w:val="21"/>
              </w:rPr>
              <w:t>4、对施工单位执行合同中环境保护条款与落实各项环境保护措施的情况与效果进行综合评估；</w:t>
            </w:r>
          </w:p>
          <w:p>
            <w:pPr>
              <w:tabs>
                <w:tab w:val="left" w:pos="264"/>
              </w:tabs>
              <w:spacing w:line="240" w:lineRule="auto"/>
              <w:ind w:firstLine="0" w:firstLineChars="0"/>
              <w:rPr>
                <w:color w:val="auto"/>
                <w:kern w:val="21"/>
                <w:sz w:val="21"/>
              </w:rPr>
            </w:pPr>
            <w:r>
              <w:rPr>
                <w:color w:val="auto"/>
                <w:kern w:val="21"/>
                <w:sz w:val="21"/>
              </w:rPr>
              <w:t>5、整理验收所需的环境监理资料，起草环境监理工作总结；</w:t>
            </w:r>
          </w:p>
          <w:p>
            <w:pPr>
              <w:tabs>
                <w:tab w:val="left" w:pos="264"/>
              </w:tabs>
              <w:spacing w:line="240" w:lineRule="auto"/>
              <w:ind w:firstLine="0" w:firstLineChars="0"/>
              <w:rPr>
                <w:color w:val="auto"/>
                <w:kern w:val="21"/>
                <w:sz w:val="21"/>
              </w:rPr>
            </w:pPr>
            <w:r>
              <w:rPr>
                <w:color w:val="auto"/>
                <w:kern w:val="21"/>
                <w:sz w:val="21"/>
              </w:rPr>
              <w:t>6、参加工程验收，并签署环境监理意见。</w:t>
            </w:r>
          </w:p>
        </w:tc>
      </w:tr>
    </w:tbl>
    <w:p>
      <w:pPr>
        <w:pStyle w:val="5"/>
        <w:spacing w:after="0"/>
        <w:rPr>
          <w:color w:val="auto"/>
          <w:kern w:val="21"/>
          <w:sz w:val="28"/>
        </w:rPr>
      </w:pPr>
      <w:bookmarkStart w:id="406" w:name="_Toc29299"/>
      <w:r>
        <w:rPr>
          <w:color w:val="auto"/>
          <w:kern w:val="21"/>
          <w:sz w:val="28"/>
        </w:rPr>
        <w:t>9.3环境管理</w:t>
      </w:r>
      <w:bookmarkEnd w:id="406"/>
    </w:p>
    <w:p>
      <w:pPr>
        <w:pStyle w:val="6"/>
        <w:spacing w:after="0"/>
        <w:rPr>
          <w:rFonts w:eastAsia="宋体"/>
          <w:color w:val="auto"/>
          <w:kern w:val="21"/>
          <w:sz w:val="24"/>
          <w:szCs w:val="24"/>
        </w:rPr>
      </w:pPr>
      <w:bookmarkStart w:id="407" w:name="_Toc14216"/>
      <w:r>
        <w:rPr>
          <w:rFonts w:eastAsia="宋体"/>
          <w:color w:val="auto"/>
          <w:kern w:val="21"/>
          <w:sz w:val="24"/>
          <w:szCs w:val="24"/>
        </w:rPr>
        <w:t>9.3.1环境管理制度</w:t>
      </w:r>
      <w:bookmarkEnd w:id="407"/>
    </w:p>
    <w:p>
      <w:pPr>
        <w:ind w:firstLine="480"/>
        <w:rPr>
          <w:color w:val="auto"/>
          <w:kern w:val="21"/>
        </w:rPr>
      </w:pPr>
      <w:r>
        <w:rPr>
          <w:color w:val="auto"/>
          <w:kern w:val="21"/>
        </w:rPr>
        <w:t>本项目生产运营过程产生的废水、废气、噪声、固体废物，建设单位应做好相应的环境保护和环境安全管理工作，防止对环境的污染，尽量减少或避免不必要的损失。因此，在运营期建设单位应设立1-3人专职环境保护管理机构。</w:t>
      </w:r>
    </w:p>
    <w:p>
      <w:pPr>
        <w:ind w:firstLine="480"/>
        <w:rPr>
          <w:color w:val="auto"/>
          <w:kern w:val="21"/>
        </w:rPr>
      </w:pPr>
      <w:r>
        <w:rPr>
          <w:color w:val="auto"/>
          <w:kern w:val="21"/>
        </w:rPr>
        <w:t>环境保护管理机构专门负责厂内环境保护工作，并在当地环保部门指导、监督下开展环境管理工作。其主要职责如下：</w:t>
      </w:r>
    </w:p>
    <w:p>
      <w:pPr>
        <w:ind w:firstLine="480"/>
        <w:rPr>
          <w:color w:val="auto"/>
          <w:kern w:val="21"/>
        </w:rPr>
      </w:pPr>
      <w:r>
        <w:rPr>
          <w:color w:val="auto"/>
          <w:kern w:val="21"/>
        </w:rPr>
        <w:t>（1）严格执行国家有关环境保护法律、法规及相关文件，接受环境保护主管部门的监督和检查，定期上报各项环保管理工作的执行情况。</w:t>
      </w:r>
    </w:p>
    <w:p>
      <w:pPr>
        <w:pStyle w:val="71"/>
        <w:ind w:firstLine="480"/>
        <w:rPr>
          <w:color w:val="auto"/>
          <w:kern w:val="21"/>
        </w:rPr>
      </w:pPr>
      <w:r>
        <w:rPr>
          <w:color w:val="auto"/>
          <w:kern w:val="21"/>
        </w:rPr>
        <w:t>（2）制定并组织实施本项目的环保计划，负责项目的环境管理与监测管理，建立环保岗位的各个工序岗位责任制。</w:t>
      </w:r>
    </w:p>
    <w:p>
      <w:pPr>
        <w:ind w:firstLine="480"/>
        <w:rPr>
          <w:color w:val="auto"/>
          <w:kern w:val="21"/>
        </w:rPr>
      </w:pPr>
      <w:r>
        <w:rPr>
          <w:color w:val="auto"/>
          <w:kern w:val="21"/>
        </w:rPr>
        <w:t>（3）组织制定和修改项目环保规章制度，明确职责，并监督执行。</w:t>
      </w:r>
    </w:p>
    <w:p>
      <w:pPr>
        <w:ind w:firstLine="480"/>
        <w:rPr>
          <w:color w:val="auto"/>
          <w:kern w:val="21"/>
        </w:rPr>
      </w:pPr>
      <w:r>
        <w:rPr>
          <w:color w:val="auto"/>
          <w:kern w:val="21"/>
        </w:rPr>
        <w:t>（4）定期检查本单位的环保设施的运行、日常保养及维护情况，保证其正常运行，并记录运行情况。</w:t>
      </w:r>
    </w:p>
    <w:p>
      <w:pPr>
        <w:pStyle w:val="71"/>
        <w:ind w:firstLine="480"/>
        <w:rPr>
          <w:color w:val="auto"/>
          <w:kern w:val="21"/>
        </w:rPr>
      </w:pPr>
      <w:r>
        <w:rPr>
          <w:color w:val="auto"/>
          <w:kern w:val="21"/>
        </w:rPr>
        <w:t>（5）根据该项目的特点，制定污染控制及改善环境质量的计划，负责组织突发事故的应急处理和善后事宜。</w:t>
      </w:r>
    </w:p>
    <w:p>
      <w:pPr>
        <w:ind w:firstLine="480"/>
        <w:rPr>
          <w:color w:val="auto"/>
          <w:kern w:val="21"/>
        </w:rPr>
      </w:pPr>
      <w:r>
        <w:rPr>
          <w:color w:val="auto"/>
          <w:kern w:val="21"/>
        </w:rPr>
        <w:t>（6）做好环境统计、监测报表，环境保护设施档案管理，尤其是环保污染事故方面的档案管理。</w:t>
      </w:r>
    </w:p>
    <w:p>
      <w:pPr>
        <w:ind w:firstLine="480"/>
        <w:rPr>
          <w:color w:val="auto"/>
          <w:kern w:val="21"/>
        </w:rPr>
      </w:pPr>
      <w:r>
        <w:rPr>
          <w:color w:val="auto"/>
          <w:kern w:val="21"/>
        </w:rPr>
        <w:t>（7）对污染事故进行调查和配合有关部门对该类问题的调查。</w:t>
      </w:r>
    </w:p>
    <w:p>
      <w:pPr>
        <w:ind w:firstLine="480"/>
        <w:rPr>
          <w:color w:val="auto"/>
          <w:kern w:val="21"/>
        </w:rPr>
      </w:pPr>
      <w:r>
        <w:rPr>
          <w:color w:val="auto"/>
          <w:kern w:val="21"/>
        </w:rPr>
        <w:t>（8）监督本项目“三同时”的执行，确保环境保护设施与主体工程同时设计、同时施工、同时运行。</w:t>
      </w:r>
    </w:p>
    <w:p>
      <w:pPr>
        <w:pStyle w:val="6"/>
        <w:spacing w:after="0"/>
        <w:rPr>
          <w:rFonts w:eastAsia="宋体"/>
          <w:color w:val="auto"/>
          <w:kern w:val="21"/>
          <w:sz w:val="24"/>
          <w:szCs w:val="24"/>
        </w:rPr>
      </w:pPr>
      <w:bookmarkStart w:id="408" w:name="_Toc5279"/>
      <w:r>
        <w:rPr>
          <w:rFonts w:eastAsia="宋体"/>
          <w:color w:val="auto"/>
          <w:kern w:val="21"/>
          <w:sz w:val="24"/>
          <w:szCs w:val="24"/>
        </w:rPr>
        <w:t>9.3.2环境信息公开</w:t>
      </w:r>
      <w:bookmarkEnd w:id="408"/>
    </w:p>
    <w:p>
      <w:pPr>
        <w:widowControl/>
        <w:ind w:firstLine="480"/>
        <w:jc w:val="left"/>
        <w:rPr>
          <w:color w:val="auto"/>
          <w:kern w:val="21"/>
        </w:rPr>
      </w:pPr>
      <w:r>
        <w:rPr>
          <w:color w:val="auto"/>
          <w:kern w:val="21"/>
          <w:lang w:bidi="ar"/>
        </w:rPr>
        <w:t>根据《建设项目环境影响评价信息公开机制方案》、《企业事业单位环境信息公开办法》中的相关规定，本项目建设单位应当向社会公开以下信息：</w:t>
      </w:r>
    </w:p>
    <w:p>
      <w:pPr>
        <w:widowControl/>
        <w:ind w:firstLine="480"/>
        <w:jc w:val="left"/>
        <w:rPr>
          <w:color w:val="auto"/>
          <w:kern w:val="21"/>
        </w:rPr>
      </w:pPr>
      <w:r>
        <w:rPr>
          <w:color w:val="auto"/>
          <w:kern w:val="21"/>
          <w:lang w:bidi="ar"/>
        </w:rPr>
        <w:t>（1）基础信息，包括单位名称、社会信用代码、法定代表人、单位地址、联系方式，以及生产经营范围；</w:t>
      </w:r>
    </w:p>
    <w:p>
      <w:pPr>
        <w:widowControl/>
        <w:ind w:firstLine="480"/>
        <w:jc w:val="left"/>
        <w:rPr>
          <w:color w:val="auto"/>
          <w:kern w:val="21"/>
        </w:rPr>
      </w:pPr>
      <w:r>
        <w:rPr>
          <w:color w:val="auto"/>
          <w:kern w:val="21"/>
          <w:lang w:bidi="ar"/>
        </w:rPr>
        <w:t>（2）排污信息，包括主要污染物及特征污染物的名称、排放方式、排放口数量和分布情况、排放浓度和总量、超达标情况，以及执行的污染物排放标准、核定的排放总量；</w:t>
      </w:r>
    </w:p>
    <w:p>
      <w:pPr>
        <w:widowControl/>
        <w:ind w:firstLine="480"/>
        <w:jc w:val="left"/>
        <w:rPr>
          <w:color w:val="auto"/>
          <w:kern w:val="21"/>
        </w:rPr>
      </w:pPr>
      <w:r>
        <w:rPr>
          <w:color w:val="auto"/>
          <w:kern w:val="21"/>
          <w:lang w:bidi="ar"/>
        </w:rPr>
        <w:t>（3）防治污染设施的建设和运行情况；</w:t>
      </w:r>
    </w:p>
    <w:p>
      <w:pPr>
        <w:widowControl/>
        <w:ind w:firstLine="480"/>
        <w:jc w:val="left"/>
        <w:rPr>
          <w:color w:val="auto"/>
          <w:kern w:val="21"/>
        </w:rPr>
      </w:pPr>
      <w:r>
        <w:rPr>
          <w:color w:val="auto"/>
          <w:kern w:val="21"/>
          <w:lang w:bidi="ar"/>
        </w:rPr>
        <w:t>（4）建设项目环境影响评价及其他环境保护行政许可情况；</w:t>
      </w:r>
    </w:p>
    <w:p>
      <w:pPr>
        <w:widowControl/>
        <w:ind w:firstLine="480"/>
        <w:jc w:val="left"/>
        <w:rPr>
          <w:color w:val="auto"/>
          <w:kern w:val="21"/>
        </w:rPr>
      </w:pPr>
      <w:r>
        <w:rPr>
          <w:color w:val="auto"/>
          <w:kern w:val="21"/>
          <w:lang w:bidi="ar"/>
        </w:rPr>
        <w:t>（5）突发环境事件应急预案。</w:t>
      </w:r>
    </w:p>
    <w:p>
      <w:pPr>
        <w:pStyle w:val="6"/>
        <w:spacing w:after="0"/>
        <w:rPr>
          <w:rFonts w:eastAsia="宋体"/>
          <w:color w:val="auto"/>
          <w:kern w:val="21"/>
          <w:sz w:val="24"/>
          <w:szCs w:val="24"/>
        </w:rPr>
      </w:pPr>
      <w:bookmarkStart w:id="409" w:name="_Toc32587"/>
      <w:r>
        <w:rPr>
          <w:rFonts w:eastAsia="宋体"/>
          <w:color w:val="auto"/>
          <w:kern w:val="21"/>
          <w:sz w:val="24"/>
          <w:szCs w:val="24"/>
        </w:rPr>
        <w:t>9.3.3环境管理台账</w:t>
      </w:r>
      <w:bookmarkEnd w:id="409"/>
    </w:p>
    <w:p>
      <w:pPr>
        <w:pStyle w:val="23"/>
        <w:spacing w:after="0" w:line="360" w:lineRule="auto"/>
        <w:ind w:left="0" w:leftChars="0" w:firstLine="480"/>
        <w:rPr>
          <w:color w:val="auto"/>
          <w:kern w:val="21"/>
        </w:rPr>
      </w:pPr>
      <w:r>
        <w:rPr>
          <w:color w:val="auto"/>
          <w:kern w:val="21"/>
        </w:rPr>
        <w:t>根据《环境管理台账及排污许可证执行报告技术规范》（征求意见稿），环境管理台账记录内容如下：</w:t>
      </w:r>
    </w:p>
    <w:p>
      <w:pPr>
        <w:pStyle w:val="23"/>
        <w:spacing w:after="0" w:line="360" w:lineRule="auto"/>
        <w:ind w:left="0" w:leftChars="0" w:firstLine="480"/>
        <w:rPr>
          <w:color w:val="auto"/>
          <w:kern w:val="21"/>
        </w:rPr>
      </w:pPr>
      <w:r>
        <w:rPr>
          <w:color w:val="auto"/>
          <w:kern w:val="21"/>
        </w:rPr>
        <w:t>记录内容包括基本信息、生产设施运行管理信息、污染治理设施运行管理信息、监测记录信息及其他环境管理信息等。生产设施、污染治理设施、排放口编码按照排污许可证副本中载明的编码记录。</w:t>
      </w:r>
    </w:p>
    <w:p>
      <w:pPr>
        <w:pStyle w:val="23"/>
        <w:spacing w:after="0" w:line="360" w:lineRule="auto"/>
        <w:ind w:left="0" w:leftChars="0" w:firstLine="480"/>
        <w:rPr>
          <w:color w:val="auto"/>
          <w:kern w:val="21"/>
        </w:rPr>
      </w:pPr>
      <w:r>
        <w:rPr>
          <w:color w:val="auto"/>
          <w:kern w:val="21"/>
        </w:rPr>
        <w:t>1、基本信息</w:t>
      </w:r>
    </w:p>
    <w:p>
      <w:pPr>
        <w:pStyle w:val="23"/>
        <w:spacing w:after="0" w:line="360" w:lineRule="auto"/>
        <w:ind w:left="0" w:leftChars="0" w:firstLine="480"/>
        <w:rPr>
          <w:color w:val="auto"/>
          <w:kern w:val="21"/>
        </w:rPr>
      </w:pPr>
      <w:r>
        <w:rPr>
          <w:color w:val="auto"/>
          <w:kern w:val="21"/>
        </w:rPr>
        <w:t>（1）排污单位基本信息：名称、注册地址、行业类别、生产经营场所地址、统一社会信用代码、法定代表人、技术负责人、环保投资情况、环评及批复情况、竣工环保验收情况、排污许可证编号等。</w:t>
      </w:r>
    </w:p>
    <w:p>
      <w:pPr>
        <w:pStyle w:val="23"/>
        <w:spacing w:after="0" w:line="360" w:lineRule="auto"/>
        <w:ind w:left="0" w:leftChars="0" w:firstLine="480"/>
        <w:rPr>
          <w:color w:val="auto"/>
          <w:kern w:val="21"/>
        </w:rPr>
      </w:pPr>
      <w:r>
        <w:rPr>
          <w:color w:val="auto"/>
          <w:kern w:val="21"/>
        </w:rPr>
        <w:t>（2）生产工艺、生产规模及基本信息：设计处理水量、实际处理水量、主要处理工艺、出水水质、排水去向、受纳水体名称、受纳水体功能区划等。</w:t>
      </w:r>
    </w:p>
    <w:p>
      <w:pPr>
        <w:pStyle w:val="23"/>
        <w:spacing w:after="0" w:line="360" w:lineRule="auto"/>
        <w:ind w:left="0" w:leftChars="0" w:firstLine="480"/>
        <w:rPr>
          <w:color w:val="auto"/>
          <w:kern w:val="21"/>
        </w:rPr>
      </w:pPr>
      <w:r>
        <w:rPr>
          <w:color w:val="auto"/>
          <w:kern w:val="21"/>
        </w:rPr>
        <w:t>（3）生产设施基本信息：名称、编码、规格型号、相关参数、设计生产能力等。</w:t>
      </w:r>
    </w:p>
    <w:p>
      <w:pPr>
        <w:pStyle w:val="23"/>
        <w:spacing w:after="0" w:line="360" w:lineRule="auto"/>
        <w:ind w:left="0" w:leftChars="0" w:firstLine="480"/>
        <w:rPr>
          <w:color w:val="auto"/>
          <w:kern w:val="21"/>
        </w:rPr>
      </w:pPr>
      <w:r>
        <w:rPr>
          <w:color w:val="auto"/>
          <w:kern w:val="21"/>
        </w:rPr>
        <w:t>（4）大气污染治理设施基本信息：名称、编码、规格型号、相关参数等。</w:t>
      </w:r>
    </w:p>
    <w:p>
      <w:pPr>
        <w:pStyle w:val="23"/>
        <w:spacing w:after="0" w:line="360" w:lineRule="auto"/>
        <w:ind w:left="0" w:leftChars="0" w:firstLine="480"/>
        <w:rPr>
          <w:color w:val="auto"/>
          <w:kern w:val="21"/>
        </w:rPr>
      </w:pPr>
      <w:r>
        <w:rPr>
          <w:rStyle w:val="54"/>
          <w:b w:val="0"/>
          <w:bCs/>
          <w:color w:val="auto"/>
          <w:kern w:val="21"/>
          <w:shd w:val="clear" w:color="auto" w:fill="FFFFFF"/>
        </w:rPr>
        <w:t>基本信息记录频次</w:t>
      </w:r>
      <w:r>
        <w:rPr>
          <w:color w:val="auto"/>
          <w:kern w:val="21"/>
          <w:shd w:val="clear" w:color="auto" w:fill="FFFFFF"/>
        </w:rPr>
        <w:t>：对于未发生变化的基本信息，按月记录，1次/月；对于发生变化的基本信息，按照变化次数记录，1次/变化次数</w:t>
      </w:r>
      <w:r>
        <w:rPr>
          <w:rFonts w:eastAsia="Arial"/>
          <w:color w:val="auto"/>
          <w:kern w:val="21"/>
          <w:shd w:val="clear" w:color="auto" w:fill="FFFFFF"/>
        </w:rPr>
        <w:t>。</w:t>
      </w:r>
    </w:p>
    <w:p>
      <w:pPr>
        <w:pStyle w:val="23"/>
        <w:spacing w:after="0" w:line="360" w:lineRule="auto"/>
        <w:ind w:left="0" w:leftChars="0" w:firstLine="480"/>
        <w:rPr>
          <w:color w:val="auto"/>
          <w:kern w:val="21"/>
        </w:rPr>
      </w:pPr>
      <w:r>
        <w:rPr>
          <w:color w:val="auto"/>
          <w:kern w:val="21"/>
        </w:rPr>
        <w:t>2、生产设施运行管理信息</w:t>
      </w:r>
    </w:p>
    <w:p>
      <w:pPr>
        <w:pStyle w:val="23"/>
        <w:spacing w:after="0" w:line="360" w:lineRule="auto"/>
        <w:ind w:left="0" w:leftChars="0" w:firstLine="480"/>
        <w:rPr>
          <w:color w:val="auto"/>
          <w:kern w:val="21"/>
        </w:rPr>
      </w:pPr>
      <w:r>
        <w:rPr>
          <w:color w:val="auto"/>
          <w:kern w:val="21"/>
        </w:rPr>
        <w:t>a）正常工况：运行状态、生产负荷、处理污水量等。</w:t>
      </w:r>
    </w:p>
    <w:p>
      <w:pPr>
        <w:pStyle w:val="23"/>
        <w:spacing w:after="0" w:line="360" w:lineRule="auto"/>
        <w:ind w:left="0" w:leftChars="0" w:firstLine="480"/>
        <w:rPr>
          <w:color w:val="auto"/>
          <w:kern w:val="21"/>
        </w:rPr>
      </w:pPr>
      <w:r>
        <w:rPr>
          <w:color w:val="auto"/>
          <w:kern w:val="21"/>
        </w:rPr>
        <w:t>1）运行状态：开始、结束时间，是否正常运行。按照生产班次记录，1次/班。</w:t>
      </w:r>
    </w:p>
    <w:p>
      <w:pPr>
        <w:pStyle w:val="23"/>
        <w:spacing w:after="0" w:line="360" w:lineRule="auto"/>
        <w:ind w:left="0" w:leftChars="0" w:firstLine="480"/>
        <w:rPr>
          <w:color w:val="auto"/>
          <w:kern w:val="21"/>
        </w:rPr>
      </w:pPr>
      <w:r>
        <w:rPr>
          <w:color w:val="auto"/>
          <w:kern w:val="21"/>
        </w:rPr>
        <w:t>2）生产负荷：主要实际处理水量与设计规模之比。按照生产班次记录，1次/班。</w:t>
      </w:r>
    </w:p>
    <w:p>
      <w:pPr>
        <w:pStyle w:val="23"/>
        <w:spacing w:after="0" w:line="360" w:lineRule="auto"/>
        <w:ind w:left="0" w:leftChars="0" w:firstLine="480"/>
        <w:rPr>
          <w:color w:val="auto"/>
          <w:kern w:val="21"/>
        </w:rPr>
      </w:pPr>
      <w:r>
        <w:rPr>
          <w:color w:val="auto"/>
          <w:kern w:val="21"/>
        </w:rPr>
        <w:t>4）原辅料：PAC、PAM、次氯酸钠、柠檬酸的来源地、种类、用量、是否为危险化学品。按照批次记录，1次/批次。</w:t>
      </w:r>
    </w:p>
    <w:p>
      <w:pPr>
        <w:pStyle w:val="23"/>
        <w:spacing w:after="0" w:line="360" w:lineRule="auto"/>
        <w:ind w:left="0" w:leftChars="0" w:firstLine="480"/>
        <w:rPr>
          <w:color w:val="auto"/>
          <w:kern w:val="21"/>
        </w:rPr>
      </w:pPr>
      <w:r>
        <w:rPr>
          <w:color w:val="auto"/>
          <w:kern w:val="21"/>
        </w:rPr>
        <w:t>b）非正常工况：设施名称、编号、非正常工况起止时间、产品产量、原辅料及燃料消耗量、事件原因、是否报告等。按照工况期记录，1次/工况期。</w:t>
      </w:r>
    </w:p>
    <w:p>
      <w:pPr>
        <w:pStyle w:val="23"/>
        <w:spacing w:after="0" w:line="360" w:lineRule="auto"/>
        <w:ind w:left="0" w:leftChars="0" w:firstLine="480"/>
        <w:rPr>
          <w:color w:val="auto"/>
          <w:kern w:val="21"/>
        </w:rPr>
      </w:pPr>
      <w:r>
        <w:rPr>
          <w:color w:val="auto"/>
          <w:kern w:val="21"/>
        </w:rPr>
        <w:t>3、污染治理设施运行管理信息</w:t>
      </w:r>
    </w:p>
    <w:p>
      <w:pPr>
        <w:pStyle w:val="23"/>
        <w:spacing w:after="0" w:line="360" w:lineRule="auto"/>
        <w:ind w:left="0" w:leftChars="0" w:firstLine="480"/>
        <w:rPr>
          <w:color w:val="auto"/>
          <w:kern w:val="21"/>
        </w:rPr>
      </w:pPr>
      <w:r>
        <w:rPr>
          <w:color w:val="auto"/>
          <w:kern w:val="21"/>
        </w:rPr>
        <w:t>a）正常情况：运行情况、主要药剂添加情况、进出水在线监测情况等。</w:t>
      </w:r>
    </w:p>
    <w:p>
      <w:pPr>
        <w:pStyle w:val="23"/>
        <w:spacing w:after="0" w:line="360" w:lineRule="auto"/>
        <w:ind w:left="0" w:leftChars="0" w:firstLine="480"/>
        <w:rPr>
          <w:color w:val="auto"/>
          <w:kern w:val="21"/>
        </w:rPr>
      </w:pPr>
      <w:r>
        <w:rPr>
          <w:color w:val="auto"/>
          <w:kern w:val="21"/>
        </w:rPr>
        <w:t>1）运行情况：开始、结束时间，是否正常运行；废气污染因子、治理效率等；废水污染因子、治理效率、排放去向、污泥产生量及处理方式等；按照运行班次记录，1次/班。</w:t>
      </w:r>
    </w:p>
    <w:p>
      <w:pPr>
        <w:pStyle w:val="23"/>
        <w:spacing w:after="0" w:line="360" w:lineRule="auto"/>
        <w:ind w:left="0" w:leftChars="0" w:firstLine="480"/>
        <w:rPr>
          <w:color w:val="auto"/>
          <w:kern w:val="21"/>
        </w:rPr>
      </w:pPr>
      <w:r>
        <w:rPr>
          <w:color w:val="auto"/>
          <w:kern w:val="21"/>
        </w:rPr>
        <w:t>2）主要药剂（PAC、PAM、次氯酸钠、柠檬酸）添加情况：名称、添加时间、添加量等。按照运行班次记录，1次/班。</w:t>
      </w:r>
    </w:p>
    <w:p>
      <w:pPr>
        <w:pStyle w:val="23"/>
        <w:spacing w:after="0" w:line="360" w:lineRule="auto"/>
        <w:ind w:left="0" w:leftChars="0" w:firstLine="480"/>
        <w:rPr>
          <w:color w:val="auto"/>
          <w:kern w:val="21"/>
        </w:rPr>
      </w:pPr>
      <w:r>
        <w:rPr>
          <w:color w:val="auto"/>
          <w:kern w:val="21"/>
        </w:rPr>
        <w:t>b）异常情况：污染治理设施名称、编号、异常情况起止时间、污染物排放浓度、排放量、异常原因、是否报告等。按照异常情况期记录，1次/异常情况期。</w:t>
      </w:r>
    </w:p>
    <w:p>
      <w:pPr>
        <w:pStyle w:val="6"/>
        <w:spacing w:after="0"/>
        <w:rPr>
          <w:rFonts w:eastAsia="宋体"/>
          <w:color w:val="auto"/>
          <w:kern w:val="21"/>
          <w:sz w:val="24"/>
          <w:szCs w:val="24"/>
        </w:rPr>
      </w:pPr>
      <w:bookmarkStart w:id="410" w:name="_Toc25762"/>
      <w:r>
        <w:rPr>
          <w:rFonts w:eastAsia="宋体"/>
          <w:color w:val="auto"/>
          <w:kern w:val="21"/>
          <w:sz w:val="24"/>
          <w:szCs w:val="24"/>
        </w:rPr>
        <w:t>9.3.4隐蔽工程验收</w:t>
      </w:r>
      <w:bookmarkEnd w:id="410"/>
    </w:p>
    <w:p>
      <w:pPr>
        <w:ind w:firstLine="480"/>
        <w:rPr>
          <w:color w:val="auto"/>
          <w:kern w:val="21"/>
        </w:rPr>
      </w:pPr>
      <w:r>
        <w:rPr>
          <w:color w:val="auto"/>
          <w:kern w:val="21"/>
        </w:rPr>
        <w:t>环境保护工程中的隐蔽工程验收，建设方应将其纳入施工建造合同和监理合同中，环境保护工程中的隐蔽工程施工之前，应报监理单位审核施工计划、材料等，施工完成前，应由监理单位主持，邀请建设方、环境保护管理部门及建设工程质量管理部门一同进行验收。本项目下列工程应纳入隐蔽工程验收：</w:t>
      </w:r>
    </w:p>
    <w:p>
      <w:pPr>
        <w:ind w:firstLine="480"/>
        <w:rPr>
          <w:color w:val="auto"/>
          <w:kern w:val="21"/>
        </w:rPr>
      </w:pPr>
      <w:r>
        <w:rPr>
          <w:color w:val="auto"/>
          <w:kern w:val="21"/>
        </w:rPr>
        <w:t>（1）项目场地分区防控措施应按照第8.2.2节的要求，分为重点防渗区、一般防渗区及简单防渗区进行实施。</w:t>
      </w:r>
    </w:p>
    <w:p>
      <w:pPr>
        <w:ind w:firstLine="480"/>
        <w:rPr>
          <w:color w:val="auto"/>
          <w:kern w:val="21"/>
        </w:rPr>
      </w:pPr>
      <w:r>
        <w:rPr>
          <w:color w:val="auto"/>
          <w:kern w:val="21"/>
        </w:rPr>
        <w:t>（2）建设单位在施工阶段聘请有资质的第三方作为工程监理单位，对重点防渗区等工程进行严格监理，对隐蔽工程的施工情况进行拍照、拍视频记录并保存好，作为验收的资料存档。阶段性施工结束后，应进行工程验收，验收合格后方能开展下一阶段施工，不合格的施工项目责令施工单位返工。</w:t>
      </w:r>
    </w:p>
    <w:p>
      <w:pPr>
        <w:pStyle w:val="5"/>
        <w:spacing w:after="0"/>
        <w:rPr>
          <w:color w:val="auto"/>
          <w:kern w:val="21"/>
          <w:sz w:val="28"/>
        </w:rPr>
      </w:pPr>
      <w:bookmarkStart w:id="411" w:name="_Toc758"/>
      <w:bookmarkStart w:id="412" w:name="_Toc112890570"/>
      <w:bookmarkStart w:id="413" w:name="_Toc106447827"/>
      <w:bookmarkStart w:id="414" w:name="_Toc107650489"/>
      <w:bookmarkStart w:id="415" w:name="_Toc85044660"/>
      <w:bookmarkStart w:id="416" w:name="_Toc107557198"/>
      <w:bookmarkStart w:id="417" w:name="_Toc107556969"/>
      <w:bookmarkStart w:id="418" w:name="_Toc107649874"/>
      <w:bookmarkStart w:id="419" w:name="_Toc90810456"/>
      <w:bookmarkStart w:id="420" w:name="_Toc107557419"/>
      <w:bookmarkStart w:id="421" w:name="_Toc106553957"/>
      <w:bookmarkStart w:id="422" w:name="_Toc107650272"/>
      <w:bookmarkStart w:id="423" w:name="_Toc112903183"/>
      <w:bookmarkStart w:id="424" w:name="_Toc81630180"/>
      <w:bookmarkStart w:id="425" w:name="_Toc188246227"/>
      <w:bookmarkStart w:id="426" w:name="_Toc158166559"/>
      <w:bookmarkStart w:id="427" w:name="_Toc94629576"/>
      <w:bookmarkStart w:id="428" w:name="_Toc113790919"/>
      <w:bookmarkStart w:id="429" w:name="_Toc107546912"/>
      <w:r>
        <w:rPr>
          <w:color w:val="auto"/>
          <w:kern w:val="21"/>
          <w:sz w:val="28"/>
        </w:rPr>
        <w:t>9.4环境监测计划</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pStyle w:val="6"/>
        <w:spacing w:after="0"/>
        <w:rPr>
          <w:rFonts w:eastAsia="宋体"/>
          <w:color w:val="auto"/>
          <w:kern w:val="21"/>
          <w:sz w:val="24"/>
          <w:szCs w:val="24"/>
        </w:rPr>
      </w:pPr>
      <w:bookmarkStart w:id="430" w:name="_Toc112890571"/>
      <w:bookmarkStart w:id="431" w:name="_Toc112903184"/>
      <w:bookmarkStart w:id="432" w:name="_Toc16797"/>
      <w:bookmarkStart w:id="433" w:name="_Toc113790920"/>
      <w:r>
        <w:rPr>
          <w:rFonts w:eastAsia="宋体"/>
          <w:color w:val="auto"/>
          <w:kern w:val="21"/>
          <w:sz w:val="24"/>
          <w:szCs w:val="24"/>
        </w:rPr>
        <w:t>9.4.1目的及原则</w:t>
      </w:r>
      <w:bookmarkEnd w:id="430"/>
      <w:bookmarkEnd w:id="431"/>
      <w:bookmarkEnd w:id="432"/>
      <w:bookmarkEnd w:id="433"/>
    </w:p>
    <w:p>
      <w:pPr>
        <w:ind w:firstLine="480"/>
        <w:rPr>
          <w:color w:val="auto"/>
          <w:kern w:val="21"/>
        </w:rPr>
      </w:pPr>
      <w:r>
        <w:rPr>
          <w:color w:val="auto"/>
          <w:kern w:val="21"/>
        </w:rPr>
        <w:t>制定环境监测计划的目的是为了监督各项环保措施的落实，根据监测结果适时调整环境保护行动计划，并为项目的环境影响后评价提供依据。</w:t>
      </w:r>
    </w:p>
    <w:p>
      <w:pPr>
        <w:ind w:firstLine="480"/>
        <w:rPr>
          <w:color w:val="auto"/>
          <w:kern w:val="21"/>
        </w:rPr>
      </w:pPr>
      <w:r>
        <w:rPr>
          <w:color w:val="auto"/>
          <w:kern w:val="21"/>
        </w:rPr>
        <w:t>制定环境监测计划的原则是根据预测的各个时期的主要环境影响及可能超标的地段和指标实施监测。</w:t>
      </w:r>
    </w:p>
    <w:p>
      <w:pPr>
        <w:pStyle w:val="6"/>
        <w:spacing w:after="0"/>
        <w:rPr>
          <w:rFonts w:eastAsia="宋体"/>
          <w:color w:val="auto"/>
          <w:kern w:val="21"/>
          <w:sz w:val="24"/>
          <w:szCs w:val="24"/>
        </w:rPr>
      </w:pPr>
      <w:bookmarkStart w:id="434" w:name="_Toc113790921"/>
      <w:bookmarkStart w:id="435" w:name="_Toc112890572"/>
      <w:bookmarkStart w:id="436" w:name="_Toc112903185"/>
      <w:bookmarkStart w:id="437" w:name="_Toc27309"/>
      <w:r>
        <w:rPr>
          <w:rFonts w:eastAsia="宋体"/>
          <w:color w:val="auto"/>
          <w:kern w:val="21"/>
          <w:sz w:val="24"/>
          <w:szCs w:val="24"/>
        </w:rPr>
        <w:t>9.4.2环境监测计划</w:t>
      </w:r>
      <w:bookmarkEnd w:id="434"/>
      <w:bookmarkEnd w:id="435"/>
      <w:bookmarkEnd w:id="436"/>
      <w:bookmarkEnd w:id="437"/>
    </w:p>
    <w:p>
      <w:pPr>
        <w:pStyle w:val="23"/>
        <w:spacing w:after="0" w:line="360" w:lineRule="auto"/>
        <w:ind w:left="0" w:leftChars="0" w:firstLine="720" w:firstLineChars="300"/>
        <w:rPr>
          <w:color w:val="auto"/>
          <w:kern w:val="21"/>
        </w:rPr>
      </w:pPr>
      <w:r>
        <w:rPr>
          <w:rFonts w:hint="eastAsia"/>
          <w:color w:val="auto"/>
          <w:kern w:val="21"/>
        </w:rPr>
        <w:t>本项目</w:t>
      </w:r>
      <w:r>
        <w:rPr>
          <w:color w:val="auto"/>
          <w:kern w:val="21"/>
        </w:rPr>
        <w:t>运营期的环境监测计划根据《排污单位自行监测技术指南 水处理》（HJ 1083-2020）要求</w:t>
      </w:r>
      <w:r>
        <w:rPr>
          <w:rFonts w:hint="eastAsia"/>
          <w:color w:val="auto"/>
          <w:kern w:val="21"/>
        </w:rPr>
        <w:t>拟定，</w:t>
      </w:r>
      <w:r>
        <w:rPr>
          <w:color w:val="auto"/>
          <w:kern w:val="21"/>
        </w:rPr>
        <w:t>见</w:t>
      </w:r>
      <w:r>
        <w:rPr>
          <w:rFonts w:hint="eastAsia"/>
          <w:color w:val="auto"/>
          <w:kern w:val="21"/>
          <w:lang w:eastAsia="zh-CN"/>
        </w:rPr>
        <w:t>下表</w:t>
      </w:r>
      <w:r>
        <w:rPr>
          <w:color w:val="auto"/>
          <w:kern w:val="21"/>
        </w:rPr>
        <w:t>。</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60" w:lineRule="auto"/>
        <w:ind w:left="0" w:leftChars="0" w:firstLine="0" w:firstLineChars="0"/>
        <w:jc w:val="center"/>
        <w:textAlignment w:val="auto"/>
        <w:rPr>
          <w:b/>
          <w:color w:val="auto"/>
          <w:kern w:val="21"/>
        </w:rPr>
      </w:pPr>
      <w:r>
        <w:rPr>
          <w:b/>
          <w:color w:val="auto"/>
          <w:kern w:val="21"/>
        </w:rPr>
        <w:t>运营期环境监测计划</w:t>
      </w:r>
    </w:p>
    <w:tbl>
      <w:tblPr>
        <w:tblStyle w:val="51"/>
        <w:tblW w:w="9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750"/>
        <w:gridCol w:w="648"/>
        <w:gridCol w:w="1925"/>
        <w:gridCol w:w="2437"/>
        <w:gridCol w:w="1330"/>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监测类型</w:t>
            </w:r>
          </w:p>
        </w:tc>
        <w:tc>
          <w:tcPr>
            <w:tcW w:w="750"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项目</w:t>
            </w:r>
          </w:p>
        </w:tc>
        <w:tc>
          <w:tcPr>
            <w:tcW w:w="2573" w:type="dxa"/>
            <w:gridSpan w:val="2"/>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监测地点</w:t>
            </w:r>
          </w:p>
        </w:tc>
        <w:tc>
          <w:tcPr>
            <w:tcW w:w="2437"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监测项目</w:t>
            </w:r>
          </w:p>
        </w:tc>
        <w:tc>
          <w:tcPr>
            <w:tcW w:w="1330"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监测频次</w:t>
            </w:r>
          </w:p>
        </w:tc>
        <w:tc>
          <w:tcPr>
            <w:tcW w:w="1858"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监测实施机构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 w:type="dxa"/>
            <w:vMerge w:val="restart"/>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污染源监测</w:t>
            </w:r>
          </w:p>
        </w:tc>
        <w:tc>
          <w:tcPr>
            <w:tcW w:w="750" w:type="dxa"/>
            <w:vMerge w:val="restart"/>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污水</w:t>
            </w:r>
          </w:p>
        </w:tc>
        <w:tc>
          <w:tcPr>
            <w:tcW w:w="2573" w:type="dxa"/>
            <w:gridSpan w:val="2"/>
            <w:vMerge w:val="restart"/>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污水处理厂废水进口</w:t>
            </w:r>
          </w:p>
        </w:tc>
        <w:tc>
          <w:tcPr>
            <w:tcW w:w="2437" w:type="dxa"/>
            <w:vAlign w:val="center"/>
          </w:tcPr>
          <w:p>
            <w:pPr>
              <w:pStyle w:val="23"/>
              <w:adjustRightInd w:val="0"/>
              <w:snapToGrid w:val="0"/>
              <w:spacing w:after="0" w:line="240" w:lineRule="auto"/>
              <w:ind w:left="0" w:leftChars="0" w:firstLine="0" w:firstLineChars="0"/>
              <w:jc w:val="center"/>
              <w:rPr>
                <w:rFonts w:hint="eastAsia" w:eastAsia="宋体"/>
                <w:color w:val="auto"/>
                <w:kern w:val="21"/>
                <w:sz w:val="21"/>
                <w:szCs w:val="21"/>
                <w:lang w:eastAsia="zh-CN"/>
              </w:rPr>
            </w:pPr>
            <w:r>
              <w:rPr>
                <w:color w:val="auto"/>
                <w:kern w:val="21"/>
                <w:sz w:val="21"/>
                <w:szCs w:val="21"/>
              </w:rPr>
              <w:t>流量、化学需氧量、氨氮</w:t>
            </w:r>
            <w:r>
              <w:rPr>
                <w:rFonts w:hint="eastAsia"/>
                <w:color w:val="auto"/>
                <w:kern w:val="21"/>
                <w:sz w:val="21"/>
                <w:szCs w:val="21"/>
                <w:lang w:eastAsia="zh-CN"/>
              </w:rPr>
              <w:t>、氟化物</w:t>
            </w:r>
          </w:p>
        </w:tc>
        <w:tc>
          <w:tcPr>
            <w:tcW w:w="1330"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rFonts w:hint="eastAsia"/>
                <w:color w:val="auto"/>
                <w:kern w:val="21"/>
                <w:sz w:val="21"/>
                <w:szCs w:val="21"/>
              </w:rPr>
              <w:t>在线自动监测</w:t>
            </w:r>
          </w:p>
        </w:tc>
        <w:tc>
          <w:tcPr>
            <w:tcW w:w="1858" w:type="dxa"/>
            <w:vMerge w:val="restart"/>
            <w:vAlign w:val="center"/>
          </w:tcPr>
          <w:p>
            <w:pPr>
              <w:adjustRightInd w:val="0"/>
              <w:snapToGrid w:val="0"/>
              <w:spacing w:line="240" w:lineRule="auto"/>
              <w:ind w:firstLine="0" w:firstLineChars="0"/>
              <w:rPr>
                <w:color w:val="auto"/>
                <w:kern w:val="21"/>
                <w:sz w:val="21"/>
                <w:szCs w:val="21"/>
              </w:rPr>
            </w:pPr>
            <w:r>
              <w:rPr>
                <w:rFonts w:hint="eastAsia"/>
                <w:color w:val="auto"/>
                <w:kern w:val="21"/>
                <w:sz w:val="21"/>
                <w:szCs w:val="21"/>
              </w:rPr>
              <w:t>可在线监测的，全部采用在线监测系统自动监测并与地方生态环境主管部门污染源自动监控系统平台联网，其他指标</w:t>
            </w:r>
            <w:r>
              <w:rPr>
                <w:color w:val="auto"/>
                <w:kern w:val="21"/>
                <w:sz w:val="21"/>
                <w:szCs w:val="21"/>
              </w:rPr>
              <w:t>按照相关规范要求委托有资质的单位进行监测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2573" w:type="dxa"/>
            <w:gridSpan w:val="2"/>
            <w:vMerge w:val="continue"/>
            <w:vAlign w:val="center"/>
          </w:tcPr>
          <w:p>
            <w:pPr>
              <w:widowControl/>
              <w:adjustRightInd w:val="0"/>
              <w:snapToGrid w:val="0"/>
              <w:spacing w:line="240" w:lineRule="auto"/>
              <w:ind w:firstLine="0" w:firstLineChars="0"/>
              <w:jc w:val="center"/>
              <w:rPr>
                <w:color w:val="auto"/>
                <w:kern w:val="21"/>
                <w:sz w:val="21"/>
                <w:szCs w:val="21"/>
                <w:lang w:bidi="ar"/>
              </w:rPr>
            </w:pPr>
          </w:p>
        </w:tc>
        <w:tc>
          <w:tcPr>
            <w:tcW w:w="2437"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总磷、总氮</w:t>
            </w:r>
          </w:p>
        </w:tc>
        <w:tc>
          <w:tcPr>
            <w:tcW w:w="1330"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rFonts w:hint="eastAsia"/>
                <w:color w:val="auto"/>
                <w:kern w:val="21"/>
                <w:sz w:val="21"/>
                <w:szCs w:val="21"/>
              </w:rPr>
              <w:t>1次/日</w:t>
            </w:r>
          </w:p>
        </w:tc>
        <w:tc>
          <w:tcPr>
            <w:tcW w:w="1858"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2573" w:type="dxa"/>
            <w:gridSpan w:val="2"/>
            <w:vMerge w:val="restart"/>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污水处理厂废水出口</w:t>
            </w:r>
          </w:p>
        </w:tc>
        <w:tc>
          <w:tcPr>
            <w:tcW w:w="2437" w:type="dxa"/>
            <w:vAlign w:val="center"/>
          </w:tcPr>
          <w:p>
            <w:pPr>
              <w:pStyle w:val="23"/>
              <w:adjustRightInd w:val="0"/>
              <w:snapToGrid w:val="0"/>
              <w:spacing w:after="0" w:line="240" w:lineRule="auto"/>
              <w:ind w:left="0" w:leftChars="0" w:firstLine="0" w:firstLineChars="0"/>
              <w:rPr>
                <w:rFonts w:hint="eastAsia" w:eastAsia="宋体"/>
                <w:color w:val="auto"/>
                <w:kern w:val="21"/>
                <w:sz w:val="21"/>
                <w:szCs w:val="21"/>
                <w:lang w:eastAsia="zh-CN"/>
              </w:rPr>
            </w:pPr>
            <w:r>
              <w:rPr>
                <w:color w:val="auto"/>
                <w:kern w:val="21"/>
                <w:sz w:val="21"/>
                <w:szCs w:val="21"/>
              </w:rPr>
              <w:t>流量、pH、水温、化学需氧量、氨氮、总磷、总氮</w:t>
            </w:r>
            <w:r>
              <w:rPr>
                <w:rFonts w:hint="eastAsia"/>
                <w:color w:val="auto"/>
                <w:kern w:val="21"/>
                <w:sz w:val="21"/>
                <w:szCs w:val="21"/>
                <w:lang w:eastAsia="zh-CN"/>
              </w:rPr>
              <w:t>、氟化物</w:t>
            </w:r>
          </w:p>
        </w:tc>
        <w:tc>
          <w:tcPr>
            <w:tcW w:w="1330"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rFonts w:hint="eastAsia"/>
                <w:color w:val="auto"/>
                <w:kern w:val="21"/>
                <w:sz w:val="21"/>
                <w:szCs w:val="21"/>
              </w:rPr>
              <w:t>在线自动监测</w:t>
            </w:r>
          </w:p>
        </w:tc>
        <w:tc>
          <w:tcPr>
            <w:tcW w:w="1858"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2573" w:type="dxa"/>
            <w:gridSpan w:val="2"/>
            <w:vMerge w:val="continue"/>
            <w:vAlign w:val="center"/>
          </w:tcPr>
          <w:p>
            <w:pPr>
              <w:widowControl/>
              <w:adjustRightInd w:val="0"/>
              <w:snapToGrid w:val="0"/>
              <w:spacing w:line="240" w:lineRule="auto"/>
              <w:ind w:firstLine="0" w:firstLineChars="0"/>
              <w:jc w:val="center"/>
              <w:rPr>
                <w:color w:val="auto"/>
                <w:kern w:val="21"/>
                <w:sz w:val="21"/>
                <w:szCs w:val="21"/>
                <w:lang w:bidi="ar"/>
              </w:rPr>
            </w:pPr>
          </w:p>
        </w:tc>
        <w:tc>
          <w:tcPr>
            <w:tcW w:w="2437"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悬浮物、色度</w:t>
            </w:r>
            <w:r>
              <w:rPr>
                <w:rFonts w:hint="eastAsia"/>
                <w:color w:val="auto"/>
                <w:kern w:val="21"/>
                <w:sz w:val="21"/>
                <w:szCs w:val="21"/>
                <w:lang w:eastAsia="zh-CN"/>
              </w:rPr>
              <w:t>、</w:t>
            </w:r>
            <w:r>
              <w:rPr>
                <w:color w:val="auto"/>
                <w:kern w:val="21"/>
                <w:sz w:val="21"/>
                <w:szCs w:val="21"/>
              </w:rPr>
              <w:t>五日生化需氧量、</w:t>
            </w:r>
            <w:r>
              <w:rPr>
                <w:rFonts w:hint="eastAsia"/>
                <w:color w:val="auto"/>
                <w:kern w:val="21"/>
                <w:sz w:val="21"/>
                <w:szCs w:val="21"/>
                <w:lang w:eastAsia="zh-CN"/>
              </w:rPr>
              <w:t>动植物油、</w:t>
            </w:r>
            <w:r>
              <w:rPr>
                <w:color w:val="auto"/>
                <w:kern w:val="21"/>
                <w:sz w:val="21"/>
                <w:szCs w:val="21"/>
              </w:rPr>
              <w:t>石油类</w:t>
            </w:r>
            <w:r>
              <w:rPr>
                <w:rFonts w:hint="eastAsia"/>
                <w:color w:val="auto"/>
                <w:kern w:val="21"/>
                <w:sz w:val="21"/>
                <w:szCs w:val="21"/>
              </w:rPr>
              <w:t>、</w:t>
            </w:r>
            <w:r>
              <w:rPr>
                <w:rFonts w:hint="eastAsia"/>
                <w:color w:val="auto"/>
                <w:kern w:val="21"/>
                <w:sz w:val="21"/>
                <w:szCs w:val="21"/>
                <w:lang w:eastAsia="zh-CN"/>
              </w:rPr>
              <w:t>阴离子表面活性剂、粪大肠菌群数</w:t>
            </w:r>
          </w:p>
        </w:tc>
        <w:tc>
          <w:tcPr>
            <w:tcW w:w="1330" w:type="dxa"/>
            <w:vAlign w:val="center"/>
          </w:tcPr>
          <w:p>
            <w:pPr>
              <w:pStyle w:val="23"/>
              <w:adjustRightInd w:val="0"/>
              <w:snapToGrid w:val="0"/>
              <w:spacing w:after="0" w:line="240" w:lineRule="auto"/>
              <w:ind w:left="0" w:leftChars="0" w:firstLine="0" w:firstLineChars="0"/>
              <w:jc w:val="center"/>
              <w:rPr>
                <w:rFonts w:hint="eastAsia" w:eastAsia="宋体"/>
                <w:color w:val="auto"/>
                <w:kern w:val="21"/>
                <w:sz w:val="21"/>
                <w:szCs w:val="21"/>
                <w:lang w:eastAsia="zh-CN"/>
              </w:rPr>
            </w:pPr>
            <w:r>
              <w:rPr>
                <w:rFonts w:hint="eastAsia"/>
                <w:color w:val="auto"/>
                <w:kern w:val="21"/>
                <w:sz w:val="21"/>
                <w:szCs w:val="21"/>
              </w:rPr>
              <w:t>1次/</w:t>
            </w:r>
            <w:r>
              <w:rPr>
                <w:rFonts w:hint="eastAsia"/>
                <w:color w:val="auto"/>
                <w:kern w:val="21"/>
                <w:sz w:val="21"/>
                <w:szCs w:val="21"/>
                <w:lang w:eastAsia="zh-CN"/>
              </w:rPr>
              <w:t>季度</w:t>
            </w:r>
          </w:p>
        </w:tc>
        <w:tc>
          <w:tcPr>
            <w:tcW w:w="1858"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2573" w:type="dxa"/>
            <w:gridSpan w:val="2"/>
            <w:vMerge w:val="continue"/>
            <w:vAlign w:val="center"/>
          </w:tcPr>
          <w:p>
            <w:pPr>
              <w:widowControl/>
              <w:adjustRightInd w:val="0"/>
              <w:snapToGrid w:val="0"/>
              <w:spacing w:line="240" w:lineRule="auto"/>
              <w:ind w:firstLine="0" w:firstLineChars="0"/>
              <w:jc w:val="center"/>
              <w:rPr>
                <w:color w:val="auto"/>
                <w:kern w:val="21"/>
                <w:sz w:val="21"/>
                <w:szCs w:val="21"/>
                <w:lang w:bidi="ar"/>
              </w:rPr>
            </w:pPr>
          </w:p>
        </w:tc>
        <w:tc>
          <w:tcPr>
            <w:tcW w:w="2437"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rFonts w:hint="eastAsia"/>
                <w:color w:val="auto"/>
                <w:kern w:val="21"/>
                <w:sz w:val="21"/>
                <w:szCs w:val="21"/>
              </w:rPr>
              <w:t>总镉、总铬、总汞、总铅、总砷、六价铬</w:t>
            </w:r>
          </w:p>
        </w:tc>
        <w:tc>
          <w:tcPr>
            <w:tcW w:w="1330" w:type="dxa"/>
            <w:vAlign w:val="center"/>
          </w:tcPr>
          <w:p>
            <w:pPr>
              <w:pStyle w:val="23"/>
              <w:adjustRightInd w:val="0"/>
              <w:snapToGrid w:val="0"/>
              <w:spacing w:after="0" w:line="240" w:lineRule="auto"/>
              <w:ind w:left="0" w:leftChars="0" w:firstLine="0" w:firstLineChars="0"/>
              <w:jc w:val="center"/>
              <w:rPr>
                <w:rFonts w:hint="eastAsia" w:eastAsia="宋体"/>
                <w:color w:val="auto"/>
                <w:kern w:val="21"/>
                <w:sz w:val="21"/>
                <w:szCs w:val="21"/>
                <w:lang w:eastAsia="zh-CN"/>
              </w:rPr>
            </w:pPr>
            <w:r>
              <w:rPr>
                <w:color w:val="auto"/>
                <w:kern w:val="21"/>
                <w:sz w:val="21"/>
                <w:szCs w:val="21"/>
              </w:rPr>
              <w:t>1次/</w:t>
            </w:r>
            <w:r>
              <w:rPr>
                <w:rFonts w:hint="eastAsia"/>
                <w:color w:val="auto"/>
                <w:kern w:val="21"/>
                <w:sz w:val="21"/>
                <w:szCs w:val="21"/>
                <w:lang w:eastAsia="zh-CN"/>
              </w:rPr>
              <w:t>半年</w:t>
            </w:r>
          </w:p>
        </w:tc>
        <w:tc>
          <w:tcPr>
            <w:tcW w:w="1858"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2573" w:type="dxa"/>
            <w:gridSpan w:val="2"/>
            <w:vMerge w:val="continue"/>
            <w:vAlign w:val="center"/>
          </w:tcPr>
          <w:p>
            <w:pPr>
              <w:widowControl/>
              <w:adjustRightInd w:val="0"/>
              <w:snapToGrid w:val="0"/>
              <w:spacing w:line="240" w:lineRule="auto"/>
              <w:ind w:firstLine="0" w:firstLineChars="0"/>
              <w:jc w:val="center"/>
              <w:rPr>
                <w:color w:val="auto"/>
                <w:kern w:val="21"/>
                <w:sz w:val="21"/>
                <w:szCs w:val="21"/>
                <w:lang w:bidi="ar"/>
              </w:rPr>
            </w:pPr>
          </w:p>
        </w:tc>
        <w:tc>
          <w:tcPr>
            <w:tcW w:w="2437"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rFonts w:hint="eastAsia"/>
                <w:color w:val="auto"/>
                <w:kern w:val="21"/>
                <w:sz w:val="21"/>
                <w:szCs w:val="21"/>
              </w:rPr>
              <w:t>接纳工业废水执行的排放标准中含有的其他污染物</w:t>
            </w:r>
          </w:p>
        </w:tc>
        <w:tc>
          <w:tcPr>
            <w:tcW w:w="1330" w:type="dxa"/>
            <w:vAlign w:val="center"/>
          </w:tcPr>
          <w:p>
            <w:pPr>
              <w:pStyle w:val="23"/>
              <w:adjustRightInd w:val="0"/>
              <w:snapToGrid w:val="0"/>
              <w:spacing w:after="0" w:line="240" w:lineRule="auto"/>
              <w:ind w:left="0" w:leftChars="0" w:firstLine="0" w:firstLineChars="0"/>
              <w:jc w:val="center"/>
              <w:rPr>
                <w:rFonts w:hint="eastAsia" w:eastAsia="宋体"/>
                <w:color w:val="auto"/>
                <w:kern w:val="21"/>
                <w:sz w:val="21"/>
                <w:szCs w:val="21"/>
                <w:lang w:eastAsia="zh-CN"/>
              </w:rPr>
            </w:pPr>
            <w:r>
              <w:rPr>
                <w:color w:val="auto"/>
                <w:kern w:val="21"/>
                <w:sz w:val="21"/>
                <w:szCs w:val="21"/>
              </w:rPr>
              <w:t>1次/</w:t>
            </w:r>
            <w:r>
              <w:rPr>
                <w:rFonts w:hint="eastAsia"/>
                <w:color w:val="auto"/>
                <w:kern w:val="21"/>
                <w:sz w:val="21"/>
                <w:szCs w:val="21"/>
                <w:lang w:eastAsia="zh-CN"/>
              </w:rPr>
              <w:t>两年</w:t>
            </w:r>
          </w:p>
        </w:tc>
        <w:tc>
          <w:tcPr>
            <w:tcW w:w="1858"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rFonts w:hint="eastAsia"/>
                <w:color w:val="auto"/>
                <w:kern w:val="21"/>
                <w:sz w:val="21"/>
                <w:szCs w:val="21"/>
              </w:rPr>
              <w:t>雨水</w:t>
            </w:r>
          </w:p>
        </w:tc>
        <w:tc>
          <w:tcPr>
            <w:tcW w:w="2573" w:type="dxa"/>
            <w:gridSpan w:val="2"/>
            <w:vAlign w:val="center"/>
          </w:tcPr>
          <w:p>
            <w:pPr>
              <w:widowControl/>
              <w:adjustRightInd w:val="0"/>
              <w:snapToGrid w:val="0"/>
              <w:spacing w:line="240" w:lineRule="auto"/>
              <w:ind w:firstLine="0" w:firstLineChars="0"/>
              <w:jc w:val="center"/>
              <w:rPr>
                <w:color w:val="auto"/>
                <w:kern w:val="21"/>
                <w:sz w:val="21"/>
                <w:szCs w:val="21"/>
                <w:lang w:bidi="ar"/>
              </w:rPr>
            </w:pPr>
            <w:r>
              <w:rPr>
                <w:rFonts w:hint="eastAsia"/>
                <w:color w:val="auto"/>
                <w:kern w:val="21"/>
                <w:sz w:val="21"/>
                <w:szCs w:val="21"/>
                <w:lang w:bidi="ar"/>
              </w:rPr>
              <w:t>雨水排放口</w:t>
            </w:r>
          </w:p>
        </w:tc>
        <w:tc>
          <w:tcPr>
            <w:tcW w:w="2437"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rFonts w:hint="eastAsia"/>
                <w:color w:val="auto"/>
                <w:kern w:val="21"/>
                <w:sz w:val="21"/>
                <w:szCs w:val="21"/>
              </w:rPr>
              <w:t>pH 值、化学需氧量、氨氮、悬浮物</w:t>
            </w:r>
          </w:p>
        </w:tc>
        <w:tc>
          <w:tcPr>
            <w:tcW w:w="1330"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rFonts w:hint="eastAsia"/>
                <w:color w:val="auto"/>
                <w:kern w:val="21"/>
                <w:sz w:val="21"/>
                <w:szCs w:val="21"/>
              </w:rPr>
              <w:t>1次/月</w:t>
            </w:r>
          </w:p>
        </w:tc>
        <w:tc>
          <w:tcPr>
            <w:tcW w:w="1858" w:type="dxa"/>
            <w:vMerge w:val="continue"/>
            <w:vAlign w:val="center"/>
          </w:tcPr>
          <w:p>
            <w:pPr>
              <w:adjustRightInd w:val="0"/>
              <w:snapToGrid w:val="0"/>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Merge w:val="restart"/>
            <w:vAlign w:val="center"/>
          </w:tcPr>
          <w:p>
            <w:pPr>
              <w:pStyle w:val="23"/>
              <w:adjustRightInd w:val="0"/>
              <w:snapToGrid w:val="0"/>
              <w:spacing w:after="0" w:line="240" w:lineRule="auto"/>
              <w:ind w:left="0" w:leftChars="0" w:firstLine="0" w:firstLineChars="0"/>
              <w:jc w:val="center"/>
              <w:rPr>
                <w:color w:val="auto"/>
                <w:kern w:val="21"/>
                <w:sz w:val="21"/>
                <w:szCs w:val="21"/>
              </w:rPr>
            </w:pPr>
            <w:r>
              <w:rPr>
                <w:rFonts w:hint="eastAsia"/>
                <w:color w:val="auto"/>
                <w:kern w:val="21"/>
                <w:sz w:val="21"/>
                <w:szCs w:val="21"/>
              </w:rPr>
              <w:t>废气</w:t>
            </w:r>
          </w:p>
        </w:tc>
        <w:tc>
          <w:tcPr>
            <w:tcW w:w="648" w:type="dxa"/>
            <w:vAlign w:val="center"/>
          </w:tcPr>
          <w:p>
            <w:pPr>
              <w:widowControl/>
              <w:adjustRightInd w:val="0"/>
              <w:snapToGrid w:val="0"/>
              <w:spacing w:line="240" w:lineRule="auto"/>
              <w:ind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有组织</w:t>
            </w:r>
          </w:p>
        </w:tc>
        <w:tc>
          <w:tcPr>
            <w:tcW w:w="1925" w:type="dxa"/>
            <w:vAlign w:val="center"/>
          </w:tcPr>
          <w:p>
            <w:pPr>
              <w:widowControl/>
              <w:adjustRightInd w:val="0"/>
              <w:snapToGrid w:val="0"/>
              <w:spacing w:line="240" w:lineRule="auto"/>
              <w:ind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DA001排气筒</w:t>
            </w:r>
          </w:p>
        </w:tc>
        <w:tc>
          <w:tcPr>
            <w:tcW w:w="2437"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氨、硫化氢、臭气浓度</w:t>
            </w:r>
          </w:p>
        </w:tc>
        <w:tc>
          <w:tcPr>
            <w:tcW w:w="1330" w:type="dxa"/>
            <w:vAlign w:val="center"/>
          </w:tcPr>
          <w:p>
            <w:pPr>
              <w:pStyle w:val="17"/>
              <w:adjustRightInd w:val="0"/>
              <w:snapToGrid w:val="0"/>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1次/半年</w:t>
            </w:r>
          </w:p>
        </w:tc>
        <w:tc>
          <w:tcPr>
            <w:tcW w:w="1858"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648" w:type="dxa"/>
            <w:vAlign w:val="center"/>
          </w:tcPr>
          <w:p>
            <w:pPr>
              <w:widowControl/>
              <w:adjustRightInd w:val="0"/>
              <w:snapToGrid w:val="0"/>
              <w:spacing w:line="240" w:lineRule="auto"/>
              <w:ind w:firstLine="0" w:firstLineChars="0"/>
              <w:jc w:val="center"/>
              <w:rPr>
                <w:color w:val="auto"/>
                <w:kern w:val="21"/>
                <w:sz w:val="21"/>
                <w:szCs w:val="21"/>
                <w:lang w:bidi="ar"/>
              </w:rPr>
            </w:pPr>
            <w:r>
              <w:rPr>
                <w:rFonts w:hint="eastAsia"/>
                <w:color w:val="auto"/>
                <w:kern w:val="21"/>
                <w:sz w:val="21"/>
                <w:szCs w:val="21"/>
                <w:lang w:bidi="ar"/>
              </w:rPr>
              <w:t>无组织</w:t>
            </w:r>
          </w:p>
        </w:tc>
        <w:tc>
          <w:tcPr>
            <w:tcW w:w="1925" w:type="dxa"/>
            <w:vAlign w:val="center"/>
          </w:tcPr>
          <w:p>
            <w:pPr>
              <w:widowControl/>
              <w:adjustRightInd w:val="0"/>
              <w:snapToGrid w:val="0"/>
              <w:spacing w:line="240" w:lineRule="auto"/>
              <w:ind w:firstLine="0" w:firstLineChars="0"/>
              <w:jc w:val="center"/>
              <w:rPr>
                <w:color w:val="auto"/>
                <w:kern w:val="21"/>
                <w:sz w:val="21"/>
                <w:szCs w:val="21"/>
                <w:lang w:bidi="ar"/>
              </w:rPr>
            </w:pPr>
            <w:r>
              <w:rPr>
                <w:rFonts w:hint="eastAsia"/>
                <w:color w:val="auto"/>
                <w:kern w:val="21"/>
                <w:sz w:val="21"/>
                <w:szCs w:val="21"/>
                <w:lang w:val="en-US" w:eastAsia="zh-CN"/>
              </w:rPr>
              <w:t>厂界或防护带边缘的浓度最高点（通常位于污泥脱水机房附近）</w:t>
            </w:r>
          </w:p>
        </w:tc>
        <w:tc>
          <w:tcPr>
            <w:tcW w:w="2437"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氨、硫化氢、臭气浓度</w:t>
            </w:r>
          </w:p>
        </w:tc>
        <w:tc>
          <w:tcPr>
            <w:tcW w:w="1330" w:type="dxa"/>
            <w:vAlign w:val="center"/>
          </w:tcPr>
          <w:p>
            <w:pPr>
              <w:pStyle w:val="17"/>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1次/</w:t>
            </w:r>
            <w:r>
              <w:rPr>
                <w:rFonts w:hint="eastAsia"/>
                <w:color w:val="auto"/>
                <w:kern w:val="21"/>
                <w:sz w:val="21"/>
                <w:szCs w:val="21"/>
                <w:lang w:val="en-US" w:eastAsia="zh-CN"/>
              </w:rPr>
              <w:t>半年</w:t>
            </w:r>
          </w:p>
        </w:tc>
        <w:tc>
          <w:tcPr>
            <w:tcW w:w="1858"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噪声</w:t>
            </w:r>
          </w:p>
        </w:tc>
        <w:tc>
          <w:tcPr>
            <w:tcW w:w="2573" w:type="dxa"/>
            <w:gridSpan w:val="2"/>
            <w:vAlign w:val="center"/>
          </w:tcPr>
          <w:p>
            <w:pPr>
              <w:pStyle w:val="17"/>
              <w:adjustRightInd w:val="0"/>
              <w:snapToGrid w:val="0"/>
              <w:spacing w:after="0" w:line="240" w:lineRule="auto"/>
              <w:ind w:left="0" w:leftChars="0" w:firstLine="0" w:firstLineChars="0"/>
              <w:jc w:val="center"/>
              <w:rPr>
                <w:color w:val="auto"/>
                <w:kern w:val="21"/>
                <w:sz w:val="21"/>
                <w:szCs w:val="21"/>
                <w:lang w:bidi="ar"/>
              </w:rPr>
            </w:pPr>
            <w:r>
              <w:rPr>
                <w:color w:val="auto"/>
                <w:kern w:val="21"/>
                <w:sz w:val="21"/>
                <w:szCs w:val="21"/>
              </w:rPr>
              <w:t>厂区四周边界外1m</w:t>
            </w:r>
          </w:p>
        </w:tc>
        <w:tc>
          <w:tcPr>
            <w:tcW w:w="2437" w:type="dxa"/>
            <w:vAlign w:val="center"/>
          </w:tcPr>
          <w:p>
            <w:pPr>
              <w:pStyle w:val="17"/>
              <w:adjustRightInd w:val="0"/>
              <w:snapToGrid w:val="0"/>
              <w:spacing w:after="0" w:line="240" w:lineRule="auto"/>
              <w:ind w:left="0" w:leftChars="0" w:firstLine="0" w:firstLineChars="0"/>
              <w:jc w:val="center"/>
              <w:rPr>
                <w:color w:val="auto"/>
                <w:kern w:val="21"/>
                <w:sz w:val="21"/>
                <w:szCs w:val="21"/>
                <w:lang w:bidi="ar"/>
              </w:rPr>
            </w:pPr>
            <w:r>
              <w:rPr>
                <w:color w:val="auto"/>
                <w:kern w:val="21"/>
                <w:sz w:val="21"/>
                <w:szCs w:val="21"/>
              </w:rPr>
              <w:t>Le</w:t>
            </w:r>
            <w:r>
              <w:rPr>
                <w:rFonts w:hint="eastAsia"/>
                <w:color w:val="auto"/>
                <w:kern w:val="21"/>
                <w:sz w:val="21"/>
                <w:szCs w:val="21"/>
                <w:lang w:val="en-US" w:eastAsia="zh-CN"/>
              </w:rPr>
              <w:t>q</w:t>
            </w:r>
            <w:r>
              <w:rPr>
                <w:color w:val="auto"/>
                <w:kern w:val="21"/>
                <w:sz w:val="21"/>
                <w:szCs w:val="21"/>
              </w:rPr>
              <w:t>A</w:t>
            </w:r>
            <w:r>
              <w:rPr>
                <w:color w:val="auto"/>
                <w:kern w:val="21"/>
                <w:sz w:val="21"/>
                <w:szCs w:val="21"/>
                <w:lang w:val="en-GB"/>
              </w:rPr>
              <w:t>（</w:t>
            </w:r>
            <w:r>
              <w:rPr>
                <w:color w:val="auto"/>
                <w:kern w:val="21"/>
                <w:sz w:val="21"/>
                <w:szCs w:val="21"/>
              </w:rPr>
              <w:t>dB</w:t>
            </w:r>
            <w:r>
              <w:rPr>
                <w:color w:val="auto"/>
                <w:kern w:val="21"/>
                <w:sz w:val="21"/>
                <w:szCs w:val="21"/>
                <w:lang w:val="en-GB"/>
              </w:rPr>
              <w:t>）</w:t>
            </w:r>
          </w:p>
        </w:tc>
        <w:tc>
          <w:tcPr>
            <w:tcW w:w="1330" w:type="dxa"/>
            <w:vAlign w:val="center"/>
          </w:tcPr>
          <w:p>
            <w:pPr>
              <w:pStyle w:val="17"/>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1次/</w:t>
            </w:r>
            <w:r>
              <w:rPr>
                <w:rFonts w:hint="eastAsia"/>
                <w:color w:val="auto"/>
                <w:kern w:val="21"/>
                <w:sz w:val="21"/>
                <w:szCs w:val="21"/>
              </w:rPr>
              <w:t>季度</w:t>
            </w:r>
          </w:p>
        </w:tc>
        <w:tc>
          <w:tcPr>
            <w:tcW w:w="1858"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Align w:val="center"/>
          </w:tcPr>
          <w:p>
            <w:pPr>
              <w:pStyle w:val="23"/>
              <w:adjustRightInd w:val="0"/>
              <w:snapToGrid w:val="0"/>
              <w:spacing w:after="0" w:line="240" w:lineRule="auto"/>
              <w:ind w:left="0" w:leftChars="0" w:firstLine="0" w:firstLineChars="0"/>
              <w:jc w:val="center"/>
              <w:rPr>
                <w:color w:val="auto"/>
                <w:kern w:val="21"/>
                <w:sz w:val="21"/>
                <w:szCs w:val="21"/>
              </w:rPr>
            </w:pPr>
            <w:r>
              <w:rPr>
                <w:rFonts w:hint="eastAsia"/>
                <w:color w:val="auto"/>
                <w:kern w:val="21"/>
                <w:sz w:val="21"/>
                <w:szCs w:val="21"/>
              </w:rPr>
              <w:t>固废</w:t>
            </w:r>
          </w:p>
        </w:tc>
        <w:tc>
          <w:tcPr>
            <w:tcW w:w="2573" w:type="dxa"/>
            <w:gridSpan w:val="2"/>
            <w:vAlign w:val="center"/>
          </w:tcPr>
          <w:p>
            <w:pPr>
              <w:widowControl/>
              <w:adjustRightInd w:val="0"/>
              <w:snapToGrid w:val="0"/>
              <w:spacing w:line="240" w:lineRule="auto"/>
              <w:ind w:firstLine="0" w:firstLineChars="0"/>
              <w:jc w:val="center"/>
              <w:rPr>
                <w:color w:val="auto"/>
                <w:kern w:val="21"/>
                <w:sz w:val="21"/>
                <w:szCs w:val="21"/>
                <w:lang w:bidi="ar"/>
              </w:rPr>
            </w:pPr>
            <w:r>
              <w:rPr>
                <w:rFonts w:hint="eastAsia"/>
                <w:color w:val="auto"/>
                <w:kern w:val="21"/>
                <w:sz w:val="21"/>
                <w:szCs w:val="21"/>
                <w:lang w:bidi="ar"/>
              </w:rPr>
              <w:t>污泥</w:t>
            </w:r>
          </w:p>
        </w:tc>
        <w:tc>
          <w:tcPr>
            <w:tcW w:w="2437"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浸出毒性和腐蚀性鉴别</w:t>
            </w:r>
          </w:p>
        </w:tc>
        <w:tc>
          <w:tcPr>
            <w:tcW w:w="1330" w:type="dxa"/>
            <w:vAlign w:val="center"/>
          </w:tcPr>
          <w:p>
            <w:pPr>
              <w:widowControl/>
              <w:adjustRightInd w:val="0"/>
              <w:snapToGrid w:val="0"/>
              <w:spacing w:line="240" w:lineRule="auto"/>
              <w:ind w:firstLine="0" w:firstLineChars="0"/>
              <w:jc w:val="center"/>
              <w:rPr>
                <w:color w:val="auto"/>
                <w:kern w:val="21"/>
                <w:sz w:val="21"/>
                <w:szCs w:val="21"/>
              </w:rPr>
            </w:pPr>
            <w:r>
              <w:rPr>
                <w:rFonts w:hint="eastAsia"/>
                <w:color w:val="auto"/>
                <w:kern w:val="21"/>
                <w:sz w:val="21"/>
                <w:szCs w:val="21"/>
              </w:rPr>
              <w:t>1次/季度</w:t>
            </w:r>
          </w:p>
        </w:tc>
        <w:tc>
          <w:tcPr>
            <w:tcW w:w="1858"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 w:type="dxa"/>
            <w:vMerge w:val="restart"/>
            <w:vAlign w:val="center"/>
          </w:tcPr>
          <w:p>
            <w:pPr>
              <w:pStyle w:val="23"/>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周边环境质量影响监测</w:t>
            </w:r>
          </w:p>
        </w:tc>
        <w:tc>
          <w:tcPr>
            <w:tcW w:w="750" w:type="dxa"/>
            <w:vAlign w:val="center"/>
          </w:tcPr>
          <w:p>
            <w:pPr>
              <w:widowControl/>
              <w:adjustRightInd w:val="0"/>
              <w:snapToGrid w:val="0"/>
              <w:spacing w:line="240" w:lineRule="auto"/>
              <w:ind w:firstLine="0" w:firstLineChars="0"/>
              <w:jc w:val="center"/>
              <w:rPr>
                <w:color w:val="auto"/>
                <w:kern w:val="21"/>
                <w:sz w:val="21"/>
                <w:szCs w:val="21"/>
              </w:rPr>
            </w:pPr>
            <w:r>
              <w:rPr>
                <w:color w:val="auto"/>
                <w:kern w:val="21"/>
                <w:sz w:val="21"/>
                <w:szCs w:val="21"/>
                <w:lang w:bidi="ar"/>
              </w:rPr>
              <w:t>地下水</w:t>
            </w:r>
          </w:p>
        </w:tc>
        <w:tc>
          <w:tcPr>
            <w:tcW w:w="2573" w:type="dxa"/>
            <w:gridSpan w:val="2"/>
            <w:vAlign w:val="center"/>
          </w:tcPr>
          <w:p>
            <w:pPr>
              <w:widowControl/>
              <w:adjustRightInd w:val="0"/>
              <w:snapToGrid w:val="0"/>
              <w:spacing w:line="240" w:lineRule="auto"/>
              <w:ind w:firstLine="0" w:firstLineChars="0"/>
              <w:rPr>
                <w:color w:val="auto"/>
                <w:kern w:val="21"/>
                <w:sz w:val="21"/>
                <w:szCs w:val="21"/>
              </w:rPr>
            </w:pPr>
            <w:r>
              <w:rPr>
                <w:rFonts w:hint="eastAsia"/>
                <w:color w:val="auto"/>
                <w:kern w:val="21"/>
                <w:sz w:val="21"/>
                <w:szCs w:val="21"/>
              </w:rPr>
              <w:t>上游跟踪监测井设在综合楼南侧，厂区跟踪监测井设在在线检测房北侧，下游跟踪监测井设在二期北厂界</w:t>
            </w:r>
          </w:p>
        </w:tc>
        <w:tc>
          <w:tcPr>
            <w:tcW w:w="2437" w:type="dxa"/>
            <w:vAlign w:val="center"/>
          </w:tcPr>
          <w:p>
            <w:pPr>
              <w:pStyle w:val="17"/>
              <w:adjustRightInd w:val="0"/>
              <w:snapToGrid w:val="0"/>
              <w:spacing w:after="0" w:line="240" w:lineRule="auto"/>
              <w:ind w:left="0" w:leftChars="0" w:firstLine="0" w:firstLineChars="0"/>
              <w:rPr>
                <w:color w:val="auto"/>
                <w:kern w:val="21"/>
                <w:sz w:val="21"/>
                <w:szCs w:val="21"/>
              </w:rPr>
            </w:pPr>
            <w:r>
              <w:rPr>
                <w:color w:val="auto"/>
                <w:kern w:val="21"/>
                <w:sz w:val="21"/>
                <w:szCs w:val="21"/>
              </w:rPr>
              <w:t>pH、耗氧量、总硬度、溶解性固体总量、氯化物、硫酸盐、硝酸盐、亚硝酸盐、硫化物、氰化物、氟化物、氨氮、砷、镉、铅、铜、锌、铁、锰、汞、六价铬、总大肠菌群、细菌总数</w:t>
            </w:r>
            <w:r>
              <w:rPr>
                <w:rFonts w:hint="eastAsia"/>
                <w:color w:val="auto"/>
                <w:kern w:val="21"/>
                <w:sz w:val="21"/>
                <w:szCs w:val="21"/>
              </w:rPr>
              <w:t>。</w:t>
            </w:r>
          </w:p>
        </w:tc>
        <w:tc>
          <w:tcPr>
            <w:tcW w:w="1330" w:type="dxa"/>
            <w:vAlign w:val="center"/>
          </w:tcPr>
          <w:p>
            <w:pPr>
              <w:pStyle w:val="17"/>
              <w:adjustRightInd w:val="0"/>
              <w:snapToGrid w:val="0"/>
              <w:spacing w:after="0" w:line="240" w:lineRule="auto"/>
              <w:ind w:left="0" w:leftChars="0" w:firstLine="0" w:firstLineChars="0"/>
              <w:jc w:val="center"/>
              <w:rPr>
                <w:color w:val="auto"/>
                <w:kern w:val="21"/>
                <w:sz w:val="21"/>
                <w:szCs w:val="21"/>
              </w:rPr>
            </w:pPr>
            <w:r>
              <w:rPr>
                <w:color w:val="auto"/>
                <w:kern w:val="21"/>
                <w:sz w:val="21"/>
                <w:szCs w:val="21"/>
              </w:rPr>
              <w:t>1次/</w:t>
            </w:r>
            <w:r>
              <w:rPr>
                <w:rFonts w:hint="eastAsia"/>
                <w:color w:val="auto"/>
                <w:kern w:val="21"/>
                <w:sz w:val="21"/>
                <w:szCs w:val="21"/>
              </w:rPr>
              <w:t>年</w:t>
            </w:r>
          </w:p>
        </w:tc>
        <w:tc>
          <w:tcPr>
            <w:tcW w:w="1858"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c>
          <w:tcPr>
            <w:tcW w:w="750" w:type="dxa"/>
            <w:vAlign w:val="center"/>
          </w:tcPr>
          <w:p>
            <w:pPr>
              <w:widowControl/>
              <w:adjustRightInd w:val="0"/>
              <w:snapToGrid w:val="0"/>
              <w:spacing w:line="240" w:lineRule="auto"/>
              <w:ind w:firstLine="0" w:firstLineChars="0"/>
              <w:jc w:val="center"/>
              <w:rPr>
                <w:color w:val="auto"/>
                <w:kern w:val="21"/>
                <w:sz w:val="21"/>
                <w:szCs w:val="21"/>
                <w:lang w:bidi="ar"/>
              </w:rPr>
            </w:pPr>
            <w:r>
              <w:rPr>
                <w:color w:val="auto"/>
                <w:kern w:val="21"/>
                <w:sz w:val="21"/>
                <w:szCs w:val="21"/>
                <w:lang w:bidi="ar"/>
              </w:rPr>
              <w:t>地表水</w:t>
            </w:r>
          </w:p>
        </w:tc>
        <w:tc>
          <w:tcPr>
            <w:tcW w:w="2573" w:type="dxa"/>
            <w:gridSpan w:val="2"/>
            <w:vAlign w:val="center"/>
          </w:tcPr>
          <w:p>
            <w:pPr>
              <w:widowControl/>
              <w:adjustRightInd w:val="0"/>
              <w:snapToGrid w:val="0"/>
              <w:spacing w:line="240" w:lineRule="auto"/>
              <w:ind w:firstLine="0" w:firstLineChars="0"/>
              <w:rPr>
                <w:color w:val="auto"/>
                <w:kern w:val="21"/>
                <w:sz w:val="21"/>
                <w:szCs w:val="21"/>
              </w:rPr>
            </w:pPr>
            <w:r>
              <w:rPr>
                <w:rFonts w:hint="eastAsia"/>
                <w:color w:val="auto"/>
                <w:kern w:val="21"/>
                <w:sz w:val="21"/>
                <w:szCs w:val="21"/>
              </w:rPr>
              <w:t>排污口入青龙河上游500m、阳光桥断面、</w:t>
            </w:r>
            <w:r>
              <w:rPr>
                <w:color w:val="auto"/>
                <w:kern w:val="21"/>
                <w:sz w:val="21"/>
                <w:szCs w:val="21"/>
              </w:rPr>
              <w:t>青龙河</w:t>
            </w:r>
            <w:r>
              <w:rPr>
                <w:rFonts w:hint="eastAsia"/>
                <w:color w:val="auto"/>
                <w:kern w:val="21"/>
                <w:sz w:val="21"/>
                <w:szCs w:val="21"/>
              </w:rPr>
              <w:t>入龙川江断面</w:t>
            </w:r>
          </w:p>
        </w:tc>
        <w:tc>
          <w:tcPr>
            <w:tcW w:w="2437" w:type="dxa"/>
            <w:vAlign w:val="center"/>
          </w:tcPr>
          <w:p>
            <w:pPr>
              <w:pStyle w:val="17"/>
              <w:adjustRightInd w:val="0"/>
              <w:snapToGrid w:val="0"/>
              <w:spacing w:after="0" w:line="240" w:lineRule="auto"/>
              <w:ind w:left="0" w:leftChars="0" w:firstLine="0" w:firstLineChars="0"/>
              <w:rPr>
                <w:color w:val="auto"/>
                <w:kern w:val="21"/>
                <w:sz w:val="21"/>
                <w:szCs w:val="21"/>
              </w:rPr>
            </w:pPr>
            <w:r>
              <w:rPr>
                <w:color w:val="auto"/>
                <w:kern w:val="21"/>
                <w:sz w:val="21"/>
                <w:szCs w:val="21"/>
              </w:rPr>
              <w:t>常规指标：pH 值、悬浮物、化学需氧量、五日生化需氧量、氨氮、总磷、总氮、石油类等</w:t>
            </w:r>
            <w:r>
              <w:rPr>
                <w:rFonts w:hint="eastAsia"/>
                <w:color w:val="auto"/>
                <w:kern w:val="21"/>
                <w:sz w:val="21"/>
                <w:szCs w:val="21"/>
              </w:rPr>
              <w:t>；</w:t>
            </w:r>
          </w:p>
          <w:p>
            <w:pPr>
              <w:pStyle w:val="17"/>
              <w:adjustRightInd w:val="0"/>
              <w:snapToGrid w:val="0"/>
              <w:spacing w:after="0" w:line="240" w:lineRule="auto"/>
              <w:ind w:left="0" w:leftChars="0" w:firstLine="0" w:firstLineChars="0"/>
              <w:rPr>
                <w:color w:val="auto"/>
                <w:kern w:val="21"/>
                <w:sz w:val="21"/>
                <w:szCs w:val="21"/>
              </w:rPr>
            </w:pPr>
            <w:r>
              <w:rPr>
                <w:color w:val="auto"/>
                <w:kern w:val="21"/>
                <w:sz w:val="21"/>
                <w:szCs w:val="21"/>
              </w:rPr>
              <w:t>特征指标：重金属类</w:t>
            </w:r>
            <w:r>
              <w:rPr>
                <w:rFonts w:hint="eastAsia"/>
                <w:color w:val="auto"/>
                <w:kern w:val="21"/>
                <w:sz w:val="21"/>
                <w:szCs w:val="21"/>
              </w:rPr>
              <w:t>。</w:t>
            </w:r>
          </w:p>
        </w:tc>
        <w:tc>
          <w:tcPr>
            <w:tcW w:w="1330" w:type="dxa"/>
            <w:vAlign w:val="center"/>
          </w:tcPr>
          <w:p>
            <w:pPr>
              <w:pStyle w:val="17"/>
              <w:adjustRightInd w:val="0"/>
              <w:snapToGrid w:val="0"/>
              <w:spacing w:after="0" w:line="240" w:lineRule="auto"/>
              <w:ind w:left="0" w:leftChars="0"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rPr>
              <w:t>每年丰、平、枯水期至少各监测一次</w:t>
            </w:r>
          </w:p>
        </w:tc>
        <w:tc>
          <w:tcPr>
            <w:tcW w:w="1858" w:type="dxa"/>
            <w:vMerge w:val="continue"/>
            <w:vAlign w:val="center"/>
          </w:tcPr>
          <w:p>
            <w:pPr>
              <w:pStyle w:val="23"/>
              <w:adjustRightInd w:val="0"/>
              <w:snapToGrid w:val="0"/>
              <w:spacing w:after="0" w:line="240" w:lineRule="auto"/>
              <w:ind w:left="0" w:leftChars="0" w:firstLine="0" w:firstLineChars="0"/>
              <w:jc w:val="center"/>
              <w:rPr>
                <w:color w:val="auto"/>
                <w:kern w:val="21"/>
                <w:sz w:val="21"/>
                <w:szCs w:val="21"/>
              </w:rPr>
            </w:pPr>
          </w:p>
        </w:tc>
      </w:tr>
    </w:tbl>
    <w:p>
      <w:pPr>
        <w:pStyle w:val="5"/>
        <w:spacing w:after="0"/>
        <w:rPr>
          <w:color w:val="auto"/>
          <w:kern w:val="21"/>
          <w:sz w:val="28"/>
        </w:rPr>
      </w:pPr>
      <w:bookmarkStart w:id="438" w:name="_Toc27295"/>
      <w:r>
        <w:rPr>
          <w:color w:val="auto"/>
          <w:kern w:val="21"/>
          <w:sz w:val="28"/>
        </w:rPr>
        <w:t>9.5污染源排放清单</w:t>
      </w:r>
      <w:bookmarkEnd w:id="438"/>
    </w:p>
    <w:p>
      <w:pPr>
        <w:widowControl/>
        <w:ind w:firstLine="480"/>
        <w:jc w:val="left"/>
        <w:rPr>
          <w:color w:val="auto"/>
          <w:kern w:val="21"/>
        </w:rPr>
      </w:pPr>
      <w:r>
        <w:rPr>
          <w:color w:val="auto"/>
          <w:kern w:val="21"/>
          <w:lang w:bidi="ar"/>
        </w:rPr>
        <w:t>本项目主要污染物排放清单见</w:t>
      </w:r>
      <w:r>
        <w:rPr>
          <w:rFonts w:hint="eastAsia"/>
          <w:color w:val="auto"/>
          <w:kern w:val="21"/>
          <w:lang w:eastAsia="zh-CN" w:bidi="ar"/>
        </w:rPr>
        <w:t>下表</w:t>
      </w:r>
      <w:r>
        <w:rPr>
          <w:color w:val="auto"/>
          <w:kern w:val="21"/>
          <w:lang w:bidi="ar"/>
        </w:rPr>
        <w:t>。</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60" w:lineRule="auto"/>
        <w:ind w:left="0" w:leftChars="0" w:firstLine="0" w:firstLineChars="0"/>
        <w:jc w:val="center"/>
        <w:textAlignment w:val="auto"/>
        <w:rPr>
          <w:b/>
          <w:bCs/>
          <w:color w:val="auto"/>
          <w:kern w:val="21"/>
          <w:lang w:bidi="ar"/>
        </w:rPr>
      </w:pPr>
      <w:r>
        <w:rPr>
          <w:b/>
          <w:bCs/>
          <w:color w:val="auto"/>
          <w:kern w:val="21"/>
          <w:lang w:bidi="ar"/>
        </w:rPr>
        <w:t>项目污染物排放清单</w:t>
      </w:r>
    </w:p>
    <w:tbl>
      <w:tblPr>
        <w:tblStyle w:val="51"/>
        <w:tblW w:w="97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040"/>
        <w:gridCol w:w="1126"/>
        <w:gridCol w:w="2388"/>
        <w:gridCol w:w="695"/>
        <w:gridCol w:w="1255"/>
        <w:gridCol w:w="1626"/>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03" w:type="dxa"/>
            <w:vAlign w:val="center"/>
          </w:tcPr>
          <w:p>
            <w:pPr>
              <w:pStyle w:val="23"/>
              <w:spacing w:after="0" w:line="240" w:lineRule="auto"/>
              <w:ind w:left="0" w:leftChars="0" w:firstLine="0" w:firstLineChars="0"/>
              <w:jc w:val="center"/>
              <w:rPr>
                <w:b/>
                <w:bCs/>
                <w:color w:val="auto"/>
                <w:kern w:val="21"/>
                <w:sz w:val="21"/>
                <w:szCs w:val="21"/>
                <w:lang w:bidi="ar"/>
              </w:rPr>
            </w:pPr>
            <w:r>
              <w:rPr>
                <w:b/>
                <w:bCs/>
                <w:color w:val="auto"/>
                <w:kern w:val="21"/>
                <w:sz w:val="21"/>
                <w:szCs w:val="21"/>
                <w:lang w:bidi="ar"/>
              </w:rPr>
              <w:t>污染源</w:t>
            </w:r>
          </w:p>
        </w:tc>
        <w:tc>
          <w:tcPr>
            <w:tcW w:w="1040" w:type="dxa"/>
            <w:vAlign w:val="center"/>
          </w:tcPr>
          <w:p>
            <w:pPr>
              <w:widowControl/>
              <w:spacing w:line="240" w:lineRule="auto"/>
              <w:ind w:firstLine="0" w:firstLineChars="0"/>
              <w:jc w:val="center"/>
              <w:rPr>
                <w:b/>
                <w:bCs/>
                <w:color w:val="auto"/>
                <w:kern w:val="21"/>
                <w:sz w:val="21"/>
                <w:szCs w:val="21"/>
                <w:lang w:bidi="ar"/>
              </w:rPr>
            </w:pPr>
            <w:r>
              <w:rPr>
                <w:b/>
                <w:bCs/>
                <w:color w:val="auto"/>
                <w:kern w:val="21"/>
                <w:sz w:val="21"/>
                <w:szCs w:val="21"/>
                <w:lang w:bidi="ar"/>
              </w:rPr>
              <w:t>污染物名称</w:t>
            </w:r>
          </w:p>
        </w:tc>
        <w:tc>
          <w:tcPr>
            <w:tcW w:w="1126" w:type="dxa"/>
            <w:vAlign w:val="center"/>
          </w:tcPr>
          <w:p>
            <w:pPr>
              <w:widowControl/>
              <w:spacing w:line="240" w:lineRule="auto"/>
              <w:ind w:firstLine="0" w:firstLineChars="0"/>
              <w:jc w:val="center"/>
              <w:rPr>
                <w:b/>
                <w:bCs/>
                <w:color w:val="auto"/>
                <w:kern w:val="21"/>
                <w:sz w:val="21"/>
                <w:szCs w:val="21"/>
                <w:lang w:bidi="ar"/>
              </w:rPr>
            </w:pPr>
            <w:r>
              <w:rPr>
                <w:b/>
                <w:bCs/>
                <w:color w:val="auto"/>
                <w:kern w:val="21"/>
                <w:sz w:val="21"/>
                <w:szCs w:val="21"/>
                <w:lang w:bidi="ar"/>
              </w:rPr>
              <w:t>排放量t/a</w:t>
            </w:r>
          </w:p>
        </w:tc>
        <w:tc>
          <w:tcPr>
            <w:tcW w:w="2388" w:type="dxa"/>
            <w:vAlign w:val="center"/>
          </w:tcPr>
          <w:p>
            <w:pPr>
              <w:widowControl/>
              <w:spacing w:line="240" w:lineRule="auto"/>
              <w:ind w:firstLine="0" w:firstLineChars="0"/>
              <w:jc w:val="center"/>
              <w:rPr>
                <w:b/>
                <w:bCs/>
                <w:color w:val="auto"/>
                <w:kern w:val="21"/>
                <w:sz w:val="21"/>
                <w:szCs w:val="21"/>
                <w:lang w:bidi="ar"/>
              </w:rPr>
            </w:pPr>
            <w:r>
              <w:rPr>
                <w:b/>
                <w:bCs/>
                <w:color w:val="auto"/>
                <w:kern w:val="21"/>
                <w:sz w:val="21"/>
                <w:szCs w:val="21"/>
                <w:lang w:bidi="ar"/>
              </w:rPr>
              <w:t>处理处置方式</w:t>
            </w:r>
          </w:p>
        </w:tc>
        <w:tc>
          <w:tcPr>
            <w:tcW w:w="695" w:type="dxa"/>
            <w:vAlign w:val="center"/>
          </w:tcPr>
          <w:p>
            <w:pPr>
              <w:widowControl/>
              <w:spacing w:line="240" w:lineRule="auto"/>
              <w:ind w:firstLine="0" w:firstLineChars="0"/>
              <w:jc w:val="center"/>
              <w:rPr>
                <w:b/>
                <w:bCs/>
                <w:color w:val="auto"/>
                <w:kern w:val="21"/>
                <w:sz w:val="21"/>
                <w:szCs w:val="21"/>
                <w:lang w:bidi="ar"/>
              </w:rPr>
            </w:pPr>
            <w:r>
              <w:rPr>
                <w:b/>
                <w:bCs/>
                <w:color w:val="auto"/>
                <w:kern w:val="21"/>
                <w:sz w:val="21"/>
                <w:szCs w:val="21"/>
                <w:lang w:bidi="ar"/>
              </w:rPr>
              <w:t>排放方式</w:t>
            </w:r>
          </w:p>
        </w:tc>
        <w:tc>
          <w:tcPr>
            <w:tcW w:w="1255" w:type="dxa"/>
            <w:vAlign w:val="center"/>
          </w:tcPr>
          <w:p>
            <w:pPr>
              <w:widowControl/>
              <w:spacing w:line="240" w:lineRule="auto"/>
              <w:ind w:firstLine="0" w:firstLineChars="0"/>
              <w:jc w:val="center"/>
              <w:rPr>
                <w:b/>
                <w:bCs/>
                <w:color w:val="auto"/>
                <w:kern w:val="21"/>
                <w:sz w:val="21"/>
                <w:szCs w:val="21"/>
                <w:lang w:bidi="ar"/>
              </w:rPr>
            </w:pPr>
            <w:r>
              <w:rPr>
                <w:b/>
                <w:bCs/>
                <w:color w:val="auto"/>
                <w:kern w:val="21"/>
                <w:sz w:val="21"/>
                <w:szCs w:val="21"/>
                <w:lang w:bidi="ar"/>
              </w:rPr>
              <w:t>排放</w:t>
            </w:r>
            <w:r>
              <w:rPr>
                <w:rFonts w:hint="eastAsia"/>
                <w:b/>
                <w:bCs/>
                <w:color w:val="auto"/>
                <w:kern w:val="21"/>
                <w:sz w:val="21"/>
                <w:szCs w:val="21"/>
                <w:lang w:bidi="ar"/>
              </w:rPr>
              <w:t>要求</w:t>
            </w:r>
          </w:p>
        </w:tc>
        <w:tc>
          <w:tcPr>
            <w:tcW w:w="1626" w:type="dxa"/>
            <w:vAlign w:val="center"/>
          </w:tcPr>
          <w:p>
            <w:pPr>
              <w:widowControl/>
              <w:spacing w:line="240" w:lineRule="auto"/>
              <w:ind w:firstLine="0" w:firstLineChars="0"/>
              <w:jc w:val="center"/>
              <w:rPr>
                <w:b/>
                <w:bCs/>
                <w:color w:val="auto"/>
                <w:kern w:val="21"/>
                <w:sz w:val="21"/>
                <w:szCs w:val="21"/>
                <w:lang w:bidi="ar"/>
              </w:rPr>
            </w:pPr>
            <w:r>
              <w:rPr>
                <w:b/>
                <w:bCs/>
                <w:color w:val="auto"/>
                <w:kern w:val="21"/>
                <w:sz w:val="21"/>
                <w:szCs w:val="21"/>
                <w:lang w:bidi="ar"/>
              </w:rPr>
              <w:t>执行标准</w:t>
            </w:r>
          </w:p>
        </w:tc>
        <w:tc>
          <w:tcPr>
            <w:tcW w:w="780" w:type="dxa"/>
            <w:vAlign w:val="center"/>
          </w:tcPr>
          <w:p>
            <w:pPr>
              <w:widowControl/>
              <w:spacing w:line="240" w:lineRule="auto"/>
              <w:ind w:firstLine="0" w:firstLineChars="0"/>
              <w:jc w:val="center"/>
              <w:rPr>
                <w:b/>
                <w:bCs/>
                <w:color w:val="auto"/>
                <w:kern w:val="21"/>
                <w:sz w:val="21"/>
                <w:szCs w:val="21"/>
                <w:lang w:bidi="ar"/>
              </w:rPr>
            </w:pPr>
            <w:r>
              <w:rPr>
                <w:b/>
                <w:bCs/>
                <w:color w:val="auto"/>
                <w:kern w:val="21"/>
                <w:sz w:val="21"/>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03"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污水处理系统</w:t>
            </w: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水量</w:t>
            </w:r>
          </w:p>
        </w:tc>
        <w:tc>
          <w:tcPr>
            <w:tcW w:w="1126"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1750646.1</w:t>
            </w:r>
          </w:p>
        </w:tc>
        <w:tc>
          <w:tcPr>
            <w:tcW w:w="2388" w:type="dxa"/>
            <w:vMerge w:val="restart"/>
            <w:vAlign w:val="center"/>
          </w:tcPr>
          <w:p>
            <w:pPr>
              <w:pStyle w:val="23"/>
              <w:spacing w:after="0" w:line="240" w:lineRule="auto"/>
              <w:ind w:left="0" w:leftChars="0" w:firstLine="0" w:firstLineChars="0"/>
              <w:jc w:val="center"/>
              <w:rPr>
                <w:rFonts w:hint="eastAsia" w:eastAsia="宋体"/>
                <w:color w:val="auto"/>
                <w:kern w:val="21"/>
                <w:sz w:val="21"/>
                <w:szCs w:val="21"/>
                <w:lang w:eastAsia="zh-CN" w:bidi="ar"/>
              </w:rPr>
            </w:pPr>
            <w:r>
              <w:rPr>
                <w:bCs/>
                <w:color w:val="auto"/>
                <w:kern w:val="21"/>
                <w:sz w:val="21"/>
                <w:szCs w:val="21"/>
                <w:lang w:bidi="ar"/>
              </w:rPr>
              <w:t>“</w:t>
            </w:r>
            <w:r>
              <w:rPr>
                <w:rFonts w:hint="eastAsia"/>
                <w:bCs/>
                <w:color w:val="auto"/>
                <w:kern w:val="21"/>
                <w:sz w:val="21"/>
                <w:szCs w:val="21"/>
                <w:lang w:bidi="ar"/>
              </w:rPr>
              <w:t>A</w:t>
            </w:r>
            <w:r>
              <w:rPr>
                <w:rFonts w:hint="eastAsia"/>
                <w:bCs/>
                <w:color w:val="auto"/>
                <w:kern w:val="21"/>
                <w:sz w:val="21"/>
                <w:szCs w:val="21"/>
                <w:vertAlign w:val="superscript"/>
                <w:lang w:bidi="ar"/>
              </w:rPr>
              <w:t>2</w:t>
            </w:r>
            <w:r>
              <w:rPr>
                <w:rFonts w:hint="eastAsia"/>
                <w:bCs/>
                <w:color w:val="auto"/>
                <w:kern w:val="21"/>
                <w:sz w:val="21"/>
                <w:szCs w:val="21"/>
                <w:lang w:bidi="ar"/>
              </w:rPr>
              <w:t>/O</w:t>
            </w:r>
            <w:r>
              <w:rPr>
                <w:bCs/>
                <w:color w:val="auto"/>
                <w:kern w:val="21"/>
                <w:sz w:val="21"/>
                <w:szCs w:val="21"/>
                <w:lang w:bidi="ar"/>
              </w:rPr>
              <w:t>+MBR”</w:t>
            </w:r>
            <w:r>
              <w:rPr>
                <w:rFonts w:hint="eastAsia"/>
                <w:bCs/>
                <w:color w:val="auto"/>
                <w:kern w:val="21"/>
                <w:sz w:val="21"/>
                <w:szCs w:val="21"/>
                <w:lang w:eastAsia="zh-CN" w:bidi="ar"/>
              </w:rPr>
              <w:t>处理工艺</w:t>
            </w:r>
          </w:p>
        </w:tc>
        <w:tc>
          <w:tcPr>
            <w:tcW w:w="695"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连续</w:t>
            </w:r>
          </w:p>
        </w:tc>
        <w:tc>
          <w:tcPr>
            <w:tcW w:w="125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1626" w:type="dxa"/>
            <w:vMerge w:val="restart"/>
            <w:vAlign w:val="center"/>
          </w:tcPr>
          <w:p>
            <w:pPr>
              <w:pStyle w:val="23"/>
              <w:wordWrap w:val="0"/>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bCs/>
                <w:color w:val="auto"/>
                <w:kern w:val="21"/>
                <w:sz w:val="21"/>
                <w:szCs w:val="21"/>
                <w:lang w:eastAsia="zh-CN" w:bidi="ar"/>
              </w:rPr>
              <w:t>执行表2-23</w:t>
            </w:r>
            <w:r>
              <w:rPr>
                <w:rFonts w:hint="eastAsia"/>
                <w:bCs/>
                <w:color w:val="auto"/>
                <w:kern w:val="21"/>
                <w:sz w:val="21"/>
                <w:szCs w:val="21"/>
                <w:lang w:val="en-US" w:eastAsia="zh-CN" w:bidi="ar"/>
              </w:rPr>
              <w:t>的标准限值</w:t>
            </w: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BOD</w:t>
            </w:r>
            <w:r>
              <w:rPr>
                <w:color w:val="auto"/>
                <w:kern w:val="21"/>
                <w:sz w:val="21"/>
                <w:szCs w:val="21"/>
                <w:vertAlign w:val="subscript"/>
                <w:lang w:bidi="ar"/>
              </w:rPr>
              <w:t>5</w:t>
            </w:r>
          </w:p>
        </w:tc>
        <w:tc>
          <w:tcPr>
            <w:tcW w:w="1126" w:type="dxa"/>
            <w:vAlign w:val="center"/>
          </w:tcPr>
          <w:p>
            <w:pPr>
              <w:widowControl/>
              <w:spacing w:line="240" w:lineRule="auto"/>
              <w:ind w:firstLine="0" w:firstLineChars="0"/>
              <w:jc w:val="center"/>
              <w:textAlignment w:val="center"/>
              <w:rPr>
                <w:rFonts w:hint="eastAsia" w:eastAsia="宋体"/>
                <w:color w:val="auto"/>
                <w:kern w:val="21"/>
                <w:sz w:val="21"/>
                <w:szCs w:val="21"/>
                <w:lang w:val="en-US" w:eastAsia="zh-CN" w:bidi="ar"/>
              </w:rPr>
            </w:pPr>
            <w:r>
              <w:rPr>
                <w:rFonts w:hint="eastAsia"/>
                <w:color w:val="auto"/>
                <w:kern w:val="21"/>
                <w:sz w:val="21"/>
                <w:szCs w:val="21"/>
                <w:lang w:bidi="ar"/>
              </w:rPr>
              <w:t>17.5</w:t>
            </w:r>
            <w:r>
              <w:rPr>
                <w:rFonts w:hint="eastAsia"/>
                <w:color w:val="auto"/>
                <w:kern w:val="21"/>
                <w:sz w:val="21"/>
                <w:szCs w:val="21"/>
                <w:lang w:val="en-US" w:eastAsia="zh-CN" w:bidi="ar"/>
              </w:rPr>
              <w:t>1</w:t>
            </w:r>
          </w:p>
        </w:tc>
        <w:tc>
          <w:tcPr>
            <w:tcW w:w="2388"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695"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255"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bidi="ar"/>
              </w:rPr>
            </w:pPr>
            <w:r>
              <w:rPr>
                <w:color w:val="auto"/>
                <w:kern w:val="21"/>
                <w:sz w:val="21"/>
                <w:szCs w:val="21"/>
                <w:lang w:bidi="ar"/>
              </w:rPr>
              <w:t>≤10</w:t>
            </w:r>
            <w:r>
              <w:rPr>
                <w:rFonts w:hint="eastAsia"/>
                <w:color w:val="auto"/>
                <w:kern w:val="21"/>
                <w:sz w:val="21"/>
                <w:szCs w:val="21"/>
                <w:lang w:val="en-US" w:eastAsia="zh-CN" w:bidi="ar"/>
              </w:rPr>
              <w:t>mg/L</w:t>
            </w:r>
          </w:p>
        </w:tc>
        <w:tc>
          <w:tcPr>
            <w:tcW w:w="1626" w:type="dxa"/>
            <w:vMerge w:val="continue"/>
            <w:vAlign w:val="center"/>
          </w:tcPr>
          <w:p>
            <w:pPr>
              <w:pStyle w:val="23"/>
              <w:wordWrap w:val="0"/>
              <w:spacing w:after="0" w:line="240" w:lineRule="auto"/>
              <w:ind w:left="0" w:leftChars="0" w:firstLine="0" w:firstLineChars="0"/>
              <w:jc w:val="center"/>
              <w:rPr>
                <w:color w:val="auto"/>
                <w:kern w:val="21"/>
                <w:sz w:val="21"/>
                <w:szCs w:val="21"/>
                <w:lang w:bidi="ar"/>
              </w:rPr>
            </w:pP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COD</w:t>
            </w:r>
            <w:r>
              <w:rPr>
                <w:color w:val="auto"/>
                <w:kern w:val="21"/>
                <w:sz w:val="21"/>
                <w:szCs w:val="21"/>
                <w:vertAlign w:val="subscript"/>
                <w:lang w:bidi="ar"/>
              </w:rPr>
              <w:t>Cr</w:t>
            </w:r>
          </w:p>
        </w:tc>
        <w:tc>
          <w:tcPr>
            <w:tcW w:w="1126" w:type="dxa"/>
            <w:vAlign w:val="center"/>
          </w:tcPr>
          <w:p>
            <w:pPr>
              <w:widowControl/>
              <w:spacing w:line="240" w:lineRule="auto"/>
              <w:ind w:firstLine="0" w:firstLineChars="0"/>
              <w:jc w:val="center"/>
              <w:textAlignment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34.45</w:t>
            </w:r>
          </w:p>
        </w:tc>
        <w:tc>
          <w:tcPr>
            <w:tcW w:w="2388"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695"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255"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bidi="ar"/>
              </w:rPr>
            </w:pPr>
            <w:r>
              <w:rPr>
                <w:color w:val="auto"/>
                <w:kern w:val="21"/>
                <w:sz w:val="21"/>
                <w:szCs w:val="21"/>
                <w:lang w:bidi="ar"/>
              </w:rPr>
              <w:t>≤</w:t>
            </w:r>
            <w:r>
              <w:rPr>
                <w:rFonts w:hint="eastAsia"/>
                <w:color w:val="auto"/>
                <w:kern w:val="21"/>
                <w:sz w:val="21"/>
                <w:szCs w:val="21"/>
                <w:lang w:val="en-US" w:eastAsia="zh-CN" w:bidi="ar"/>
              </w:rPr>
              <w:t>19.68mg/L</w:t>
            </w:r>
          </w:p>
        </w:tc>
        <w:tc>
          <w:tcPr>
            <w:tcW w:w="1626" w:type="dxa"/>
            <w:vMerge w:val="continue"/>
            <w:vAlign w:val="center"/>
          </w:tcPr>
          <w:p>
            <w:pPr>
              <w:pStyle w:val="23"/>
              <w:wordWrap w:val="0"/>
              <w:spacing w:after="0" w:line="240" w:lineRule="auto"/>
              <w:ind w:left="0" w:leftChars="0" w:firstLine="0" w:firstLineChars="0"/>
              <w:jc w:val="center"/>
              <w:rPr>
                <w:color w:val="auto"/>
                <w:kern w:val="21"/>
                <w:sz w:val="21"/>
                <w:szCs w:val="21"/>
                <w:lang w:bidi="ar"/>
              </w:rPr>
            </w:pP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NH</w:t>
            </w:r>
            <w:r>
              <w:rPr>
                <w:color w:val="auto"/>
                <w:kern w:val="21"/>
                <w:sz w:val="21"/>
                <w:szCs w:val="21"/>
                <w:vertAlign w:val="subscript"/>
                <w:lang w:bidi="ar"/>
              </w:rPr>
              <w:t>3</w:t>
            </w:r>
            <w:r>
              <w:rPr>
                <w:color w:val="auto"/>
                <w:kern w:val="21"/>
                <w:sz w:val="21"/>
                <w:szCs w:val="21"/>
                <w:lang w:bidi="ar"/>
              </w:rPr>
              <w:t>-N</w:t>
            </w:r>
          </w:p>
        </w:tc>
        <w:tc>
          <w:tcPr>
            <w:tcW w:w="1126" w:type="dxa"/>
            <w:vAlign w:val="center"/>
          </w:tcPr>
          <w:p>
            <w:pPr>
              <w:widowControl/>
              <w:spacing w:line="240" w:lineRule="auto"/>
              <w:ind w:firstLine="0" w:firstLineChars="0"/>
              <w:jc w:val="center"/>
              <w:textAlignment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3.62</w:t>
            </w:r>
          </w:p>
        </w:tc>
        <w:tc>
          <w:tcPr>
            <w:tcW w:w="2388"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695"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255"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bidi="ar"/>
              </w:rPr>
            </w:pPr>
            <w:r>
              <w:rPr>
                <w:color w:val="auto"/>
                <w:kern w:val="21"/>
                <w:sz w:val="21"/>
                <w:szCs w:val="21"/>
                <w:lang w:bidi="ar"/>
              </w:rPr>
              <w:t>≤</w:t>
            </w:r>
            <w:r>
              <w:rPr>
                <w:rFonts w:hint="eastAsia"/>
                <w:color w:val="auto"/>
                <w:kern w:val="21"/>
                <w:sz w:val="21"/>
                <w:szCs w:val="21"/>
                <w:lang w:val="en-US" w:eastAsia="zh-CN" w:bidi="ar"/>
              </w:rPr>
              <w:t>2.07mg/L</w:t>
            </w:r>
          </w:p>
        </w:tc>
        <w:tc>
          <w:tcPr>
            <w:tcW w:w="1626" w:type="dxa"/>
            <w:vMerge w:val="continue"/>
            <w:vAlign w:val="center"/>
          </w:tcPr>
          <w:p>
            <w:pPr>
              <w:pStyle w:val="23"/>
              <w:wordWrap w:val="0"/>
              <w:spacing w:after="0" w:line="240" w:lineRule="auto"/>
              <w:ind w:left="0" w:leftChars="0" w:firstLine="0" w:firstLineChars="0"/>
              <w:jc w:val="center"/>
              <w:rPr>
                <w:color w:val="auto"/>
                <w:kern w:val="21"/>
                <w:sz w:val="21"/>
                <w:szCs w:val="21"/>
                <w:lang w:bidi="ar"/>
              </w:rPr>
            </w:pP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TP</w:t>
            </w:r>
          </w:p>
        </w:tc>
        <w:tc>
          <w:tcPr>
            <w:tcW w:w="1126" w:type="dxa"/>
            <w:vAlign w:val="center"/>
          </w:tcPr>
          <w:p>
            <w:pPr>
              <w:widowControl/>
              <w:spacing w:line="240" w:lineRule="auto"/>
              <w:ind w:firstLine="0" w:firstLineChars="0"/>
              <w:jc w:val="center"/>
              <w:textAlignment w:val="center"/>
              <w:rPr>
                <w:color w:val="auto"/>
                <w:kern w:val="21"/>
                <w:sz w:val="21"/>
                <w:szCs w:val="21"/>
                <w:lang w:bidi="ar"/>
              </w:rPr>
            </w:pPr>
            <w:r>
              <w:rPr>
                <w:rFonts w:hint="eastAsia"/>
                <w:color w:val="auto"/>
                <w:kern w:val="21"/>
                <w:sz w:val="21"/>
                <w:szCs w:val="21"/>
                <w:lang w:bidi="ar"/>
              </w:rPr>
              <w:t>0.52</w:t>
            </w:r>
          </w:p>
        </w:tc>
        <w:tc>
          <w:tcPr>
            <w:tcW w:w="2388"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695"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25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≤0.</w:t>
            </w:r>
            <w:r>
              <w:rPr>
                <w:rFonts w:hint="eastAsia"/>
                <w:color w:val="auto"/>
                <w:kern w:val="21"/>
                <w:sz w:val="21"/>
                <w:szCs w:val="21"/>
                <w:lang w:bidi="ar"/>
              </w:rPr>
              <w:t>3</w:t>
            </w:r>
            <w:r>
              <w:rPr>
                <w:rFonts w:hint="eastAsia"/>
                <w:color w:val="auto"/>
                <w:kern w:val="21"/>
                <w:sz w:val="21"/>
                <w:szCs w:val="21"/>
                <w:lang w:val="en-US" w:eastAsia="zh-CN" w:bidi="ar"/>
              </w:rPr>
              <w:t>mg/L</w:t>
            </w:r>
          </w:p>
        </w:tc>
        <w:tc>
          <w:tcPr>
            <w:tcW w:w="1626" w:type="dxa"/>
            <w:vMerge w:val="continue"/>
            <w:vAlign w:val="center"/>
          </w:tcPr>
          <w:p>
            <w:pPr>
              <w:pStyle w:val="23"/>
              <w:wordWrap w:val="0"/>
              <w:spacing w:after="0" w:line="240" w:lineRule="auto"/>
              <w:ind w:left="0" w:leftChars="0" w:firstLine="0" w:firstLineChars="0"/>
              <w:jc w:val="center"/>
              <w:rPr>
                <w:color w:val="auto"/>
                <w:kern w:val="21"/>
                <w:sz w:val="21"/>
                <w:szCs w:val="21"/>
                <w:lang w:bidi="ar"/>
              </w:rPr>
            </w:pP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SS</w:t>
            </w:r>
          </w:p>
        </w:tc>
        <w:tc>
          <w:tcPr>
            <w:tcW w:w="1126" w:type="dxa"/>
            <w:vAlign w:val="center"/>
          </w:tcPr>
          <w:p>
            <w:pPr>
              <w:widowControl/>
              <w:spacing w:line="240" w:lineRule="auto"/>
              <w:ind w:firstLine="0" w:firstLineChars="0"/>
              <w:jc w:val="center"/>
              <w:textAlignment w:val="center"/>
              <w:rPr>
                <w:rFonts w:hint="eastAsia" w:eastAsia="宋体"/>
                <w:color w:val="auto"/>
                <w:kern w:val="21"/>
                <w:sz w:val="21"/>
                <w:szCs w:val="21"/>
                <w:lang w:val="en-US" w:eastAsia="zh-CN" w:bidi="ar"/>
              </w:rPr>
            </w:pPr>
            <w:r>
              <w:rPr>
                <w:rFonts w:hint="eastAsia"/>
                <w:color w:val="auto"/>
                <w:kern w:val="21"/>
                <w:sz w:val="21"/>
                <w:szCs w:val="21"/>
                <w:lang w:bidi="ar"/>
              </w:rPr>
              <w:t>17.5</w:t>
            </w:r>
            <w:r>
              <w:rPr>
                <w:rFonts w:hint="eastAsia"/>
                <w:color w:val="auto"/>
                <w:kern w:val="21"/>
                <w:sz w:val="21"/>
                <w:szCs w:val="21"/>
                <w:lang w:val="en-US" w:eastAsia="zh-CN" w:bidi="ar"/>
              </w:rPr>
              <w:t>1</w:t>
            </w:r>
          </w:p>
        </w:tc>
        <w:tc>
          <w:tcPr>
            <w:tcW w:w="2388"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695"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25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≤10</w:t>
            </w:r>
            <w:r>
              <w:rPr>
                <w:rFonts w:hint="eastAsia"/>
                <w:color w:val="auto"/>
                <w:kern w:val="21"/>
                <w:sz w:val="21"/>
                <w:szCs w:val="21"/>
                <w:lang w:val="en-US" w:eastAsia="zh-CN" w:bidi="ar"/>
              </w:rPr>
              <w:t>mg/L</w:t>
            </w:r>
          </w:p>
        </w:tc>
        <w:tc>
          <w:tcPr>
            <w:tcW w:w="1626" w:type="dxa"/>
            <w:vMerge w:val="continue"/>
            <w:vAlign w:val="center"/>
          </w:tcPr>
          <w:p>
            <w:pPr>
              <w:pStyle w:val="23"/>
              <w:wordWrap w:val="0"/>
              <w:spacing w:after="0" w:line="240" w:lineRule="auto"/>
              <w:ind w:left="0" w:leftChars="0" w:firstLine="0" w:firstLineChars="0"/>
              <w:jc w:val="center"/>
              <w:rPr>
                <w:color w:val="auto"/>
                <w:kern w:val="21"/>
                <w:sz w:val="21"/>
                <w:szCs w:val="21"/>
                <w:lang w:bidi="ar"/>
              </w:rPr>
            </w:pP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bidi="ar"/>
              </w:rPr>
              <w:t>氟化物</w:t>
            </w:r>
          </w:p>
        </w:tc>
        <w:tc>
          <w:tcPr>
            <w:tcW w:w="1126" w:type="dxa"/>
            <w:vAlign w:val="center"/>
          </w:tcPr>
          <w:p>
            <w:pPr>
              <w:widowControl/>
              <w:spacing w:line="240" w:lineRule="auto"/>
              <w:ind w:firstLine="0" w:firstLineChars="0"/>
              <w:jc w:val="center"/>
              <w:textAlignment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4.04</w:t>
            </w:r>
          </w:p>
        </w:tc>
        <w:tc>
          <w:tcPr>
            <w:tcW w:w="2388"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695"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255"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bidi="ar"/>
              </w:rPr>
            </w:pPr>
            <w:r>
              <w:rPr>
                <w:color w:val="auto"/>
                <w:kern w:val="21"/>
                <w:sz w:val="21"/>
                <w:szCs w:val="21"/>
                <w:lang w:bidi="ar"/>
              </w:rPr>
              <w:t>≤</w:t>
            </w:r>
            <w:r>
              <w:rPr>
                <w:rFonts w:hint="eastAsia"/>
                <w:color w:val="auto"/>
                <w:kern w:val="21"/>
                <w:sz w:val="21"/>
                <w:szCs w:val="21"/>
                <w:lang w:val="en-US" w:eastAsia="zh-CN" w:bidi="ar"/>
              </w:rPr>
              <w:t>2.31mg/L</w:t>
            </w:r>
          </w:p>
        </w:tc>
        <w:tc>
          <w:tcPr>
            <w:tcW w:w="1626" w:type="dxa"/>
            <w:vMerge w:val="continue"/>
            <w:vAlign w:val="center"/>
          </w:tcPr>
          <w:p>
            <w:pPr>
              <w:pStyle w:val="23"/>
              <w:wordWrap w:val="0"/>
              <w:spacing w:after="0" w:line="240" w:lineRule="auto"/>
              <w:ind w:left="0" w:leftChars="0" w:firstLine="0" w:firstLineChars="0"/>
              <w:jc w:val="center"/>
              <w:rPr>
                <w:color w:val="auto"/>
                <w:kern w:val="21"/>
                <w:sz w:val="21"/>
                <w:szCs w:val="21"/>
                <w:lang w:bidi="ar"/>
              </w:rPr>
            </w:pP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rFonts w:hint="eastAsia"/>
                <w:color w:val="auto"/>
                <w:kern w:val="21"/>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803"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废气</w:t>
            </w: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油烟</w:t>
            </w:r>
          </w:p>
        </w:tc>
        <w:tc>
          <w:tcPr>
            <w:tcW w:w="112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少量</w:t>
            </w:r>
          </w:p>
        </w:tc>
        <w:tc>
          <w:tcPr>
            <w:tcW w:w="2388"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bidi="ar"/>
              </w:rPr>
            </w:pPr>
            <w:r>
              <w:rPr>
                <w:color w:val="auto"/>
                <w:kern w:val="21"/>
                <w:sz w:val="21"/>
                <w:szCs w:val="21"/>
                <w:lang w:bidi="ar"/>
              </w:rPr>
              <w:t>油烟净化</w:t>
            </w:r>
            <w:r>
              <w:rPr>
                <w:rFonts w:hint="eastAsia"/>
                <w:color w:val="auto"/>
                <w:kern w:val="21"/>
                <w:sz w:val="21"/>
                <w:szCs w:val="21"/>
                <w:lang w:eastAsia="zh-CN" w:bidi="ar"/>
              </w:rPr>
              <w:t>器</w:t>
            </w:r>
          </w:p>
        </w:tc>
        <w:tc>
          <w:tcPr>
            <w:tcW w:w="69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间歇</w:t>
            </w:r>
          </w:p>
        </w:tc>
        <w:tc>
          <w:tcPr>
            <w:tcW w:w="1255"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≤2mg/m</w:t>
            </w:r>
            <w:r>
              <w:rPr>
                <w:color w:val="auto"/>
                <w:kern w:val="21"/>
                <w:sz w:val="21"/>
                <w:szCs w:val="21"/>
                <w:vertAlign w:val="superscript"/>
                <w:lang w:bidi="ar"/>
              </w:rPr>
              <w:t>3</w:t>
            </w:r>
          </w:p>
        </w:tc>
        <w:tc>
          <w:tcPr>
            <w:tcW w:w="1626" w:type="dxa"/>
            <w:vAlign w:val="center"/>
          </w:tcPr>
          <w:p>
            <w:pPr>
              <w:pStyle w:val="23"/>
              <w:wordWrap w:val="0"/>
              <w:spacing w:after="0" w:line="240" w:lineRule="auto"/>
              <w:ind w:left="0" w:leftChars="0" w:firstLine="0" w:firstLineChars="0"/>
              <w:jc w:val="center"/>
              <w:rPr>
                <w:color w:val="auto"/>
                <w:kern w:val="21"/>
                <w:sz w:val="21"/>
                <w:szCs w:val="21"/>
                <w:lang w:bidi="ar"/>
              </w:rPr>
            </w:pPr>
            <w:r>
              <w:rPr>
                <w:color w:val="auto"/>
                <w:kern w:val="21"/>
                <w:sz w:val="21"/>
                <w:szCs w:val="21"/>
                <w:lang w:bidi="ar"/>
              </w:rPr>
              <w:t>执行《饮食业油烟排放标准（试行）》</w:t>
            </w:r>
            <w:r>
              <w:rPr>
                <w:rFonts w:hint="eastAsia"/>
                <w:color w:val="auto"/>
                <w:kern w:val="21"/>
                <w:sz w:val="21"/>
                <w:szCs w:val="21"/>
                <w:lang w:bidi="ar"/>
              </w:rPr>
              <w:t>（</w:t>
            </w:r>
            <w:r>
              <w:rPr>
                <w:color w:val="auto"/>
                <w:kern w:val="21"/>
                <w:sz w:val="21"/>
                <w:szCs w:val="21"/>
                <w:lang w:bidi="ar"/>
              </w:rPr>
              <w:t>GB18483-2001</w:t>
            </w:r>
            <w:r>
              <w:rPr>
                <w:rFonts w:hint="eastAsia"/>
                <w:color w:val="auto"/>
                <w:kern w:val="21"/>
                <w:sz w:val="21"/>
                <w:szCs w:val="21"/>
                <w:lang w:bidi="ar"/>
              </w:rPr>
              <w:t>）</w:t>
            </w:r>
            <w:r>
              <w:rPr>
                <w:color w:val="auto"/>
                <w:kern w:val="21"/>
                <w:sz w:val="21"/>
                <w:szCs w:val="21"/>
                <w:lang w:bidi="ar"/>
              </w:rPr>
              <w:t>相应标准</w:t>
            </w: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氨</w:t>
            </w:r>
          </w:p>
        </w:tc>
        <w:tc>
          <w:tcPr>
            <w:tcW w:w="1126"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0.56</w:t>
            </w:r>
          </w:p>
        </w:tc>
        <w:tc>
          <w:tcPr>
            <w:tcW w:w="2388" w:type="dxa"/>
            <w:vMerge w:val="restart"/>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eastAsia="zh-CN"/>
              </w:rPr>
              <w:t>经活性炭吸附塔治理后通过</w:t>
            </w:r>
            <w:r>
              <w:rPr>
                <w:rFonts w:hint="eastAsia"/>
                <w:color w:val="auto"/>
                <w:kern w:val="21"/>
                <w:sz w:val="21"/>
                <w:szCs w:val="21"/>
                <w:lang w:val="en-US" w:eastAsia="zh-CN"/>
              </w:rPr>
              <w:t>15m排气筒排放</w:t>
            </w:r>
          </w:p>
        </w:tc>
        <w:tc>
          <w:tcPr>
            <w:tcW w:w="695" w:type="dxa"/>
            <w:vMerge w:val="restart"/>
            <w:vAlign w:val="center"/>
          </w:tcPr>
          <w:p>
            <w:pPr>
              <w:pStyle w:val="23"/>
              <w:spacing w:after="0" w:line="240" w:lineRule="auto"/>
              <w:ind w:left="0" w:leftChars="0"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连续</w:t>
            </w:r>
          </w:p>
        </w:tc>
        <w:tc>
          <w:tcPr>
            <w:tcW w:w="1255"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1"/>
                <w:sz w:val="21"/>
                <w:szCs w:val="21"/>
                <w:lang w:bidi="ar"/>
              </w:rPr>
            </w:pPr>
            <w:r>
              <w:rPr>
                <w:rFonts w:hint="eastAsia"/>
                <w:snapToGrid/>
                <w:color w:val="auto"/>
                <w:kern w:val="21"/>
                <w:sz w:val="21"/>
                <w:szCs w:val="21"/>
                <w:lang w:val="en-US" w:eastAsia="zh-CN"/>
              </w:rPr>
              <w:t>4.9kg/h</w:t>
            </w:r>
          </w:p>
        </w:tc>
        <w:tc>
          <w:tcPr>
            <w:tcW w:w="1626" w:type="dxa"/>
            <w:vMerge w:val="restart"/>
            <w:vAlign w:val="center"/>
          </w:tcPr>
          <w:p>
            <w:pPr>
              <w:pStyle w:val="23"/>
              <w:spacing w:after="0" w:line="240" w:lineRule="auto"/>
              <w:ind w:left="0" w:leftChars="0" w:firstLine="0" w:firstLineChars="0"/>
              <w:jc w:val="center"/>
              <w:rPr>
                <w:color w:val="auto"/>
                <w:kern w:val="21"/>
                <w:sz w:val="21"/>
                <w:szCs w:val="21"/>
                <w:lang w:bidi="ar"/>
              </w:rPr>
            </w:pPr>
            <w:r>
              <w:rPr>
                <w:rFonts w:hint="eastAsia" w:ascii="Times New Roman" w:hAnsi="Times New Roman" w:eastAsia="宋体" w:cs="Times New Roman"/>
                <w:color w:val="auto"/>
                <w:kern w:val="21"/>
                <w:sz w:val="21"/>
                <w:szCs w:val="21"/>
                <w:lang w:bidi="ar"/>
              </w:rPr>
              <w:t>《</w:t>
            </w:r>
            <w:r>
              <w:rPr>
                <w:rFonts w:hint="eastAsia" w:ascii="Times New Roman" w:hAnsi="Times New Roman" w:eastAsia="宋体" w:cs="Times New Roman"/>
                <w:color w:val="auto"/>
                <w:kern w:val="21"/>
                <w:sz w:val="21"/>
                <w:szCs w:val="21"/>
                <w:lang w:eastAsia="zh-CN" w:bidi="ar"/>
              </w:rPr>
              <w:t>恶臭污染物排放标准</w:t>
            </w:r>
            <w:r>
              <w:rPr>
                <w:rFonts w:hint="eastAsia" w:ascii="Times New Roman" w:hAnsi="Times New Roman" w:eastAsia="宋体" w:cs="Times New Roman"/>
                <w:color w:val="auto"/>
                <w:kern w:val="21"/>
                <w:sz w:val="21"/>
                <w:szCs w:val="21"/>
                <w:lang w:bidi="ar"/>
              </w:rPr>
              <w:t>》（GB</w:t>
            </w:r>
            <w:r>
              <w:rPr>
                <w:rFonts w:hint="eastAsia" w:ascii="Times New Roman" w:hAnsi="Times New Roman" w:eastAsia="宋体" w:cs="Times New Roman"/>
                <w:color w:val="auto"/>
                <w:kern w:val="21"/>
                <w:sz w:val="21"/>
                <w:szCs w:val="21"/>
                <w:lang w:val="en-US" w:eastAsia="zh-CN" w:bidi="ar"/>
              </w:rPr>
              <w:t>14554</w:t>
            </w:r>
            <w:r>
              <w:rPr>
                <w:rFonts w:hint="eastAsia" w:ascii="Times New Roman" w:hAnsi="Times New Roman" w:eastAsia="宋体" w:cs="Times New Roman"/>
                <w:color w:val="auto"/>
                <w:kern w:val="21"/>
                <w:sz w:val="21"/>
                <w:szCs w:val="21"/>
                <w:lang w:bidi="ar"/>
              </w:rPr>
              <w:t>-</w:t>
            </w:r>
            <w:r>
              <w:rPr>
                <w:rFonts w:hint="eastAsia" w:ascii="Times New Roman" w:hAnsi="Times New Roman" w:eastAsia="宋体" w:cs="Times New Roman"/>
                <w:color w:val="auto"/>
                <w:kern w:val="21"/>
                <w:sz w:val="21"/>
                <w:szCs w:val="21"/>
                <w:lang w:val="en-US" w:eastAsia="zh-CN" w:bidi="ar"/>
              </w:rPr>
              <w:t>1993</w:t>
            </w:r>
            <w:r>
              <w:rPr>
                <w:rFonts w:hint="eastAsia" w:ascii="Times New Roman" w:hAnsi="Times New Roman" w:eastAsia="宋体" w:cs="Times New Roman"/>
                <w:color w:val="auto"/>
                <w:kern w:val="21"/>
                <w:sz w:val="21"/>
                <w:szCs w:val="21"/>
                <w:lang w:bidi="ar"/>
              </w:rPr>
              <w:t>）</w:t>
            </w:r>
            <w:r>
              <w:rPr>
                <w:rFonts w:hint="eastAsia" w:ascii="Times New Roman" w:hAnsi="Times New Roman" w:eastAsia="宋体" w:cs="Times New Roman"/>
                <w:color w:val="auto"/>
                <w:kern w:val="21"/>
                <w:sz w:val="21"/>
                <w:szCs w:val="21"/>
                <w:lang w:eastAsia="zh-CN" w:bidi="ar"/>
              </w:rPr>
              <w:t>表</w:t>
            </w:r>
            <w:r>
              <w:rPr>
                <w:rFonts w:hint="eastAsia" w:ascii="Times New Roman" w:hAnsi="Times New Roman" w:eastAsia="宋体" w:cs="Times New Roman"/>
                <w:color w:val="auto"/>
                <w:kern w:val="21"/>
                <w:sz w:val="21"/>
                <w:szCs w:val="21"/>
                <w:lang w:val="en-US" w:eastAsia="zh-CN" w:bidi="ar"/>
              </w:rPr>
              <w:t>2标准</w:t>
            </w: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硫化氢</w:t>
            </w:r>
          </w:p>
        </w:tc>
        <w:tc>
          <w:tcPr>
            <w:tcW w:w="1126"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0.0011</w:t>
            </w:r>
          </w:p>
        </w:tc>
        <w:tc>
          <w:tcPr>
            <w:tcW w:w="2388" w:type="dxa"/>
            <w:vMerge w:val="continue"/>
            <w:vAlign w:val="center"/>
          </w:tcPr>
          <w:p>
            <w:pPr>
              <w:pStyle w:val="23"/>
              <w:spacing w:after="0" w:line="240" w:lineRule="auto"/>
              <w:ind w:left="0" w:leftChars="0" w:firstLine="0" w:firstLineChars="0"/>
              <w:jc w:val="center"/>
              <w:rPr>
                <w:rFonts w:hint="eastAsia"/>
                <w:color w:val="auto"/>
                <w:kern w:val="21"/>
                <w:sz w:val="21"/>
                <w:szCs w:val="21"/>
              </w:rPr>
            </w:pPr>
          </w:p>
        </w:tc>
        <w:tc>
          <w:tcPr>
            <w:tcW w:w="695"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255" w:type="dxa"/>
            <w:vAlign w:val="center"/>
          </w:tcPr>
          <w:p>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21"/>
                <w:sz w:val="21"/>
                <w:szCs w:val="21"/>
                <w:lang w:val="en-US" w:eastAsia="zh-CN" w:bidi="ar"/>
              </w:rPr>
            </w:pPr>
            <w:r>
              <w:rPr>
                <w:rFonts w:hint="eastAsia"/>
                <w:snapToGrid/>
                <w:color w:val="auto"/>
                <w:kern w:val="21"/>
                <w:sz w:val="21"/>
                <w:szCs w:val="21"/>
                <w:lang w:val="en-US" w:eastAsia="zh-CN"/>
              </w:rPr>
              <w:t>0.33kg/h</w:t>
            </w:r>
          </w:p>
        </w:tc>
        <w:tc>
          <w:tcPr>
            <w:tcW w:w="1626" w:type="dxa"/>
            <w:vMerge w:val="continue"/>
            <w:vAlign w:val="center"/>
          </w:tcPr>
          <w:p>
            <w:pPr>
              <w:pStyle w:val="23"/>
              <w:spacing w:after="0" w:line="240" w:lineRule="auto"/>
              <w:ind w:left="0" w:leftChars="0" w:firstLine="0" w:firstLineChars="0"/>
              <w:jc w:val="center"/>
              <w:rPr>
                <w:rFonts w:hint="eastAsia"/>
                <w:color w:val="auto"/>
                <w:kern w:val="21"/>
                <w:sz w:val="21"/>
                <w:szCs w:val="21"/>
                <w:lang w:val="en-US" w:eastAsia="zh-CN" w:bidi="ar"/>
              </w:rPr>
            </w:pP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氨</w:t>
            </w:r>
          </w:p>
        </w:tc>
        <w:tc>
          <w:tcPr>
            <w:tcW w:w="1126"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rPr>
              <w:t>0.265</w:t>
            </w:r>
          </w:p>
        </w:tc>
        <w:tc>
          <w:tcPr>
            <w:tcW w:w="2388" w:type="dxa"/>
            <w:vMerge w:val="restart"/>
            <w:vAlign w:val="center"/>
          </w:tcPr>
          <w:p>
            <w:pPr>
              <w:pStyle w:val="23"/>
              <w:spacing w:after="0" w:line="240" w:lineRule="auto"/>
              <w:ind w:left="0" w:leftChars="0" w:firstLine="0" w:firstLineChars="0"/>
              <w:jc w:val="center"/>
              <w:rPr>
                <w:color w:val="auto"/>
                <w:kern w:val="21"/>
                <w:sz w:val="21"/>
                <w:szCs w:val="21"/>
                <w:lang w:bidi="ar"/>
              </w:rPr>
            </w:pPr>
            <w:r>
              <w:rPr>
                <w:rFonts w:hint="eastAsia"/>
                <w:color w:val="auto"/>
                <w:kern w:val="21"/>
                <w:sz w:val="21"/>
                <w:szCs w:val="21"/>
              </w:rPr>
              <w:t>加强车间通风，大气扩散稀释和绿化吸收</w:t>
            </w:r>
          </w:p>
        </w:tc>
        <w:tc>
          <w:tcPr>
            <w:tcW w:w="695"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连续</w:t>
            </w:r>
          </w:p>
        </w:tc>
        <w:tc>
          <w:tcPr>
            <w:tcW w:w="2881" w:type="dxa"/>
            <w:gridSpan w:val="2"/>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《城镇污水处理厂污染物排放标准》（GB18918-2002）及其修改单表4中二级标准</w:t>
            </w:r>
          </w:p>
        </w:tc>
        <w:tc>
          <w:tcPr>
            <w:tcW w:w="780"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硫化氢</w:t>
            </w:r>
          </w:p>
        </w:tc>
        <w:tc>
          <w:tcPr>
            <w:tcW w:w="1126" w:type="dxa"/>
            <w:vAlign w:val="center"/>
          </w:tcPr>
          <w:p>
            <w:pPr>
              <w:pStyle w:val="23"/>
              <w:spacing w:after="0" w:line="240" w:lineRule="auto"/>
              <w:ind w:left="0" w:leftChars="0" w:firstLine="0" w:firstLineChars="0"/>
              <w:jc w:val="center"/>
              <w:rPr>
                <w:rFonts w:hint="default" w:eastAsia="宋体"/>
                <w:color w:val="auto"/>
                <w:kern w:val="21"/>
                <w:sz w:val="21"/>
                <w:szCs w:val="21"/>
                <w:lang w:val="en-US" w:eastAsia="zh-CN" w:bidi="ar"/>
              </w:rPr>
            </w:pPr>
            <w:r>
              <w:rPr>
                <w:rFonts w:hint="eastAsia"/>
                <w:bCs/>
                <w:color w:val="auto"/>
                <w:kern w:val="21"/>
                <w:sz w:val="21"/>
                <w:szCs w:val="21"/>
              </w:rPr>
              <w:t>0.0</w:t>
            </w:r>
            <w:r>
              <w:rPr>
                <w:rFonts w:hint="eastAsia"/>
                <w:bCs/>
                <w:color w:val="auto"/>
                <w:kern w:val="21"/>
                <w:sz w:val="21"/>
                <w:szCs w:val="21"/>
                <w:lang w:val="en-US" w:eastAsia="zh-CN"/>
              </w:rPr>
              <w:t>01355</w:t>
            </w:r>
          </w:p>
        </w:tc>
        <w:tc>
          <w:tcPr>
            <w:tcW w:w="2388"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695"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2881" w:type="dxa"/>
            <w:gridSpan w:val="2"/>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780" w:type="dxa"/>
            <w:vMerge w:val="continue"/>
            <w:vAlign w:val="center"/>
          </w:tcPr>
          <w:p>
            <w:pPr>
              <w:pStyle w:val="23"/>
              <w:spacing w:after="0" w:line="240" w:lineRule="auto"/>
              <w:ind w:left="0" w:leftChars="0"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噪声</w:t>
            </w: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设备噪声</w:t>
            </w:r>
          </w:p>
        </w:tc>
        <w:tc>
          <w:tcPr>
            <w:tcW w:w="1126" w:type="dxa"/>
            <w:vAlign w:val="center"/>
          </w:tcPr>
          <w:p>
            <w:pPr>
              <w:pStyle w:val="23"/>
              <w:spacing w:after="0" w:line="240" w:lineRule="auto"/>
              <w:ind w:left="0" w:leftChars="0" w:firstLine="0" w:firstLineChars="0"/>
              <w:jc w:val="center"/>
              <w:rPr>
                <w:rFonts w:hint="default"/>
                <w:color w:val="auto"/>
                <w:kern w:val="21"/>
                <w:sz w:val="21"/>
                <w:szCs w:val="21"/>
                <w:lang w:val="en-US" w:eastAsia="zh-CN" w:bidi="ar"/>
              </w:rPr>
            </w:pPr>
            <w:r>
              <w:rPr>
                <w:rFonts w:hint="eastAsia"/>
                <w:color w:val="auto"/>
                <w:kern w:val="21"/>
                <w:sz w:val="21"/>
                <w:szCs w:val="21"/>
                <w:lang w:eastAsia="zh-CN" w:bidi="ar"/>
              </w:rPr>
              <w:t>厂界最大值</w:t>
            </w:r>
            <w:r>
              <w:rPr>
                <w:rFonts w:hint="eastAsia"/>
                <w:color w:val="auto"/>
                <w:kern w:val="21"/>
                <w:sz w:val="21"/>
                <w:szCs w:val="21"/>
                <w:lang w:val="en-US" w:eastAsia="zh-CN" w:bidi="ar"/>
              </w:rPr>
              <w:t>53.9dB（A）</w:t>
            </w:r>
          </w:p>
        </w:tc>
        <w:tc>
          <w:tcPr>
            <w:tcW w:w="2388"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选用低噪声设备、减振、隔声风机加装消声器</w:t>
            </w:r>
          </w:p>
        </w:tc>
        <w:tc>
          <w:tcPr>
            <w:tcW w:w="69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连续/间歇</w:t>
            </w:r>
          </w:p>
        </w:tc>
        <w:tc>
          <w:tcPr>
            <w:tcW w:w="1255"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昼间≤</w:t>
            </w:r>
            <w:r>
              <w:rPr>
                <w:rFonts w:hint="eastAsia"/>
                <w:color w:val="auto"/>
                <w:kern w:val="21"/>
                <w:sz w:val="21"/>
                <w:szCs w:val="21"/>
                <w:lang w:val="en-US" w:eastAsia="zh-CN" w:bidi="ar"/>
              </w:rPr>
              <w:t>65</w:t>
            </w:r>
            <w:r>
              <w:rPr>
                <w:color w:val="auto"/>
                <w:kern w:val="21"/>
                <w:sz w:val="21"/>
                <w:szCs w:val="21"/>
                <w:lang w:bidi="ar"/>
              </w:rPr>
              <w:t>dB</w:t>
            </w:r>
            <w:r>
              <w:rPr>
                <w:rFonts w:hint="eastAsia"/>
                <w:color w:val="auto"/>
                <w:kern w:val="21"/>
                <w:sz w:val="21"/>
                <w:szCs w:val="21"/>
                <w:lang w:bidi="ar"/>
              </w:rPr>
              <w:t>（</w:t>
            </w:r>
            <w:r>
              <w:rPr>
                <w:color w:val="auto"/>
                <w:kern w:val="21"/>
                <w:sz w:val="21"/>
                <w:szCs w:val="21"/>
                <w:lang w:bidi="ar"/>
              </w:rPr>
              <w:t>A</w:t>
            </w:r>
            <w:r>
              <w:rPr>
                <w:rFonts w:hint="eastAsia"/>
                <w:color w:val="auto"/>
                <w:kern w:val="21"/>
                <w:sz w:val="21"/>
                <w:szCs w:val="21"/>
                <w:lang w:bidi="ar"/>
              </w:rPr>
              <w:t>）</w:t>
            </w:r>
            <w:r>
              <w:rPr>
                <w:color w:val="auto"/>
                <w:kern w:val="21"/>
                <w:sz w:val="21"/>
                <w:szCs w:val="21"/>
                <w:lang w:bidi="ar"/>
              </w:rPr>
              <w:t>、夜间≤55dB</w:t>
            </w:r>
            <w:r>
              <w:rPr>
                <w:rFonts w:hint="eastAsia"/>
                <w:color w:val="auto"/>
                <w:kern w:val="21"/>
                <w:sz w:val="21"/>
                <w:szCs w:val="21"/>
                <w:lang w:bidi="ar"/>
              </w:rPr>
              <w:t>（</w:t>
            </w:r>
            <w:r>
              <w:rPr>
                <w:color w:val="auto"/>
                <w:kern w:val="21"/>
                <w:sz w:val="21"/>
                <w:szCs w:val="21"/>
                <w:lang w:bidi="ar"/>
              </w:rPr>
              <w:t>A</w:t>
            </w:r>
            <w:r>
              <w:rPr>
                <w:rFonts w:hint="eastAsia"/>
                <w:color w:val="auto"/>
                <w:kern w:val="21"/>
                <w:sz w:val="21"/>
                <w:szCs w:val="21"/>
                <w:lang w:bidi="ar"/>
              </w:rPr>
              <w:t>）</w:t>
            </w:r>
          </w:p>
        </w:tc>
        <w:tc>
          <w:tcPr>
            <w:tcW w:w="1626" w:type="dxa"/>
            <w:vAlign w:val="center"/>
          </w:tcPr>
          <w:p>
            <w:pPr>
              <w:widowControl/>
              <w:wordWrap w:val="0"/>
              <w:spacing w:line="240" w:lineRule="auto"/>
              <w:ind w:firstLine="0" w:firstLineChars="0"/>
              <w:rPr>
                <w:rFonts w:hint="eastAsia" w:eastAsia="宋体"/>
                <w:color w:val="auto"/>
                <w:kern w:val="21"/>
                <w:sz w:val="21"/>
                <w:szCs w:val="21"/>
                <w:lang w:val="en-US" w:eastAsia="zh-CN" w:bidi="ar"/>
              </w:rPr>
            </w:pPr>
            <w:r>
              <w:rPr>
                <w:color w:val="auto"/>
                <w:kern w:val="21"/>
                <w:sz w:val="21"/>
                <w:szCs w:val="21"/>
                <w:lang w:bidi="ar"/>
              </w:rPr>
              <w:t>《工业企业厂界环境噪声排放标准》</w:t>
            </w:r>
            <w:r>
              <w:rPr>
                <w:rFonts w:hint="eastAsia"/>
                <w:color w:val="auto"/>
                <w:kern w:val="21"/>
                <w:sz w:val="21"/>
                <w:szCs w:val="21"/>
                <w:lang w:bidi="ar"/>
              </w:rPr>
              <w:t>（</w:t>
            </w:r>
            <w:r>
              <w:rPr>
                <w:color w:val="auto"/>
                <w:kern w:val="21"/>
                <w:sz w:val="21"/>
                <w:szCs w:val="21"/>
                <w:lang w:bidi="ar"/>
              </w:rPr>
              <w:t>GB12348-2008</w:t>
            </w:r>
            <w:r>
              <w:rPr>
                <w:rFonts w:hint="eastAsia"/>
                <w:color w:val="auto"/>
                <w:kern w:val="21"/>
                <w:sz w:val="21"/>
                <w:szCs w:val="21"/>
                <w:lang w:bidi="ar"/>
              </w:rPr>
              <w:t>）</w:t>
            </w:r>
            <w:r>
              <w:rPr>
                <w:color w:val="auto"/>
                <w:kern w:val="21"/>
                <w:sz w:val="21"/>
                <w:szCs w:val="21"/>
                <w:lang w:bidi="ar"/>
              </w:rPr>
              <w:t>中</w:t>
            </w:r>
            <w:r>
              <w:rPr>
                <w:rFonts w:hint="eastAsia"/>
                <w:color w:val="auto"/>
                <w:kern w:val="21"/>
                <w:sz w:val="21"/>
                <w:szCs w:val="21"/>
                <w:lang w:bidi="ar"/>
              </w:rPr>
              <w:t>3类</w:t>
            </w:r>
            <w:r>
              <w:rPr>
                <w:rFonts w:hint="eastAsia"/>
                <w:color w:val="auto"/>
                <w:kern w:val="21"/>
                <w:sz w:val="21"/>
                <w:szCs w:val="21"/>
                <w:lang w:eastAsia="zh-CN" w:bidi="ar"/>
              </w:rPr>
              <w:t>标</w:t>
            </w:r>
            <w:r>
              <w:rPr>
                <w:color w:val="auto"/>
                <w:kern w:val="21"/>
                <w:sz w:val="21"/>
                <w:szCs w:val="21"/>
                <w:lang w:bidi="ar"/>
              </w:rPr>
              <w:t>准</w:t>
            </w:r>
          </w:p>
        </w:tc>
        <w:tc>
          <w:tcPr>
            <w:tcW w:w="78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03"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固废</w:t>
            </w: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污泥</w:t>
            </w:r>
          </w:p>
        </w:tc>
        <w:tc>
          <w:tcPr>
            <w:tcW w:w="112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rPr>
              <w:t>0</w:t>
            </w:r>
          </w:p>
        </w:tc>
        <w:tc>
          <w:tcPr>
            <w:tcW w:w="2388" w:type="dxa"/>
            <w:vAlign w:val="center"/>
          </w:tcPr>
          <w:p>
            <w:pPr>
              <w:pStyle w:val="23"/>
              <w:spacing w:after="0" w:line="240" w:lineRule="auto"/>
              <w:ind w:left="0" w:leftChars="0" w:firstLine="0" w:firstLineChars="0"/>
              <w:jc w:val="center"/>
              <w:rPr>
                <w:color w:val="auto"/>
                <w:kern w:val="21"/>
                <w:sz w:val="21"/>
                <w:szCs w:val="21"/>
                <w:lang w:bidi="ar"/>
              </w:rPr>
            </w:pPr>
            <w:r>
              <w:rPr>
                <w:rFonts w:hint="eastAsia"/>
                <w:color w:val="auto"/>
                <w:kern w:val="21"/>
                <w:sz w:val="21"/>
                <w:szCs w:val="21"/>
              </w:rPr>
              <w:t>按批次委托监测单位进行属性鉴别，若是危废则</w:t>
            </w:r>
            <w:r>
              <w:rPr>
                <w:rFonts w:hint="eastAsia"/>
                <w:color w:val="auto"/>
                <w:kern w:val="21"/>
                <w:sz w:val="21"/>
                <w:szCs w:val="21"/>
                <w:lang w:eastAsia="zh-CN"/>
              </w:rPr>
              <w:t>暂存</w:t>
            </w:r>
            <w:r>
              <w:rPr>
                <w:rFonts w:hint="eastAsia"/>
                <w:color w:val="auto"/>
                <w:kern w:val="21"/>
                <w:sz w:val="21"/>
                <w:szCs w:val="21"/>
              </w:rPr>
              <w:t>污水厂危废暂存间，并委托资质单位处置，若是一般固废则送至楚雄市生活垃圾焚烧发电厂进行焚烧</w:t>
            </w:r>
          </w:p>
        </w:tc>
        <w:tc>
          <w:tcPr>
            <w:tcW w:w="69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间歇</w:t>
            </w:r>
          </w:p>
        </w:tc>
        <w:tc>
          <w:tcPr>
            <w:tcW w:w="125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162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780" w:type="dxa"/>
            <w:vMerge w:val="restart"/>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按有关规定进行处置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栅渣</w:t>
            </w:r>
          </w:p>
        </w:tc>
        <w:tc>
          <w:tcPr>
            <w:tcW w:w="112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0</w:t>
            </w:r>
          </w:p>
        </w:tc>
        <w:tc>
          <w:tcPr>
            <w:tcW w:w="2388" w:type="dxa"/>
            <w:vMerge w:val="restart"/>
            <w:vAlign w:val="center"/>
          </w:tcPr>
          <w:p>
            <w:pPr>
              <w:spacing w:line="240" w:lineRule="auto"/>
              <w:ind w:firstLine="0" w:firstLineChars="0"/>
              <w:jc w:val="center"/>
              <w:rPr>
                <w:color w:val="auto"/>
                <w:kern w:val="21"/>
                <w:sz w:val="21"/>
                <w:szCs w:val="21"/>
                <w:lang w:bidi="ar"/>
              </w:rPr>
            </w:pPr>
            <w:r>
              <w:rPr>
                <w:color w:val="auto"/>
                <w:kern w:val="21"/>
                <w:sz w:val="21"/>
                <w:szCs w:val="21"/>
              </w:rPr>
              <w:t>由环卫部门集中处置</w:t>
            </w:r>
          </w:p>
        </w:tc>
        <w:tc>
          <w:tcPr>
            <w:tcW w:w="69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间歇</w:t>
            </w:r>
          </w:p>
        </w:tc>
        <w:tc>
          <w:tcPr>
            <w:tcW w:w="125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162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780" w:type="dxa"/>
            <w:vMerge w:val="continue"/>
            <w:vAlign w:val="center"/>
          </w:tcPr>
          <w:p>
            <w:pPr>
              <w:pStyle w:val="23"/>
              <w:spacing w:after="0" w:line="240" w:lineRule="auto"/>
              <w:ind w:left="0" w:leftChars="0"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生活垃圾</w:t>
            </w:r>
          </w:p>
        </w:tc>
        <w:tc>
          <w:tcPr>
            <w:tcW w:w="112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rPr>
              <w:t>0</w:t>
            </w:r>
          </w:p>
        </w:tc>
        <w:tc>
          <w:tcPr>
            <w:tcW w:w="2388" w:type="dxa"/>
            <w:vMerge w:val="continue"/>
            <w:vAlign w:val="center"/>
          </w:tcPr>
          <w:p>
            <w:pPr>
              <w:spacing w:line="240" w:lineRule="auto"/>
              <w:ind w:firstLine="0" w:firstLineChars="0"/>
              <w:jc w:val="center"/>
              <w:rPr>
                <w:color w:val="auto"/>
                <w:kern w:val="21"/>
                <w:sz w:val="21"/>
                <w:szCs w:val="21"/>
                <w:lang w:bidi="ar"/>
              </w:rPr>
            </w:pPr>
          </w:p>
        </w:tc>
        <w:tc>
          <w:tcPr>
            <w:tcW w:w="69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间歇</w:t>
            </w:r>
          </w:p>
        </w:tc>
        <w:tc>
          <w:tcPr>
            <w:tcW w:w="125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162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780" w:type="dxa"/>
            <w:vMerge w:val="continue"/>
            <w:vAlign w:val="center"/>
          </w:tcPr>
          <w:p>
            <w:pPr>
              <w:pStyle w:val="23"/>
              <w:spacing w:after="0" w:line="240" w:lineRule="auto"/>
              <w:ind w:left="0" w:leftChars="0"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废活性炭</w:t>
            </w:r>
          </w:p>
        </w:tc>
        <w:tc>
          <w:tcPr>
            <w:tcW w:w="1126" w:type="dxa"/>
            <w:vAlign w:val="center"/>
          </w:tcPr>
          <w:p>
            <w:pPr>
              <w:pStyle w:val="23"/>
              <w:spacing w:after="0" w:line="240" w:lineRule="auto"/>
              <w:ind w:left="0" w:leftChars="0" w:firstLine="0" w:firstLineChars="0"/>
              <w:jc w:val="center"/>
              <w:rPr>
                <w:rFonts w:hint="eastAsia" w:eastAsia="宋体"/>
                <w:color w:val="auto"/>
                <w:kern w:val="21"/>
                <w:sz w:val="21"/>
                <w:szCs w:val="21"/>
                <w:lang w:val="en-US" w:eastAsia="zh-CN"/>
              </w:rPr>
            </w:pPr>
            <w:r>
              <w:rPr>
                <w:rFonts w:hint="eastAsia"/>
                <w:color w:val="auto"/>
                <w:kern w:val="21"/>
                <w:sz w:val="21"/>
                <w:szCs w:val="21"/>
                <w:lang w:val="en-US" w:eastAsia="zh-CN"/>
              </w:rPr>
              <w:t>0</w:t>
            </w:r>
          </w:p>
        </w:tc>
        <w:tc>
          <w:tcPr>
            <w:tcW w:w="2388" w:type="dxa"/>
            <w:vAlign w:val="center"/>
          </w:tcPr>
          <w:p>
            <w:pPr>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由设备厂家定期上门更换回收并再生处理</w:t>
            </w:r>
          </w:p>
        </w:tc>
        <w:tc>
          <w:tcPr>
            <w:tcW w:w="695" w:type="dxa"/>
            <w:vAlign w:val="center"/>
          </w:tcPr>
          <w:p>
            <w:pPr>
              <w:pStyle w:val="23"/>
              <w:spacing w:after="0" w:line="240" w:lineRule="auto"/>
              <w:ind w:left="0" w:leftChars="0"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间歇</w:t>
            </w:r>
          </w:p>
        </w:tc>
        <w:tc>
          <w:tcPr>
            <w:tcW w:w="1255"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
              </w:rPr>
            </w:pPr>
            <w:r>
              <w:rPr>
                <w:color w:val="auto"/>
                <w:kern w:val="21"/>
                <w:sz w:val="21"/>
                <w:szCs w:val="21"/>
                <w:lang w:bidi="ar"/>
              </w:rPr>
              <w:t>/</w:t>
            </w:r>
          </w:p>
        </w:tc>
        <w:tc>
          <w:tcPr>
            <w:tcW w:w="1626"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
              </w:rPr>
            </w:pPr>
            <w:r>
              <w:rPr>
                <w:color w:val="auto"/>
                <w:kern w:val="21"/>
                <w:sz w:val="21"/>
                <w:szCs w:val="21"/>
                <w:lang w:bidi="ar"/>
              </w:rPr>
              <w:t>/</w:t>
            </w:r>
          </w:p>
        </w:tc>
        <w:tc>
          <w:tcPr>
            <w:tcW w:w="780" w:type="dxa"/>
            <w:vMerge w:val="continue"/>
            <w:vAlign w:val="center"/>
          </w:tcPr>
          <w:p>
            <w:pPr>
              <w:pStyle w:val="23"/>
              <w:spacing w:after="0" w:line="240" w:lineRule="auto"/>
              <w:ind w:left="0" w:leftChars="0"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108"/>
              <w:tabs>
                <w:tab w:val="decimal" w:pos="2182"/>
                <w:tab w:val="left" w:pos="3393"/>
                <w:tab w:val="left" w:pos="5124"/>
              </w:tabs>
              <w:spacing w:before="0" w:after="0" w:afterLines="0"/>
              <w:jc w:val="center"/>
              <w:rPr>
                <w:color w:val="auto"/>
                <w:kern w:val="21"/>
                <w:szCs w:val="21"/>
                <w:lang w:bidi="ar"/>
              </w:rPr>
            </w:pPr>
            <w:r>
              <w:rPr>
                <w:rFonts w:ascii="Times New Roman" w:hAnsi="Times New Roman"/>
                <w:color w:val="auto"/>
                <w:kern w:val="21"/>
                <w:szCs w:val="21"/>
                <w:lang w:val="en-US"/>
              </w:rPr>
              <w:t>废机油</w:t>
            </w:r>
          </w:p>
        </w:tc>
        <w:tc>
          <w:tcPr>
            <w:tcW w:w="1126" w:type="dxa"/>
            <w:vAlign w:val="center"/>
          </w:tcPr>
          <w:p>
            <w:pPr>
              <w:spacing w:line="240" w:lineRule="auto"/>
              <w:ind w:firstLine="0" w:firstLineChars="0"/>
              <w:jc w:val="center"/>
              <w:rPr>
                <w:color w:val="auto"/>
                <w:kern w:val="21"/>
                <w:sz w:val="21"/>
                <w:szCs w:val="21"/>
              </w:rPr>
            </w:pPr>
            <w:r>
              <w:rPr>
                <w:color w:val="auto"/>
                <w:kern w:val="21"/>
                <w:sz w:val="21"/>
                <w:szCs w:val="21"/>
              </w:rPr>
              <w:t>0</w:t>
            </w:r>
          </w:p>
        </w:tc>
        <w:tc>
          <w:tcPr>
            <w:tcW w:w="2388" w:type="dxa"/>
            <w:vMerge w:val="restart"/>
            <w:vAlign w:val="center"/>
          </w:tcPr>
          <w:p>
            <w:pPr>
              <w:pStyle w:val="23"/>
              <w:spacing w:after="0" w:line="240" w:lineRule="auto"/>
              <w:ind w:left="0" w:leftChars="0" w:firstLine="0" w:firstLineChars="0"/>
              <w:jc w:val="center"/>
              <w:rPr>
                <w:color w:val="auto"/>
                <w:kern w:val="21"/>
                <w:sz w:val="21"/>
                <w:szCs w:val="21"/>
              </w:rPr>
            </w:pPr>
            <w:r>
              <w:rPr>
                <w:color w:val="auto"/>
                <w:kern w:val="21"/>
                <w:sz w:val="21"/>
                <w:szCs w:val="21"/>
              </w:rPr>
              <w:t>暂存污水厂危废暂存间，委托资质单位清运处置</w:t>
            </w:r>
          </w:p>
        </w:tc>
        <w:tc>
          <w:tcPr>
            <w:tcW w:w="69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间歇</w:t>
            </w:r>
          </w:p>
        </w:tc>
        <w:tc>
          <w:tcPr>
            <w:tcW w:w="1255"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1626" w:type="dxa"/>
            <w:vAlign w:val="center"/>
          </w:tcPr>
          <w:p>
            <w:pPr>
              <w:pStyle w:val="23"/>
              <w:spacing w:after="0" w:line="240" w:lineRule="auto"/>
              <w:ind w:left="0" w:leftChars="0" w:firstLine="0" w:firstLineChars="0"/>
              <w:jc w:val="center"/>
              <w:rPr>
                <w:color w:val="auto"/>
                <w:kern w:val="21"/>
                <w:sz w:val="21"/>
                <w:szCs w:val="21"/>
                <w:lang w:bidi="ar"/>
              </w:rPr>
            </w:pPr>
            <w:r>
              <w:rPr>
                <w:color w:val="auto"/>
                <w:kern w:val="21"/>
                <w:sz w:val="21"/>
                <w:szCs w:val="21"/>
                <w:lang w:bidi="ar"/>
              </w:rPr>
              <w:t>/</w:t>
            </w:r>
          </w:p>
        </w:tc>
        <w:tc>
          <w:tcPr>
            <w:tcW w:w="780" w:type="dxa"/>
            <w:vMerge w:val="continue"/>
            <w:vAlign w:val="center"/>
          </w:tcPr>
          <w:p>
            <w:pPr>
              <w:pStyle w:val="23"/>
              <w:spacing w:after="0" w:line="240" w:lineRule="auto"/>
              <w:ind w:left="0" w:leftChars="0"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108"/>
              <w:tabs>
                <w:tab w:val="decimal" w:pos="2182"/>
                <w:tab w:val="left" w:pos="3393"/>
                <w:tab w:val="left" w:pos="5124"/>
              </w:tabs>
              <w:spacing w:before="0" w:after="0" w:afterLines="0"/>
              <w:ind w:firstLine="0" w:firstLineChars="0"/>
              <w:jc w:val="center"/>
              <w:rPr>
                <w:rFonts w:ascii="宋体" w:hAnsi="宋体" w:eastAsia="宋体" w:cs="Times New Roman"/>
                <w:bCs w:val="0"/>
                <w:color w:val="auto"/>
                <w:kern w:val="21"/>
                <w:sz w:val="21"/>
                <w:szCs w:val="21"/>
                <w:lang w:val="en-US" w:eastAsia="zh-CN" w:bidi="ar"/>
              </w:rPr>
            </w:pPr>
            <w:r>
              <w:rPr>
                <w:rFonts w:ascii="Times New Roman" w:hAnsi="Times New Roman"/>
                <w:color w:val="auto"/>
                <w:kern w:val="21"/>
                <w:szCs w:val="21"/>
                <w:lang w:val="en-US"/>
              </w:rPr>
              <w:t>废紫外灯管</w:t>
            </w:r>
          </w:p>
        </w:tc>
        <w:tc>
          <w:tcPr>
            <w:tcW w:w="1126" w:type="dxa"/>
            <w:vAlign w:val="center"/>
          </w:tcPr>
          <w:p>
            <w:pPr>
              <w:spacing w:line="240" w:lineRule="auto"/>
              <w:ind w:firstLine="0" w:firstLineChars="0"/>
              <w:jc w:val="center"/>
              <w:rPr>
                <w:rFonts w:ascii="Times New Roman" w:hAnsi="Times New Roman" w:eastAsia="宋体" w:cs="Times New Roman"/>
                <w:color w:val="auto"/>
                <w:kern w:val="21"/>
                <w:sz w:val="21"/>
                <w:szCs w:val="21"/>
                <w:lang w:val="en-US" w:eastAsia="zh-CN" w:bidi="ar-SA"/>
              </w:rPr>
            </w:pPr>
            <w:r>
              <w:rPr>
                <w:color w:val="auto"/>
                <w:kern w:val="21"/>
                <w:sz w:val="21"/>
                <w:szCs w:val="21"/>
              </w:rPr>
              <w:t>0</w:t>
            </w:r>
          </w:p>
        </w:tc>
        <w:tc>
          <w:tcPr>
            <w:tcW w:w="2388" w:type="dxa"/>
            <w:vMerge w:val="continue"/>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SA"/>
              </w:rPr>
            </w:pPr>
          </w:p>
        </w:tc>
        <w:tc>
          <w:tcPr>
            <w:tcW w:w="695"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
              </w:rPr>
            </w:pPr>
            <w:r>
              <w:rPr>
                <w:color w:val="auto"/>
                <w:kern w:val="21"/>
                <w:sz w:val="21"/>
                <w:szCs w:val="21"/>
                <w:lang w:bidi="ar"/>
              </w:rPr>
              <w:t>间歇</w:t>
            </w:r>
          </w:p>
        </w:tc>
        <w:tc>
          <w:tcPr>
            <w:tcW w:w="1255"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
              </w:rPr>
            </w:pPr>
            <w:r>
              <w:rPr>
                <w:color w:val="auto"/>
                <w:kern w:val="21"/>
                <w:sz w:val="21"/>
                <w:szCs w:val="21"/>
                <w:lang w:bidi="ar"/>
              </w:rPr>
              <w:t>/</w:t>
            </w:r>
          </w:p>
        </w:tc>
        <w:tc>
          <w:tcPr>
            <w:tcW w:w="1626" w:type="dxa"/>
            <w:vAlign w:val="center"/>
          </w:tcPr>
          <w:p>
            <w:pPr>
              <w:pStyle w:val="23"/>
              <w:spacing w:after="0" w:line="240" w:lineRule="auto"/>
              <w:ind w:left="0" w:leftChars="0" w:firstLine="0" w:firstLineChars="0"/>
              <w:jc w:val="center"/>
              <w:rPr>
                <w:rFonts w:ascii="Times New Roman" w:hAnsi="Times New Roman" w:eastAsia="宋体" w:cs="Times New Roman"/>
                <w:color w:val="auto"/>
                <w:kern w:val="21"/>
                <w:sz w:val="21"/>
                <w:szCs w:val="21"/>
                <w:lang w:val="en-US" w:eastAsia="zh-CN" w:bidi="ar"/>
              </w:rPr>
            </w:pPr>
            <w:r>
              <w:rPr>
                <w:color w:val="auto"/>
                <w:kern w:val="21"/>
                <w:sz w:val="21"/>
                <w:szCs w:val="21"/>
                <w:lang w:bidi="ar"/>
              </w:rPr>
              <w:t>/</w:t>
            </w:r>
          </w:p>
        </w:tc>
        <w:tc>
          <w:tcPr>
            <w:tcW w:w="780" w:type="dxa"/>
            <w:vMerge w:val="continue"/>
            <w:vAlign w:val="center"/>
          </w:tcPr>
          <w:p>
            <w:pPr>
              <w:pStyle w:val="23"/>
              <w:spacing w:after="0" w:line="240" w:lineRule="auto"/>
              <w:ind w:left="0" w:leftChars="0" w:firstLine="0" w:firstLineChars="0"/>
              <w:jc w:val="center"/>
              <w:rPr>
                <w:color w:val="auto"/>
                <w:kern w:val="21"/>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Merge w:val="continue"/>
            <w:vAlign w:val="center"/>
          </w:tcPr>
          <w:p>
            <w:pPr>
              <w:pStyle w:val="23"/>
              <w:spacing w:after="0" w:line="240" w:lineRule="auto"/>
              <w:ind w:left="0" w:leftChars="0" w:firstLine="0" w:firstLineChars="0"/>
              <w:jc w:val="center"/>
              <w:rPr>
                <w:color w:val="auto"/>
                <w:kern w:val="21"/>
                <w:sz w:val="21"/>
                <w:szCs w:val="21"/>
                <w:lang w:bidi="ar"/>
              </w:rPr>
            </w:pPr>
          </w:p>
        </w:tc>
        <w:tc>
          <w:tcPr>
            <w:tcW w:w="1040" w:type="dxa"/>
            <w:vAlign w:val="center"/>
          </w:tcPr>
          <w:p>
            <w:pPr>
              <w:pStyle w:val="108"/>
              <w:tabs>
                <w:tab w:val="decimal" w:pos="2182"/>
                <w:tab w:val="left" w:pos="3393"/>
                <w:tab w:val="left" w:pos="5124"/>
              </w:tabs>
              <w:spacing w:before="0" w:after="0" w:afterLines="0"/>
              <w:jc w:val="center"/>
              <w:rPr>
                <w:rFonts w:hint="eastAsia" w:eastAsia="宋体"/>
                <w:color w:val="auto"/>
                <w:kern w:val="21"/>
                <w:szCs w:val="21"/>
                <w:lang w:eastAsia="zh-CN" w:bidi="ar"/>
              </w:rPr>
            </w:pPr>
            <w:r>
              <w:rPr>
                <w:rFonts w:hint="eastAsia"/>
                <w:color w:val="auto"/>
                <w:kern w:val="21"/>
                <w:szCs w:val="21"/>
                <w:lang w:eastAsia="zh-CN" w:bidi="ar"/>
              </w:rPr>
              <w:t>在线监测设备废液</w:t>
            </w:r>
          </w:p>
        </w:tc>
        <w:tc>
          <w:tcPr>
            <w:tcW w:w="1126" w:type="dxa"/>
            <w:vAlign w:val="center"/>
          </w:tcPr>
          <w:p>
            <w:pPr>
              <w:spacing w:line="240" w:lineRule="auto"/>
              <w:ind w:firstLine="0" w:firstLineChars="0"/>
              <w:jc w:val="center"/>
              <w:rPr>
                <w:rFonts w:hint="eastAsia" w:eastAsia="宋体"/>
                <w:color w:val="auto"/>
                <w:kern w:val="21"/>
                <w:sz w:val="21"/>
                <w:szCs w:val="21"/>
                <w:lang w:val="en-US" w:eastAsia="zh-CN"/>
              </w:rPr>
            </w:pPr>
            <w:r>
              <w:rPr>
                <w:rFonts w:hint="eastAsia"/>
                <w:color w:val="auto"/>
                <w:kern w:val="21"/>
                <w:sz w:val="21"/>
                <w:szCs w:val="21"/>
                <w:lang w:val="en-US" w:eastAsia="zh-CN"/>
              </w:rPr>
              <w:t>0</w:t>
            </w:r>
          </w:p>
        </w:tc>
        <w:tc>
          <w:tcPr>
            <w:tcW w:w="2388" w:type="dxa"/>
            <w:vMerge w:val="continue"/>
            <w:vAlign w:val="center"/>
          </w:tcPr>
          <w:p>
            <w:pPr>
              <w:pStyle w:val="23"/>
              <w:spacing w:after="0" w:line="240" w:lineRule="auto"/>
              <w:ind w:left="0" w:leftChars="0" w:firstLine="0" w:firstLineChars="0"/>
              <w:jc w:val="center"/>
              <w:rPr>
                <w:color w:val="auto"/>
                <w:kern w:val="21"/>
                <w:sz w:val="21"/>
                <w:szCs w:val="21"/>
              </w:rPr>
            </w:pPr>
          </w:p>
        </w:tc>
        <w:tc>
          <w:tcPr>
            <w:tcW w:w="695" w:type="dxa"/>
            <w:vAlign w:val="center"/>
          </w:tcPr>
          <w:p>
            <w:pPr>
              <w:pStyle w:val="23"/>
              <w:spacing w:after="0" w:line="240" w:lineRule="auto"/>
              <w:ind w:left="0" w:leftChars="0" w:firstLine="0" w:firstLineChars="0"/>
              <w:jc w:val="center"/>
              <w:rPr>
                <w:color w:val="auto"/>
                <w:kern w:val="21"/>
                <w:sz w:val="21"/>
                <w:szCs w:val="21"/>
                <w:lang w:bidi="ar"/>
              </w:rPr>
            </w:pPr>
          </w:p>
        </w:tc>
        <w:tc>
          <w:tcPr>
            <w:tcW w:w="1255" w:type="dxa"/>
            <w:vAlign w:val="center"/>
          </w:tcPr>
          <w:p>
            <w:pPr>
              <w:pStyle w:val="23"/>
              <w:spacing w:after="0" w:line="240" w:lineRule="auto"/>
              <w:ind w:left="0" w:leftChars="0" w:firstLine="0" w:firstLineChars="0"/>
              <w:jc w:val="center"/>
              <w:rPr>
                <w:color w:val="auto"/>
                <w:kern w:val="21"/>
                <w:sz w:val="21"/>
                <w:szCs w:val="21"/>
                <w:lang w:bidi="ar"/>
              </w:rPr>
            </w:pPr>
          </w:p>
        </w:tc>
        <w:tc>
          <w:tcPr>
            <w:tcW w:w="1626" w:type="dxa"/>
            <w:vAlign w:val="center"/>
          </w:tcPr>
          <w:p>
            <w:pPr>
              <w:pStyle w:val="23"/>
              <w:spacing w:after="0" w:line="240" w:lineRule="auto"/>
              <w:ind w:left="0" w:leftChars="0" w:firstLine="0" w:firstLineChars="0"/>
              <w:jc w:val="center"/>
              <w:rPr>
                <w:color w:val="auto"/>
                <w:kern w:val="21"/>
                <w:sz w:val="21"/>
                <w:szCs w:val="21"/>
                <w:lang w:bidi="ar"/>
              </w:rPr>
            </w:pPr>
          </w:p>
        </w:tc>
        <w:tc>
          <w:tcPr>
            <w:tcW w:w="780" w:type="dxa"/>
            <w:vMerge w:val="continue"/>
            <w:vAlign w:val="center"/>
          </w:tcPr>
          <w:p>
            <w:pPr>
              <w:pStyle w:val="23"/>
              <w:spacing w:after="0" w:line="240" w:lineRule="auto"/>
              <w:ind w:left="0" w:leftChars="0" w:firstLine="0" w:firstLineChars="0"/>
              <w:jc w:val="center"/>
              <w:rPr>
                <w:color w:val="auto"/>
                <w:kern w:val="21"/>
                <w:sz w:val="21"/>
                <w:szCs w:val="21"/>
                <w:lang w:bidi="ar"/>
              </w:rPr>
            </w:pPr>
          </w:p>
        </w:tc>
      </w:tr>
    </w:tbl>
    <w:p>
      <w:pPr>
        <w:pStyle w:val="5"/>
        <w:spacing w:after="0"/>
        <w:rPr>
          <w:color w:val="auto"/>
          <w:kern w:val="21"/>
          <w:sz w:val="28"/>
        </w:rPr>
      </w:pPr>
      <w:bookmarkStart w:id="439" w:name="_Toc15060"/>
      <w:r>
        <w:rPr>
          <w:color w:val="auto"/>
          <w:kern w:val="21"/>
          <w:sz w:val="28"/>
        </w:rPr>
        <w:t>9.6竣工环境保护验收</w:t>
      </w:r>
      <w:bookmarkEnd w:id="439"/>
    </w:p>
    <w:p>
      <w:pPr>
        <w:widowControl/>
        <w:ind w:firstLine="480"/>
        <w:jc w:val="left"/>
        <w:rPr>
          <w:color w:val="auto"/>
          <w:kern w:val="21"/>
        </w:rPr>
      </w:pPr>
      <w:r>
        <w:rPr>
          <w:color w:val="auto"/>
          <w:kern w:val="21"/>
          <w:lang w:bidi="ar"/>
        </w:rPr>
        <w:t>根据《建设项目环境保护管理条例》，建设项目需要配套建设的环境保护设施，必须与主体工程同时设计、同时施工、同时投产使用。</w:t>
      </w:r>
      <w:r>
        <w:rPr>
          <w:color w:val="auto"/>
          <w:kern w:val="21"/>
        </w:rPr>
        <w:t>本项目竣工环境保护验收内容见</w:t>
      </w:r>
      <w:r>
        <w:rPr>
          <w:rFonts w:hint="eastAsia"/>
          <w:color w:val="auto"/>
          <w:kern w:val="21"/>
          <w:lang w:eastAsia="zh-CN"/>
        </w:rPr>
        <w:t>下表</w:t>
      </w:r>
      <w:r>
        <w:rPr>
          <w:color w:val="auto"/>
          <w:kern w:val="21"/>
        </w:rPr>
        <w:t>。</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60" w:lineRule="auto"/>
        <w:ind w:left="0" w:leftChars="0" w:firstLine="0" w:firstLineChars="0"/>
        <w:jc w:val="center"/>
        <w:textAlignment w:val="auto"/>
        <w:rPr>
          <w:b/>
          <w:color w:val="auto"/>
          <w:kern w:val="21"/>
        </w:rPr>
      </w:pPr>
      <w:r>
        <w:rPr>
          <w:b/>
          <w:color w:val="auto"/>
          <w:kern w:val="21"/>
        </w:rPr>
        <w:t>项目环保措施竣工验收一览表</w:t>
      </w:r>
    </w:p>
    <w:tbl>
      <w:tblPr>
        <w:tblStyle w:val="51"/>
        <w:tblW w:w="9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696"/>
        <w:gridCol w:w="2451"/>
        <w:gridCol w:w="2604"/>
        <w:gridCol w:w="3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108"/>
              <w:spacing w:before="0" w:after="0" w:afterLines="0"/>
              <w:jc w:val="center"/>
              <w:rPr>
                <w:rFonts w:ascii="Times New Roman" w:hAnsi="Times New Roman"/>
                <w:b/>
                <w:bCs/>
                <w:color w:val="auto"/>
                <w:kern w:val="21"/>
                <w:szCs w:val="21"/>
              </w:rPr>
            </w:pPr>
            <w:r>
              <w:rPr>
                <w:rFonts w:ascii="Times New Roman" w:hAnsi="Times New Roman"/>
                <w:b/>
                <w:bCs/>
                <w:color w:val="auto"/>
                <w:kern w:val="21"/>
                <w:szCs w:val="21"/>
              </w:rPr>
              <w:t>序号</w:t>
            </w:r>
          </w:p>
        </w:tc>
        <w:tc>
          <w:tcPr>
            <w:tcW w:w="696" w:type="dxa"/>
            <w:vAlign w:val="center"/>
          </w:tcPr>
          <w:p>
            <w:pPr>
              <w:pStyle w:val="108"/>
              <w:spacing w:before="0" w:after="0" w:afterLines="0"/>
              <w:jc w:val="center"/>
              <w:rPr>
                <w:rFonts w:ascii="Times New Roman" w:hAnsi="Times New Roman"/>
                <w:b/>
                <w:bCs/>
                <w:color w:val="auto"/>
                <w:kern w:val="21"/>
                <w:szCs w:val="21"/>
              </w:rPr>
            </w:pPr>
            <w:r>
              <w:rPr>
                <w:rFonts w:ascii="Times New Roman" w:hAnsi="Times New Roman"/>
                <w:b/>
                <w:bCs/>
                <w:color w:val="auto"/>
                <w:kern w:val="21"/>
                <w:szCs w:val="21"/>
              </w:rPr>
              <w:t>项目</w:t>
            </w:r>
          </w:p>
        </w:tc>
        <w:tc>
          <w:tcPr>
            <w:tcW w:w="2451" w:type="dxa"/>
            <w:vAlign w:val="center"/>
          </w:tcPr>
          <w:p>
            <w:pPr>
              <w:pStyle w:val="108"/>
              <w:spacing w:before="0" w:after="0" w:afterLines="0"/>
              <w:jc w:val="center"/>
              <w:rPr>
                <w:rFonts w:ascii="Times New Roman" w:hAnsi="Times New Roman"/>
                <w:b/>
                <w:bCs/>
                <w:color w:val="auto"/>
                <w:kern w:val="21"/>
                <w:szCs w:val="21"/>
              </w:rPr>
            </w:pPr>
            <w:r>
              <w:rPr>
                <w:rFonts w:ascii="Times New Roman" w:hAnsi="Times New Roman"/>
                <w:b/>
                <w:bCs/>
                <w:color w:val="auto"/>
                <w:kern w:val="21"/>
                <w:szCs w:val="21"/>
              </w:rPr>
              <w:t>验收对象</w:t>
            </w:r>
          </w:p>
        </w:tc>
        <w:tc>
          <w:tcPr>
            <w:tcW w:w="2604" w:type="dxa"/>
            <w:vAlign w:val="center"/>
          </w:tcPr>
          <w:p>
            <w:pPr>
              <w:pStyle w:val="108"/>
              <w:spacing w:before="0" w:after="0" w:afterLines="0"/>
              <w:jc w:val="center"/>
              <w:rPr>
                <w:rFonts w:ascii="Times New Roman" w:hAnsi="Times New Roman"/>
                <w:b/>
                <w:bCs/>
                <w:color w:val="auto"/>
                <w:kern w:val="21"/>
                <w:szCs w:val="21"/>
              </w:rPr>
            </w:pPr>
            <w:r>
              <w:rPr>
                <w:rFonts w:ascii="Times New Roman" w:hAnsi="Times New Roman"/>
                <w:b/>
                <w:bCs/>
                <w:color w:val="auto"/>
                <w:kern w:val="21"/>
                <w:szCs w:val="21"/>
              </w:rPr>
              <w:t>处理对象</w:t>
            </w:r>
          </w:p>
        </w:tc>
        <w:tc>
          <w:tcPr>
            <w:tcW w:w="3453" w:type="dxa"/>
            <w:vAlign w:val="center"/>
          </w:tcPr>
          <w:p>
            <w:pPr>
              <w:pStyle w:val="108"/>
              <w:spacing w:before="0" w:after="0" w:afterLines="0"/>
              <w:jc w:val="center"/>
              <w:rPr>
                <w:rFonts w:ascii="Times New Roman" w:hAnsi="Times New Roman"/>
                <w:b/>
                <w:bCs/>
                <w:color w:val="auto"/>
                <w:kern w:val="21"/>
                <w:szCs w:val="21"/>
              </w:rPr>
            </w:pPr>
            <w:r>
              <w:rPr>
                <w:rFonts w:ascii="Times New Roman" w:hAnsi="Times New Roman"/>
                <w:b/>
                <w:bCs/>
                <w:color w:val="auto"/>
                <w:kern w:val="21"/>
                <w:szCs w:val="21"/>
              </w:rPr>
              <w:t>采用标准及验收要求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51" w:type="dxa"/>
            <w:vMerge w:val="restart"/>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1</w:t>
            </w:r>
          </w:p>
        </w:tc>
        <w:tc>
          <w:tcPr>
            <w:tcW w:w="696" w:type="dxa"/>
            <w:vMerge w:val="restart"/>
            <w:vAlign w:val="center"/>
          </w:tcPr>
          <w:p>
            <w:pPr>
              <w:pStyle w:val="108"/>
              <w:tabs>
                <w:tab w:val="decimal" w:pos="2182"/>
                <w:tab w:val="left" w:pos="3393"/>
                <w:tab w:val="left" w:pos="5124"/>
              </w:tabs>
              <w:spacing w:before="0" w:after="0" w:afterLines="0"/>
              <w:jc w:val="center"/>
              <w:rPr>
                <w:rFonts w:ascii="Times New Roman" w:hAnsi="Times New Roman"/>
                <w:color w:val="auto"/>
                <w:kern w:val="21"/>
                <w:szCs w:val="21"/>
              </w:rPr>
            </w:pPr>
            <w:r>
              <w:rPr>
                <w:rFonts w:ascii="Times New Roman" w:hAnsi="Times New Roman"/>
                <w:color w:val="auto"/>
                <w:kern w:val="21"/>
                <w:szCs w:val="21"/>
              </w:rPr>
              <w:t>废气</w:t>
            </w:r>
          </w:p>
        </w:tc>
        <w:tc>
          <w:tcPr>
            <w:tcW w:w="2451" w:type="dxa"/>
            <w:vAlign w:val="center"/>
          </w:tcPr>
          <w:p>
            <w:pPr>
              <w:widowControl/>
              <w:spacing w:line="240" w:lineRule="auto"/>
              <w:ind w:firstLine="0" w:firstLineChars="0"/>
              <w:jc w:val="center"/>
              <w:rPr>
                <w:rFonts w:hint="default" w:eastAsia="宋体"/>
                <w:color w:val="auto"/>
                <w:kern w:val="21"/>
                <w:sz w:val="21"/>
                <w:szCs w:val="21"/>
                <w:lang w:val="en-US" w:eastAsia="zh-CN" w:bidi="ar"/>
              </w:rPr>
            </w:pPr>
            <w:r>
              <w:rPr>
                <w:rFonts w:hint="eastAsia"/>
                <w:color w:val="auto"/>
                <w:kern w:val="21"/>
                <w:sz w:val="21"/>
                <w:szCs w:val="21"/>
                <w:lang w:eastAsia="zh-CN" w:bidi="ar"/>
              </w:rPr>
              <w:t>活性炭吸附塔及</w:t>
            </w:r>
            <w:r>
              <w:rPr>
                <w:rFonts w:hint="eastAsia"/>
                <w:color w:val="auto"/>
                <w:kern w:val="21"/>
                <w:sz w:val="21"/>
                <w:szCs w:val="21"/>
                <w:lang w:val="en-US" w:eastAsia="zh-CN" w:bidi="ar"/>
              </w:rPr>
              <w:t>15m排气筒</w:t>
            </w:r>
          </w:p>
        </w:tc>
        <w:tc>
          <w:tcPr>
            <w:tcW w:w="2604"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粗格栅及进水泵房、细格栅及调节池、混凝沉淀池、</w:t>
            </w:r>
            <w:r>
              <w:rPr>
                <w:rFonts w:hint="eastAsia" w:ascii="Times New Roman" w:hAnsi="Times New Roman"/>
                <w:color w:val="auto"/>
                <w:kern w:val="21"/>
                <w:szCs w:val="21"/>
                <w:lang w:val="en-US" w:eastAsia="zh-CN"/>
              </w:rPr>
              <w:t>水解酸化池、</w:t>
            </w:r>
            <w:r>
              <w:rPr>
                <w:rFonts w:ascii="Times New Roman" w:hAnsi="Times New Roman"/>
                <w:color w:val="auto"/>
                <w:kern w:val="21"/>
                <w:szCs w:val="21"/>
                <w:lang w:val="en-US"/>
              </w:rPr>
              <w:t>污泥脱水车间</w:t>
            </w:r>
            <w:r>
              <w:rPr>
                <w:rFonts w:hint="eastAsia" w:ascii="Times New Roman" w:hAnsi="Times New Roman"/>
                <w:color w:val="auto"/>
                <w:kern w:val="21"/>
                <w:szCs w:val="21"/>
                <w:lang w:val="en-US" w:eastAsia="zh-CN"/>
              </w:rPr>
              <w:t>、污泥浓缩池</w:t>
            </w:r>
            <w:r>
              <w:rPr>
                <w:rFonts w:ascii="Times New Roman" w:hAnsi="Times New Roman"/>
                <w:color w:val="auto"/>
                <w:kern w:val="21"/>
                <w:szCs w:val="21"/>
                <w:lang w:val="en-US"/>
              </w:rPr>
              <w:t>产生的臭气</w:t>
            </w:r>
          </w:p>
        </w:tc>
        <w:tc>
          <w:tcPr>
            <w:tcW w:w="3453" w:type="dxa"/>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eastAsia="zh-CN" w:bidi="ar"/>
              </w:rPr>
              <w:t>有组织废气排放</w:t>
            </w:r>
            <w:r>
              <w:rPr>
                <w:color w:val="auto"/>
                <w:kern w:val="21"/>
                <w:sz w:val="21"/>
                <w:szCs w:val="21"/>
                <w:lang w:bidi="ar"/>
              </w:rPr>
              <w:t>执行</w:t>
            </w:r>
            <w:r>
              <w:rPr>
                <w:rFonts w:hint="eastAsia"/>
                <w:color w:val="auto"/>
                <w:kern w:val="21"/>
                <w:sz w:val="21"/>
                <w:szCs w:val="21"/>
                <w:lang w:val="en-US" w:eastAsia="zh-CN" w:bidi="ar"/>
              </w:rPr>
              <w:t>《恶臭污染物排放标准》（GB14554-1993）中表2排放速率的限值要求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51" w:type="dxa"/>
            <w:vMerge w:val="continue"/>
            <w:vAlign w:val="center"/>
          </w:tcPr>
          <w:p>
            <w:pPr>
              <w:pStyle w:val="108"/>
              <w:spacing w:before="0" w:after="0" w:afterLines="0"/>
              <w:jc w:val="center"/>
              <w:rPr>
                <w:rFonts w:ascii="Times New Roman" w:hAnsi="Times New Roman"/>
                <w:color w:val="auto"/>
                <w:kern w:val="21"/>
                <w:szCs w:val="21"/>
                <w:lang w:val="en-US"/>
              </w:rPr>
            </w:pPr>
          </w:p>
        </w:tc>
        <w:tc>
          <w:tcPr>
            <w:tcW w:w="696" w:type="dxa"/>
            <w:vMerge w:val="continue"/>
            <w:vAlign w:val="center"/>
          </w:tcPr>
          <w:p>
            <w:pPr>
              <w:pStyle w:val="108"/>
              <w:spacing w:before="0" w:after="0" w:afterLines="0"/>
              <w:jc w:val="center"/>
              <w:rPr>
                <w:rFonts w:ascii="Times New Roman" w:hAnsi="Times New Roman"/>
                <w:color w:val="auto"/>
                <w:kern w:val="21"/>
                <w:szCs w:val="21"/>
              </w:rPr>
            </w:pPr>
          </w:p>
        </w:tc>
        <w:tc>
          <w:tcPr>
            <w:tcW w:w="2451" w:type="dxa"/>
            <w:vAlign w:val="center"/>
          </w:tcPr>
          <w:p>
            <w:pPr>
              <w:widowControl/>
              <w:spacing w:line="240" w:lineRule="auto"/>
              <w:ind w:firstLine="0" w:firstLineChars="0"/>
              <w:jc w:val="center"/>
              <w:rPr>
                <w:rFonts w:hint="eastAsia" w:eastAsia="宋体"/>
                <w:color w:val="auto"/>
                <w:kern w:val="21"/>
                <w:sz w:val="21"/>
                <w:szCs w:val="21"/>
                <w:lang w:eastAsia="zh-CN"/>
              </w:rPr>
            </w:pPr>
            <w:r>
              <w:rPr>
                <w:rFonts w:hint="eastAsia"/>
                <w:color w:val="auto"/>
                <w:kern w:val="21"/>
                <w:sz w:val="21"/>
                <w:szCs w:val="21"/>
                <w:lang w:eastAsia="zh-CN"/>
              </w:rPr>
              <w:t>加盖密闭</w:t>
            </w:r>
          </w:p>
        </w:tc>
        <w:tc>
          <w:tcPr>
            <w:tcW w:w="260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粗格栅及进水泵房、细格栅及调节池、混凝沉淀池、</w:t>
            </w:r>
            <w:r>
              <w:rPr>
                <w:rFonts w:hint="eastAsia" w:ascii="Times New Roman" w:hAnsi="Times New Roman"/>
                <w:color w:val="auto"/>
                <w:kern w:val="21"/>
                <w:szCs w:val="21"/>
                <w:lang w:val="en-US" w:eastAsia="zh-CN"/>
              </w:rPr>
              <w:t>水解酸化池、</w:t>
            </w:r>
            <w:r>
              <w:rPr>
                <w:rFonts w:ascii="Times New Roman" w:hAnsi="Times New Roman"/>
                <w:color w:val="auto"/>
                <w:kern w:val="21"/>
                <w:szCs w:val="21"/>
                <w:lang w:val="en-US"/>
              </w:rPr>
              <w:t>污泥脱水车间</w:t>
            </w:r>
            <w:r>
              <w:rPr>
                <w:rFonts w:hint="eastAsia" w:ascii="Times New Roman" w:hAnsi="Times New Roman"/>
                <w:color w:val="auto"/>
                <w:kern w:val="21"/>
                <w:szCs w:val="21"/>
                <w:lang w:val="en-US" w:eastAsia="zh-CN"/>
              </w:rPr>
              <w:t>、污泥浓缩池</w:t>
            </w:r>
            <w:r>
              <w:rPr>
                <w:rFonts w:ascii="Times New Roman" w:hAnsi="Times New Roman"/>
                <w:color w:val="auto"/>
                <w:kern w:val="21"/>
                <w:szCs w:val="21"/>
                <w:lang w:val="en-US"/>
              </w:rPr>
              <w:t>产生的臭气</w:t>
            </w:r>
          </w:p>
        </w:tc>
        <w:tc>
          <w:tcPr>
            <w:tcW w:w="3453"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无组织排放执行《城镇污水处理厂污染物排放标准》（GB18918-2002）厂界（防护带边缘）废气排放最高允许浓度标准二级标准。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51" w:type="dxa"/>
            <w:vMerge w:val="continue"/>
            <w:vAlign w:val="center"/>
          </w:tcPr>
          <w:p>
            <w:pPr>
              <w:pStyle w:val="108"/>
              <w:spacing w:before="0" w:after="0" w:afterLines="0"/>
              <w:jc w:val="center"/>
              <w:rPr>
                <w:rFonts w:ascii="Times New Roman" w:hAnsi="Times New Roman"/>
                <w:color w:val="auto"/>
                <w:kern w:val="21"/>
                <w:szCs w:val="21"/>
                <w:lang w:val="en-US"/>
              </w:rPr>
            </w:pPr>
          </w:p>
        </w:tc>
        <w:tc>
          <w:tcPr>
            <w:tcW w:w="696" w:type="dxa"/>
            <w:vMerge w:val="continue"/>
            <w:vAlign w:val="center"/>
          </w:tcPr>
          <w:p>
            <w:pPr>
              <w:pStyle w:val="108"/>
              <w:spacing w:before="0" w:after="0" w:afterLines="0"/>
              <w:jc w:val="center"/>
              <w:rPr>
                <w:rFonts w:ascii="Times New Roman" w:hAnsi="Times New Roman"/>
                <w:color w:val="auto"/>
                <w:kern w:val="21"/>
                <w:szCs w:val="21"/>
              </w:rPr>
            </w:pPr>
          </w:p>
        </w:tc>
        <w:tc>
          <w:tcPr>
            <w:tcW w:w="2451" w:type="dxa"/>
            <w:vAlign w:val="center"/>
          </w:tcPr>
          <w:p>
            <w:pPr>
              <w:widowControl/>
              <w:spacing w:line="240" w:lineRule="auto"/>
              <w:ind w:firstLine="0" w:firstLineChars="0"/>
              <w:jc w:val="center"/>
              <w:rPr>
                <w:rFonts w:hint="eastAsia" w:eastAsia="宋体"/>
                <w:color w:val="auto"/>
                <w:kern w:val="21"/>
                <w:sz w:val="21"/>
                <w:szCs w:val="21"/>
                <w:lang w:eastAsia="zh-CN" w:bidi="ar"/>
              </w:rPr>
            </w:pPr>
            <w:r>
              <w:rPr>
                <w:color w:val="auto"/>
                <w:kern w:val="21"/>
                <w:sz w:val="21"/>
                <w:szCs w:val="21"/>
                <w:lang w:bidi="ar"/>
              </w:rPr>
              <w:t>油烟净化</w:t>
            </w:r>
            <w:r>
              <w:rPr>
                <w:rFonts w:hint="eastAsia"/>
                <w:color w:val="auto"/>
                <w:kern w:val="21"/>
                <w:sz w:val="21"/>
                <w:szCs w:val="21"/>
                <w:lang w:eastAsia="zh-CN" w:bidi="ar"/>
              </w:rPr>
              <w:t>器</w:t>
            </w:r>
          </w:p>
        </w:tc>
        <w:tc>
          <w:tcPr>
            <w:tcW w:w="2604"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食堂油烟</w:t>
            </w:r>
          </w:p>
        </w:tc>
        <w:tc>
          <w:tcPr>
            <w:tcW w:w="3453"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《饮食业油烟排放标准》（GB18483—2001）油烟最高允许排放浓度和油烟净化设施最低去除效率的标准限值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551" w:type="dxa"/>
            <w:vMerge w:val="restart"/>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2</w:t>
            </w:r>
          </w:p>
        </w:tc>
        <w:tc>
          <w:tcPr>
            <w:tcW w:w="696" w:type="dxa"/>
            <w:vMerge w:val="restart"/>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污水</w:t>
            </w:r>
          </w:p>
        </w:tc>
        <w:tc>
          <w:tcPr>
            <w:tcW w:w="2451"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污水处理工艺、设施及规范排污口</w:t>
            </w:r>
          </w:p>
        </w:tc>
        <w:tc>
          <w:tcPr>
            <w:tcW w:w="2604"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lang w:bidi="ar"/>
              </w:rPr>
              <w:t>进厂污水、出厂污水</w:t>
            </w:r>
          </w:p>
        </w:tc>
        <w:tc>
          <w:tcPr>
            <w:tcW w:w="3453" w:type="dxa"/>
            <w:vAlign w:val="center"/>
          </w:tcPr>
          <w:p>
            <w:pPr>
              <w:widowControl/>
              <w:spacing w:line="240" w:lineRule="auto"/>
              <w:ind w:firstLine="0" w:firstLineChars="0"/>
              <w:rPr>
                <w:color w:val="auto"/>
                <w:kern w:val="21"/>
                <w:sz w:val="21"/>
                <w:szCs w:val="21"/>
              </w:rPr>
            </w:pPr>
            <w:r>
              <w:rPr>
                <w:color w:val="auto"/>
                <w:kern w:val="21"/>
                <w:sz w:val="21"/>
                <w:szCs w:val="21"/>
                <w:lang w:bidi="ar"/>
              </w:rPr>
              <w:t>出水达到</w:t>
            </w:r>
            <w:r>
              <w:rPr>
                <w:rFonts w:hint="eastAsia"/>
                <w:color w:val="auto"/>
                <w:kern w:val="21"/>
                <w:sz w:val="21"/>
                <w:szCs w:val="21"/>
                <w:lang w:eastAsia="zh-CN" w:bidi="ar"/>
              </w:rPr>
              <w:t>表2-23</w:t>
            </w:r>
            <w:r>
              <w:rPr>
                <w:rFonts w:hint="eastAsia"/>
                <w:color w:val="auto"/>
                <w:kern w:val="21"/>
                <w:sz w:val="21"/>
                <w:szCs w:val="21"/>
                <w:lang w:val="en-US" w:eastAsia="zh-CN" w:bidi="ar"/>
              </w:rPr>
              <w:t>的限值要求后</w:t>
            </w:r>
            <w:r>
              <w:rPr>
                <w:color w:val="auto"/>
                <w:kern w:val="21"/>
                <w:sz w:val="21"/>
                <w:szCs w:val="21"/>
                <w:lang w:bidi="ar"/>
              </w:rPr>
              <w:t>排入青龙河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51" w:type="dxa"/>
            <w:vMerge w:val="continue"/>
            <w:vAlign w:val="center"/>
          </w:tcPr>
          <w:p>
            <w:pPr>
              <w:pStyle w:val="108"/>
              <w:spacing w:before="0" w:after="0" w:afterLines="0"/>
              <w:jc w:val="center"/>
              <w:rPr>
                <w:rFonts w:ascii="Times New Roman" w:hAnsi="Times New Roman"/>
                <w:color w:val="auto"/>
                <w:kern w:val="21"/>
                <w:szCs w:val="21"/>
                <w:lang w:val="en-US"/>
              </w:rPr>
            </w:pPr>
          </w:p>
        </w:tc>
        <w:tc>
          <w:tcPr>
            <w:tcW w:w="696" w:type="dxa"/>
            <w:vMerge w:val="continue"/>
            <w:vAlign w:val="center"/>
          </w:tcPr>
          <w:p>
            <w:pPr>
              <w:pStyle w:val="108"/>
              <w:spacing w:before="0" w:after="0" w:afterLines="0"/>
              <w:jc w:val="center"/>
              <w:rPr>
                <w:rFonts w:ascii="Times New Roman" w:hAnsi="Times New Roman"/>
                <w:color w:val="auto"/>
                <w:kern w:val="21"/>
                <w:szCs w:val="21"/>
              </w:rPr>
            </w:pPr>
          </w:p>
        </w:tc>
        <w:tc>
          <w:tcPr>
            <w:tcW w:w="2451"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日常管理及在线监测装置</w:t>
            </w:r>
          </w:p>
        </w:tc>
        <w:tc>
          <w:tcPr>
            <w:tcW w:w="2604" w:type="dxa"/>
            <w:vMerge w:val="continue"/>
            <w:vAlign w:val="center"/>
          </w:tcPr>
          <w:p>
            <w:pPr>
              <w:pStyle w:val="108"/>
              <w:spacing w:before="0" w:after="0" w:afterLines="0"/>
              <w:jc w:val="center"/>
              <w:rPr>
                <w:rFonts w:ascii="Times New Roman" w:hAnsi="Times New Roman"/>
                <w:color w:val="auto"/>
                <w:kern w:val="21"/>
                <w:szCs w:val="21"/>
              </w:rPr>
            </w:pPr>
          </w:p>
        </w:tc>
        <w:tc>
          <w:tcPr>
            <w:tcW w:w="3453" w:type="dxa"/>
            <w:vAlign w:val="center"/>
          </w:tcPr>
          <w:p>
            <w:pPr>
              <w:widowControl/>
              <w:spacing w:line="240" w:lineRule="auto"/>
              <w:ind w:firstLine="0" w:firstLineChars="0"/>
              <w:rPr>
                <w:color w:val="auto"/>
                <w:kern w:val="21"/>
                <w:sz w:val="21"/>
                <w:szCs w:val="21"/>
              </w:rPr>
            </w:pPr>
            <w:r>
              <w:rPr>
                <w:color w:val="auto"/>
                <w:kern w:val="21"/>
                <w:sz w:val="21"/>
                <w:szCs w:val="21"/>
                <w:lang w:bidi="ar"/>
              </w:rPr>
              <w:t>全厂范围内严格实施清污、雨污分流；在进水口、出水口设污水水量自动计量装置、自动比例采样装置，pH、SS、COD、氨氮、总磷等主要水质指标安装在线监测装置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51" w:type="dxa"/>
            <w:vMerge w:val="restart"/>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3</w:t>
            </w:r>
          </w:p>
        </w:tc>
        <w:tc>
          <w:tcPr>
            <w:tcW w:w="696" w:type="dxa"/>
            <w:vMerge w:val="restart"/>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地下水</w:t>
            </w:r>
          </w:p>
        </w:tc>
        <w:tc>
          <w:tcPr>
            <w:tcW w:w="2451"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防渗</w:t>
            </w:r>
          </w:p>
        </w:tc>
        <w:tc>
          <w:tcPr>
            <w:tcW w:w="6057" w:type="dxa"/>
            <w:gridSpan w:val="2"/>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整体工程进行防渗防腐</w:t>
            </w:r>
            <w:r>
              <w:rPr>
                <w:rFonts w:hint="eastAsia"/>
                <w:color w:val="auto"/>
                <w:kern w:val="21"/>
                <w:sz w:val="21"/>
                <w:szCs w:val="21"/>
                <w:lang w:eastAsia="zh-CN" w:bidi="ar"/>
              </w:rPr>
              <w:t>，包括</w:t>
            </w:r>
            <w:r>
              <w:rPr>
                <w:rFonts w:hint="eastAsia"/>
                <w:color w:val="auto"/>
                <w:kern w:val="21"/>
                <w:sz w:val="21"/>
                <w:szCs w:val="21"/>
                <w:lang w:bidi="ar"/>
              </w:rPr>
              <w:t>厂区污水管网防渗措施</w:t>
            </w:r>
            <w:r>
              <w:rPr>
                <w:rFonts w:hint="eastAsia"/>
                <w:color w:val="auto"/>
                <w:kern w:val="21"/>
                <w:sz w:val="21"/>
                <w:szCs w:val="21"/>
                <w:lang w:eastAsia="zh-CN" w:bidi="ar"/>
              </w:rPr>
              <w:t>、</w:t>
            </w:r>
            <w:r>
              <w:rPr>
                <w:rFonts w:hint="eastAsia"/>
                <w:color w:val="auto"/>
                <w:kern w:val="21"/>
                <w:sz w:val="21"/>
                <w:szCs w:val="21"/>
                <w:lang w:bidi="ar"/>
              </w:rPr>
              <w:t>厂区构筑物防渗措施</w:t>
            </w:r>
            <w:r>
              <w:rPr>
                <w:rFonts w:hint="eastAsia"/>
                <w:color w:val="auto"/>
                <w:kern w:val="21"/>
                <w:sz w:val="21"/>
                <w:szCs w:val="21"/>
                <w:lang w:eastAsia="zh-CN" w:bidi="ar"/>
              </w:rPr>
              <w:t>、</w:t>
            </w:r>
            <w:r>
              <w:rPr>
                <w:rFonts w:hint="eastAsia"/>
                <w:color w:val="auto"/>
                <w:kern w:val="21"/>
                <w:sz w:val="21"/>
                <w:szCs w:val="21"/>
                <w:lang w:bidi="ar"/>
              </w:rPr>
              <w:t>工艺管道防腐</w:t>
            </w:r>
            <w:r>
              <w:rPr>
                <w:rFonts w:hint="eastAsia"/>
                <w:color w:val="auto"/>
                <w:kern w:val="21"/>
                <w:sz w:val="21"/>
                <w:szCs w:val="21"/>
                <w:lang w:eastAsia="zh-CN" w:bidi="ar"/>
              </w:rPr>
              <w:t>，详见地下水环境保护措施章节。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51" w:type="dxa"/>
            <w:vMerge w:val="continue"/>
            <w:vAlign w:val="center"/>
          </w:tcPr>
          <w:p>
            <w:pPr>
              <w:pStyle w:val="108"/>
              <w:spacing w:before="0" w:after="0" w:afterLines="0"/>
              <w:jc w:val="center"/>
              <w:rPr>
                <w:rFonts w:ascii="Times New Roman" w:hAnsi="Times New Roman"/>
                <w:color w:val="auto"/>
                <w:kern w:val="21"/>
                <w:szCs w:val="21"/>
                <w:lang w:val="en-US"/>
              </w:rPr>
            </w:pPr>
          </w:p>
        </w:tc>
        <w:tc>
          <w:tcPr>
            <w:tcW w:w="696" w:type="dxa"/>
            <w:vMerge w:val="continue"/>
            <w:vAlign w:val="center"/>
          </w:tcPr>
          <w:p>
            <w:pPr>
              <w:pStyle w:val="108"/>
              <w:spacing w:before="0" w:after="0" w:afterLines="0"/>
              <w:jc w:val="center"/>
              <w:rPr>
                <w:rFonts w:ascii="Times New Roman" w:hAnsi="Times New Roman"/>
                <w:color w:val="auto"/>
                <w:kern w:val="21"/>
                <w:szCs w:val="21"/>
              </w:rPr>
            </w:pPr>
          </w:p>
        </w:tc>
        <w:tc>
          <w:tcPr>
            <w:tcW w:w="2451"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监控系统</w:t>
            </w:r>
          </w:p>
        </w:tc>
        <w:tc>
          <w:tcPr>
            <w:tcW w:w="6057" w:type="dxa"/>
            <w:gridSpan w:val="2"/>
            <w:vAlign w:val="center"/>
          </w:tcPr>
          <w:p>
            <w:pPr>
              <w:widowControl/>
              <w:spacing w:line="240" w:lineRule="auto"/>
              <w:ind w:firstLine="0" w:firstLineChars="0"/>
              <w:jc w:val="center"/>
              <w:rPr>
                <w:color w:val="auto"/>
                <w:kern w:val="21"/>
                <w:sz w:val="21"/>
                <w:szCs w:val="21"/>
              </w:rPr>
            </w:pPr>
            <w:r>
              <w:rPr>
                <w:color w:val="auto"/>
                <w:kern w:val="21"/>
                <w:sz w:val="21"/>
                <w:szCs w:val="21"/>
                <w:lang w:bidi="ar"/>
              </w:rPr>
              <w:t>设置地下水污染监控系统（</w:t>
            </w:r>
            <w:r>
              <w:rPr>
                <w:rFonts w:hint="eastAsia"/>
                <w:color w:val="auto"/>
                <w:kern w:val="21"/>
                <w:sz w:val="21"/>
                <w:szCs w:val="21"/>
              </w:rPr>
              <w:t>上游跟踪监测井设在综合楼南侧，厂区跟踪监测井设在在线检测房北侧，下游跟踪监测井设在二期北厂界</w:t>
            </w:r>
            <w:r>
              <w:rPr>
                <w:color w:val="auto"/>
                <w:kern w:val="21"/>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51" w:type="dxa"/>
            <w:vMerge w:val="restart"/>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4</w:t>
            </w:r>
          </w:p>
        </w:tc>
        <w:tc>
          <w:tcPr>
            <w:tcW w:w="696" w:type="dxa"/>
            <w:vMerge w:val="restart"/>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固体废物</w:t>
            </w:r>
          </w:p>
        </w:tc>
        <w:tc>
          <w:tcPr>
            <w:tcW w:w="2451"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污泥处置暂存设施</w:t>
            </w:r>
          </w:p>
        </w:tc>
        <w:tc>
          <w:tcPr>
            <w:tcW w:w="260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bidi="ar"/>
              </w:rPr>
              <w:t>污泥</w:t>
            </w:r>
          </w:p>
        </w:tc>
        <w:tc>
          <w:tcPr>
            <w:tcW w:w="3453" w:type="dxa"/>
            <w:vAlign w:val="center"/>
          </w:tcPr>
          <w:p>
            <w:pPr>
              <w:widowControl/>
              <w:spacing w:line="240" w:lineRule="auto"/>
              <w:ind w:firstLine="0" w:firstLineChars="0"/>
              <w:jc w:val="center"/>
              <w:rPr>
                <w:color w:val="auto"/>
                <w:kern w:val="21"/>
                <w:sz w:val="21"/>
                <w:szCs w:val="21"/>
              </w:rPr>
            </w:pPr>
            <w:r>
              <w:rPr>
                <w:color w:val="auto"/>
                <w:kern w:val="21"/>
                <w:sz w:val="21"/>
                <w:szCs w:val="21"/>
              </w:rPr>
              <w:t>污泥鉴别报告、处置合同、联单、台账等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51" w:type="dxa"/>
            <w:vMerge w:val="continue"/>
            <w:vAlign w:val="center"/>
          </w:tcPr>
          <w:p>
            <w:pPr>
              <w:pStyle w:val="108"/>
              <w:spacing w:before="0" w:after="0" w:afterLines="0"/>
              <w:jc w:val="center"/>
              <w:rPr>
                <w:rFonts w:ascii="Times New Roman" w:hAnsi="Times New Roman"/>
                <w:color w:val="auto"/>
                <w:kern w:val="21"/>
                <w:szCs w:val="21"/>
              </w:rPr>
            </w:pPr>
          </w:p>
        </w:tc>
        <w:tc>
          <w:tcPr>
            <w:tcW w:w="696" w:type="dxa"/>
            <w:vMerge w:val="continue"/>
            <w:vAlign w:val="center"/>
          </w:tcPr>
          <w:p>
            <w:pPr>
              <w:pStyle w:val="108"/>
              <w:spacing w:before="0" w:after="0" w:afterLines="0"/>
              <w:jc w:val="center"/>
              <w:rPr>
                <w:rFonts w:ascii="Times New Roman" w:hAnsi="Times New Roman"/>
                <w:color w:val="auto"/>
                <w:kern w:val="21"/>
                <w:szCs w:val="21"/>
              </w:rPr>
            </w:pPr>
          </w:p>
        </w:tc>
        <w:tc>
          <w:tcPr>
            <w:tcW w:w="2451"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rPr>
              <w:t>垃圾收集</w:t>
            </w:r>
            <w:r>
              <w:rPr>
                <w:rFonts w:ascii="Times New Roman" w:hAnsi="Times New Roman"/>
                <w:color w:val="auto"/>
                <w:kern w:val="21"/>
                <w:szCs w:val="21"/>
                <w:lang w:val="en-US"/>
              </w:rPr>
              <w:t>箱</w:t>
            </w:r>
          </w:p>
        </w:tc>
        <w:tc>
          <w:tcPr>
            <w:tcW w:w="260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栅渣、生活垃圾</w:t>
            </w:r>
          </w:p>
        </w:tc>
        <w:tc>
          <w:tcPr>
            <w:tcW w:w="3453"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建设单位清运至环卫部门指定地点，有环卫部门处置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51" w:type="dxa"/>
            <w:vMerge w:val="continue"/>
            <w:vAlign w:val="center"/>
          </w:tcPr>
          <w:p>
            <w:pPr>
              <w:pStyle w:val="108"/>
              <w:spacing w:before="0" w:after="0" w:afterLines="0"/>
              <w:jc w:val="center"/>
              <w:rPr>
                <w:rFonts w:ascii="Times New Roman" w:hAnsi="Times New Roman"/>
                <w:color w:val="auto"/>
                <w:kern w:val="21"/>
                <w:szCs w:val="21"/>
              </w:rPr>
            </w:pPr>
          </w:p>
        </w:tc>
        <w:tc>
          <w:tcPr>
            <w:tcW w:w="696" w:type="dxa"/>
            <w:vMerge w:val="continue"/>
            <w:vAlign w:val="center"/>
          </w:tcPr>
          <w:p>
            <w:pPr>
              <w:pStyle w:val="108"/>
              <w:spacing w:before="0" w:after="0" w:afterLines="0"/>
              <w:jc w:val="center"/>
              <w:rPr>
                <w:rFonts w:ascii="Times New Roman" w:hAnsi="Times New Roman"/>
                <w:color w:val="auto"/>
                <w:kern w:val="21"/>
                <w:szCs w:val="21"/>
              </w:rPr>
            </w:pPr>
          </w:p>
        </w:tc>
        <w:tc>
          <w:tcPr>
            <w:tcW w:w="2451" w:type="dxa"/>
            <w:vAlign w:val="center"/>
          </w:tcPr>
          <w:p>
            <w:pPr>
              <w:pStyle w:val="108"/>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w:t>
            </w:r>
          </w:p>
        </w:tc>
        <w:tc>
          <w:tcPr>
            <w:tcW w:w="2604" w:type="dxa"/>
            <w:vAlign w:val="center"/>
          </w:tcPr>
          <w:p>
            <w:pPr>
              <w:pStyle w:val="108"/>
              <w:spacing w:before="0" w:after="0" w:afterLines="0"/>
              <w:jc w:val="center"/>
              <w:rPr>
                <w:rFonts w:hint="eastAsia" w:ascii="Times New Roman" w:hAnsi="Times New Roman" w:eastAsia="宋体"/>
                <w:color w:val="auto"/>
                <w:kern w:val="21"/>
                <w:szCs w:val="21"/>
                <w:lang w:val="en-US" w:eastAsia="zh-CN"/>
              </w:rPr>
            </w:pPr>
            <w:r>
              <w:rPr>
                <w:rFonts w:hint="eastAsia" w:ascii="Times New Roman" w:hAnsi="Times New Roman"/>
                <w:color w:val="auto"/>
                <w:kern w:val="21"/>
                <w:szCs w:val="21"/>
                <w:lang w:val="en-US" w:eastAsia="zh-CN"/>
              </w:rPr>
              <w:t>废活性炭</w:t>
            </w:r>
          </w:p>
        </w:tc>
        <w:tc>
          <w:tcPr>
            <w:tcW w:w="3453"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处置合同、联单、台账等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51" w:type="dxa"/>
            <w:vMerge w:val="continue"/>
            <w:vAlign w:val="center"/>
          </w:tcPr>
          <w:p>
            <w:pPr>
              <w:pStyle w:val="108"/>
              <w:spacing w:before="0" w:after="0" w:afterLines="0"/>
              <w:jc w:val="center"/>
              <w:rPr>
                <w:rFonts w:ascii="Times New Roman" w:hAnsi="Times New Roman"/>
                <w:color w:val="auto"/>
                <w:kern w:val="21"/>
                <w:szCs w:val="21"/>
              </w:rPr>
            </w:pPr>
          </w:p>
        </w:tc>
        <w:tc>
          <w:tcPr>
            <w:tcW w:w="696" w:type="dxa"/>
            <w:vMerge w:val="continue"/>
            <w:vAlign w:val="center"/>
          </w:tcPr>
          <w:p>
            <w:pPr>
              <w:pStyle w:val="108"/>
              <w:spacing w:before="0" w:after="0" w:afterLines="0"/>
              <w:jc w:val="center"/>
              <w:rPr>
                <w:rFonts w:ascii="Times New Roman" w:hAnsi="Times New Roman"/>
                <w:color w:val="auto"/>
                <w:kern w:val="21"/>
                <w:szCs w:val="21"/>
              </w:rPr>
            </w:pPr>
          </w:p>
        </w:tc>
        <w:tc>
          <w:tcPr>
            <w:tcW w:w="2451"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w:t>
            </w:r>
          </w:p>
        </w:tc>
        <w:tc>
          <w:tcPr>
            <w:tcW w:w="2604" w:type="dxa"/>
            <w:vAlign w:val="center"/>
          </w:tcPr>
          <w:p>
            <w:pPr>
              <w:pStyle w:val="108"/>
              <w:spacing w:before="0" w:after="0" w:afterLines="0"/>
              <w:jc w:val="center"/>
              <w:rPr>
                <w:rFonts w:hint="eastAsia" w:ascii="Times New Roman" w:hAnsi="Times New Roman" w:eastAsia="宋体"/>
                <w:color w:val="auto"/>
                <w:kern w:val="21"/>
                <w:szCs w:val="21"/>
                <w:lang w:eastAsia="zh-CN"/>
              </w:rPr>
            </w:pPr>
            <w:r>
              <w:rPr>
                <w:rFonts w:ascii="Times New Roman" w:hAnsi="Times New Roman"/>
                <w:color w:val="auto"/>
                <w:kern w:val="21"/>
                <w:szCs w:val="21"/>
                <w:lang w:val="en-US"/>
              </w:rPr>
              <w:t>废紫外灯管</w:t>
            </w:r>
            <w:r>
              <w:rPr>
                <w:rFonts w:hint="eastAsia" w:ascii="Times New Roman" w:hAnsi="Times New Roman"/>
                <w:color w:val="auto"/>
                <w:kern w:val="21"/>
                <w:szCs w:val="21"/>
                <w:lang w:val="en-US"/>
              </w:rPr>
              <w:t>、废机油</w:t>
            </w:r>
            <w:r>
              <w:rPr>
                <w:rFonts w:hint="eastAsia" w:ascii="Times New Roman" w:hAnsi="Times New Roman"/>
                <w:color w:val="auto"/>
                <w:kern w:val="21"/>
                <w:szCs w:val="21"/>
                <w:lang w:val="en-US" w:eastAsia="zh-CN"/>
              </w:rPr>
              <w:t>、在线监测设备废液</w:t>
            </w:r>
          </w:p>
        </w:tc>
        <w:tc>
          <w:tcPr>
            <w:tcW w:w="3453"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处置合同、联单、台账等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51"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5</w:t>
            </w:r>
          </w:p>
        </w:tc>
        <w:tc>
          <w:tcPr>
            <w:tcW w:w="696"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噪声</w:t>
            </w:r>
          </w:p>
        </w:tc>
        <w:tc>
          <w:tcPr>
            <w:tcW w:w="2451"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设备间隔声、减振、产噪设施安装于厂房内等降噪措施</w:t>
            </w:r>
          </w:p>
        </w:tc>
        <w:tc>
          <w:tcPr>
            <w:tcW w:w="2604"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设备运行噪声</w:t>
            </w:r>
          </w:p>
        </w:tc>
        <w:tc>
          <w:tcPr>
            <w:tcW w:w="3453"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达到《工业企业厂界环境噪声排放标准》（GB12348-2008）3类标准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51" w:type="dxa"/>
            <w:vAlign w:val="center"/>
          </w:tcPr>
          <w:p>
            <w:pPr>
              <w:pStyle w:val="108"/>
              <w:spacing w:before="0" w:after="0" w:afterLines="0"/>
              <w:jc w:val="center"/>
              <w:rPr>
                <w:rFonts w:ascii="Times New Roman" w:hAnsi="Times New Roman"/>
                <w:color w:val="auto"/>
                <w:kern w:val="21"/>
                <w:szCs w:val="21"/>
                <w:lang w:val="en-US"/>
              </w:rPr>
            </w:pPr>
            <w:r>
              <w:rPr>
                <w:rFonts w:ascii="Times New Roman" w:hAnsi="Times New Roman"/>
                <w:color w:val="auto"/>
                <w:kern w:val="21"/>
                <w:szCs w:val="21"/>
                <w:lang w:val="en-US"/>
              </w:rPr>
              <w:t>6</w:t>
            </w:r>
          </w:p>
        </w:tc>
        <w:tc>
          <w:tcPr>
            <w:tcW w:w="696"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绿化</w:t>
            </w:r>
          </w:p>
        </w:tc>
        <w:tc>
          <w:tcPr>
            <w:tcW w:w="2451" w:type="dxa"/>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lang w:val="en-US"/>
              </w:rPr>
              <w:t>选用本地物种，采取乔、灌、草结合的方式，在靠厂界种植高大乔木</w:t>
            </w:r>
          </w:p>
        </w:tc>
        <w:tc>
          <w:tcPr>
            <w:tcW w:w="6057" w:type="dxa"/>
            <w:gridSpan w:val="2"/>
            <w:vAlign w:val="center"/>
          </w:tcPr>
          <w:p>
            <w:pPr>
              <w:pStyle w:val="108"/>
              <w:spacing w:before="0" w:after="0" w:afterLines="0"/>
              <w:jc w:val="center"/>
              <w:rPr>
                <w:rFonts w:ascii="Times New Roman" w:hAnsi="Times New Roman"/>
                <w:color w:val="auto"/>
                <w:kern w:val="21"/>
                <w:szCs w:val="21"/>
              </w:rPr>
            </w:pPr>
            <w:r>
              <w:rPr>
                <w:rFonts w:ascii="Times New Roman" w:hAnsi="Times New Roman"/>
                <w:color w:val="auto"/>
                <w:kern w:val="21"/>
                <w:szCs w:val="21"/>
              </w:rPr>
              <w:t>项目建成后绿化面积约</w:t>
            </w:r>
            <w:r>
              <w:rPr>
                <w:rFonts w:ascii="Times New Roman" w:hAnsi="Times New Roman"/>
                <w:color w:val="auto"/>
                <w:kern w:val="21"/>
                <w:szCs w:val="21"/>
                <w:lang w:val="en-US"/>
              </w:rPr>
              <w:t>2719.09m</w:t>
            </w:r>
            <w:r>
              <w:rPr>
                <w:rFonts w:ascii="Times New Roman" w:hAnsi="Times New Roman"/>
                <w:color w:val="auto"/>
                <w:kern w:val="21"/>
                <w:szCs w:val="21"/>
                <w:vertAlign w:val="superscript"/>
                <w:lang w:val="en-US"/>
              </w:rPr>
              <w:t>2</w:t>
            </w:r>
            <w:r>
              <w:rPr>
                <w:rFonts w:ascii="Times New Roman" w:hAnsi="Times New Roman"/>
                <w:color w:val="auto"/>
                <w:kern w:val="21"/>
                <w:szCs w:val="21"/>
              </w:rPr>
              <w:t>。</w:t>
            </w:r>
          </w:p>
        </w:tc>
      </w:tr>
    </w:tbl>
    <w:p>
      <w:pPr>
        <w:pStyle w:val="4"/>
        <w:tabs>
          <w:tab w:val="left" w:pos="3690"/>
        </w:tabs>
        <w:spacing w:before="15600" w:beforeLines="5000"/>
        <w:rPr>
          <w:color w:val="auto"/>
          <w:kern w:val="21"/>
        </w:rPr>
      </w:pPr>
      <w:bookmarkStart w:id="440" w:name="_Toc112903189"/>
      <w:bookmarkStart w:id="441" w:name="_Toc107556972"/>
      <w:bookmarkStart w:id="442" w:name="_Toc107557201"/>
      <w:bookmarkStart w:id="443" w:name="_Toc158166561"/>
      <w:bookmarkStart w:id="444" w:name="_Toc107486569"/>
      <w:bookmarkStart w:id="445" w:name="_Toc107650274"/>
      <w:bookmarkStart w:id="446" w:name="_Toc107649876"/>
      <w:bookmarkStart w:id="447" w:name="_Toc107557422"/>
      <w:bookmarkStart w:id="448" w:name="_Toc21958"/>
      <w:bookmarkStart w:id="449" w:name="_Toc188246229"/>
      <w:bookmarkStart w:id="450" w:name="_Toc112890576"/>
      <w:bookmarkStart w:id="451" w:name="_Toc113790925"/>
      <w:bookmarkStart w:id="452" w:name="_Toc107650491"/>
      <w:r>
        <w:rPr>
          <w:color w:val="auto"/>
          <w:kern w:val="21"/>
        </w:rPr>
        <w:t>10环境经济损益分析</w:t>
      </w:r>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5"/>
        <w:spacing w:after="0"/>
        <w:rPr>
          <w:color w:val="auto"/>
          <w:kern w:val="21"/>
          <w:sz w:val="28"/>
        </w:rPr>
      </w:pPr>
      <w:bookmarkStart w:id="453" w:name="_Toc12085"/>
      <w:bookmarkStart w:id="454" w:name="_Toc188246231"/>
      <w:r>
        <w:rPr>
          <w:color w:val="auto"/>
          <w:kern w:val="21"/>
          <w:sz w:val="28"/>
        </w:rPr>
        <w:t>10.1项目的环保投资</w:t>
      </w:r>
      <w:bookmarkEnd w:id="453"/>
      <w:bookmarkEnd w:id="454"/>
    </w:p>
    <w:p>
      <w:pPr>
        <w:widowControl/>
        <w:ind w:firstLine="480"/>
        <w:jc w:val="left"/>
        <w:rPr>
          <w:color w:val="auto"/>
          <w:kern w:val="21"/>
        </w:rPr>
      </w:pPr>
      <w:r>
        <w:rPr>
          <w:color w:val="auto"/>
          <w:kern w:val="21"/>
          <w:lang w:bidi="ar"/>
        </w:rPr>
        <w:t>根据本项目周围环境状况及本评价报告中所提出的施工及营运阶段应采取的各种环境保护措施，估算出该项目环境保护投资。项目总投资是6946.33万元，其中环保投资</w:t>
      </w:r>
      <w:r>
        <w:rPr>
          <w:rFonts w:hint="eastAsia"/>
          <w:color w:val="auto"/>
          <w:kern w:val="21"/>
          <w:lang w:bidi="ar"/>
        </w:rPr>
        <w:t>1</w:t>
      </w:r>
      <w:r>
        <w:rPr>
          <w:rFonts w:hint="eastAsia"/>
          <w:color w:val="auto"/>
          <w:kern w:val="21"/>
          <w:lang w:val="en-US" w:eastAsia="zh-CN" w:bidi="ar"/>
        </w:rPr>
        <w:t>84</w:t>
      </w:r>
      <w:r>
        <w:rPr>
          <w:rFonts w:hint="eastAsia"/>
          <w:color w:val="auto"/>
          <w:kern w:val="21"/>
          <w:lang w:bidi="ar"/>
        </w:rPr>
        <w:t>.5</w:t>
      </w:r>
      <w:r>
        <w:rPr>
          <w:color w:val="auto"/>
          <w:kern w:val="21"/>
          <w:lang w:bidi="ar"/>
        </w:rPr>
        <w:t>万元，占工程总投资</w:t>
      </w:r>
      <w:r>
        <w:rPr>
          <w:rFonts w:hint="eastAsia"/>
          <w:color w:val="auto"/>
          <w:kern w:val="21"/>
          <w:lang w:bidi="ar"/>
        </w:rPr>
        <w:t>2.</w:t>
      </w:r>
      <w:r>
        <w:rPr>
          <w:rFonts w:hint="eastAsia"/>
          <w:color w:val="auto"/>
          <w:kern w:val="21"/>
          <w:lang w:val="en-US" w:eastAsia="zh-CN" w:bidi="ar"/>
        </w:rPr>
        <w:t>66</w:t>
      </w:r>
      <w:r>
        <w:rPr>
          <w:color w:val="auto"/>
          <w:kern w:val="21"/>
          <w:lang w:bidi="ar"/>
        </w:rPr>
        <w:t>%。</w:t>
      </w:r>
      <w:r>
        <w:rPr>
          <w:color w:val="auto"/>
          <w:kern w:val="21"/>
        </w:rPr>
        <w:t>项目环保投资估算见表10-1。</w:t>
      </w:r>
    </w:p>
    <w:p>
      <w:pPr>
        <w:pStyle w:val="2"/>
      </w:pPr>
    </w:p>
    <w:p>
      <w:pPr>
        <w:numPr>
          <w:ilvl w:val="0"/>
          <w:numId w:val="21"/>
        </w:numPr>
        <w:spacing w:line="240" w:lineRule="auto"/>
        <w:ind w:left="0" w:leftChars="0" w:firstLine="420" w:firstLineChars="0"/>
        <w:jc w:val="center"/>
        <w:rPr>
          <w:b/>
          <w:color w:val="auto"/>
          <w:kern w:val="21"/>
        </w:rPr>
      </w:pPr>
      <w:r>
        <w:rPr>
          <w:b/>
          <w:color w:val="auto"/>
          <w:kern w:val="21"/>
        </w:rPr>
        <w:t>环保投资分项估算表</w:t>
      </w:r>
      <w:r>
        <w:rPr>
          <w:rFonts w:hint="eastAsia"/>
          <w:b/>
          <w:color w:val="auto"/>
          <w:kern w:val="21"/>
        </w:rPr>
        <w:t xml:space="preserve">  </w:t>
      </w:r>
      <w:r>
        <w:rPr>
          <w:b/>
          <w:color w:val="auto"/>
          <w:kern w:val="21"/>
        </w:rPr>
        <w:t>单位：万元</w:t>
      </w:r>
    </w:p>
    <w:tbl>
      <w:tblPr>
        <w:tblStyle w:val="51"/>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939"/>
        <w:gridCol w:w="4266"/>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Align w:val="center"/>
          </w:tcPr>
          <w:p>
            <w:pPr>
              <w:widowControl/>
              <w:spacing w:line="240" w:lineRule="auto"/>
              <w:ind w:firstLine="0" w:firstLineChars="0"/>
              <w:jc w:val="center"/>
              <w:rPr>
                <w:color w:val="auto"/>
                <w:kern w:val="21"/>
                <w:sz w:val="21"/>
                <w:szCs w:val="21"/>
              </w:rPr>
            </w:pPr>
            <w:r>
              <w:rPr>
                <w:color w:val="auto"/>
                <w:kern w:val="21"/>
                <w:sz w:val="21"/>
                <w:szCs w:val="21"/>
              </w:rPr>
              <w:t>项目</w:t>
            </w:r>
          </w:p>
        </w:tc>
        <w:tc>
          <w:tcPr>
            <w:tcW w:w="1939" w:type="dxa"/>
            <w:vAlign w:val="center"/>
          </w:tcPr>
          <w:p>
            <w:pPr>
              <w:widowControl/>
              <w:tabs>
                <w:tab w:val="left" w:pos="249"/>
              </w:tabs>
              <w:spacing w:line="240" w:lineRule="auto"/>
              <w:ind w:firstLine="0" w:firstLineChars="0"/>
              <w:jc w:val="center"/>
              <w:rPr>
                <w:color w:val="auto"/>
                <w:kern w:val="21"/>
                <w:sz w:val="21"/>
                <w:szCs w:val="21"/>
              </w:rPr>
            </w:pPr>
            <w:r>
              <w:rPr>
                <w:color w:val="auto"/>
                <w:kern w:val="21"/>
                <w:sz w:val="21"/>
                <w:szCs w:val="21"/>
              </w:rPr>
              <w:t>治理内容</w:t>
            </w:r>
          </w:p>
        </w:tc>
        <w:tc>
          <w:tcPr>
            <w:tcW w:w="4266" w:type="dxa"/>
            <w:vAlign w:val="center"/>
          </w:tcPr>
          <w:p>
            <w:pPr>
              <w:widowControl/>
              <w:spacing w:line="240" w:lineRule="auto"/>
              <w:ind w:firstLine="0" w:firstLineChars="0"/>
              <w:jc w:val="center"/>
              <w:rPr>
                <w:color w:val="auto"/>
                <w:kern w:val="21"/>
                <w:sz w:val="21"/>
                <w:szCs w:val="21"/>
              </w:rPr>
            </w:pPr>
            <w:r>
              <w:rPr>
                <w:color w:val="auto"/>
                <w:kern w:val="21"/>
                <w:sz w:val="21"/>
                <w:szCs w:val="21"/>
              </w:rPr>
              <w:t>治理措施及规格</w:t>
            </w:r>
          </w:p>
        </w:tc>
        <w:tc>
          <w:tcPr>
            <w:tcW w:w="1620" w:type="dxa"/>
            <w:vAlign w:val="center"/>
          </w:tcPr>
          <w:p>
            <w:pPr>
              <w:widowControl/>
              <w:spacing w:line="240" w:lineRule="auto"/>
              <w:ind w:firstLine="0" w:firstLineChars="0"/>
              <w:jc w:val="center"/>
              <w:rPr>
                <w:color w:val="auto"/>
                <w:kern w:val="21"/>
                <w:sz w:val="21"/>
                <w:szCs w:val="21"/>
              </w:rPr>
            </w:pPr>
            <w:r>
              <w:rPr>
                <w:color w:val="auto"/>
                <w:kern w:val="21"/>
                <w:sz w:val="21"/>
                <w:szCs w:val="21"/>
              </w:rPr>
              <w:t>投资合计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6" w:type="dxa"/>
            <w:gridSpan w:val="4"/>
            <w:vAlign w:val="center"/>
          </w:tcPr>
          <w:p>
            <w:pPr>
              <w:widowControl/>
              <w:spacing w:line="240" w:lineRule="auto"/>
              <w:ind w:firstLine="0" w:firstLineChars="0"/>
              <w:jc w:val="center"/>
              <w:rPr>
                <w:color w:val="auto"/>
                <w:kern w:val="21"/>
                <w:sz w:val="21"/>
                <w:szCs w:val="21"/>
              </w:rPr>
            </w:pPr>
            <w:r>
              <w:rPr>
                <w:color w:val="auto"/>
                <w:kern w:val="21"/>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rPr>
              <w:t>废气</w:t>
            </w:r>
          </w:p>
        </w:tc>
        <w:tc>
          <w:tcPr>
            <w:tcW w:w="1939" w:type="dxa"/>
            <w:vMerge w:val="restart"/>
            <w:vAlign w:val="center"/>
          </w:tcPr>
          <w:p>
            <w:pPr>
              <w:widowControl/>
              <w:tabs>
                <w:tab w:val="left" w:pos="249"/>
              </w:tabs>
              <w:spacing w:line="240" w:lineRule="auto"/>
              <w:ind w:firstLine="0" w:firstLineChars="0"/>
              <w:jc w:val="center"/>
              <w:rPr>
                <w:color w:val="auto"/>
                <w:kern w:val="21"/>
                <w:sz w:val="21"/>
                <w:szCs w:val="21"/>
              </w:rPr>
            </w:pPr>
            <w:r>
              <w:rPr>
                <w:color w:val="auto"/>
                <w:kern w:val="21"/>
                <w:sz w:val="21"/>
                <w:szCs w:val="21"/>
              </w:rPr>
              <w:t>施工扬尘</w:t>
            </w:r>
          </w:p>
        </w:tc>
        <w:tc>
          <w:tcPr>
            <w:tcW w:w="4266" w:type="dxa"/>
            <w:vAlign w:val="center"/>
          </w:tcPr>
          <w:p>
            <w:pPr>
              <w:widowControl/>
              <w:spacing w:line="240" w:lineRule="auto"/>
              <w:ind w:firstLine="0" w:firstLineChars="0"/>
              <w:jc w:val="center"/>
              <w:rPr>
                <w:color w:val="auto"/>
                <w:kern w:val="21"/>
                <w:sz w:val="21"/>
                <w:szCs w:val="21"/>
              </w:rPr>
            </w:pPr>
            <w:r>
              <w:rPr>
                <w:color w:val="auto"/>
                <w:kern w:val="21"/>
                <w:sz w:val="21"/>
                <w:szCs w:val="21"/>
              </w:rPr>
              <w:t>洒水降尘</w:t>
            </w:r>
          </w:p>
        </w:tc>
        <w:tc>
          <w:tcPr>
            <w:tcW w:w="1620" w:type="dxa"/>
            <w:vAlign w:val="center"/>
          </w:tcPr>
          <w:p>
            <w:pPr>
              <w:widowControl/>
              <w:spacing w:line="240" w:lineRule="auto"/>
              <w:ind w:firstLine="0" w:firstLineChars="0"/>
              <w:jc w:val="center"/>
              <w:rPr>
                <w:color w:val="auto"/>
                <w:kern w:val="21"/>
                <w:sz w:val="21"/>
                <w:szCs w:val="21"/>
              </w:rPr>
            </w:pPr>
            <w:r>
              <w:rPr>
                <w:color w:val="auto"/>
                <w:kern w:val="21"/>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1" w:type="dxa"/>
            <w:vMerge w:val="continue"/>
            <w:vAlign w:val="center"/>
          </w:tcPr>
          <w:p>
            <w:pPr>
              <w:widowControl/>
              <w:spacing w:line="240" w:lineRule="auto"/>
              <w:ind w:firstLine="0" w:firstLineChars="0"/>
              <w:jc w:val="center"/>
              <w:rPr>
                <w:color w:val="auto"/>
                <w:kern w:val="21"/>
                <w:sz w:val="21"/>
                <w:szCs w:val="21"/>
              </w:rPr>
            </w:pPr>
          </w:p>
        </w:tc>
        <w:tc>
          <w:tcPr>
            <w:tcW w:w="1939" w:type="dxa"/>
            <w:vMerge w:val="continue"/>
            <w:vAlign w:val="center"/>
          </w:tcPr>
          <w:p>
            <w:pPr>
              <w:widowControl/>
              <w:spacing w:line="240" w:lineRule="auto"/>
              <w:ind w:firstLine="0" w:firstLineChars="0"/>
              <w:jc w:val="center"/>
              <w:rPr>
                <w:color w:val="auto"/>
                <w:kern w:val="21"/>
                <w:sz w:val="21"/>
                <w:szCs w:val="21"/>
              </w:rPr>
            </w:pPr>
          </w:p>
        </w:tc>
        <w:tc>
          <w:tcPr>
            <w:tcW w:w="4266" w:type="dxa"/>
            <w:vAlign w:val="center"/>
          </w:tcPr>
          <w:p>
            <w:pPr>
              <w:widowControl/>
              <w:spacing w:line="240" w:lineRule="auto"/>
              <w:ind w:firstLine="0" w:firstLineChars="0"/>
              <w:jc w:val="center"/>
              <w:rPr>
                <w:color w:val="auto"/>
                <w:kern w:val="21"/>
                <w:sz w:val="21"/>
                <w:szCs w:val="21"/>
              </w:rPr>
            </w:pPr>
            <w:r>
              <w:rPr>
                <w:color w:val="auto"/>
                <w:kern w:val="21"/>
                <w:sz w:val="21"/>
                <w:szCs w:val="21"/>
              </w:rPr>
              <w:t>设置2.5m以上围挡</w:t>
            </w:r>
          </w:p>
        </w:tc>
        <w:tc>
          <w:tcPr>
            <w:tcW w:w="1620" w:type="dxa"/>
            <w:vAlign w:val="center"/>
          </w:tcPr>
          <w:p>
            <w:pPr>
              <w:widowControl/>
              <w:spacing w:line="240" w:lineRule="auto"/>
              <w:ind w:firstLine="0" w:firstLineChars="0"/>
              <w:jc w:val="center"/>
              <w:rPr>
                <w:color w:val="auto"/>
                <w:kern w:val="21"/>
                <w:sz w:val="21"/>
                <w:szCs w:val="21"/>
              </w:rPr>
            </w:pPr>
            <w:r>
              <w:rPr>
                <w:color w:val="auto"/>
                <w:kern w:val="21"/>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rPr>
              <w:t>废水</w:t>
            </w:r>
          </w:p>
        </w:tc>
        <w:tc>
          <w:tcPr>
            <w:tcW w:w="1939" w:type="dxa"/>
            <w:vAlign w:val="center"/>
          </w:tcPr>
          <w:p>
            <w:pPr>
              <w:widowControl/>
              <w:spacing w:line="240" w:lineRule="auto"/>
              <w:ind w:firstLine="0" w:firstLineChars="0"/>
              <w:jc w:val="center"/>
              <w:rPr>
                <w:color w:val="auto"/>
                <w:kern w:val="21"/>
                <w:sz w:val="21"/>
                <w:szCs w:val="21"/>
              </w:rPr>
            </w:pPr>
            <w:r>
              <w:rPr>
                <w:color w:val="auto"/>
                <w:kern w:val="21"/>
                <w:sz w:val="21"/>
                <w:szCs w:val="21"/>
              </w:rPr>
              <w:t>施工废水</w:t>
            </w:r>
          </w:p>
        </w:tc>
        <w:tc>
          <w:tcPr>
            <w:tcW w:w="4266"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临时沉淀池1个，容积1m</w:t>
            </w:r>
            <w:r>
              <w:rPr>
                <w:color w:val="auto"/>
                <w:kern w:val="21"/>
                <w:sz w:val="21"/>
                <w:szCs w:val="21"/>
                <w:vertAlign w:val="superscript"/>
                <w:lang w:bidi="ar"/>
              </w:rPr>
              <w:t>3</w:t>
            </w:r>
          </w:p>
        </w:tc>
        <w:tc>
          <w:tcPr>
            <w:tcW w:w="1620" w:type="dxa"/>
            <w:vAlign w:val="center"/>
          </w:tcPr>
          <w:p>
            <w:pPr>
              <w:widowControl/>
              <w:spacing w:line="240" w:lineRule="auto"/>
              <w:ind w:firstLine="0" w:firstLineChars="0"/>
              <w:jc w:val="center"/>
              <w:rPr>
                <w:color w:val="auto"/>
                <w:kern w:val="21"/>
                <w:sz w:val="21"/>
                <w:szCs w:val="21"/>
              </w:rPr>
            </w:pPr>
            <w:r>
              <w:rPr>
                <w:color w:val="auto"/>
                <w:kern w:val="21"/>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continue"/>
            <w:vAlign w:val="center"/>
          </w:tcPr>
          <w:p>
            <w:pPr>
              <w:widowControl/>
              <w:spacing w:line="240" w:lineRule="auto"/>
              <w:ind w:firstLine="0" w:firstLineChars="0"/>
              <w:jc w:val="center"/>
              <w:rPr>
                <w:color w:val="auto"/>
                <w:kern w:val="21"/>
                <w:sz w:val="21"/>
                <w:szCs w:val="21"/>
              </w:rPr>
            </w:pPr>
          </w:p>
        </w:tc>
        <w:tc>
          <w:tcPr>
            <w:tcW w:w="1939"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雨水收集池</w:t>
            </w:r>
          </w:p>
        </w:tc>
        <w:tc>
          <w:tcPr>
            <w:tcW w:w="4266" w:type="dxa"/>
            <w:vAlign w:val="center"/>
          </w:tcPr>
          <w:p>
            <w:pPr>
              <w:widowControl/>
              <w:spacing w:line="240" w:lineRule="auto"/>
              <w:ind w:firstLine="0" w:firstLineChars="0"/>
              <w:jc w:val="center"/>
              <w:rPr>
                <w:color w:val="auto"/>
                <w:kern w:val="21"/>
                <w:sz w:val="21"/>
                <w:szCs w:val="21"/>
              </w:rPr>
            </w:pPr>
            <w:r>
              <w:rPr>
                <w:color w:val="auto"/>
                <w:kern w:val="21"/>
                <w:sz w:val="21"/>
                <w:szCs w:val="21"/>
                <w:lang w:bidi="ar"/>
              </w:rPr>
              <w:t>临时沉淀池1个，容积15m</w:t>
            </w:r>
            <w:r>
              <w:rPr>
                <w:color w:val="auto"/>
                <w:kern w:val="21"/>
                <w:sz w:val="21"/>
                <w:szCs w:val="21"/>
                <w:vertAlign w:val="superscript"/>
                <w:lang w:bidi="ar"/>
              </w:rPr>
              <w:t>3</w:t>
            </w:r>
          </w:p>
        </w:tc>
        <w:tc>
          <w:tcPr>
            <w:tcW w:w="1620" w:type="dxa"/>
            <w:vAlign w:val="center"/>
          </w:tcPr>
          <w:p>
            <w:pPr>
              <w:widowControl/>
              <w:spacing w:line="240" w:lineRule="auto"/>
              <w:ind w:firstLine="0" w:firstLineChars="0"/>
              <w:jc w:val="center"/>
              <w:rPr>
                <w:color w:val="auto"/>
                <w:kern w:val="21"/>
                <w:sz w:val="21"/>
                <w:szCs w:val="21"/>
              </w:rPr>
            </w:pPr>
            <w:r>
              <w:rPr>
                <w:color w:val="auto"/>
                <w:kern w:val="21"/>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121" w:type="dxa"/>
            <w:vAlign w:val="center"/>
          </w:tcPr>
          <w:p>
            <w:pPr>
              <w:widowControl/>
              <w:spacing w:line="240" w:lineRule="auto"/>
              <w:ind w:firstLine="0" w:firstLineChars="0"/>
              <w:jc w:val="center"/>
              <w:rPr>
                <w:color w:val="auto"/>
                <w:kern w:val="21"/>
                <w:sz w:val="21"/>
                <w:szCs w:val="21"/>
              </w:rPr>
            </w:pPr>
            <w:r>
              <w:rPr>
                <w:color w:val="auto"/>
                <w:kern w:val="21"/>
                <w:sz w:val="21"/>
                <w:szCs w:val="21"/>
              </w:rPr>
              <w:t>固体废物</w:t>
            </w:r>
          </w:p>
        </w:tc>
        <w:tc>
          <w:tcPr>
            <w:tcW w:w="1939" w:type="dxa"/>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bidi="ar"/>
              </w:rPr>
              <w:t>土石方及</w:t>
            </w:r>
            <w:r>
              <w:rPr>
                <w:color w:val="auto"/>
                <w:kern w:val="21"/>
                <w:sz w:val="21"/>
                <w:szCs w:val="21"/>
                <w:lang w:bidi="ar"/>
              </w:rPr>
              <w:t>建筑垃圾</w:t>
            </w:r>
          </w:p>
        </w:tc>
        <w:tc>
          <w:tcPr>
            <w:tcW w:w="4266"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收集、清运、处置</w:t>
            </w:r>
          </w:p>
        </w:tc>
        <w:tc>
          <w:tcPr>
            <w:tcW w:w="1620"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6" w:type="dxa"/>
            <w:gridSpan w:val="4"/>
            <w:vAlign w:val="center"/>
          </w:tcPr>
          <w:p>
            <w:pPr>
              <w:widowControl/>
              <w:spacing w:line="240" w:lineRule="auto"/>
              <w:ind w:firstLine="0" w:firstLineChars="0"/>
              <w:jc w:val="center"/>
              <w:rPr>
                <w:color w:val="auto"/>
                <w:kern w:val="21"/>
                <w:sz w:val="21"/>
                <w:szCs w:val="21"/>
              </w:rPr>
            </w:pPr>
            <w:r>
              <w:rPr>
                <w:color w:val="auto"/>
                <w:kern w:val="21"/>
                <w:sz w:val="21"/>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1"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rPr>
              <w:t>废水</w:t>
            </w:r>
          </w:p>
        </w:tc>
        <w:tc>
          <w:tcPr>
            <w:tcW w:w="1939" w:type="dxa"/>
            <w:vMerge w:val="restart"/>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污水处理设施</w:t>
            </w:r>
          </w:p>
        </w:tc>
        <w:tc>
          <w:tcPr>
            <w:tcW w:w="4266"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厂区</w:t>
            </w:r>
            <w:r>
              <w:rPr>
                <w:rFonts w:hint="eastAsia"/>
                <w:color w:val="auto"/>
                <w:kern w:val="21"/>
                <w:sz w:val="21"/>
                <w:szCs w:val="21"/>
                <w:lang w:bidi="ar"/>
              </w:rPr>
              <w:t>管网</w:t>
            </w:r>
            <w:r>
              <w:rPr>
                <w:color w:val="auto"/>
                <w:kern w:val="21"/>
                <w:sz w:val="21"/>
                <w:szCs w:val="21"/>
                <w:lang w:bidi="ar"/>
              </w:rPr>
              <w:t>防渗</w:t>
            </w:r>
            <w:r>
              <w:rPr>
                <w:rFonts w:hint="eastAsia"/>
                <w:color w:val="auto"/>
                <w:kern w:val="21"/>
                <w:sz w:val="21"/>
                <w:szCs w:val="21"/>
                <w:lang w:bidi="ar"/>
              </w:rPr>
              <w:t>、构筑物防渗及排污干网防渗</w:t>
            </w:r>
          </w:p>
        </w:tc>
        <w:tc>
          <w:tcPr>
            <w:tcW w:w="1620" w:type="dxa"/>
            <w:vMerge w:val="restart"/>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纳入工程投资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continue"/>
            <w:vAlign w:val="center"/>
          </w:tcPr>
          <w:p>
            <w:pPr>
              <w:widowControl/>
              <w:spacing w:line="240" w:lineRule="auto"/>
              <w:ind w:firstLine="0" w:firstLineChars="0"/>
              <w:jc w:val="center"/>
              <w:rPr>
                <w:color w:val="auto"/>
                <w:kern w:val="21"/>
                <w:sz w:val="21"/>
                <w:szCs w:val="21"/>
              </w:rPr>
            </w:pPr>
          </w:p>
        </w:tc>
        <w:tc>
          <w:tcPr>
            <w:tcW w:w="1939" w:type="dxa"/>
            <w:vMerge w:val="continue"/>
            <w:vAlign w:val="center"/>
          </w:tcPr>
          <w:p>
            <w:pPr>
              <w:widowControl/>
              <w:spacing w:line="240" w:lineRule="auto"/>
              <w:ind w:firstLine="0" w:firstLineChars="0"/>
              <w:jc w:val="center"/>
              <w:rPr>
                <w:color w:val="auto"/>
                <w:kern w:val="21"/>
                <w:sz w:val="21"/>
                <w:szCs w:val="21"/>
                <w:lang w:bidi="ar"/>
              </w:rPr>
            </w:pPr>
          </w:p>
        </w:tc>
        <w:tc>
          <w:tcPr>
            <w:tcW w:w="4266"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在进、出水口分别安装在线监测系统1套</w:t>
            </w:r>
          </w:p>
        </w:tc>
        <w:tc>
          <w:tcPr>
            <w:tcW w:w="1620" w:type="dxa"/>
            <w:vMerge w:val="continue"/>
            <w:vAlign w:val="center"/>
          </w:tcPr>
          <w:p>
            <w:pPr>
              <w:widowControl/>
              <w:spacing w:line="240" w:lineRule="auto"/>
              <w:ind w:firstLine="0" w:firstLineChars="0"/>
              <w:jc w:val="center"/>
              <w:rPr>
                <w:color w:val="auto"/>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continue"/>
            <w:vAlign w:val="center"/>
          </w:tcPr>
          <w:p>
            <w:pPr>
              <w:widowControl/>
              <w:spacing w:line="240" w:lineRule="auto"/>
              <w:ind w:firstLine="0" w:firstLineChars="0"/>
              <w:jc w:val="center"/>
              <w:rPr>
                <w:color w:val="auto"/>
                <w:kern w:val="21"/>
                <w:sz w:val="21"/>
                <w:szCs w:val="21"/>
              </w:rPr>
            </w:pPr>
          </w:p>
        </w:tc>
        <w:tc>
          <w:tcPr>
            <w:tcW w:w="1939"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地下水监测井</w:t>
            </w:r>
          </w:p>
        </w:tc>
        <w:tc>
          <w:tcPr>
            <w:tcW w:w="4266" w:type="dxa"/>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bidi="ar"/>
              </w:rPr>
              <w:t>勘探、钻井等</w:t>
            </w:r>
          </w:p>
        </w:tc>
        <w:tc>
          <w:tcPr>
            <w:tcW w:w="1620"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rPr>
              <w:t>废气</w:t>
            </w:r>
          </w:p>
        </w:tc>
        <w:tc>
          <w:tcPr>
            <w:tcW w:w="1939" w:type="dxa"/>
            <w:vMerge w:val="restart"/>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bidi="ar"/>
              </w:rPr>
              <w:t>臭气</w:t>
            </w:r>
          </w:p>
        </w:tc>
        <w:tc>
          <w:tcPr>
            <w:tcW w:w="4266" w:type="dxa"/>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bidi="ar"/>
              </w:rPr>
              <w:t>通风排气系统</w:t>
            </w:r>
          </w:p>
        </w:tc>
        <w:tc>
          <w:tcPr>
            <w:tcW w:w="1620"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纳入工程投资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continue"/>
            <w:vAlign w:val="center"/>
          </w:tcPr>
          <w:p>
            <w:pPr>
              <w:widowControl/>
              <w:spacing w:line="240" w:lineRule="auto"/>
              <w:ind w:firstLine="0" w:firstLineChars="0"/>
              <w:jc w:val="center"/>
              <w:rPr>
                <w:color w:val="auto"/>
                <w:kern w:val="21"/>
                <w:sz w:val="21"/>
                <w:szCs w:val="21"/>
              </w:rPr>
            </w:pPr>
          </w:p>
        </w:tc>
        <w:tc>
          <w:tcPr>
            <w:tcW w:w="1939" w:type="dxa"/>
            <w:vMerge w:val="continue"/>
            <w:vAlign w:val="center"/>
          </w:tcPr>
          <w:p>
            <w:pPr>
              <w:widowControl/>
              <w:spacing w:line="240" w:lineRule="auto"/>
              <w:ind w:firstLine="0" w:firstLineChars="0"/>
              <w:jc w:val="center"/>
              <w:rPr>
                <w:rFonts w:hint="eastAsia"/>
                <w:color w:val="auto"/>
                <w:kern w:val="21"/>
                <w:sz w:val="21"/>
                <w:szCs w:val="21"/>
                <w:lang w:bidi="ar"/>
              </w:rPr>
            </w:pPr>
          </w:p>
        </w:tc>
        <w:tc>
          <w:tcPr>
            <w:tcW w:w="4266" w:type="dxa"/>
            <w:vAlign w:val="center"/>
          </w:tcPr>
          <w:p>
            <w:pPr>
              <w:widowControl/>
              <w:spacing w:line="240" w:lineRule="auto"/>
              <w:ind w:firstLine="0" w:firstLineChars="0"/>
              <w:jc w:val="center"/>
              <w:rPr>
                <w:rFonts w:hint="eastAsia"/>
                <w:color w:val="auto"/>
                <w:kern w:val="21"/>
                <w:sz w:val="21"/>
                <w:szCs w:val="21"/>
                <w:lang w:val="en-US" w:eastAsia="zh-CN" w:bidi="ar"/>
              </w:rPr>
            </w:pPr>
            <w:r>
              <w:rPr>
                <w:rFonts w:hint="eastAsia"/>
                <w:color w:val="auto"/>
                <w:kern w:val="21"/>
                <w:sz w:val="21"/>
                <w:szCs w:val="21"/>
                <w:lang w:val="en-US" w:eastAsia="zh-CN" w:bidi="ar"/>
              </w:rPr>
              <w:t>加盖密闭</w:t>
            </w:r>
          </w:p>
        </w:tc>
        <w:tc>
          <w:tcPr>
            <w:tcW w:w="1620" w:type="dxa"/>
            <w:vAlign w:val="center"/>
          </w:tcPr>
          <w:p>
            <w:pPr>
              <w:widowControl/>
              <w:spacing w:line="240" w:lineRule="auto"/>
              <w:ind w:firstLine="0" w:firstLineChars="0"/>
              <w:jc w:val="center"/>
              <w:rPr>
                <w:rFonts w:hint="default"/>
                <w:color w:val="auto"/>
                <w:kern w:val="21"/>
                <w:sz w:val="21"/>
                <w:szCs w:val="21"/>
                <w:lang w:val="en-US" w:eastAsia="zh-CN"/>
              </w:rPr>
            </w:pPr>
            <w:r>
              <w:rPr>
                <w:rFonts w:hint="eastAsia"/>
                <w:color w:val="auto"/>
                <w:kern w:val="21"/>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continue"/>
            <w:vAlign w:val="center"/>
          </w:tcPr>
          <w:p>
            <w:pPr>
              <w:widowControl/>
              <w:spacing w:line="240" w:lineRule="auto"/>
              <w:ind w:firstLine="0" w:firstLineChars="0"/>
              <w:jc w:val="center"/>
              <w:rPr>
                <w:color w:val="auto"/>
                <w:kern w:val="21"/>
                <w:sz w:val="21"/>
                <w:szCs w:val="21"/>
              </w:rPr>
            </w:pPr>
          </w:p>
        </w:tc>
        <w:tc>
          <w:tcPr>
            <w:tcW w:w="1939" w:type="dxa"/>
            <w:vMerge w:val="continue"/>
            <w:vAlign w:val="center"/>
          </w:tcPr>
          <w:p>
            <w:pPr>
              <w:widowControl/>
              <w:spacing w:line="240" w:lineRule="auto"/>
              <w:ind w:firstLine="0" w:firstLineChars="0"/>
              <w:jc w:val="center"/>
              <w:rPr>
                <w:rFonts w:hint="eastAsia"/>
                <w:color w:val="auto"/>
                <w:kern w:val="21"/>
                <w:sz w:val="21"/>
                <w:szCs w:val="21"/>
                <w:lang w:bidi="ar"/>
              </w:rPr>
            </w:pPr>
          </w:p>
        </w:tc>
        <w:tc>
          <w:tcPr>
            <w:tcW w:w="4266" w:type="dxa"/>
            <w:vAlign w:val="center"/>
          </w:tcPr>
          <w:p>
            <w:pPr>
              <w:widowControl/>
              <w:spacing w:line="240" w:lineRule="auto"/>
              <w:ind w:firstLine="0" w:firstLineChars="0"/>
              <w:jc w:val="center"/>
              <w:rPr>
                <w:rFonts w:hint="default" w:eastAsia="宋体"/>
                <w:color w:val="auto"/>
                <w:kern w:val="21"/>
                <w:sz w:val="21"/>
                <w:szCs w:val="21"/>
                <w:lang w:val="en-US" w:eastAsia="zh-CN" w:bidi="ar"/>
              </w:rPr>
            </w:pPr>
            <w:r>
              <w:rPr>
                <w:rFonts w:hint="eastAsia"/>
                <w:color w:val="auto"/>
                <w:kern w:val="21"/>
                <w:sz w:val="21"/>
                <w:szCs w:val="21"/>
                <w:lang w:val="en-US" w:eastAsia="zh-CN" w:bidi="ar"/>
              </w:rPr>
              <w:t>1套</w:t>
            </w:r>
            <w:r>
              <w:rPr>
                <w:rFonts w:hint="eastAsia"/>
                <w:color w:val="auto"/>
                <w:kern w:val="21"/>
                <w:sz w:val="21"/>
                <w:szCs w:val="21"/>
                <w:lang w:eastAsia="zh-CN" w:bidi="ar"/>
              </w:rPr>
              <w:t>活性炭吸附塔，</w:t>
            </w:r>
            <w:r>
              <w:rPr>
                <w:rFonts w:hint="eastAsia"/>
                <w:color w:val="auto"/>
                <w:kern w:val="21"/>
                <w:sz w:val="21"/>
                <w:szCs w:val="21"/>
                <w:lang w:val="en-US" w:eastAsia="zh-CN" w:bidi="ar"/>
              </w:rPr>
              <w:t>1根15m排气筒</w:t>
            </w:r>
          </w:p>
        </w:tc>
        <w:tc>
          <w:tcPr>
            <w:tcW w:w="1620" w:type="dxa"/>
            <w:vAlign w:val="center"/>
          </w:tcPr>
          <w:p>
            <w:pPr>
              <w:widowControl/>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continue"/>
            <w:vAlign w:val="center"/>
          </w:tcPr>
          <w:p>
            <w:pPr>
              <w:widowControl/>
              <w:spacing w:line="240" w:lineRule="auto"/>
              <w:ind w:firstLine="0" w:firstLineChars="0"/>
              <w:jc w:val="center"/>
              <w:rPr>
                <w:color w:val="auto"/>
                <w:kern w:val="21"/>
                <w:sz w:val="21"/>
                <w:szCs w:val="21"/>
              </w:rPr>
            </w:pPr>
          </w:p>
        </w:tc>
        <w:tc>
          <w:tcPr>
            <w:tcW w:w="1939" w:type="dxa"/>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bidi="ar"/>
              </w:rPr>
              <w:t>食堂油烟</w:t>
            </w:r>
          </w:p>
        </w:tc>
        <w:tc>
          <w:tcPr>
            <w:tcW w:w="4266" w:type="dxa"/>
            <w:vAlign w:val="center"/>
          </w:tcPr>
          <w:p>
            <w:pPr>
              <w:widowControl/>
              <w:spacing w:line="240" w:lineRule="auto"/>
              <w:ind w:firstLine="0" w:firstLineChars="0"/>
              <w:jc w:val="center"/>
              <w:rPr>
                <w:rFonts w:hint="eastAsia" w:eastAsia="宋体"/>
                <w:color w:val="auto"/>
                <w:kern w:val="21"/>
                <w:sz w:val="21"/>
                <w:szCs w:val="21"/>
                <w:lang w:eastAsia="zh-CN" w:bidi="ar"/>
              </w:rPr>
            </w:pPr>
            <w:r>
              <w:rPr>
                <w:color w:val="auto"/>
                <w:kern w:val="21"/>
                <w:sz w:val="21"/>
                <w:szCs w:val="21"/>
                <w:lang w:bidi="ar"/>
              </w:rPr>
              <w:t>1台</w:t>
            </w:r>
            <w:r>
              <w:rPr>
                <w:rFonts w:hint="eastAsia"/>
                <w:color w:val="auto"/>
                <w:kern w:val="21"/>
                <w:sz w:val="21"/>
                <w:szCs w:val="21"/>
                <w:lang w:eastAsia="zh-CN" w:bidi="ar"/>
              </w:rPr>
              <w:t>油烟净化器</w:t>
            </w:r>
          </w:p>
        </w:tc>
        <w:tc>
          <w:tcPr>
            <w:tcW w:w="1620" w:type="dxa"/>
            <w:vAlign w:val="center"/>
          </w:tcPr>
          <w:p>
            <w:pPr>
              <w:widowControl/>
              <w:spacing w:line="240" w:lineRule="auto"/>
              <w:ind w:firstLine="0" w:firstLineChars="0"/>
              <w:jc w:val="center"/>
              <w:rPr>
                <w:color w:val="auto"/>
                <w:kern w:val="21"/>
                <w:sz w:val="21"/>
                <w:szCs w:val="21"/>
              </w:rPr>
            </w:pPr>
            <w:r>
              <w:rPr>
                <w:color w:val="auto"/>
                <w:kern w:val="21"/>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restart"/>
            <w:vAlign w:val="center"/>
          </w:tcPr>
          <w:p>
            <w:pPr>
              <w:widowControl/>
              <w:spacing w:line="240" w:lineRule="auto"/>
              <w:ind w:firstLine="0" w:firstLineChars="0"/>
              <w:jc w:val="center"/>
              <w:rPr>
                <w:color w:val="auto"/>
                <w:kern w:val="21"/>
                <w:sz w:val="21"/>
                <w:szCs w:val="21"/>
              </w:rPr>
            </w:pPr>
            <w:r>
              <w:rPr>
                <w:color w:val="auto"/>
                <w:kern w:val="21"/>
                <w:sz w:val="21"/>
                <w:szCs w:val="21"/>
              </w:rPr>
              <w:t>固体废物</w:t>
            </w:r>
          </w:p>
        </w:tc>
        <w:tc>
          <w:tcPr>
            <w:tcW w:w="1939"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栅渣</w:t>
            </w:r>
            <w:r>
              <w:rPr>
                <w:rFonts w:hint="eastAsia"/>
                <w:color w:val="auto"/>
                <w:kern w:val="21"/>
                <w:sz w:val="21"/>
                <w:szCs w:val="21"/>
                <w:lang w:bidi="ar"/>
              </w:rPr>
              <w:t>及</w:t>
            </w:r>
            <w:r>
              <w:rPr>
                <w:color w:val="auto"/>
                <w:kern w:val="21"/>
                <w:sz w:val="21"/>
                <w:szCs w:val="21"/>
                <w:lang w:bidi="ar"/>
              </w:rPr>
              <w:t>生活垃圾</w:t>
            </w:r>
          </w:p>
        </w:tc>
        <w:tc>
          <w:tcPr>
            <w:tcW w:w="4266"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rPr>
              <w:t>垃圾收集</w:t>
            </w:r>
            <w:r>
              <w:rPr>
                <w:rFonts w:hint="eastAsia"/>
                <w:color w:val="auto"/>
                <w:kern w:val="21"/>
                <w:sz w:val="21"/>
                <w:szCs w:val="21"/>
              </w:rPr>
              <w:t>箱及处置费用</w:t>
            </w:r>
          </w:p>
        </w:tc>
        <w:tc>
          <w:tcPr>
            <w:tcW w:w="1620"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continue"/>
            <w:vAlign w:val="center"/>
          </w:tcPr>
          <w:p>
            <w:pPr>
              <w:widowControl/>
              <w:spacing w:line="240" w:lineRule="auto"/>
              <w:ind w:firstLine="0" w:firstLineChars="0"/>
              <w:jc w:val="center"/>
              <w:rPr>
                <w:color w:val="auto"/>
                <w:kern w:val="21"/>
                <w:sz w:val="21"/>
                <w:szCs w:val="21"/>
              </w:rPr>
            </w:pPr>
          </w:p>
        </w:tc>
        <w:tc>
          <w:tcPr>
            <w:tcW w:w="1939" w:type="dxa"/>
            <w:vAlign w:val="center"/>
          </w:tcPr>
          <w:p>
            <w:pPr>
              <w:widowControl/>
              <w:spacing w:line="240" w:lineRule="auto"/>
              <w:ind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危险废物暂存</w:t>
            </w:r>
          </w:p>
        </w:tc>
        <w:tc>
          <w:tcPr>
            <w:tcW w:w="4266" w:type="dxa"/>
            <w:vAlign w:val="center"/>
          </w:tcPr>
          <w:p>
            <w:pPr>
              <w:widowControl/>
              <w:spacing w:line="240" w:lineRule="auto"/>
              <w:ind w:firstLine="0" w:firstLineChars="0"/>
              <w:jc w:val="center"/>
              <w:rPr>
                <w:rFonts w:hint="eastAsia" w:eastAsia="宋体"/>
                <w:color w:val="auto"/>
                <w:kern w:val="21"/>
                <w:sz w:val="21"/>
                <w:szCs w:val="21"/>
                <w:lang w:eastAsia="zh-CN" w:bidi="ar"/>
              </w:rPr>
            </w:pPr>
            <w:r>
              <w:rPr>
                <w:rFonts w:hint="eastAsia"/>
                <w:color w:val="auto"/>
                <w:kern w:val="21"/>
                <w:sz w:val="21"/>
                <w:szCs w:val="21"/>
                <w:lang w:eastAsia="zh-CN" w:bidi="ar"/>
              </w:rPr>
              <w:t>危废暂存间</w:t>
            </w:r>
          </w:p>
        </w:tc>
        <w:tc>
          <w:tcPr>
            <w:tcW w:w="1620" w:type="dxa"/>
            <w:vAlign w:val="center"/>
          </w:tcPr>
          <w:p>
            <w:pPr>
              <w:widowControl/>
              <w:spacing w:line="240" w:lineRule="auto"/>
              <w:ind w:firstLine="0" w:firstLineChars="0"/>
              <w:jc w:val="center"/>
              <w:rPr>
                <w:rFonts w:hint="default" w:eastAsia="宋体"/>
                <w:color w:val="auto"/>
                <w:kern w:val="21"/>
                <w:sz w:val="21"/>
                <w:szCs w:val="21"/>
                <w:lang w:val="en-US" w:eastAsia="zh-CN"/>
              </w:rPr>
            </w:pPr>
            <w:r>
              <w:rPr>
                <w:rFonts w:hint="eastAsia"/>
                <w:color w:val="auto"/>
                <w:kern w:val="21"/>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Merge w:val="continue"/>
            <w:vAlign w:val="center"/>
          </w:tcPr>
          <w:p>
            <w:pPr>
              <w:widowControl/>
              <w:spacing w:line="240" w:lineRule="auto"/>
              <w:ind w:firstLine="0" w:firstLineChars="0"/>
              <w:jc w:val="center"/>
              <w:rPr>
                <w:color w:val="auto"/>
                <w:kern w:val="21"/>
                <w:sz w:val="21"/>
                <w:szCs w:val="21"/>
              </w:rPr>
            </w:pPr>
          </w:p>
        </w:tc>
        <w:tc>
          <w:tcPr>
            <w:tcW w:w="1939"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污泥</w:t>
            </w:r>
          </w:p>
        </w:tc>
        <w:tc>
          <w:tcPr>
            <w:tcW w:w="4266" w:type="dxa"/>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bidi="ar"/>
              </w:rPr>
              <w:t>清运处置费用</w:t>
            </w:r>
          </w:p>
        </w:tc>
        <w:tc>
          <w:tcPr>
            <w:tcW w:w="1620"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Align w:val="center"/>
          </w:tcPr>
          <w:p>
            <w:pPr>
              <w:widowControl/>
              <w:spacing w:line="240" w:lineRule="auto"/>
              <w:ind w:firstLine="0" w:firstLineChars="0"/>
              <w:jc w:val="center"/>
              <w:rPr>
                <w:color w:val="auto"/>
                <w:kern w:val="21"/>
                <w:sz w:val="21"/>
                <w:szCs w:val="21"/>
              </w:rPr>
            </w:pPr>
            <w:r>
              <w:rPr>
                <w:color w:val="auto"/>
                <w:kern w:val="21"/>
                <w:sz w:val="21"/>
                <w:szCs w:val="21"/>
              </w:rPr>
              <w:t>噪声</w:t>
            </w:r>
          </w:p>
        </w:tc>
        <w:tc>
          <w:tcPr>
            <w:tcW w:w="1939"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设备噪声</w:t>
            </w:r>
          </w:p>
        </w:tc>
        <w:tc>
          <w:tcPr>
            <w:tcW w:w="4266" w:type="dxa"/>
            <w:vAlign w:val="center"/>
          </w:tcPr>
          <w:p>
            <w:pPr>
              <w:widowControl/>
              <w:spacing w:line="240" w:lineRule="auto"/>
              <w:ind w:firstLine="0" w:firstLineChars="0"/>
              <w:jc w:val="center"/>
              <w:rPr>
                <w:color w:val="auto"/>
                <w:kern w:val="21"/>
                <w:sz w:val="21"/>
                <w:szCs w:val="21"/>
                <w:lang w:bidi="ar"/>
              </w:rPr>
            </w:pPr>
            <w:r>
              <w:rPr>
                <w:color w:val="auto"/>
                <w:kern w:val="21"/>
                <w:sz w:val="21"/>
                <w:szCs w:val="21"/>
              </w:rPr>
              <w:t>减震装置、隔声设施、消声设施</w:t>
            </w:r>
          </w:p>
        </w:tc>
        <w:tc>
          <w:tcPr>
            <w:tcW w:w="1620"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Align w:val="center"/>
          </w:tcPr>
          <w:p>
            <w:pPr>
              <w:widowControl/>
              <w:spacing w:line="240" w:lineRule="auto"/>
              <w:ind w:firstLine="0" w:firstLineChars="0"/>
              <w:jc w:val="center"/>
              <w:rPr>
                <w:color w:val="auto"/>
                <w:kern w:val="21"/>
                <w:sz w:val="21"/>
                <w:szCs w:val="21"/>
              </w:rPr>
            </w:pPr>
            <w:r>
              <w:rPr>
                <w:color w:val="auto"/>
                <w:kern w:val="21"/>
                <w:sz w:val="21"/>
                <w:szCs w:val="21"/>
              </w:rPr>
              <w:t>绿化</w:t>
            </w:r>
          </w:p>
        </w:tc>
        <w:tc>
          <w:tcPr>
            <w:tcW w:w="6205" w:type="dxa"/>
            <w:gridSpan w:val="2"/>
            <w:vAlign w:val="center"/>
          </w:tcPr>
          <w:p>
            <w:pPr>
              <w:widowControl/>
              <w:spacing w:line="240" w:lineRule="auto"/>
              <w:ind w:firstLine="0" w:firstLineChars="0"/>
              <w:jc w:val="center"/>
              <w:rPr>
                <w:color w:val="auto"/>
                <w:kern w:val="21"/>
                <w:sz w:val="21"/>
                <w:szCs w:val="21"/>
                <w:lang w:bidi="ar"/>
              </w:rPr>
            </w:pPr>
            <w:r>
              <w:rPr>
                <w:color w:val="auto"/>
                <w:kern w:val="21"/>
                <w:sz w:val="21"/>
                <w:szCs w:val="21"/>
                <w:lang w:bidi="ar"/>
              </w:rPr>
              <w:t>绿化面积约</w:t>
            </w:r>
            <w:r>
              <w:rPr>
                <w:rFonts w:hint="eastAsia"/>
                <w:color w:val="auto"/>
                <w:kern w:val="21"/>
                <w:sz w:val="21"/>
                <w:szCs w:val="21"/>
                <w:lang w:bidi="ar"/>
              </w:rPr>
              <w:t>2719.09m</w:t>
            </w:r>
            <w:r>
              <w:rPr>
                <w:rFonts w:hint="eastAsia"/>
                <w:color w:val="auto"/>
                <w:kern w:val="21"/>
                <w:sz w:val="21"/>
                <w:szCs w:val="21"/>
                <w:vertAlign w:val="superscript"/>
                <w:lang w:bidi="ar"/>
              </w:rPr>
              <w:t>2</w:t>
            </w:r>
          </w:p>
        </w:tc>
        <w:tc>
          <w:tcPr>
            <w:tcW w:w="1620"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纳入工程投资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gridSpan w:val="3"/>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bidi="ar"/>
              </w:rPr>
              <w:t>环境管理（含自行监测费）</w:t>
            </w:r>
          </w:p>
        </w:tc>
        <w:tc>
          <w:tcPr>
            <w:tcW w:w="1620"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gridSpan w:val="3"/>
            <w:vAlign w:val="center"/>
          </w:tcPr>
          <w:p>
            <w:pPr>
              <w:widowControl/>
              <w:spacing w:line="240" w:lineRule="auto"/>
              <w:ind w:firstLine="0" w:firstLineChars="0"/>
              <w:jc w:val="center"/>
              <w:rPr>
                <w:color w:val="auto"/>
                <w:kern w:val="21"/>
                <w:sz w:val="21"/>
                <w:szCs w:val="21"/>
                <w:lang w:bidi="ar"/>
              </w:rPr>
            </w:pPr>
            <w:r>
              <w:rPr>
                <w:rFonts w:hint="eastAsia"/>
                <w:color w:val="auto"/>
                <w:kern w:val="21"/>
                <w:sz w:val="21"/>
                <w:szCs w:val="21"/>
                <w:lang w:bidi="ar"/>
              </w:rPr>
              <w:t>排污许可及竣工环境保护验收</w:t>
            </w:r>
          </w:p>
        </w:tc>
        <w:tc>
          <w:tcPr>
            <w:tcW w:w="1620"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gridSpan w:val="3"/>
            <w:vAlign w:val="center"/>
          </w:tcPr>
          <w:p>
            <w:pPr>
              <w:widowControl/>
              <w:spacing w:line="240" w:lineRule="auto"/>
              <w:ind w:firstLine="0" w:firstLineChars="0"/>
              <w:jc w:val="center"/>
              <w:rPr>
                <w:color w:val="auto"/>
                <w:kern w:val="21"/>
                <w:sz w:val="21"/>
                <w:szCs w:val="21"/>
              </w:rPr>
            </w:pPr>
            <w:r>
              <w:rPr>
                <w:color w:val="auto"/>
                <w:kern w:val="21"/>
                <w:sz w:val="21"/>
                <w:szCs w:val="21"/>
              </w:rPr>
              <w:t>合计</w:t>
            </w:r>
          </w:p>
        </w:tc>
        <w:tc>
          <w:tcPr>
            <w:tcW w:w="1620" w:type="dxa"/>
            <w:vAlign w:val="center"/>
          </w:tcPr>
          <w:p>
            <w:pPr>
              <w:widowControl/>
              <w:spacing w:line="240" w:lineRule="auto"/>
              <w:ind w:firstLine="0" w:firstLineChars="0"/>
              <w:jc w:val="center"/>
              <w:rPr>
                <w:color w:val="auto"/>
                <w:kern w:val="21"/>
                <w:sz w:val="21"/>
                <w:szCs w:val="21"/>
              </w:rPr>
            </w:pPr>
            <w:r>
              <w:rPr>
                <w:rFonts w:hint="eastAsia"/>
                <w:color w:val="auto"/>
                <w:kern w:val="21"/>
                <w:sz w:val="21"/>
                <w:szCs w:val="21"/>
              </w:rPr>
              <w:t>1</w:t>
            </w:r>
            <w:r>
              <w:rPr>
                <w:rFonts w:hint="eastAsia"/>
                <w:color w:val="auto"/>
                <w:kern w:val="21"/>
                <w:sz w:val="21"/>
                <w:szCs w:val="21"/>
                <w:lang w:val="en-US" w:eastAsia="zh-CN"/>
              </w:rPr>
              <w:t>84</w:t>
            </w:r>
            <w:r>
              <w:rPr>
                <w:rFonts w:hint="eastAsia"/>
                <w:color w:val="auto"/>
                <w:kern w:val="21"/>
                <w:sz w:val="21"/>
                <w:szCs w:val="21"/>
              </w:rPr>
              <w:t>.5</w:t>
            </w:r>
          </w:p>
        </w:tc>
      </w:tr>
    </w:tbl>
    <w:p>
      <w:pPr>
        <w:pStyle w:val="5"/>
        <w:spacing w:after="0"/>
        <w:rPr>
          <w:color w:val="auto"/>
          <w:kern w:val="21"/>
          <w:sz w:val="28"/>
        </w:rPr>
      </w:pPr>
      <w:bookmarkStart w:id="455" w:name="_Toc32074"/>
      <w:bookmarkStart w:id="456" w:name="_Toc188246232"/>
      <w:r>
        <w:rPr>
          <w:color w:val="auto"/>
          <w:kern w:val="21"/>
          <w:sz w:val="28"/>
        </w:rPr>
        <w:t>10.2项目正、负效益分析</w:t>
      </w:r>
      <w:bookmarkEnd w:id="455"/>
      <w:bookmarkEnd w:id="456"/>
    </w:p>
    <w:p>
      <w:pPr>
        <w:ind w:firstLine="482"/>
        <w:rPr>
          <w:b/>
          <w:color w:val="auto"/>
          <w:kern w:val="21"/>
        </w:rPr>
      </w:pPr>
      <w:r>
        <w:rPr>
          <w:b/>
          <w:color w:val="auto"/>
          <w:kern w:val="21"/>
        </w:rPr>
        <w:t>1、项目的正效益</w:t>
      </w:r>
    </w:p>
    <w:p>
      <w:pPr>
        <w:widowControl/>
        <w:ind w:firstLine="480"/>
        <w:jc w:val="left"/>
        <w:rPr>
          <w:color w:val="auto"/>
          <w:kern w:val="21"/>
          <w:lang w:bidi="ar"/>
        </w:rPr>
      </w:pPr>
      <w:r>
        <w:rPr>
          <w:color w:val="auto"/>
          <w:kern w:val="21"/>
          <w:lang w:bidi="ar"/>
        </w:rPr>
        <w:t>本项目作为楚雄市富民工业园区环保基础设施，是实施地区污染物减排的重要举措，其创造的环境价值远远高于项目本身创造的财务效益，本工程的间接经济效益主要通过减少水污染对社会造成的经济损失而体现出来</w:t>
      </w:r>
      <w:r>
        <w:rPr>
          <w:rFonts w:hint="eastAsia"/>
          <w:color w:val="auto"/>
          <w:kern w:val="21"/>
          <w:lang w:bidi="ar"/>
        </w:rPr>
        <w:t>，工程的投入使用，使区域COD削减768.75t/a、BOD削减</w:t>
      </w:r>
      <w:r>
        <w:rPr>
          <w:rFonts w:hint="eastAsia"/>
          <w:color w:val="auto"/>
          <w:kern w:val="21"/>
        </w:rPr>
        <w:t>201.5</w:t>
      </w:r>
      <w:r>
        <w:rPr>
          <w:rFonts w:hint="eastAsia"/>
          <w:color w:val="auto"/>
          <w:kern w:val="21"/>
          <w:lang w:bidi="ar"/>
        </w:rPr>
        <w:t>t/a、氨氮削减</w:t>
      </w:r>
      <w:r>
        <w:rPr>
          <w:rFonts w:hint="eastAsia"/>
          <w:color w:val="auto"/>
          <w:kern w:val="21"/>
        </w:rPr>
        <w:t>60.025</w:t>
      </w:r>
      <w:r>
        <w:rPr>
          <w:rFonts w:hint="eastAsia"/>
          <w:color w:val="auto"/>
          <w:kern w:val="21"/>
          <w:lang w:bidi="ar"/>
        </w:rPr>
        <w:t>t/a、总磷削减</w:t>
      </w:r>
      <w:r>
        <w:rPr>
          <w:rFonts w:hint="eastAsia"/>
          <w:color w:val="auto"/>
          <w:kern w:val="21"/>
        </w:rPr>
        <w:t>12.25</w:t>
      </w:r>
      <w:r>
        <w:rPr>
          <w:rFonts w:hint="eastAsia"/>
          <w:color w:val="auto"/>
          <w:kern w:val="21"/>
          <w:lang w:bidi="ar"/>
        </w:rPr>
        <w:t>t/a、SS削减</w:t>
      </w:r>
      <w:r>
        <w:rPr>
          <w:rFonts w:hint="eastAsia"/>
          <w:color w:val="auto"/>
          <w:kern w:val="21"/>
        </w:rPr>
        <w:t>621.25</w:t>
      </w:r>
      <w:r>
        <w:rPr>
          <w:rFonts w:hint="eastAsia"/>
          <w:color w:val="auto"/>
          <w:kern w:val="21"/>
          <w:lang w:bidi="ar"/>
        </w:rPr>
        <w:t>t/a，同时本项目的建设又推动了整个青龙河区域环境治理，</w:t>
      </w:r>
      <w:r>
        <w:rPr>
          <w:rFonts w:hint="eastAsia"/>
          <w:color w:val="auto"/>
          <w:kern w:val="21"/>
        </w:rPr>
        <w:t>2022年楚雄市人民政府下发了《楚雄市人民政府办公室关于印发楚雄市青龙河水体达标方案的通知》（楚市政办通〔2022〕6号），拟实施17项重点工程，包括城镇两污类、工业污染防治类、农村环境综合整治类、水生态保护及修复类、水资源优化调度类、生态环境管理类6类项目，总投资7.11亿元，其中，已有规划项目13项，本项目也属于其中之一，总投资6.64亿元，占总投资的93.39%，方案新增项目4项，总投资0.47亿元，占总投资的6.61%。以实现2025年</w:t>
      </w:r>
      <w:r>
        <w:rPr>
          <w:color w:val="auto"/>
          <w:kern w:val="21"/>
        </w:rPr>
        <w:t xml:space="preserve">流域污染物削减能力将提升到化学需氧量3012.92 </w:t>
      </w:r>
      <w:r>
        <w:rPr>
          <w:rFonts w:hint="eastAsia"/>
          <w:color w:val="auto"/>
          <w:kern w:val="21"/>
        </w:rPr>
        <w:t>t/a</w:t>
      </w:r>
      <w:r>
        <w:rPr>
          <w:color w:val="auto"/>
          <w:kern w:val="21"/>
        </w:rPr>
        <w:t>、氨氮129.31</w:t>
      </w:r>
      <w:r>
        <w:rPr>
          <w:rFonts w:hint="eastAsia"/>
          <w:color w:val="auto"/>
          <w:kern w:val="21"/>
        </w:rPr>
        <w:t>t/a</w:t>
      </w:r>
      <w:r>
        <w:rPr>
          <w:color w:val="auto"/>
          <w:kern w:val="21"/>
        </w:rPr>
        <w:t xml:space="preserve">、总磷33.02 </w:t>
      </w:r>
      <w:r>
        <w:rPr>
          <w:rFonts w:hint="eastAsia"/>
          <w:color w:val="auto"/>
          <w:kern w:val="21"/>
        </w:rPr>
        <w:t>t/a，极大改善区域生活环境、投资环境。</w:t>
      </w:r>
    </w:p>
    <w:p>
      <w:pPr>
        <w:widowControl/>
        <w:ind w:firstLine="480"/>
        <w:jc w:val="left"/>
        <w:rPr>
          <w:color w:val="auto"/>
          <w:kern w:val="21"/>
        </w:rPr>
      </w:pPr>
      <w:r>
        <w:rPr>
          <w:color w:val="auto"/>
          <w:kern w:val="21"/>
          <w:lang w:bidi="ar"/>
        </w:rPr>
        <w:t>污水处理厂的建设是工业园区基础设施的一部分，以服务社会为主要目的，项目建设将完善区域排水设施，项目建成运行，将有助于改善青龙河、龙川江的水环境。同时，水环境的改善也将推动城区大环境质量的改善，改善投资环境，对外商更具吸引力，进一步促进当地经济的发展。该项目的实施，保证经济的可持续发展，同时对改善周边水环境质量，保护生态环境，促进居民身心健康也具有积极意义。</w:t>
      </w:r>
    </w:p>
    <w:p>
      <w:pPr>
        <w:ind w:firstLine="480"/>
        <w:rPr>
          <w:color w:val="auto"/>
          <w:kern w:val="21"/>
        </w:rPr>
      </w:pPr>
      <w:r>
        <w:rPr>
          <w:color w:val="auto"/>
          <w:kern w:val="21"/>
        </w:rPr>
        <w:t>从以上分析可以看出，本项目的环境效益明显，项目的建设有利于促进地方经济发展，增加当地就业机会。</w:t>
      </w:r>
    </w:p>
    <w:p>
      <w:pPr>
        <w:ind w:firstLine="482"/>
        <w:rPr>
          <w:b/>
          <w:color w:val="auto"/>
          <w:kern w:val="21"/>
        </w:rPr>
      </w:pPr>
      <w:r>
        <w:rPr>
          <w:b/>
          <w:color w:val="auto"/>
          <w:kern w:val="21"/>
        </w:rPr>
        <w:t>2、项目的负效益</w:t>
      </w:r>
    </w:p>
    <w:p>
      <w:pPr>
        <w:ind w:firstLine="480"/>
        <w:rPr>
          <w:color w:val="auto"/>
          <w:kern w:val="21"/>
        </w:rPr>
      </w:pPr>
      <w:r>
        <w:rPr>
          <w:color w:val="auto"/>
          <w:kern w:val="21"/>
        </w:rPr>
        <w:t>（1）项目建设投产后会产生一定的污染物，如果处理不当将会带来新的污染问题；</w:t>
      </w:r>
    </w:p>
    <w:p>
      <w:pPr>
        <w:ind w:firstLine="480"/>
        <w:rPr>
          <w:color w:val="auto"/>
          <w:kern w:val="21"/>
        </w:rPr>
      </w:pPr>
      <w:r>
        <w:rPr>
          <w:color w:val="auto"/>
          <w:kern w:val="21"/>
        </w:rPr>
        <w:t>（2）生产厂房建设后占地区内的植被将完全受到破坏，施工期及运营期对生态环境产生一定影响。</w:t>
      </w:r>
    </w:p>
    <w:p>
      <w:pPr>
        <w:ind w:firstLine="482"/>
        <w:rPr>
          <w:b/>
          <w:color w:val="auto"/>
          <w:kern w:val="21"/>
        </w:rPr>
      </w:pPr>
      <w:r>
        <w:rPr>
          <w:b/>
          <w:color w:val="auto"/>
          <w:kern w:val="21"/>
        </w:rPr>
        <w:t>3、正负效益对比</w:t>
      </w:r>
    </w:p>
    <w:p>
      <w:pPr>
        <w:ind w:firstLine="480"/>
        <w:rPr>
          <w:color w:val="auto"/>
          <w:kern w:val="21"/>
        </w:rPr>
      </w:pPr>
      <w:r>
        <w:rPr>
          <w:color w:val="auto"/>
          <w:kern w:val="21"/>
        </w:rPr>
        <w:t>通过以上正负效益分析可以看出，项目建设既有利于促进地方经济发展，增加当地就业机会，实现资源综合利用等正效益，同时也存在一定的负面效益。项目的负效益可以通过采取各项措施减轻或避免。因此，项目建设单位在项目实施前，应当充分考虑到项目的负面影响，采取积极措施使项目的负面影响减小到最低，在保证项目实施的同时，保证项目的正效益大于负面效益。</w:t>
      </w:r>
    </w:p>
    <w:p>
      <w:pPr>
        <w:pStyle w:val="5"/>
        <w:spacing w:after="0"/>
        <w:rPr>
          <w:color w:val="auto"/>
          <w:kern w:val="21"/>
          <w:sz w:val="28"/>
        </w:rPr>
      </w:pPr>
      <w:bookmarkStart w:id="457" w:name="_Toc14420"/>
      <w:r>
        <w:rPr>
          <w:color w:val="auto"/>
          <w:kern w:val="21"/>
          <w:sz w:val="28"/>
        </w:rPr>
        <w:t>10.3小结</w:t>
      </w:r>
      <w:bookmarkEnd w:id="457"/>
    </w:p>
    <w:p>
      <w:pPr>
        <w:ind w:firstLine="480"/>
        <w:rPr>
          <w:color w:val="auto"/>
          <w:kern w:val="21"/>
        </w:rPr>
      </w:pPr>
      <w:r>
        <w:rPr>
          <w:color w:val="auto"/>
          <w:kern w:val="21"/>
        </w:rPr>
        <w:t>本项目为污水处理厂项目，项目的建设运营可以削减排入青龙河的水污染物的量，实现对污染源的有效治理，可以获得较好的社会、环境效益。只要项目严格环境管理，保证相应环保设施的正常运行，使整个项目的环境效益、经济效益和社会效益做到协调发展，对社会经济的发展和减小项目对环境的影响将起到促进作用。</w:t>
      </w:r>
    </w:p>
    <w:p>
      <w:pPr>
        <w:ind w:firstLine="480"/>
        <w:rPr>
          <w:color w:val="auto"/>
          <w:kern w:val="21"/>
        </w:rPr>
        <w:sectPr>
          <w:headerReference r:id="rId18" w:type="default"/>
          <w:pgSz w:w="11906" w:h="16838"/>
          <w:pgMar w:top="1418" w:right="1134" w:bottom="1134" w:left="1418" w:header="851" w:footer="992" w:gutter="0"/>
          <w:cols w:space="720" w:num="1"/>
          <w:docGrid w:type="lines" w:linePitch="312" w:charSpace="0"/>
        </w:sectPr>
      </w:pPr>
    </w:p>
    <w:p>
      <w:pPr>
        <w:pStyle w:val="4"/>
        <w:rPr>
          <w:color w:val="auto"/>
          <w:kern w:val="21"/>
        </w:rPr>
      </w:pPr>
      <w:bookmarkStart w:id="458" w:name="_Toc14859"/>
      <w:r>
        <w:rPr>
          <w:color w:val="auto"/>
          <w:kern w:val="21"/>
        </w:rPr>
        <w:t>11环境影响评价结论</w:t>
      </w:r>
      <w:bookmarkEnd w:id="458"/>
    </w:p>
    <w:p>
      <w:pPr>
        <w:pStyle w:val="5"/>
        <w:spacing w:after="0"/>
        <w:rPr>
          <w:color w:val="auto"/>
          <w:kern w:val="21"/>
          <w:sz w:val="28"/>
        </w:rPr>
      </w:pPr>
      <w:bookmarkStart w:id="459" w:name="_Toc29781"/>
      <w:r>
        <w:rPr>
          <w:color w:val="auto"/>
          <w:kern w:val="21"/>
          <w:sz w:val="28"/>
        </w:rPr>
        <w:t>11.1项目概况</w:t>
      </w:r>
      <w:bookmarkEnd w:id="459"/>
    </w:p>
    <w:p>
      <w:pPr>
        <w:ind w:firstLine="480"/>
        <w:rPr>
          <w:color w:val="auto"/>
          <w:kern w:val="21"/>
        </w:rPr>
      </w:pPr>
      <w:r>
        <w:rPr>
          <w:color w:val="auto"/>
          <w:kern w:val="21"/>
        </w:rPr>
        <w:t>本项目选址位于楚雄市东升路西侧（富民工业园区边缘外侧），项目建设性质为新建，地理坐标为东经101°36′12″，北纬25°01′18″，</w:t>
      </w:r>
      <w:r>
        <w:rPr>
          <w:color w:val="auto"/>
          <w:kern w:val="21"/>
          <w:lang w:bidi="ar"/>
        </w:rPr>
        <w:t>工程设计规模近期处理污水量为0.5万m³/d，主要处理</w:t>
      </w:r>
      <w:r>
        <w:rPr>
          <w:rFonts w:hint="eastAsia"/>
          <w:color w:val="auto"/>
          <w:kern w:val="21"/>
          <w:lang w:eastAsia="zh-CN" w:bidi="ar"/>
        </w:rPr>
        <w:t>现状富民片区内已投产的</w:t>
      </w:r>
      <w:r>
        <w:rPr>
          <w:rFonts w:hint="eastAsia"/>
          <w:color w:val="auto"/>
          <w:kern w:val="21"/>
          <w:lang w:val="en-US" w:eastAsia="zh-CN" w:bidi="ar"/>
        </w:rPr>
        <w:t>5家企业的生产废水和生活污水，包括</w:t>
      </w:r>
      <w:r>
        <w:rPr>
          <w:rFonts w:hint="eastAsia"/>
          <w:color w:val="auto"/>
          <w:kern w:val="21"/>
          <w:lang w:val="en-US" w:eastAsia="zh-CN"/>
        </w:rPr>
        <w:t>“晶科能源（楚雄）有限公司年产20吉瓦高效太阳能电池片生产线建设项目（一期）”（晶科能源（楚雄）有限公司）、“宇泽半导体（云南）有限公司年产5GW单晶硅拉棒及3GW切片项目、年产5GW单晶硅拉棒及2GW切片项目”（宇泽半导体（云南）有限公司）、“云南麻叶生物科技有限公司工业大麻加工建设项目”（云南麻叶生物科技有限公司）、“云南赛维汉普500吨花叶加工提取大麻二酚项目”（</w:t>
      </w:r>
      <w:r>
        <w:rPr>
          <w:rFonts w:hint="default"/>
          <w:color w:val="auto"/>
          <w:kern w:val="21"/>
          <w:lang w:val="en-US" w:eastAsia="zh-CN"/>
        </w:rPr>
        <w:fldChar w:fldCharType="begin"/>
      </w:r>
      <w:r>
        <w:rPr>
          <w:rFonts w:hint="default"/>
          <w:color w:val="auto"/>
          <w:kern w:val="21"/>
          <w:lang w:val="en-US" w:eastAsia="zh-CN"/>
        </w:rPr>
        <w:instrText xml:space="preserve"> HYPERLINK "https://www.so.com/link?m=bJ+82hqSEXCnhUK88ehDzCBf+qUH2pCFNFcsnc3fDTI1i2isszS7DH7oXx3Luoqb0DmjhS0j9jqW64xCjGy7j7Et7kHOjxq/crOesEq2g5Qtsu8wuAn0jvuHXSzgUSsAsE5/sjTQMnOAEruDed/EM5QQnmarPjKG9Z2PBaRgo/8C6DN29i5TClSYTj6+sXenk" \t "https://www.so.com/_blank" </w:instrText>
      </w:r>
      <w:r>
        <w:rPr>
          <w:rFonts w:hint="default"/>
          <w:color w:val="auto"/>
          <w:kern w:val="21"/>
          <w:lang w:val="en-US" w:eastAsia="zh-CN"/>
        </w:rPr>
        <w:fldChar w:fldCharType="separate"/>
      </w:r>
      <w:r>
        <w:rPr>
          <w:rFonts w:hint="default"/>
          <w:color w:val="auto"/>
          <w:kern w:val="21"/>
          <w:lang w:val="en-US" w:eastAsia="zh-CN"/>
        </w:rPr>
        <w:t>云南赛维汉普科技有限公司</w:t>
      </w:r>
      <w:r>
        <w:rPr>
          <w:rFonts w:hint="default"/>
          <w:color w:val="auto"/>
          <w:kern w:val="21"/>
          <w:lang w:val="en-US" w:eastAsia="zh-CN"/>
        </w:rPr>
        <w:fldChar w:fldCharType="end"/>
      </w:r>
      <w:r>
        <w:rPr>
          <w:rFonts w:hint="eastAsia"/>
          <w:color w:val="auto"/>
          <w:kern w:val="21"/>
          <w:lang w:val="en-US" w:eastAsia="zh-CN"/>
        </w:rPr>
        <w:t>）、“湖南方盛制药股份有限公司工业大麻加工基地建设项目”（云南芙雅生物科技有限公司）</w:t>
      </w:r>
      <w:r>
        <w:rPr>
          <w:color w:val="auto"/>
          <w:kern w:val="21"/>
          <w:lang w:bidi="ar"/>
        </w:rPr>
        <w:t>。本项目总投资6946.33万元</w:t>
      </w:r>
      <w:r>
        <w:rPr>
          <w:color w:val="auto"/>
          <w:kern w:val="21"/>
        </w:rPr>
        <w:t>，其中环保投资</w:t>
      </w:r>
      <w:r>
        <w:rPr>
          <w:rFonts w:hint="eastAsia"/>
          <w:color w:val="auto"/>
          <w:kern w:val="21"/>
        </w:rPr>
        <w:t>1</w:t>
      </w:r>
      <w:r>
        <w:rPr>
          <w:rFonts w:hint="eastAsia"/>
          <w:color w:val="auto"/>
          <w:kern w:val="21"/>
          <w:lang w:val="en-US" w:eastAsia="zh-CN"/>
        </w:rPr>
        <w:t>6</w:t>
      </w:r>
      <w:r>
        <w:rPr>
          <w:rFonts w:hint="eastAsia"/>
          <w:color w:val="auto"/>
          <w:kern w:val="21"/>
        </w:rPr>
        <w:t>9.5</w:t>
      </w:r>
      <w:r>
        <w:rPr>
          <w:color w:val="auto"/>
          <w:kern w:val="21"/>
        </w:rPr>
        <w:t>万元，占总投资的</w:t>
      </w:r>
      <w:r>
        <w:rPr>
          <w:rFonts w:hint="eastAsia"/>
          <w:color w:val="auto"/>
          <w:kern w:val="21"/>
          <w:lang w:eastAsia="zh-CN"/>
        </w:rPr>
        <w:t>2.66%</w:t>
      </w:r>
      <w:r>
        <w:rPr>
          <w:color w:val="auto"/>
          <w:kern w:val="21"/>
        </w:rPr>
        <w:t>。</w:t>
      </w:r>
      <w:bookmarkStart w:id="460" w:name="_Toc215740240"/>
      <w:bookmarkStart w:id="461" w:name="_Toc107649882"/>
      <w:bookmarkStart w:id="462" w:name="_Toc107557207"/>
      <w:bookmarkStart w:id="463" w:name="_Toc107650280"/>
      <w:bookmarkStart w:id="464" w:name="_Toc105237243"/>
      <w:bookmarkStart w:id="465" w:name="_Toc107557428"/>
      <w:bookmarkStart w:id="466" w:name="_Toc101066326"/>
      <w:bookmarkStart w:id="467" w:name="_Toc107556978"/>
      <w:bookmarkStart w:id="468" w:name="_Toc107546921"/>
      <w:bookmarkStart w:id="469" w:name="_Toc101066917"/>
      <w:bookmarkStart w:id="470" w:name="_Toc112890582"/>
      <w:bookmarkStart w:id="471" w:name="_Toc101066763"/>
      <w:bookmarkStart w:id="472" w:name="_Toc106447836"/>
      <w:bookmarkStart w:id="473" w:name="_Toc106553966"/>
      <w:bookmarkStart w:id="474" w:name="_Toc112903195"/>
      <w:bookmarkStart w:id="475" w:name="_Toc107650497"/>
    </w:p>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Pr>
        <w:pStyle w:val="5"/>
        <w:spacing w:after="0"/>
        <w:rPr>
          <w:color w:val="auto"/>
          <w:kern w:val="21"/>
          <w:sz w:val="28"/>
        </w:rPr>
      </w:pPr>
      <w:bookmarkStart w:id="476" w:name="_Toc16216"/>
      <w:r>
        <w:rPr>
          <w:color w:val="auto"/>
          <w:kern w:val="21"/>
          <w:sz w:val="28"/>
        </w:rPr>
        <w:t>11.</w:t>
      </w:r>
      <w:r>
        <w:rPr>
          <w:rFonts w:hint="eastAsia"/>
          <w:color w:val="auto"/>
          <w:kern w:val="21"/>
          <w:sz w:val="28"/>
        </w:rPr>
        <w:t>2</w:t>
      </w:r>
      <w:r>
        <w:rPr>
          <w:color w:val="auto"/>
          <w:kern w:val="21"/>
          <w:sz w:val="28"/>
        </w:rPr>
        <w:t>项目所在区域环境质量现状结论</w:t>
      </w:r>
      <w:bookmarkEnd w:id="476"/>
    </w:p>
    <w:p>
      <w:pPr>
        <w:ind w:firstLine="480" w:firstLineChars="0"/>
        <w:rPr>
          <w:color w:val="auto"/>
          <w:kern w:val="21"/>
        </w:rPr>
      </w:pPr>
      <w:r>
        <w:rPr>
          <w:color w:val="auto"/>
          <w:kern w:val="21"/>
        </w:rPr>
        <w:t>1、环境空气</w:t>
      </w:r>
    </w:p>
    <w:p>
      <w:pPr>
        <w:widowControl/>
        <w:ind w:firstLine="480"/>
        <w:jc w:val="left"/>
        <w:rPr>
          <w:color w:val="auto"/>
          <w:kern w:val="21"/>
        </w:rPr>
      </w:pPr>
      <w:r>
        <w:rPr>
          <w:color w:val="auto"/>
          <w:kern w:val="21"/>
        </w:rPr>
        <w:t>根据现状监测结果，项目所在区域</w:t>
      </w:r>
      <w:r>
        <w:rPr>
          <w:bCs/>
          <w:color w:val="auto"/>
          <w:kern w:val="21"/>
        </w:rPr>
        <w:t>环境空气质量现状评价因子氨和H</w:t>
      </w:r>
      <w:r>
        <w:rPr>
          <w:bCs/>
          <w:color w:val="auto"/>
          <w:kern w:val="21"/>
          <w:vertAlign w:val="subscript"/>
        </w:rPr>
        <w:t>2</w:t>
      </w:r>
      <w:r>
        <w:rPr>
          <w:bCs/>
          <w:color w:val="auto"/>
          <w:kern w:val="21"/>
        </w:rPr>
        <w:t>S小时浓度满足《环境影响评价技术导则大气环境》（HJ2.2-2018）附录D其他污染物空气质量浓度参考限值要求。</w:t>
      </w:r>
    </w:p>
    <w:p>
      <w:pPr>
        <w:ind w:firstLine="480" w:firstLineChars="0"/>
        <w:rPr>
          <w:color w:val="auto"/>
          <w:kern w:val="21"/>
        </w:rPr>
      </w:pPr>
      <w:r>
        <w:rPr>
          <w:color w:val="auto"/>
          <w:kern w:val="21"/>
        </w:rPr>
        <w:t>2、地表水</w:t>
      </w:r>
    </w:p>
    <w:p>
      <w:pPr>
        <w:ind w:firstLine="480"/>
        <w:rPr>
          <w:color w:val="auto"/>
          <w:kern w:val="21"/>
        </w:rPr>
      </w:pPr>
      <w:r>
        <w:rPr>
          <w:color w:val="auto"/>
          <w:kern w:val="21"/>
        </w:rPr>
        <w:t>从监测结果可知，青龙河上的W2、W3监测断面中BOD</w:t>
      </w:r>
      <w:r>
        <w:rPr>
          <w:color w:val="auto"/>
          <w:kern w:val="21"/>
          <w:vertAlign w:val="subscript"/>
        </w:rPr>
        <w:t>5</w:t>
      </w:r>
      <w:r>
        <w:rPr>
          <w:color w:val="auto"/>
          <w:kern w:val="21"/>
        </w:rPr>
        <w:t>、生物需氧量超过了《地表水环境质量标准》（GB3838-2002）中的Ⅳ类标准值，其余监测因子均达标。</w:t>
      </w:r>
    </w:p>
    <w:p>
      <w:pPr>
        <w:pStyle w:val="23"/>
        <w:spacing w:after="0" w:line="360" w:lineRule="auto"/>
        <w:ind w:left="0" w:leftChars="0" w:firstLine="0" w:firstLineChars="0"/>
        <w:rPr>
          <w:color w:val="auto"/>
          <w:kern w:val="21"/>
        </w:rPr>
      </w:pPr>
      <w:r>
        <w:rPr>
          <w:color w:val="auto"/>
        </w:rPr>
        <w:t>整体来看，2019年12月-2022年6月青龙河水质整体是在改善，阳光桥断面至青龙河入龙川江断面承载了几乎所以的入河面源污染，随着青龙河达标方案的实施，沿河截污干管的建设及以前不规范排水口的封堵，加上上游水库治理，下泄生态流量的增加，青龙河水质的改善会越来明显。</w:t>
      </w:r>
    </w:p>
    <w:p>
      <w:pPr>
        <w:pStyle w:val="23"/>
        <w:spacing w:after="0" w:line="360" w:lineRule="auto"/>
        <w:ind w:left="0" w:leftChars="0" w:firstLine="480"/>
        <w:rPr>
          <w:color w:val="auto"/>
          <w:kern w:val="21"/>
        </w:rPr>
      </w:pPr>
      <w:r>
        <w:rPr>
          <w:color w:val="auto"/>
          <w:kern w:val="21"/>
        </w:rPr>
        <w:t>《中华人民共和国环境保护法》规定，未达到国家环境质量标准的重点区域、流域的有关地方人民政府，应当制定限期达标规划，并采取措施按期达标，为确保青龙河入龙川江口断面达到IV类标准，2021年11月楚雄市人民政府主持编制完成了《楚雄市青龙河入龙川江口断面水体达标方案（2021-2025年）》，2022年楚雄市人民政府下发了《楚雄市人民政府办公室关于印发楚雄市青龙河水体达标方案的通知》（楚市政办通〔2022〕6号），拟实施17项重点工程，包括城镇两污类、工业污染防治类、农村环境综合整治类、水生态保护及修复类、水资源优化调度类、生态环境管理类6类项目，总投资7.11亿元，其中，已有规划项目13项，总投资6.64亿元，占总投资的93.39%，方案新增项目4项，总投资0.47亿元，占总投资的6.61%。以实现2025年青龙河入龙川江口断面水质目标达到GB3838-2002《地表水环境质量标准》IV类标准要求。</w:t>
      </w:r>
    </w:p>
    <w:p>
      <w:pPr>
        <w:ind w:firstLine="480"/>
        <w:rPr>
          <w:color w:val="auto"/>
          <w:kern w:val="21"/>
        </w:rPr>
      </w:pPr>
      <w:r>
        <w:rPr>
          <w:color w:val="auto"/>
          <w:kern w:val="21"/>
        </w:rPr>
        <w:t>3、地下水</w:t>
      </w:r>
    </w:p>
    <w:p>
      <w:pPr>
        <w:ind w:firstLine="480"/>
        <w:rPr>
          <w:color w:val="auto"/>
          <w:kern w:val="21"/>
        </w:rPr>
      </w:pPr>
      <w:r>
        <w:rPr>
          <w:color w:val="auto"/>
          <w:kern w:val="21"/>
        </w:rPr>
        <w:t>从监测结果可知，</w:t>
      </w:r>
      <w:r>
        <w:rPr>
          <w:bCs/>
          <w:color w:val="auto"/>
          <w:kern w:val="21"/>
        </w:rPr>
        <w:t>1#地下水、2#地下水（山泉），3#地下水（厂区钻井），4#地下水（王家小屯），5#地下水（大东村）</w:t>
      </w:r>
      <w:r>
        <w:rPr>
          <w:color w:val="auto"/>
          <w:kern w:val="21"/>
        </w:rPr>
        <w:t>5个地下水监测点中pH、氨氮、硝酸盐、亚硝酸盐、挥发酚、氰化物、总砷、总汞、六价铬、总铅、氟化物、总镉、总大肠菌群、溶解性总固体、硫酸盐、氯化物、耗氧量17项检测指标均满足《地下水质量标准》（GB/T14848-2017）中的Ⅲ类标准值。</w:t>
      </w:r>
    </w:p>
    <w:p>
      <w:pPr>
        <w:ind w:firstLine="480"/>
        <w:rPr>
          <w:color w:val="auto"/>
          <w:kern w:val="21"/>
        </w:rPr>
      </w:pPr>
      <w:r>
        <w:rPr>
          <w:color w:val="auto"/>
          <w:kern w:val="21"/>
        </w:rPr>
        <w:t>4、声环境</w:t>
      </w:r>
    </w:p>
    <w:p>
      <w:pPr>
        <w:ind w:firstLine="480"/>
        <w:jc w:val="left"/>
        <w:rPr>
          <w:color w:val="auto"/>
          <w:kern w:val="21"/>
        </w:rPr>
      </w:pPr>
      <w:r>
        <w:rPr>
          <w:color w:val="auto"/>
          <w:kern w:val="21"/>
        </w:rPr>
        <w:t>根据现状监测结果，拟建项目东厂界声环境质量现状满足《声环境质量标准》（GB3906-2008）中的4a类标准值要求，南厂界、西厂界、北厂界声环境质量现状均满足《声环境质量标准》（GB3906-2008）中的</w:t>
      </w:r>
      <w:r>
        <w:rPr>
          <w:rFonts w:hint="eastAsia"/>
          <w:color w:val="auto"/>
          <w:kern w:val="21"/>
        </w:rPr>
        <w:t>3</w:t>
      </w:r>
      <w:r>
        <w:rPr>
          <w:color w:val="auto"/>
          <w:kern w:val="21"/>
        </w:rPr>
        <w:t>类标准值要求。</w:t>
      </w:r>
    </w:p>
    <w:p>
      <w:pPr>
        <w:ind w:firstLine="480"/>
        <w:rPr>
          <w:color w:val="auto"/>
          <w:kern w:val="21"/>
          <w:szCs w:val="28"/>
        </w:rPr>
      </w:pPr>
      <w:r>
        <w:rPr>
          <w:color w:val="auto"/>
          <w:kern w:val="21"/>
          <w:szCs w:val="28"/>
        </w:rPr>
        <w:t>5、土壤</w:t>
      </w:r>
    </w:p>
    <w:p>
      <w:pPr>
        <w:ind w:firstLine="480"/>
        <w:rPr>
          <w:color w:val="auto"/>
          <w:kern w:val="21"/>
        </w:rPr>
      </w:pPr>
      <w:r>
        <w:rPr>
          <w:color w:val="auto"/>
          <w:kern w:val="21"/>
        </w:rPr>
        <w:t>根据监测结果，拟建项目厂区土壤监测点的各污染物因子均能满足《土壤环境质量建设用地土壤污染风险管控标准》（试行）（GB36600-2018）中第二类用地的筛选值和管控值的要求。</w:t>
      </w:r>
    </w:p>
    <w:p>
      <w:pPr>
        <w:ind w:firstLine="480"/>
        <w:rPr>
          <w:color w:val="auto"/>
          <w:kern w:val="21"/>
          <w:szCs w:val="28"/>
        </w:rPr>
      </w:pPr>
      <w:r>
        <w:rPr>
          <w:color w:val="auto"/>
          <w:kern w:val="21"/>
          <w:szCs w:val="28"/>
        </w:rPr>
        <w:t>6、生态环境</w:t>
      </w:r>
    </w:p>
    <w:p>
      <w:pPr>
        <w:ind w:firstLine="480" w:firstLineChars="0"/>
        <w:textAlignment w:val="baseline"/>
        <w:rPr>
          <w:color w:val="auto"/>
          <w:kern w:val="21"/>
        </w:rPr>
      </w:pPr>
      <w:r>
        <w:rPr>
          <w:color w:val="auto"/>
          <w:kern w:val="21"/>
        </w:rPr>
        <w:t>项目区周围由于人为扰动影响频繁，项目区内没有珍稀野生动物和其它大型野生动物分布。从植被、动物的多样性和丰富度上分析区域内生态环境质量一般。</w:t>
      </w:r>
    </w:p>
    <w:p>
      <w:pPr>
        <w:pStyle w:val="5"/>
        <w:spacing w:after="0"/>
        <w:rPr>
          <w:color w:val="auto"/>
          <w:kern w:val="21"/>
          <w:sz w:val="28"/>
        </w:rPr>
      </w:pPr>
      <w:bookmarkStart w:id="477" w:name="_Toc2081"/>
      <w:r>
        <w:rPr>
          <w:color w:val="auto"/>
          <w:kern w:val="21"/>
          <w:sz w:val="28"/>
        </w:rPr>
        <w:t>11.</w:t>
      </w:r>
      <w:r>
        <w:rPr>
          <w:rFonts w:hint="eastAsia"/>
          <w:color w:val="auto"/>
          <w:kern w:val="21"/>
          <w:sz w:val="28"/>
        </w:rPr>
        <w:t>3</w:t>
      </w:r>
      <w:r>
        <w:rPr>
          <w:color w:val="auto"/>
          <w:kern w:val="21"/>
          <w:sz w:val="28"/>
        </w:rPr>
        <w:t>环境影响预测评价结论</w:t>
      </w:r>
      <w:bookmarkEnd w:id="477"/>
    </w:p>
    <w:p>
      <w:pPr>
        <w:pStyle w:val="6"/>
        <w:spacing w:after="0"/>
        <w:rPr>
          <w:rFonts w:eastAsia="宋体"/>
          <w:color w:val="auto"/>
          <w:kern w:val="21"/>
          <w:sz w:val="24"/>
          <w:szCs w:val="24"/>
        </w:rPr>
      </w:pPr>
      <w:bookmarkStart w:id="478" w:name="_Toc10749"/>
      <w:r>
        <w:rPr>
          <w:rFonts w:eastAsia="宋体"/>
          <w:color w:val="auto"/>
          <w:kern w:val="21"/>
          <w:sz w:val="24"/>
          <w:szCs w:val="24"/>
        </w:rPr>
        <w:t>11.</w:t>
      </w:r>
      <w:r>
        <w:rPr>
          <w:rFonts w:hint="eastAsia" w:eastAsia="宋体"/>
          <w:color w:val="auto"/>
          <w:kern w:val="21"/>
          <w:sz w:val="24"/>
          <w:szCs w:val="24"/>
        </w:rPr>
        <w:t>3</w:t>
      </w:r>
      <w:r>
        <w:rPr>
          <w:rFonts w:eastAsia="宋体"/>
          <w:color w:val="auto"/>
          <w:kern w:val="21"/>
          <w:sz w:val="24"/>
          <w:szCs w:val="24"/>
        </w:rPr>
        <w:t>.1生态环境影响评价结论</w:t>
      </w:r>
      <w:bookmarkEnd w:id="478"/>
    </w:p>
    <w:p>
      <w:pPr>
        <w:ind w:firstLine="480"/>
        <w:rPr>
          <w:rFonts w:hint="eastAsia"/>
          <w:bCs/>
          <w:color w:val="auto"/>
          <w:kern w:val="21"/>
          <w:lang w:eastAsia="zh-CN"/>
        </w:rPr>
      </w:pPr>
      <w:r>
        <w:rPr>
          <w:bCs/>
          <w:color w:val="auto"/>
          <w:kern w:val="21"/>
        </w:rPr>
        <w:t>本项目的建设会对区域生态环境产生一定的不利影响，但影响范围较小，项目未占用林地和基本农田。项目占地面积不大，项目建成后对厂区除道路外的裸露土地进行绿化，可减小项目建设对生态环境带来的影响</w:t>
      </w:r>
      <w:r>
        <w:rPr>
          <w:rFonts w:hint="eastAsia"/>
          <w:bCs/>
          <w:color w:val="auto"/>
          <w:kern w:val="21"/>
          <w:lang w:eastAsia="zh-CN"/>
        </w:rPr>
        <w:t>。</w:t>
      </w:r>
    </w:p>
    <w:p>
      <w:pPr>
        <w:ind w:firstLine="480"/>
        <w:rPr>
          <w:rFonts w:hint="eastAsia"/>
          <w:bCs/>
          <w:color w:val="auto"/>
          <w:kern w:val="21"/>
          <w:lang w:eastAsia="zh-CN"/>
        </w:rPr>
      </w:pPr>
      <w:r>
        <w:rPr>
          <w:rFonts w:hint="default" w:ascii="Times New Roman" w:hAnsi="Times New Roman" w:cs="Times New Roman"/>
          <w:color w:val="auto"/>
          <w:lang w:eastAsia="zh-CN"/>
        </w:rPr>
        <w:t>本项目排放的废水为常温废水，与河流水体温度相近，不会造成河流水体升温；本项目废水</w:t>
      </w:r>
      <w:r>
        <w:rPr>
          <w:rFonts w:hint="eastAsia" w:cs="Times New Roman"/>
          <w:color w:val="auto"/>
          <w:lang w:eastAsia="zh-CN"/>
        </w:rPr>
        <w:t>正常</w:t>
      </w:r>
      <w:r>
        <w:rPr>
          <w:rFonts w:hint="default" w:ascii="Times New Roman" w:hAnsi="Times New Roman" w:cs="Times New Roman"/>
          <w:color w:val="auto"/>
          <w:lang w:eastAsia="zh-CN"/>
        </w:rPr>
        <w:t>排放对河流污染物的增加幅度较小，水质的变化幅度是鱼类可以接受的，也不会对其他水生生物、浮游藻类产生较大影响</w:t>
      </w:r>
      <w:r>
        <w:rPr>
          <w:rFonts w:hint="default" w:ascii="Times New Roman" w:hAnsi="Times New Roman" w:cs="Times New Roman"/>
          <w:color w:val="auto"/>
        </w:rPr>
        <w:t>。</w:t>
      </w:r>
    </w:p>
    <w:p>
      <w:pPr>
        <w:ind w:firstLine="480"/>
        <w:rPr>
          <w:bCs/>
          <w:color w:val="auto"/>
          <w:kern w:val="21"/>
        </w:rPr>
      </w:pPr>
      <w:r>
        <w:rPr>
          <w:rFonts w:hint="eastAsia"/>
          <w:bCs/>
          <w:color w:val="auto"/>
          <w:kern w:val="21"/>
          <w:lang w:eastAsia="zh-CN"/>
        </w:rPr>
        <w:t>综上所述</w:t>
      </w:r>
      <w:r>
        <w:rPr>
          <w:bCs/>
          <w:color w:val="auto"/>
          <w:kern w:val="21"/>
        </w:rPr>
        <w:t>，项目的建设和运行对</w:t>
      </w:r>
      <w:r>
        <w:rPr>
          <w:rFonts w:hint="eastAsia"/>
          <w:bCs/>
          <w:color w:val="auto"/>
          <w:kern w:val="21"/>
          <w:lang w:eastAsia="zh-CN"/>
        </w:rPr>
        <w:t>直接占用的陆生生态环境以及间接影响的水生生态环境</w:t>
      </w:r>
      <w:r>
        <w:rPr>
          <w:bCs/>
          <w:color w:val="auto"/>
          <w:kern w:val="21"/>
        </w:rPr>
        <w:t>的影响较小。</w:t>
      </w:r>
    </w:p>
    <w:p>
      <w:pPr>
        <w:pStyle w:val="6"/>
        <w:spacing w:after="0"/>
        <w:rPr>
          <w:rFonts w:eastAsia="宋体"/>
          <w:color w:val="auto"/>
          <w:kern w:val="21"/>
          <w:sz w:val="24"/>
          <w:szCs w:val="24"/>
        </w:rPr>
      </w:pPr>
      <w:bookmarkStart w:id="479" w:name="_Toc8881"/>
      <w:r>
        <w:rPr>
          <w:rFonts w:eastAsia="宋体"/>
          <w:color w:val="auto"/>
          <w:kern w:val="21"/>
          <w:sz w:val="24"/>
          <w:szCs w:val="24"/>
        </w:rPr>
        <w:t>11.</w:t>
      </w:r>
      <w:r>
        <w:rPr>
          <w:rFonts w:hint="eastAsia" w:eastAsia="宋体"/>
          <w:color w:val="auto"/>
          <w:kern w:val="21"/>
          <w:sz w:val="24"/>
          <w:szCs w:val="24"/>
        </w:rPr>
        <w:t>3</w:t>
      </w:r>
      <w:r>
        <w:rPr>
          <w:rFonts w:eastAsia="宋体"/>
          <w:color w:val="auto"/>
          <w:kern w:val="21"/>
          <w:sz w:val="24"/>
          <w:szCs w:val="24"/>
        </w:rPr>
        <w:t>.2环境空气影响分析结论</w:t>
      </w:r>
      <w:bookmarkEnd w:id="479"/>
    </w:p>
    <w:p>
      <w:pPr>
        <w:pStyle w:val="16"/>
        <w:spacing w:line="360" w:lineRule="auto"/>
        <w:ind w:firstLine="472" w:firstLineChars="200"/>
        <w:rPr>
          <w:rFonts w:hint="default" w:ascii="Times New Roman"/>
          <w:color w:val="auto"/>
          <w:sz w:val="24"/>
        </w:rPr>
      </w:pPr>
      <w:r>
        <w:rPr>
          <w:rFonts w:ascii="Times New Roman"/>
          <w:color w:val="auto"/>
          <w:spacing w:val="-2"/>
          <w:sz w:val="24"/>
        </w:rPr>
        <w:t>1、</w:t>
      </w:r>
      <w:r>
        <w:rPr>
          <w:rFonts w:hint="default" w:ascii="Times New Roman"/>
          <w:color w:val="auto"/>
          <w:sz w:val="24"/>
        </w:rPr>
        <w:t>项目所在区域为环境空气质量达标区</w:t>
      </w:r>
      <w:r>
        <w:rPr>
          <w:rFonts w:ascii="Times New Roman"/>
          <w:color w:val="auto"/>
          <w:sz w:val="24"/>
        </w:rPr>
        <w:t>，</w:t>
      </w:r>
      <w:r>
        <w:rPr>
          <w:rFonts w:hint="default" w:ascii="Times New Roman"/>
          <w:color w:val="auto"/>
          <w:sz w:val="24"/>
        </w:rPr>
        <w:t>正常排放情况下，评价范围内</w:t>
      </w:r>
      <w:r>
        <w:rPr>
          <w:rFonts w:ascii="Times New Roman"/>
          <w:color w:val="auto"/>
          <w:sz w:val="24"/>
        </w:rPr>
        <w:t>NH</w:t>
      </w:r>
      <w:r>
        <w:rPr>
          <w:rFonts w:ascii="Times New Roman"/>
          <w:color w:val="auto"/>
          <w:sz w:val="24"/>
          <w:vertAlign w:val="subscript"/>
        </w:rPr>
        <w:t>3</w:t>
      </w:r>
      <w:r>
        <w:rPr>
          <w:rFonts w:ascii="Times New Roman"/>
          <w:color w:val="auto"/>
          <w:sz w:val="24"/>
        </w:rPr>
        <w:t>、H</w:t>
      </w:r>
      <w:r>
        <w:rPr>
          <w:rFonts w:ascii="Times New Roman"/>
          <w:color w:val="auto"/>
          <w:sz w:val="24"/>
          <w:vertAlign w:val="subscript"/>
        </w:rPr>
        <w:t>2</w:t>
      </w:r>
      <w:r>
        <w:rPr>
          <w:rFonts w:ascii="Times New Roman"/>
          <w:color w:val="auto"/>
          <w:sz w:val="24"/>
        </w:rPr>
        <w:t>S</w:t>
      </w:r>
      <w:r>
        <w:rPr>
          <w:rFonts w:hint="default" w:ascii="Times New Roman"/>
          <w:color w:val="auto"/>
          <w:sz w:val="24"/>
        </w:rPr>
        <w:t>短期贡献值占标率均＜</w:t>
      </w:r>
      <w:r>
        <w:rPr>
          <w:rFonts w:hint="default" w:ascii="Times New Roman" w:hAnsi="Times New Roman"/>
          <w:color w:val="auto"/>
          <w:sz w:val="24"/>
        </w:rPr>
        <w:t>100%</w:t>
      </w:r>
      <w:r>
        <w:rPr>
          <w:rFonts w:hint="default" w:ascii="Times New Roman"/>
          <w:color w:val="auto"/>
          <w:sz w:val="24"/>
        </w:rPr>
        <w:t>；叠加环境质量现状浓度后，环境空气保护目标和网格点短期浓度预测值符合《环境影响评价技术</w:t>
      </w:r>
      <w:r>
        <w:rPr>
          <w:rFonts w:hint="eastAsia" w:ascii="Times New Roman"/>
          <w:color w:val="auto"/>
          <w:sz w:val="24"/>
          <w:lang w:eastAsia="zh-CN"/>
        </w:rPr>
        <w:t>导则 大气环境</w:t>
      </w:r>
      <w:r>
        <w:rPr>
          <w:rFonts w:hint="default" w:ascii="Times New Roman"/>
          <w:color w:val="auto"/>
          <w:sz w:val="24"/>
        </w:rPr>
        <w:t>》（</w:t>
      </w:r>
      <w:r>
        <w:rPr>
          <w:rFonts w:hint="default" w:ascii="Times New Roman" w:hAnsi="Times New Roman"/>
          <w:color w:val="auto"/>
          <w:sz w:val="24"/>
        </w:rPr>
        <w:t>HJ2.2-2018</w:t>
      </w:r>
      <w:r>
        <w:rPr>
          <w:rFonts w:hint="default" w:ascii="Times New Roman"/>
          <w:color w:val="auto"/>
          <w:sz w:val="24"/>
        </w:rPr>
        <w:t>）附录</w:t>
      </w:r>
      <w:r>
        <w:rPr>
          <w:rFonts w:hint="default" w:ascii="Times New Roman" w:hAnsi="Times New Roman"/>
          <w:color w:val="auto"/>
          <w:sz w:val="24"/>
        </w:rPr>
        <w:t>D</w:t>
      </w:r>
      <w:r>
        <w:rPr>
          <w:rFonts w:hint="default" w:ascii="Times New Roman"/>
          <w:color w:val="auto"/>
          <w:sz w:val="24"/>
        </w:rPr>
        <w:t>浓度限值。</w:t>
      </w:r>
    </w:p>
    <w:p>
      <w:pPr>
        <w:pStyle w:val="16"/>
        <w:spacing w:line="360" w:lineRule="auto"/>
        <w:ind w:firstLine="480" w:firstLineChars="200"/>
        <w:jc w:val="both"/>
        <w:rPr>
          <w:rFonts w:hint="default" w:ascii="Times New Roman" w:hAnsi="Times New Roman"/>
          <w:color w:val="auto"/>
          <w:sz w:val="24"/>
          <w:szCs w:val="24"/>
        </w:rPr>
      </w:pPr>
      <w:r>
        <w:rPr>
          <w:rFonts w:hint="default" w:ascii="Times New Roman" w:hAnsi="Times New Roman"/>
          <w:color w:val="auto"/>
          <w:sz w:val="24"/>
          <w:szCs w:val="24"/>
        </w:rPr>
        <w:t>2、</w:t>
      </w:r>
      <w:r>
        <w:rPr>
          <w:rFonts w:hint="default" w:ascii="Times New Roman"/>
          <w:color w:val="auto"/>
          <w:sz w:val="24"/>
          <w:szCs w:val="24"/>
        </w:rPr>
        <w:t>本次评价设定了</w:t>
      </w:r>
      <w:r>
        <w:rPr>
          <w:rFonts w:hint="eastAsia" w:ascii="Times New Roman" w:hAnsi="Times New Roman"/>
          <w:color w:val="auto"/>
          <w:sz w:val="24"/>
          <w:szCs w:val="24"/>
          <w:lang w:val="en-US" w:eastAsia="zh-CN"/>
        </w:rPr>
        <w:t>1</w:t>
      </w:r>
      <w:r>
        <w:rPr>
          <w:rFonts w:hint="default" w:ascii="Times New Roman"/>
          <w:color w:val="auto"/>
          <w:sz w:val="24"/>
          <w:szCs w:val="24"/>
        </w:rPr>
        <w:t>种非正常工况，</w:t>
      </w:r>
      <w:r>
        <w:rPr>
          <w:rFonts w:hint="eastAsia" w:ascii="Times New Roman"/>
          <w:color w:val="auto"/>
          <w:spacing w:val="8"/>
          <w:sz w:val="24"/>
          <w:szCs w:val="24"/>
          <w:lang w:eastAsia="zh-CN"/>
        </w:rPr>
        <w:t>非正常</w:t>
      </w:r>
      <w:r>
        <w:rPr>
          <w:rFonts w:ascii="Times New Roman"/>
          <w:color w:val="auto"/>
          <w:spacing w:val="8"/>
          <w:sz w:val="24"/>
          <w:szCs w:val="24"/>
        </w:rPr>
        <w:t>排放的NH</w:t>
      </w:r>
      <w:r>
        <w:rPr>
          <w:rFonts w:ascii="Times New Roman"/>
          <w:color w:val="auto"/>
          <w:spacing w:val="8"/>
          <w:sz w:val="24"/>
          <w:szCs w:val="24"/>
          <w:vertAlign w:val="subscript"/>
        </w:rPr>
        <w:t>3</w:t>
      </w:r>
      <w:r>
        <w:rPr>
          <w:rFonts w:ascii="Times New Roman"/>
          <w:color w:val="auto"/>
          <w:spacing w:val="8"/>
          <w:sz w:val="24"/>
          <w:szCs w:val="24"/>
        </w:rPr>
        <w:t>、H</w:t>
      </w:r>
      <w:r>
        <w:rPr>
          <w:rFonts w:ascii="Times New Roman"/>
          <w:color w:val="auto"/>
          <w:spacing w:val="8"/>
          <w:sz w:val="24"/>
          <w:szCs w:val="24"/>
          <w:vertAlign w:val="subscript"/>
        </w:rPr>
        <w:t>2</w:t>
      </w:r>
      <w:r>
        <w:rPr>
          <w:rFonts w:ascii="Times New Roman"/>
          <w:color w:val="auto"/>
          <w:spacing w:val="8"/>
          <w:sz w:val="24"/>
          <w:szCs w:val="24"/>
        </w:rPr>
        <w:t>S</w:t>
      </w:r>
      <w:r>
        <w:rPr>
          <w:rFonts w:hint="default" w:ascii="Times New Roman"/>
          <w:color w:val="auto"/>
          <w:sz w:val="24"/>
          <w:szCs w:val="24"/>
        </w:rPr>
        <w:t>在评价范围内厂界外对</w:t>
      </w:r>
      <w:r>
        <w:rPr>
          <w:rFonts w:ascii="Times New Roman"/>
          <w:color w:val="auto"/>
          <w:sz w:val="24"/>
          <w:szCs w:val="24"/>
        </w:rPr>
        <w:t>网格点和</w:t>
      </w:r>
      <w:r>
        <w:rPr>
          <w:rFonts w:hint="default" w:ascii="Times New Roman"/>
          <w:color w:val="auto"/>
          <w:sz w:val="24"/>
          <w:szCs w:val="24"/>
        </w:rPr>
        <w:t>保护目标的小时贡献值</w:t>
      </w:r>
      <w:r>
        <w:rPr>
          <w:rFonts w:hint="eastAsia" w:ascii="Times New Roman"/>
          <w:color w:val="auto"/>
          <w:sz w:val="24"/>
          <w:szCs w:val="24"/>
          <w:lang w:eastAsia="zh-CN"/>
        </w:rPr>
        <w:t>也</w:t>
      </w:r>
      <w:r>
        <w:rPr>
          <w:rFonts w:hint="default" w:ascii="Times New Roman"/>
          <w:color w:val="auto"/>
          <w:sz w:val="24"/>
          <w:szCs w:val="24"/>
        </w:rPr>
        <w:t>能满足《环境影响评价技术</w:t>
      </w:r>
      <w:r>
        <w:rPr>
          <w:rFonts w:hint="eastAsia" w:ascii="Times New Roman"/>
          <w:color w:val="auto"/>
          <w:sz w:val="24"/>
          <w:szCs w:val="24"/>
          <w:lang w:eastAsia="zh-CN"/>
        </w:rPr>
        <w:t>导则 大气环境</w:t>
      </w:r>
      <w:r>
        <w:rPr>
          <w:rFonts w:hint="default" w:ascii="Times New Roman"/>
          <w:color w:val="auto"/>
          <w:sz w:val="24"/>
          <w:szCs w:val="24"/>
        </w:rPr>
        <w:t>》（</w:t>
      </w:r>
      <w:r>
        <w:rPr>
          <w:rFonts w:hint="default" w:ascii="Times New Roman" w:hAnsi="Times New Roman"/>
          <w:color w:val="auto"/>
          <w:sz w:val="24"/>
          <w:szCs w:val="24"/>
        </w:rPr>
        <w:t>HJ2.2-2018</w:t>
      </w:r>
      <w:r>
        <w:rPr>
          <w:rFonts w:hint="default" w:ascii="Times New Roman"/>
          <w:color w:val="auto"/>
          <w:sz w:val="24"/>
          <w:szCs w:val="24"/>
        </w:rPr>
        <w:t>）附录</w:t>
      </w:r>
      <w:r>
        <w:rPr>
          <w:rFonts w:hint="default" w:ascii="Times New Roman" w:hAnsi="Times New Roman"/>
          <w:color w:val="auto"/>
          <w:sz w:val="24"/>
          <w:szCs w:val="24"/>
        </w:rPr>
        <w:t>D</w:t>
      </w:r>
      <w:r>
        <w:rPr>
          <w:rFonts w:hint="default" w:ascii="Times New Roman"/>
          <w:color w:val="auto"/>
          <w:sz w:val="24"/>
          <w:szCs w:val="24"/>
        </w:rPr>
        <w:t>浓度限值</w:t>
      </w:r>
      <w:r>
        <w:rPr>
          <w:rFonts w:hint="eastAsia" w:ascii="Times New Roman"/>
          <w:color w:val="auto"/>
          <w:sz w:val="24"/>
          <w:szCs w:val="24"/>
          <w:lang w:eastAsia="zh-CN"/>
        </w:rPr>
        <w:t>，对外环境影响不大</w:t>
      </w:r>
      <w:r>
        <w:rPr>
          <w:rFonts w:hint="default" w:ascii="Times New Roman"/>
          <w:color w:val="auto"/>
          <w:spacing w:val="8"/>
          <w:sz w:val="24"/>
          <w:szCs w:val="24"/>
        </w:rPr>
        <w:t>。</w:t>
      </w:r>
    </w:p>
    <w:p>
      <w:pPr>
        <w:spacing w:line="360" w:lineRule="auto"/>
        <w:ind w:firstLine="480" w:firstLineChars="200"/>
        <w:rPr>
          <w:color w:val="auto"/>
        </w:rPr>
      </w:pPr>
      <w:r>
        <w:rPr>
          <w:rFonts w:hint="eastAsia"/>
          <w:color w:val="auto"/>
        </w:rPr>
        <w:t>3、</w:t>
      </w:r>
      <w:r>
        <w:rPr>
          <w:color w:val="auto"/>
        </w:rPr>
        <w:t>项目无组织排放的NH</w:t>
      </w:r>
      <w:r>
        <w:rPr>
          <w:color w:val="auto"/>
          <w:vertAlign w:val="subscript"/>
        </w:rPr>
        <w:t>3</w:t>
      </w:r>
      <w:r>
        <w:rPr>
          <w:rFonts w:hint="eastAsia"/>
          <w:color w:val="auto"/>
        </w:rPr>
        <w:t>、</w:t>
      </w:r>
      <w:r>
        <w:rPr>
          <w:color w:val="auto"/>
        </w:rPr>
        <w:t>H</w:t>
      </w:r>
      <w:r>
        <w:rPr>
          <w:color w:val="auto"/>
          <w:vertAlign w:val="subscript"/>
        </w:rPr>
        <w:t>2</w:t>
      </w:r>
      <w:r>
        <w:rPr>
          <w:color w:val="auto"/>
        </w:rPr>
        <w:t>S</w:t>
      </w:r>
      <w:r>
        <w:rPr>
          <w:rFonts w:hint="eastAsia"/>
          <w:color w:val="auto"/>
        </w:rPr>
        <w:t>厂界浓度能</w:t>
      </w:r>
      <w:r>
        <w:rPr>
          <w:color w:val="auto"/>
        </w:rPr>
        <w:t>满足</w:t>
      </w:r>
      <w:r>
        <w:rPr>
          <w:color w:val="auto"/>
          <w:kern w:val="21"/>
          <w:lang w:bidi="ar"/>
        </w:rPr>
        <w:t>《城镇污水处理厂污染物排放标准》（GB18918-2002）及其修改单表4中二级标准</w:t>
      </w:r>
      <w:r>
        <w:rPr>
          <w:rFonts w:hint="eastAsia"/>
          <w:color w:val="auto"/>
          <w:kern w:val="21"/>
          <w:lang w:eastAsia="zh-CN" w:bidi="ar"/>
        </w:rPr>
        <w:t>中对厂界废气排放浓度的限值要求</w:t>
      </w:r>
      <w:r>
        <w:rPr>
          <w:rFonts w:hint="eastAsia"/>
          <w:color w:val="auto"/>
        </w:rPr>
        <w:t>。</w:t>
      </w:r>
    </w:p>
    <w:p>
      <w:pPr>
        <w:keepNext w:val="0"/>
        <w:keepLines w:val="0"/>
        <w:pageBreakBefore w:val="0"/>
        <w:widowControl w:val="0"/>
        <w:kinsoku/>
        <w:wordWrap/>
        <w:overflowPunct/>
        <w:topLinePunct w:val="0"/>
        <w:bidi w:val="0"/>
        <w:snapToGrid/>
        <w:spacing w:line="360" w:lineRule="auto"/>
        <w:ind w:right="0" w:firstLine="480" w:firstLineChars="200"/>
        <w:textAlignment w:val="auto"/>
        <w:rPr>
          <w:color w:val="auto"/>
          <w:spacing w:val="-1"/>
        </w:rPr>
      </w:pPr>
      <w:r>
        <w:rPr>
          <w:rFonts w:hint="eastAsia"/>
          <w:color w:val="auto"/>
        </w:rPr>
        <w:t>4、</w:t>
      </w:r>
      <w:r>
        <w:rPr>
          <w:color w:val="auto"/>
          <w:spacing w:val="-1"/>
        </w:rPr>
        <w:t>根据预测分析，本项污染物期短期浓度均能满足</w:t>
      </w:r>
      <w:r>
        <w:rPr>
          <w:color w:val="auto"/>
        </w:rPr>
        <w:t>《环境影响评价技术</w:t>
      </w:r>
      <w:r>
        <w:rPr>
          <w:rFonts w:hint="eastAsia"/>
          <w:color w:val="auto"/>
          <w:lang w:eastAsia="zh-CN"/>
        </w:rPr>
        <w:t>导则 大气环境</w:t>
      </w:r>
      <w:r>
        <w:rPr>
          <w:color w:val="auto"/>
        </w:rPr>
        <w:t>》（HJ2.2-2018）附录D浓度限值</w:t>
      </w:r>
      <w:r>
        <w:rPr>
          <w:color w:val="auto"/>
          <w:spacing w:val="-1"/>
        </w:rPr>
        <w:t>，因此，本环评判定项目不需设置大气环境防护距离；根据</w:t>
      </w:r>
      <w:r>
        <w:rPr>
          <w:rFonts w:hint="eastAsia"/>
          <w:color w:val="auto"/>
        </w:rPr>
        <w:t>《大气有害物质无组织排放卫生防护距离推导技术导则》(</w:t>
      </w:r>
      <w:r>
        <w:rPr>
          <w:color w:val="auto"/>
        </w:rPr>
        <w:t>GB/T</w:t>
      </w:r>
      <w:r>
        <w:rPr>
          <w:rFonts w:hint="eastAsia"/>
          <w:color w:val="auto"/>
        </w:rPr>
        <w:t>39499-2020)</w:t>
      </w:r>
      <w:r>
        <w:rPr>
          <w:color w:val="auto"/>
          <w:spacing w:val="-1"/>
        </w:rPr>
        <w:t>推荐的公式进行计算，</w:t>
      </w:r>
      <w:r>
        <w:rPr>
          <w:rFonts w:hint="eastAsia"/>
          <w:color w:val="auto"/>
          <w:spacing w:val="-1"/>
          <w:lang w:eastAsia="zh-CN"/>
        </w:rPr>
        <w:t>项目以厂界为边界</w:t>
      </w:r>
      <w:r>
        <w:rPr>
          <w:color w:val="auto"/>
          <w:spacing w:val="-1"/>
        </w:rPr>
        <w:t>设置</w:t>
      </w:r>
      <w:r>
        <w:rPr>
          <w:rFonts w:hint="eastAsia"/>
          <w:color w:val="auto"/>
          <w:spacing w:val="-1"/>
        </w:rPr>
        <w:t>100</w:t>
      </w:r>
      <w:r>
        <w:rPr>
          <w:color w:val="auto"/>
          <w:spacing w:val="-1"/>
        </w:rPr>
        <w:t>m</w:t>
      </w:r>
      <w:r>
        <w:rPr>
          <w:rFonts w:hint="eastAsia"/>
          <w:color w:val="auto"/>
          <w:spacing w:val="-1"/>
        </w:rPr>
        <w:t>卫生防护距离</w:t>
      </w:r>
      <w:r>
        <w:rPr>
          <w:rFonts w:hint="eastAsia"/>
          <w:bCs/>
          <w:color w:val="auto"/>
          <w:kern w:val="21"/>
          <w:lang w:eastAsia="zh-CN"/>
        </w:rPr>
        <w:t>。据现场调查，</w:t>
      </w:r>
      <w:r>
        <w:rPr>
          <w:rFonts w:hint="eastAsia"/>
          <w:bCs/>
          <w:color w:val="auto"/>
          <w:kern w:val="21"/>
        </w:rPr>
        <w:t>距离本项目较近的迤周、外周、外干、迤干等村庄已全部拆除</w:t>
      </w:r>
      <w:r>
        <w:rPr>
          <w:color w:val="auto"/>
          <w:kern w:val="21"/>
        </w:rPr>
        <w:t>，因此本项目在卫生防护距离内没有居民点</w:t>
      </w:r>
      <w:r>
        <w:rPr>
          <w:rFonts w:hint="eastAsia"/>
          <w:color w:val="auto"/>
        </w:rPr>
        <w:t>。</w:t>
      </w:r>
    </w:p>
    <w:p>
      <w:pPr>
        <w:ind w:firstLine="480"/>
        <w:rPr>
          <w:color w:val="auto"/>
          <w:kern w:val="21"/>
        </w:rPr>
      </w:pPr>
      <w:r>
        <w:rPr>
          <w:rFonts w:hint="default" w:ascii="Times New Roman"/>
          <w:color w:val="auto"/>
          <w:spacing w:val="2"/>
          <w:sz w:val="24"/>
        </w:rPr>
        <w:t>综上所述，项目</w:t>
      </w:r>
      <w:r>
        <w:rPr>
          <w:rFonts w:ascii="Times New Roman"/>
          <w:color w:val="auto"/>
          <w:spacing w:val="2"/>
          <w:sz w:val="24"/>
        </w:rPr>
        <w:t>所在区域</w:t>
      </w:r>
      <w:r>
        <w:rPr>
          <w:rFonts w:hint="default" w:ascii="Times New Roman"/>
          <w:color w:val="auto"/>
          <w:spacing w:val="2"/>
          <w:sz w:val="24"/>
        </w:rPr>
        <w:t>环境空气质量良好，项目在建设及运营过程中只要加强环境管理，严格落实设计及环评提出的各项废气污染防治措施，项目</w:t>
      </w:r>
      <w:r>
        <w:rPr>
          <w:rFonts w:hint="default" w:ascii="Times New Roman"/>
          <w:color w:val="auto"/>
          <w:sz w:val="24"/>
        </w:rPr>
        <w:t>正常排放条件下废气污染物对环境的影响可接受。企业应加强运营期管理、设备维护，确保环保设备正常使用，杜绝非正常排放情况发生</w:t>
      </w:r>
      <w:r>
        <w:rPr>
          <w:color w:val="auto"/>
          <w:kern w:val="21"/>
        </w:rPr>
        <w:t>。</w:t>
      </w:r>
    </w:p>
    <w:p>
      <w:pPr>
        <w:pStyle w:val="6"/>
        <w:spacing w:after="0"/>
        <w:rPr>
          <w:rFonts w:eastAsia="宋体"/>
          <w:color w:val="auto"/>
          <w:kern w:val="21"/>
          <w:sz w:val="24"/>
          <w:szCs w:val="24"/>
        </w:rPr>
      </w:pPr>
      <w:bookmarkStart w:id="480" w:name="_Toc25837"/>
      <w:r>
        <w:rPr>
          <w:rFonts w:eastAsia="宋体"/>
          <w:color w:val="auto"/>
          <w:kern w:val="21"/>
          <w:sz w:val="24"/>
          <w:szCs w:val="24"/>
        </w:rPr>
        <w:t>11.</w:t>
      </w:r>
      <w:r>
        <w:rPr>
          <w:rFonts w:hint="eastAsia" w:eastAsia="宋体"/>
          <w:color w:val="auto"/>
          <w:kern w:val="21"/>
          <w:sz w:val="24"/>
          <w:szCs w:val="24"/>
        </w:rPr>
        <w:t>3</w:t>
      </w:r>
      <w:r>
        <w:rPr>
          <w:rFonts w:eastAsia="宋体"/>
          <w:color w:val="auto"/>
          <w:kern w:val="21"/>
          <w:sz w:val="24"/>
          <w:szCs w:val="24"/>
        </w:rPr>
        <w:t>.3地表水环境影响评价结论</w:t>
      </w:r>
      <w:bookmarkEnd w:id="480"/>
    </w:p>
    <w:p>
      <w:pPr>
        <w:pStyle w:val="177"/>
        <w:spacing w:before="0" w:after="0" w:line="360" w:lineRule="auto"/>
        <w:ind w:left="0" w:right="0" w:firstLine="480" w:firstLineChars="200"/>
        <w:jc w:val="both"/>
        <w:rPr>
          <w:i w:val="0"/>
          <w:iCs/>
          <w:color w:val="auto"/>
          <w:kern w:val="21"/>
          <w:sz w:val="24"/>
          <w:szCs w:val="24"/>
        </w:rPr>
      </w:pPr>
      <w:r>
        <w:rPr>
          <w:i w:val="0"/>
          <w:iCs/>
          <w:color w:val="auto"/>
          <w:kern w:val="21"/>
          <w:sz w:val="24"/>
          <w:szCs w:val="24"/>
        </w:rPr>
        <w:t>本项目污水处理工艺采用“预处理+水解酸化+</w:t>
      </w:r>
      <w:r>
        <w:rPr>
          <w:rFonts w:hint="eastAsia"/>
          <w:i w:val="0"/>
          <w:iCs/>
          <w:color w:val="auto"/>
          <w:kern w:val="21"/>
          <w:sz w:val="24"/>
          <w:szCs w:val="24"/>
        </w:rPr>
        <w:t>A</w:t>
      </w:r>
      <w:r>
        <w:rPr>
          <w:rFonts w:hint="eastAsia"/>
          <w:i w:val="0"/>
          <w:iCs/>
          <w:color w:val="auto"/>
          <w:kern w:val="21"/>
          <w:sz w:val="24"/>
          <w:szCs w:val="24"/>
          <w:vertAlign w:val="superscript"/>
        </w:rPr>
        <w:t>2</w:t>
      </w:r>
      <w:r>
        <w:rPr>
          <w:rFonts w:hint="eastAsia"/>
          <w:i w:val="0"/>
          <w:iCs/>
          <w:color w:val="auto"/>
          <w:kern w:val="21"/>
          <w:sz w:val="24"/>
          <w:szCs w:val="24"/>
        </w:rPr>
        <w:t>/O</w:t>
      </w:r>
      <w:r>
        <w:rPr>
          <w:i w:val="0"/>
          <w:iCs/>
          <w:color w:val="auto"/>
          <w:kern w:val="21"/>
          <w:sz w:val="24"/>
          <w:szCs w:val="24"/>
        </w:rPr>
        <w:t>+MBR”以及紫外线消毒处理工艺合理可行，处理后出水水质达到</w:t>
      </w:r>
      <w:r>
        <w:rPr>
          <w:rFonts w:hint="eastAsia"/>
          <w:i w:val="0"/>
          <w:iCs/>
          <w:color w:val="auto"/>
          <w:kern w:val="21"/>
          <w:sz w:val="24"/>
          <w:szCs w:val="24"/>
          <w:lang w:eastAsia="zh-CN"/>
        </w:rPr>
        <w:t>表2-23</w:t>
      </w:r>
      <w:r>
        <w:rPr>
          <w:rFonts w:hint="eastAsia"/>
          <w:i w:val="0"/>
          <w:iCs/>
          <w:color w:val="auto"/>
          <w:kern w:val="21"/>
          <w:sz w:val="24"/>
          <w:szCs w:val="24"/>
          <w:lang w:val="en-US" w:eastAsia="zh-CN"/>
        </w:rPr>
        <w:t>的排放限值要求后</w:t>
      </w:r>
      <w:r>
        <w:rPr>
          <w:i w:val="0"/>
          <w:iCs/>
          <w:color w:val="auto"/>
          <w:kern w:val="21"/>
          <w:sz w:val="24"/>
          <w:szCs w:val="24"/>
        </w:rPr>
        <w:t>排入青龙河。</w:t>
      </w:r>
    </w:p>
    <w:p>
      <w:pPr>
        <w:pStyle w:val="177"/>
        <w:spacing w:before="0" w:after="0" w:line="360" w:lineRule="auto"/>
        <w:ind w:left="0" w:right="0" w:firstLine="480" w:firstLineChars="200"/>
        <w:jc w:val="both"/>
        <w:rPr>
          <w:i w:val="0"/>
          <w:iCs/>
          <w:color w:val="auto"/>
          <w:kern w:val="21"/>
          <w:sz w:val="24"/>
          <w:szCs w:val="24"/>
        </w:rPr>
      </w:pPr>
      <w:r>
        <w:rPr>
          <w:i w:val="0"/>
          <w:iCs/>
          <w:color w:val="auto"/>
          <w:kern w:val="21"/>
          <w:sz w:val="24"/>
          <w:szCs w:val="24"/>
        </w:rPr>
        <w:t>在考虑区域实施《楚雄市青龙河入龙川江口断面水体达标方案（2021-2025年）》后环境质量改善目标要求情景下的模拟预测，正常状况下，</w:t>
      </w:r>
      <w:r>
        <w:rPr>
          <w:rFonts w:hint="eastAsia"/>
          <w:i w:val="0"/>
          <w:iCs/>
          <w:color w:val="auto"/>
          <w:kern w:val="21"/>
          <w:sz w:val="24"/>
          <w:szCs w:val="24"/>
          <w:lang w:eastAsia="zh-CN"/>
        </w:rPr>
        <w:t>枯水期、丰水期</w:t>
      </w:r>
      <w:r>
        <w:rPr>
          <w:i w:val="0"/>
          <w:iCs/>
          <w:color w:val="auto"/>
          <w:kern w:val="21"/>
          <w:sz w:val="24"/>
          <w:szCs w:val="24"/>
        </w:rPr>
        <w:t>污水处理厂处理达标后的尾水排入青龙河完全混合后，COD、氨氮、总磷</w:t>
      </w:r>
      <w:r>
        <w:rPr>
          <w:rFonts w:hint="eastAsia"/>
          <w:i w:val="0"/>
          <w:iCs/>
          <w:color w:val="auto"/>
          <w:kern w:val="21"/>
          <w:sz w:val="24"/>
          <w:szCs w:val="24"/>
          <w:lang w:eastAsia="zh-CN"/>
        </w:rPr>
        <w:t>、氟化物</w:t>
      </w:r>
      <w:r>
        <w:rPr>
          <w:i w:val="0"/>
          <w:iCs/>
          <w:color w:val="auto"/>
          <w:kern w:val="21"/>
          <w:sz w:val="24"/>
          <w:szCs w:val="24"/>
        </w:rPr>
        <w:t>的预测值均满足《地表水环境质量标准》（GB3838-2002）Ⅳ类标准要求，</w:t>
      </w:r>
      <w:r>
        <w:rPr>
          <w:rFonts w:hint="eastAsia" w:ascii="Times New Roman" w:hAnsi="Times New Roman" w:eastAsia="宋体" w:cs="Times New Roman"/>
          <w:i w:val="0"/>
          <w:iCs/>
          <w:color w:val="auto"/>
          <w:kern w:val="21"/>
          <w:sz w:val="24"/>
          <w:szCs w:val="24"/>
          <w:lang w:eastAsia="zh-CN"/>
        </w:rPr>
        <w:t>在青龙河入龙川江完全混合后，龙川江水质也能满足</w:t>
      </w:r>
      <w:r>
        <w:rPr>
          <w:i w:val="0"/>
          <w:iCs/>
          <w:color w:val="auto"/>
          <w:kern w:val="21"/>
          <w:sz w:val="24"/>
          <w:szCs w:val="24"/>
        </w:rPr>
        <w:t>《地表水环境质量标准》（GB3838-2002）Ⅳ类标准要求</w:t>
      </w:r>
      <w:r>
        <w:rPr>
          <w:rFonts w:hint="eastAsia"/>
          <w:i w:val="0"/>
          <w:iCs/>
          <w:color w:val="auto"/>
          <w:kern w:val="21"/>
          <w:sz w:val="24"/>
          <w:szCs w:val="24"/>
          <w:lang w:eastAsia="zh-CN"/>
        </w:rPr>
        <w:t>，且保留有</w:t>
      </w:r>
      <w:r>
        <w:rPr>
          <w:rFonts w:hint="eastAsia"/>
          <w:i w:val="0"/>
          <w:iCs/>
          <w:color w:val="auto"/>
          <w:kern w:val="21"/>
          <w:sz w:val="24"/>
          <w:szCs w:val="24"/>
          <w:lang w:val="en-US" w:eastAsia="zh-CN"/>
        </w:rPr>
        <w:t>8%的安全余量。</w:t>
      </w:r>
      <w:r>
        <w:rPr>
          <w:rFonts w:ascii="Times New Roman" w:hAnsi="Times New Roman" w:eastAsia="宋体" w:cs="Times New Roman"/>
          <w:i w:val="0"/>
          <w:iCs/>
          <w:color w:val="auto"/>
          <w:kern w:val="21"/>
          <w:sz w:val="24"/>
          <w:szCs w:val="24"/>
        </w:rPr>
        <w:t>本</w:t>
      </w:r>
      <w:r>
        <w:rPr>
          <w:i w:val="0"/>
          <w:iCs/>
          <w:color w:val="auto"/>
          <w:kern w:val="21"/>
          <w:sz w:val="24"/>
          <w:szCs w:val="24"/>
        </w:rPr>
        <w:t>项目确保废水污染物达到最低排放强度和排放浓度，对青龙河水质影响可以接受。随着</w:t>
      </w:r>
      <w:r>
        <w:rPr>
          <w:rFonts w:hint="eastAsia"/>
          <w:i w:val="0"/>
          <w:iCs/>
          <w:color w:val="auto"/>
          <w:kern w:val="21"/>
          <w:sz w:val="24"/>
          <w:szCs w:val="24"/>
          <w:lang w:eastAsia="zh-CN"/>
        </w:rPr>
        <w:t>《楚雄市青龙河入龙川江口断面水体达标方案（2021-2025年）》</w:t>
      </w:r>
      <w:r>
        <w:rPr>
          <w:i w:val="0"/>
          <w:iCs/>
          <w:color w:val="auto"/>
          <w:kern w:val="21"/>
          <w:sz w:val="24"/>
          <w:szCs w:val="24"/>
        </w:rPr>
        <w:t>的实施，到2025年青龙河流域污染物COD削减3012.92t/a，NH</w:t>
      </w:r>
      <w:r>
        <w:rPr>
          <w:i w:val="0"/>
          <w:iCs/>
          <w:color w:val="auto"/>
          <w:kern w:val="21"/>
          <w:sz w:val="24"/>
          <w:szCs w:val="24"/>
          <w:vertAlign w:val="subscript"/>
        </w:rPr>
        <w:t>3</w:t>
      </w:r>
      <w:r>
        <w:rPr>
          <w:i w:val="0"/>
          <w:iCs/>
          <w:color w:val="auto"/>
          <w:kern w:val="21"/>
          <w:sz w:val="24"/>
          <w:szCs w:val="24"/>
        </w:rPr>
        <w:t>-N削减量129.31t/a，TP削减量33.02t/a，在基础污染设施运转正常、管理到位的前提下，青龙河流域污染物将得到有效的削减，化学需氧量、氨氮、总磷三个指标入河污染负荷量均小于环境容量，可以达标。</w:t>
      </w:r>
    </w:p>
    <w:p>
      <w:pPr>
        <w:pStyle w:val="177"/>
        <w:spacing w:before="0" w:after="0" w:line="360" w:lineRule="auto"/>
        <w:ind w:left="0" w:right="0" w:firstLine="480" w:firstLineChars="200"/>
        <w:jc w:val="left"/>
        <w:rPr>
          <w:rFonts w:hint="eastAsia"/>
          <w:i w:val="0"/>
          <w:iCs/>
          <w:color w:val="auto"/>
          <w:kern w:val="21"/>
          <w:sz w:val="24"/>
          <w:szCs w:val="24"/>
        </w:rPr>
      </w:pPr>
      <w:r>
        <w:rPr>
          <w:rFonts w:hint="eastAsia"/>
          <w:i w:val="0"/>
          <w:iCs/>
          <w:color w:val="auto"/>
          <w:kern w:val="21"/>
          <w:sz w:val="24"/>
          <w:szCs w:val="24"/>
        </w:rPr>
        <w:t>项目已于2022年3月7日取得《楚雄州生态环境局关于楚雄市富民工业园区污水处理厂工业入河排污口设置审核的意见》（楚环审[2022]1号）。</w:t>
      </w:r>
    </w:p>
    <w:p>
      <w:pPr>
        <w:ind w:firstLine="480"/>
        <w:rPr>
          <w:iCs/>
          <w:color w:val="auto"/>
          <w:kern w:val="21"/>
        </w:rPr>
      </w:pPr>
      <w:r>
        <w:rPr>
          <w:iCs/>
          <w:color w:val="auto"/>
          <w:kern w:val="21"/>
        </w:rPr>
        <w:t>非正常状况下，尾水未经处理直接排入青龙河完全混合后，COD、氨氮、总磷、氟化物的预测值均超过《地表水环境质量标准》（GB3838-2002）Ⅳ类标准要求，因此项目非正常排放状况下，对青龙河影响较大，建设单位应通过加强管理，杜绝非正常排放情况发生。</w:t>
      </w:r>
    </w:p>
    <w:p>
      <w:pPr>
        <w:pStyle w:val="6"/>
        <w:spacing w:after="0"/>
        <w:rPr>
          <w:rFonts w:eastAsia="宋体"/>
          <w:color w:val="auto"/>
          <w:kern w:val="21"/>
          <w:sz w:val="24"/>
          <w:szCs w:val="24"/>
        </w:rPr>
      </w:pPr>
      <w:bookmarkStart w:id="481" w:name="_Toc930"/>
      <w:r>
        <w:rPr>
          <w:rFonts w:eastAsia="宋体"/>
          <w:color w:val="auto"/>
          <w:kern w:val="21"/>
          <w:sz w:val="24"/>
          <w:szCs w:val="24"/>
        </w:rPr>
        <w:t>11.</w:t>
      </w:r>
      <w:r>
        <w:rPr>
          <w:rFonts w:hint="eastAsia" w:eastAsia="宋体"/>
          <w:color w:val="auto"/>
          <w:kern w:val="21"/>
          <w:sz w:val="24"/>
          <w:szCs w:val="24"/>
        </w:rPr>
        <w:t>3</w:t>
      </w:r>
      <w:r>
        <w:rPr>
          <w:rFonts w:eastAsia="宋体"/>
          <w:color w:val="auto"/>
          <w:kern w:val="21"/>
          <w:sz w:val="24"/>
          <w:szCs w:val="24"/>
        </w:rPr>
        <w:t>.4地下水环境影响评价结论</w:t>
      </w:r>
      <w:bookmarkEnd w:id="481"/>
    </w:p>
    <w:p>
      <w:pPr>
        <w:widowControl/>
        <w:wordWrap w:val="0"/>
        <w:topLinePunct/>
        <w:autoSpaceDE w:val="0"/>
        <w:autoSpaceDN w:val="0"/>
        <w:ind w:firstLine="464"/>
        <w:textAlignment w:val="baseline"/>
        <w:rPr>
          <w:color w:val="auto"/>
          <w:spacing w:val="0"/>
          <w:sz w:val="24"/>
        </w:rPr>
      </w:pPr>
      <w:r>
        <w:rPr>
          <w:color w:val="auto"/>
          <w:spacing w:val="0"/>
          <w:sz w:val="24"/>
        </w:rPr>
        <w:t>项目场区地下水类型主要为裂隙水，主要接受大气降雨补给。项目区处于地下水的补给径流区，项目区地下水总体上由东南向西北径流，最终向龙川江排泄。厂区已采取了合理可靠的防渗措施，后期加强维护和管理的情况下，污废水、固废发生渗漏或泄漏的可能性较小，项目的建设运营对地下水环境的影响是可控的，对地下水环境的影响从环保</w:t>
      </w:r>
      <w:r>
        <w:rPr>
          <w:rFonts w:hint="eastAsia"/>
          <w:color w:val="auto"/>
          <w:spacing w:val="0"/>
          <w:sz w:val="24"/>
          <w:lang w:eastAsia="zh-CN"/>
        </w:rPr>
        <w:t>角度</w:t>
      </w:r>
      <w:r>
        <w:rPr>
          <w:color w:val="auto"/>
          <w:spacing w:val="0"/>
          <w:sz w:val="24"/>
        </w:rPr>
        <w:t>来说是可接受的。</w:t>
      </w:r>
    </w:p>
    <w:p>
      <w:pPr>
        <w:pStyle w:val="6"/>
        <w:spacing w:after="0"/>
        <w:rPr>
          <w:rFonts w:eastAsia="宋体"/>
          <w:color w:val="auto"/>
          <w:sz w:val="24"/>
          <w:szCs w:val="24"/>
        </w:rPr>
      </w:pPr>
      <w:bookmarkStart w:id="482" w:name="_Toc30712"/>
      <w:r>
        <w:rPr>
          <w:rFonts w:eastAsia="宋体"/>
          <w:color w:val="auto"/>
          <w:sz w:val="24"/>
          <w:szCs w:val="24"/>
        </w:rPr>
        <w:t>11.</w:t>
      </w:r>
      <w:r>
        <w:rPr>
          <w:rFonts w:hint="eastAsia" w:eastAsia="宋体"/>
          <w:color w:val="auto"/>
          <w:sz w:val="24"/>
          <w:szCs w:val="24"/>
        </w:rPr>
        <w:t>3</w:t>
      </w:r>
      <w:r>
        <w:rPr>
          <w:rFonts w:eastAsia="宋体"/>
          <w:color w:val="auto"/>
          <w:sz w:val="24"/>
          <w:szCs w:val="24"/>
        </w:rPr>
        <w:t>.</w:t>
      </w:r>
      <w:r>
        <w:rPr>
          <w:rFonts w:hint="eastAsia" w:eastAsia="宋体"/>
          <w:color w:val="auto"/>
          <w:sz w:val="24"/>
          <w:szCs w:val="24"/>
        </w:rPr>
        <w:t>5声</w:t>
      </w:r>
      <w:r>
        <w:rPr>
          <w:rFonts w:eastAsia="宋体"/>
          <w:color w:val="auto"/>
          <w:sz w:val="24"/>
          <w:szCs w:val="24"/>
        </w:rPr>
        <w:t>环境影响评价结论</w:t>
      </w:r>
      <w:bookmarkEnd w:id="482"/>
    </w:p>
    <w:p>
      <w:pPr>
        <w:ind w:firstLine="480"/>
        <w:rPr>
          <w:color w:val="auto"/>
          <w:kern w:val="21"/>
        </w:rPr>
      </w:pPr>
      <w:r>
        <w:rPr>
          <w:color w:val="auto"/>
          <w:kern w:val="21"/>
        </w:rPr>
        <w:t>项目的噪声源有限，通过采取隔声、减振、采用低噪声设备、消声等措施后，运营期厂界噪声的贡献</w:t>
      </w:r>
      <w:r>
        <w:rPr>
          <w:rFonts w:hint="eastAsia"/>
          <w:color w:val="auto"/>
          <w:kern w:val="21"/>
          <w:lang w:eastAsia="zh-CN"/>
        </w:rPr>
        <w:t>值能</w:t>
      </w:r>
      <w:r>
        <w:rPr>
          <w:rFonts w:hint="eastAsia"/>
          <w:color w:val="auto"/>
          <w:kern w:val="21"/>
        </w:rPr>
        <w:t>满足</w:t>
      </w:r>
      <w:r>
        <w:rPr>
          <w:color w:val="auto"/>
          <w:kern w:val="21"/>
        </w:rPr>
        <w:t>《工业企业厂界环境噪声排放标准》（GB</w:t>
      </w:r>
      <w:r>
        <w:rPr>
          <w:rFonts w:hint="eastAsia"/>
          <w:color w:val="auto"/>
          <w:kern w:val="21"/>
          <w:lang w:val="en-US" w:eastAsia="zh-CN"/>
        </w:rPr>
        <w:t>12348</w:t>
      </w:r>
      <w:r>
        <w:rPr>
          <w:color w:val="auto"/>
          <w:kern w:val="21"/>
        </w:rPr>
        <w:t>-2008）</w:t>
      </w:r>
      <w:r>
        <w:rPr>
          <w:rFonts w:hint="eastAsia"/>
          <w:color w:val="auto"/>
          <w:kern w:val="21"/>
          <w:lang w:val="en-US" w:eastAsia="zh-CN"/>
        </w:rPr>
        <w:t>3类</w:t>
      </w:r>
      <w:r>
        <w:rPr>
          <w:color w:val="auto"/>
          <w:kern w:val="21"/>
        </w:rPr>
        <w:t>标准</w:t>
      </w:r>
      <w:r>
        <w:rPr>
          <w:rFonts w:hint="eastAsia"/>
          <w:color w:val="auto"/>
          <w:kern w:val="21"/>
        </w:rPr>
        <w:t>要求，且</w:t>
      </w:r>
      <w:r>
        <w:rPr>
          <w:rFonts w:hint="eastAsia"/>
          <w:bCs/>
          <w:color w:val="auto"/>
          <w:kern w:val="21"/>
        </w:rPr>
        <w:t>距离本项目较近的迤周、外周、外干、迤干等村庄已全部拆除</w:t>
      </w:r>
      <w:r>
        <w:rPr>
          <w:color w:val="auto"/>
          <w:kern w:val="21"/>
        </w:rPr>
        <w:t>，</w:t>
      </w:r>
      <w:r>
        <w:rPr>
          <w:rFonts w:hint="eastAsia"/>
          <w:color w:val="auto"/>
          <w:kern w:val="21"/>
          <w:lang w:val="en-US" w:eastAsia="zh-CN"/>
        </w:rPr>
        <w:t>200m</w:t>
      </w:r>
      <w:r>
        <w:rPr>
          <w:rFonts w:hint="eastAsia"/>
          <w:color w:val="auto"/>
          <w:kern w:val="21"/>
          <w:lang w:eastAsia="zh-CN"/>
        </w:rPr>
        <w:t>评价范围内无声环境保护目标</w:t>
      </w:r>
      <w:r>
        <w:rPr>
          <w:rFonts w:hint="eastAsia"/>
          <w:color w:val="auto"/>
          <w:kern w:val="21"/>
        </w:rPr>
        <w:t>，</w:t>
      </w:r>
      <w:r>
        <w:rPr>
          <w:color w:val="auto"/>
          <w:kern w:val="21"/>
        </w:rPr>
        <w:t>因此运营产生的噪声对</w:t>
      </w:r>
      <w:r>
        <w:rPr>
          <w:rFonts w:hint="eastAsia"/>
          <w:color w:val="auto"/>
          <w:kern w:val="21"/>
          <w:lang w:eastAsia="zh-CN"/>
        </w:rPr>
        <w:t>声环境</w:t>
      </w:r>
      <w:r>
        <w:rPr>
          <w:color w:val="auto"/>
          <w:kern w:val="21"/>
        </w:rPr>
        <w:t>的影响较小。</w:t>
      </w:r>
    </w:p>
    <w:p>
      <w:pPr>
        <w:pStyle w:val="6"/>
        <w:spacing w:after="0"/>
        <w:rPr>
          <w:rStyle w:val="117"/>
          <w:rFonts w:eastAsia="宋体"/>
          <w:bCs w:val="0"/>
          <w:color w:val="auto"/>
          <w:kern w:val="21"/>
          <w:sz w:val="24"/>
          <w:szCs w:val="24"/>
        </w:rPr>
      </w:pPr>
      <w:bookmarkStart w:id="483" w:name="_Toc26500"/>
      <w:r>
        <w:rPr>
          <w:rFonts w:eastAsia="宋体"/>
          <w:bCs w:val="0"/>
          <w:color w:val="auto"/>
          <w:kern w:val="21"/>
          <w:sz w:val="24"/>
          <w:szCs w:val="24"/>
        </w:rPr>
        <w:t>11.</w:t>
      </w:r>
      <w:r>
        <w:rPr>
          <w:rFonts w:hint="eastAsia" w:eastAsia="宋体"/>
          <w:bCs w:val="0"/>
          <w:color w:val="auto"/>
          <w:kern w:val="21"/>
          <w:sz w:val="24"/>
          <w:szCs w:val="24"/>
        </w:rPr>
        <w:t>3</w:t>
      </w:r>
      <w:r>
        <w:rPr>
          <w:rFonts w:eastAsia="宋体"/>
          <w:bCs w:val="0"/>
          <w:color w:val="auto"/>
          <w:kern w:val="21"/>
          <w:sz w:val="24"/>
          <w:szCs w:val="24"/>
        </w:rPr>
        <w:t>.</w:t>
      </w:r>
      <w:r>
        <w:rPr>
          <w:rFonts w:hint="eastAsia" w:eastAsia="宋体"/>
          <w:bCs w:val="0"/>
          <w:color w:val="auto"/>
          <w:kern w:val="21"/>
          <w:sz w:val="24"/>
          <w:szCs w:val="24"/>
        </w:rPr>
        <w:t>6</w:t>
      </w:r>
      <w:r>
        <w:rPr>
          <w:rFonts w:eastAsia="宋体"/>
          <w:bCs w:val="0"/>
          <w:color w:val="auto"/>
          <w:kern w:val="21"/>
          <w:sz w:val="24"/>
          <w:szCs w:val="24"/>
        </w:rPr>
        <w:t>固体废物影响分析结论</w:t>
      </w:r>
      <w:bookmarkEnd w:id="483"/>
    </w:p>
    <w:p>
      <w:pPr>
        <w:ind w:firstLine="480"/>
        <w:rPr>
          <w:color w:val="auto"/>
          <w:kern w:val="21"/>
        </w:rPr>
      </w:pPr>
      <w:r>
        <w:rPr>
          <w:rFonts w:hint="eastAsia"/>
          <w:color w:val="auto"/>
          <w:kern w:val="21"/>
        </w:rPr>
        <w:t>项目运行期产生的固体废弃物主要包括污废水处理系统产生的栅渣、污泥、工作人员产生的生活垃圾、</w:t>
      </w:r>
      <w:r>
        <w:rPr>
          <w:rFonts w:hint="eastAsia"/>
          <w:color w:val="auto"/>
          <w:kern w:val="21"/>
          <w:lang w:eastAsia="zh-CN"/>
        </w:rPr>
        <w:t>废活性炭</w:t>
      </w:r>
      <w:r>
        <w:rPr>
          <w:rFonts w:hint="eastAsia"/>
          <w:color w:val="auto"/>
          <w:kern w:val="21"/>
        </w:rPr>
        <w:t>废机油</w:t>
      </w:r>
      <w:r>
        <w:rPr>
          <w:rFonts w:hint="eastAsia"/>
          <w:color w:val="auto"/>
          <w:kern w:val="21"/>
          <w:lang w:eastAsia="zh-CN"/>
        </w:rPr>
        <w:t>、</w:t>
      </w:r>
      <w:r>
        <w:rPr>
          <w:rFonts w:hint="eastAsia"/>
          <w:color w:val="auto"/>
          <w:kern w:val="21"/>
        </w:rPr>
        <w:t>废紫外灯管</w:t>
      </w:r>
      <w:r>
        <w:rPr>
          <w:rFonts w:hint="eastAsia"/>
          <w:color w:val="auto"/>
          <w:kern w:val="21"/>
          <w:lang w:eastAsia="zh-CN"/>
        </w:rPr>
        <w:t>、在线监测设备废液</w:t>
      </w:r>
      <w:r>
        <w:rPr>
          <w:rFonts w:hint="eastAsia"/>
          <w:color w:val="auto"/>
          <w:kern w:val="21"/>
        </w:rPr>
        <w:t>。其中：污废水处理系统产生的栅渣、员工生活垃圾等属于一般固废，集中收集至厂区垃圾箱内，由当地环卫部门清运处置；</w:t>
      </w:r>
      <w:r>
        <w:rPr>
          <w:rFonts w:hint="eastAsia"/>
          <w:color w:val="auto"/>
          <w:kern w:val="21"/>
          <w:lang w:eastAsia="zh-CN"/>
        </w:rPr>
        <w:t>废活性炭属于一般工业固废，由设备厂家定期上门更换回收并再生处理；废机油、</w:t>
      </w:r>
      <w:r>
        <w:rPr>
          <w:rFonts w:hint="eastAsia"/>
          <w:color w:val="auto"/>
          <w:kern w:val="21"/>
        </w:rPr>
        <w:t>废紫外灯管</w:t>
      </w:r>
      <w:r>
        <w:rPr>
          <w:rFonts w:hint="eastAsia"/>
          <w:color w:val="auto"/>
          <w:kern w:val="21"/>
          <w:lang w:eastAsia="zh-CN"/>
        </w:rPr>
        <w:t>、在线监测设备废液属于危险废物，暂存在厂内危废暂存间，委托有危废处置资质的单位进行处理；</w:t>
      </w:r>
      <w:r>
        <w:rPr>
          <w:rFonts w:hint="eastAsia"/>
          <w:color w:val="auto"/>
          <w:kern w:val="21"/>
        </w:rPr>
        <w:t>污泥按批次委托监测单位进行属性鉴别，若是危废则</w:t>
      </w:r>
      <w:r>
        <w:rPr>
          <w:rFonts w:hint="eastAsia"/>
          <w:color w:val="auto"/>
          <w:kern w:val="21"/>
          <w:lang w:eastAsia="zh-CN"/>
        </w:rPr>
        <w:t>暂存在</w:t>
      </w:r>
      <w:r>
        <w:rPr>
          <w:rFonts w:hint="eastAsia"/>
          <w:color w:val="auto"/>
          <w:kern w:val="21"/>
        </w:rPr>
        <w:t>危废暂存间暂，并委托</w:t>
      </w:r>
      <w:r>
        <w:rPr>
          <w:rFonts w:hint="eastAsia"/>
          <w:color w:val="auto"/>
          <w:kern w:val="21"/>
          <w:lang w:eastAsia="zh-CN"/>
        </w:rPr>
        <w:t>有危废处置</w:t>
      </w:r>
      <w:r>
        <w:rPr>
          <w:rFonts w:hint="eastAsia"/>
          <w:color w:val="auto"/>
          <w:kern w:val="21"/>
        </w:rPr>
        <w:t>资质</w:t>
      </w:r>
      <w:r>
        <w:rPr>
          <w:rFonts w:hint="eastAsia"/>
          <w:color w:val="auto"/>
          <w:kern w:val="21"/>
          <w:lang w:eastAsia="zh-CN"/>
        </w:rPr>
        <w:t>的</w:t>
      </w:r>
      <w:r>
        <w:rPr>
          <w:rFonts w:hint="eastAsia"/>
          <w:color w:val="auto"/>
          <w:kern w:val="21"/>
        </w:rPr>
        <w:t>单位处置，若是一般固废则送至楚雄市生活垃圾焚烧发电厂进行焚烧。总之，项目运营期产生的固体废物在采取本环评报告提出的环保措施的基础上合理处理处置，对周边环境造成的影响不大。</w:t>
      </w:r>
    </w:p>
    <w:p>
      <w:pPr>
        <w:pStyle w:val="5"/>
        <w:spacing w:after="0"/>
        <w:rPr>
          <w:color w:val="auto"/>
          <w:kern w:val="21"/>
          <w:sz w:val="28"/>
        </w:rPr>
      </w:pPr>
      <w:bookmarkStart w:id="484" w:name="_Toc14700"/>
      <w:r>
        <w:rPr>
          <w:bCs/>
          <w:color w:val="auto"/>
          <w:kern w:val="21"/>
          <w:sz w:val="28"/>
        </w:rPr>
        <w:t>11.</w:t>
      </w:r>
      <w:r>
        <w:rPr>
          <w:rFonts w:hint="eastAsia"/>
          <w:bCs/>
          <w:color w:val="auto"/>
          <w:kern w:val="21"/>
          <w:sz w:val="28"/>
        </w:rPr>
        <w:t>4</w:t>
      </w:r>
      <w:r>
        <w:rPr>
          <w:bCs/>
          <w:color w:val="auto"/>
          <w:kern w:val="21"/>
          <w:sz w:val="28"/>
        </w:rPr>
        <w:t>经济损益分析结论</w:t>
      </w:r>
      <w:bookmarkEnd w:id="484"/>
    </w:p>
    <w:p>
      <w:pPr>
        <w:ind w:firstLine="480"/>
        <w:rPr>
          <w:color w:val="auto"/>
          <w:kern w:val="21"/>
        </w:rPr>
      </w:pPr>
      <w:r>
        <w:rPr>
          <w:color w:val="auto"/>
          <w:kern w:val="21"/>
        </w:rPr>
        <w:t>项目实现对污染源的有效治理后，可以获得较好的社会、经济效益。只要项目严格环境管理，保证相应环保设施的正常运行，使整个项目的环境效益、经济效益和社会效益做到协调发展，对社会经济的发展和减小项目对环境的影响将起到促进作用。</w:t>
      </w:r>
    </w:p>
    <w:p>
      <w:pPr>
        <w:pStyle w:val="5"/>
        <w:spacing w:after="0"/>
        <w:rPr>
          <w:color w:val="auto"/>
          <w:kern w:val="21"/>
          <w:sz w:val="28"/>
        </w:rPr>
      </w:pPr>
      <w:bookmarkStart w:id="485" w:name="_Toc3966"/>
      <w:r>
        <w:rPr>
          <w:bCs/>
          <w:color w:val="auto"/>
          <w:kern w:val="21"/>
          <w:sz w:val="28"/>
        </w:rPr>
        <w:t>11.</w:t>
      </w:r>
      <w:r>
        <w:rPr>
          <w:rFonts w:hint="eastAsia"/>
          <w:bCs/>
          <w:color w:val="auto"/>
          <w:kern w:val="21"/>
          <w:sz w:val="28"/>
        </w:rPr>
        <w:t>5</w:t>
      </w:r>
      <w:r>
        <w:rPr>
          <w:bCs/>
          <w:color w:val="auto"/>
          <w:kern w:val="21"/>
          <w:sz w:val="28"/>
        </w:rPr>
        <w:t>公众参与结论</w:t>
      </w:r>
      <w:bookmarkEnd w:id="485"/>
    </w:p>
    <w:p>
      <w:pPr>
        <w:ind w:firstLine="480"/>
        <w:rPr>
          <w:color w:val="auto"/>
          <w:kern w:val="21"/>
        </w:rPr>
      </w:pPr>
      <w:bookmarkStart w:id="486" w:name="_Toc188246240"/>
      <w:r>
        <w:rPr>
          <w:color w:val="auto"/>
          <w:kern w:val="21"/>
        </w:rPr>
        <w:t>通过公众参与调查发现，参与调查的对象具有一定的环境保护意识。绝大部分人认为项目建设具有较好的经济效益和社会效益，有利于推动当地经济的发展和居民生活水平的提高，参与调查的公众均表示支持该项目的建设，参与调查的团体或单位100%表示支持该项目的建设。</w:t>
      </w:r>
    </w:p>
    <w:p>
      <w:pPr>
        <w:pStyle w:val="5"/>
        <w:spacing w:after="0"/>
        <w:rPr>
          <w:color w:val="auto"/>
          <w:kern w:val="21"/>
          <w:sz w:val="28"/>
        </w:rPr>
      </w:pPr>
      <w:bookmarkStart w:id="487" w:name="_Toc24986"/>
      <w:r>
        <w:rPr>
          <w:bCs/>
          <w:color w:val="auto"/>
          <w:kern w:val="21"/>
          <w:sz w:val="28"/>
        </w:rPr>
        <w:t>11.</w:t>
      </w:r>
      <w:r>
        <w:rPr>
          <w:rFonts w:hint="eastAsia"/>
          <w:bCs/>
          <w:color w:val="auto"/>
          <w:kern w:val="21"/>
          <w:sz w:val="28"/>
        </w:rPr>
        <w:t>6</w:t>
      </w:r>
      <w:r>
        <w:rPr>
          <w:bCs/>
          <w:color w:val="auto"/>
          <w:kern w:val="21"/>
          <w:sz w:val="28"/>
        </w:rPr>
        <w:t>总量控制</w:t>
      </w:r>
      <w:bookmarkEnd w:id="487"/>
    </w:p>
    <w:p>
      <w:pPr>
        <w:pStyle w:val="163"/>
        <w:spacing w:line="360" w:lineRule="auto"/>
        <w:rPr>
          <w:color w:val="auto"/>
          <w:kern w:val="21"/>
        </w:rPr>
      </w:pPr>
      <w:r>
        <w:rPr>
          <w:color w:val="auto"/>
          <w:kern w:val="21"/>
        </w:rPr>
        <w:t>1、水污染物</w:t>
      </w:r>
    </w:p>
    <w:p>
      <w:pPr>
        <w:pStyle w:val="23"/>
        <w:spacing w:after="0" w:line="360" w:lineRule="auto"/>
        <w:ind w:left="0" w:leftChars="0" w:firstLine="480"/>
        <w:rPr>
          <w:color w:val="auto"/>
          <w:kern w:val="21"/>
          <w:lang w:bidi="ar"/>
        </w:rPr>
      </w:pPr>
      <w:r>
        <w:rPr>
          <w:color w:val="auto"/>
          <w:kern w:val="21"/>
          <w:lang w:bidi="ar"/>
        </w:rPr>
        <w:t>（1）废水量：</w:t>
      </w:r>
      <w:r>
        <w:rPr>
          <w:rFonts w:hint="eastAsia"/>
          <w:color w:val="auto"/>
          <w:kern w:val="21"/>
          <w:lang w:eastAsia="zh-CN" w:bidi="ar"/>
        </w:rPr>
        <w:t>1750646.1</w:t>
      </w:r>
      <w:r>
        <w:rPr>
          <w:color w:val="auto"/>
          <w:kern w:val="21"/>
          <w:lang w:bidi="ar"/>
        </w:rPr>
        <w:t>m</w:t>
      </w:r>
      <w:r>
        <w:rPr>
          <w:color w:val="auto"/>
          <w:kern w:val="21"/>
          <w:vertAlign w:val="superscript"/>
          <w:lang w:bidi="ar"/>
        </w:rPr>
        <w:t>3</w:t>
      </w:r>
      <w:r>
        <w:rPr>
          <w:color w:val="auto"/>
          <w:kern w:val="21"/>
          <w:lang w:bidi="ar"/>
        </w:rPr>
        <w:t>/a；</w:t>
      </w:r>
    </w:p>
    <w:p>
      <w:pPr>
        <w:pStyle w:val="23"/>
        <w:spacing w:after="0" w:line="360" w:lineRule="auto"/>
        <w:ind w:left="0" w:leftChars="0" w:firstLine="480"/>
        <w:rPr>
          <w:color w:val="auto"/>
          <w:kern w:val="21"/>
          <w:lang w:bidi="ar"/>
        </w:rPr>
      </w:pPr>
      <w:r>
        <w:rPr>
          <w:color w:val="auto"/>
          <w:kern w:val="21"/>
          <w:lang w:bidi="ar"/>
        </w:rPr>
        <w:t>（2）COD</w:t>
      </w:r>
      <w:r>
        <w:rPr>
          <w:color w:val="auto"/>
          <w:kern w:val="21"/>
          <w:vertAlign w:val="subscript"/>
          <w:lang w:bidi="ar"/>
        </w:rPr>
        <w:t>C</w:t>
      </w:r>
      <w:r>
        <w:rPr>
          <w:color w:val="auto"/>
          <w:kern w:val="21"/>
          <w:lang w:bidi="ar"/>
        </w:rPr>
        <w:t>r：</w:t>
      </w:r>
      <w:r>
        <w:rPr>
          <w:rFonts w:hint="eastAsia"/>
          <w:color w:val="auto"/>
          <w:kern w:val="21"/>
          <w:lang w:val="en-US" w:eastAsia="zh-CN" w:bidi="ar"/>
        </w:rPr>
        <w:t>34.45</w:t>
      </w:r>
      <w:r>
        <w:rPr>
          <w:color w:val="auto"/>
          <w:kern w:val="21"/>
          <w:lang w:bidi="ar"/>
        </w:rPr>
        <w:t>t/a；</w:t>
      </w:r>
    </w:p>
    <w:p>
      <w:pPr>
        <w:pStyle w:val="23"/>
        <w:spacing w:after="0" w:line="360" w:lineRule="auto"/>
        <w:ind w:left="0" w:leftChars="0" w:firstLine="480"/>
        <w:rPr>
          <w:color w:val="auto"/>
          <w:kern w:val="21"/>
          <w:lang w:bidi="ar"/>
        </w:rPr>
      </w:pPr>
      <w:r>
        <w:rPr>
          <w:color w:val="auto"/>
          <w:kern w:val="21"/>
        </w:rPr>
        <w:t>（3）氨氮：</w:t>
      </w:r>
      <w:r>
        <w:rPr>
          <w:rFonts w:hint="eastAsia"/>
          <w:color w:val="auto"/>
          <w:kern w:val="21"/>
          <w:lang w:val="en-US" w:eastAsia="zh-CN" w:bidi="ar"/>
        </w:rPr>
        <w:t>3.62</w:t>
      </w:r>
      <w:r>
        <w:rPr>
          <w:color w:val="auto"/>
          <w:kern w:val="21"/>
          <w:lang w:bidi="ar"/>
        </w:rPr>
        <w:t>t/a；</w:t>
      </w:r>
    </w:p>
    <w:p>
      <w:pPr>
        <w:pStyle w:val="23"/>
        <w:spacing w:after="0" w:line="360" w:lineRule="auto"/>
        <w:ind w:left="0" w:leftChars="0" w:firstLine="480"/>
        <w:rPr>
          <w:color w:val="auto"/>
          <w:kern w:val="21"/>
          <w:lang w:bidi="ar"/>
        </w:rPr>
      </w:pPr>
      <w:r>
        <w:rPr>
          <w:color w:val="auto"/>
          <w:kern w:val="21"/>
          <w:lang w:bidi="ar"/>
        </w:rPr>
        <w:t>（4）总磷：</w:t>
      </w:r>
      <w:r>
        <w:rPr>
          <w:rFonts w:hint="eastAsia"/>
          <w:color w:val="auto"/>
          <w:kern w:val="21"/>
          <w:lang w:bidi="ar"/>
        </w:rPr>
        <w:t>0.52</w:t>
      </w:r>
      <w:r>
        <w:rPr>
          <w:color w:val="auto"/>
          <w:kern w:val="21"/>
          <w:lang w:bidi="ar"/>
        </w:rPr>
        <w:t>t/a</w:t>
      </w:r>
      <w:r>
        <w:rPr>
          <w:rFonts w:hint="eastAsia"/>
          <w:color w:val="auto"/>
          <w:kern w:val="21"/>
          <w:lang w:bidi="ar"/>
        </w:rPr>
        <w:t>；</w:t>
      </w:r>
    </w:p>
    <w:p>
      <w:pPr>
        <w:pStyle w:val="23"/>
        <w:spacing w:after="0" w:line="360" w:lineRule="auto"/>
        <w:ind w:left="0" w:leftChars="0" w:firstLine="480"/>
        <w:jc w:val="left"/>
        <w:rPr>
          <w:color w:val="auto"/>
          <w:kern w:val="21"/>
          <w:lang w:bidi="ar"/>
        </w:rPr>
      </w:pPr>
      <w:r>
        <w:rPr>
          <w:rFonts w:hint="eastAsia"/>
          <w:color w:val="auto"/>
          <w:kern w:val="21"/>
          <w:lang w:bidi="ar"/>
        </w:rPr>
        <w:t>（5）氟化物：</w:t>
      </w:r>
      <w:r>
        <w:rPr>
          <w:rFonts w:hint="eastAsia"/>
          <w:color w:val="auto"/>
          <w:kern w:val="21"/>
          <w:lang w:val="en-US" w:eastAsia="zh-CN" w:bidi="ar"/>
        </w:rPr>
        <w:t>4.04</w:t>
      </w:r>
      <w:r>
        <w:rPr>
          <w:rFonts w:hint="eastAsia"/>
          <w:color w:val="auto"/>
          <w:kern w:val="21"/>
          <w:lang w:bidi="ar"/>
        </w:rPr>
        <w:t>t/a。</w:t>
      </w:r>
    </w:p>
    <w:p>
      <w:pPr>
        <w:pStyle w:val="163"/>
        <w:spacing w:line="360" w:lineRule="auto"/>
        <w:rPr>
          <w:color w:val="auto"/>
          <w:kern w:val="21"/>
        </w:rPr>
      </w:pPr>
      <w:r>
        <w:rPr>
          <w:color w:val="auto"/>
          <w:kern w:val="21"/>
        </w:rPr>
        <w:t>2、大气污染物</w:t>
      </w:r>
    </w:p>
    <w:p>
      <w:pPr>
        <w:pStyle w:val="23"/>
        <w:spacing w:after="0" w:line="360" w:lineRule="auto"/>
        <w:ind w:left="0" w:leftChars="0" w:firstLine="480"/>
        <w:rPr>
          <w:color w:val="auto"/>
          <w:kern w:val="21"/>
          <w:lang w:bidi="ar"/>
        </w:rPr>
      </w:pPr>
      <w:r>
        <w:rPr>
          <w:color w:val="auto"/>
          <w:kern w:val="21"/>
        </w:rPr>
        <w:t>（1）氨：</w:t>
      </w:r>
      <w:r>
        <w:rPr>
          <w:rFonts w:hint="eastAsia"/>
          <w:color w:val="auto"/>
          <w:kern w:val="21"/>
          <w:lang w:val="en-US" w:eastAsia="zh-CN"/>
        </w:rPr>
        <w:t>0.825</w:t>
      </w:r>
      <w:r>
        <w:rPr>
          <w:color w:val="auto"/>
          <w:kern w:val="21"/>
          <w:lang w:bidi="ar"/>
        </w:rPr>
        <w:t>t/a；（2）硫化氢：</w:t>
      </w:r>
      <w:r>
        <w:rPr>
          <w:color w:val="auto"/>
          <w:kern w:val="21"/>
        </w:rPr>
        <w:t>0.0</w:t>
      </w:r>
      <w:r>
        <w:rPr>
          <w:rFonts w:hint="eastAsia"/>
          <w:color w:val="auto"/>
          <w:kern w:val="21"/>
          <w:lang w:val="en-US" w:eastAsia="zh-CN"/>
        </w:rPr>
        <w:t>02455</w:t>
      </w:r>
      <w:r>
        <w:rPr>
          <w:color w:val="auto"/>
          <w:kern w:val="21"/>
          <w:lang w:bidi="ar"/>
        </w:rPr>
        <w:t>t/a。</w:t>
      </w:r>
    </w:p>
    <w:p>
      <w:pPr>
        <w:pStyle w:val="23"/>
        <w:spacing w:after="0" w:line="360" w:lineRule="auto"/>
        <w:ind w:left="480" w:firstLine="0" w:firstLineChars="0"/>
        <w:rPr>
          <w:color w:val="auto"/>
          <w:kern w:val="21"/>
        </w:rPr>
      </w:pPr>
      <w:r>
        <w:rPr>
          <w:color w:val="auto"/>
          <w:kern w:val="21"/>
        </w:rPr>
        <w:t>3、固体废物</w:t>
      </w:r>
    </w:p>
    <w:p>
      <w:pPr>
        <w:pStyle w:val="23"/>
        <w:spacing w:after="0" w:line="360" w:lineRule="auto"/>
        <w:ind w:left="480" w:firstLine="0" w:firstLineChars="0"/>
        <w:rPr>
          <w:color w:val="auto"/>
          <w:kern w:val="21"/>
        </w:rPr>
      </w:pPr>
      <w:r>
        <w:rPr>
          <w:color w:val="auto"/>
          <w:kern w:val="21"/>
        </w:rPr>
        <w:t>固体废物均得到合理有效处置，处置率为100%。</w:t>
      </w:r>
    </w:p>
    <w:p>
      <w:pPr>
        <w:pStyle w:val="5"/>
        <w:spacing w:after="0"/>
        <w:rPr>
          <w:color w:val="auto"/>
          <w:kern w:val="21"/>
          <w:sz w:val="28"/>
        </w:rPr>
      </w:pPr>
      <w:bookmarkStart w:id="488" w:name="_Toc1855"/>
      <w:r>
        <w:rPr>
          <w:color w:val="auto"/>
          <w:kern w:val="21"/>
          <w:sz w:val="28"/>
        </w:rPr>
        <w:t>11.</w:t>
      </w:r>
      <w:r>
        <w:rPr>
          <w:rFonts w:hint="eastAsia"/>
          <w:color w:val="auto"/>
          <w:kern w:val="21"/>
          <w:sz w:val="28"/>
        </w:rPr>
        <w:t>7</w:t>
      </w:r>
      <w:r>
        <w:rPr>
          <w:color w:val="auto"/>
          <w:kern w:val="21"/>
          <w:sz w:val="28"/>
        </w:rPr>
        <w:t>综合评价结论</w:t>
      </w:r>
      <w:bookmarkEnd w:id="486"/>
      <w:bookmarkEnd w:id="488"/>
    </w:p>
    <w:p>
      <w:pPr>
        <w:ind w:firstLine="480"/>
        <w:rPr>
          <w:color w:val="auto"/>
          <w:kern w:val="21"/>
        </w:rPr>
      </w:pPr>
      <w:r>
        <w:rPr>
          <w:color w:val="auto"/>
          <w:kern w:val="21"/>
        </w:rPr>
        <w:t>本项目属于楚雄工业园区富民片区配套环保设施项目，建设和运行符合国家和云南省相关产业政策，选址不涉及自然保护区、风景名胜区、饮用水水源保护区等环境敏感区域。区域大气、地下水、声等环境功能及现状满足建设要求，地表水青龙河区域实施达标规划方案（2021-2025年）后，在基础污染设施运转正常、管理到位的前提下，青龙河流域污染物将得到有效的削减，可以达标。经论证项目入河排污口设置合理可行。公众参与调查对象无公众和社会团体反对意见。项目拟采取的污染防治措施具有技术经济可行性，可实现污染物达标排放，不会降低评价区环境质量现状水平，具有良好的经济、社会、环境效益。因此，在落实环境影响报告书和工程设计提出的环保对策措施、风险防范措施后，同时严格执行“三同时”制度的前提下，从环保角度分析项目建设可行。</w:t>
      </w:r>
    </w:p>
    <w:p>
      <w:pPr>
        <w:ind w:firstLine="480" w:firstLineChars="0"/>
        <w:rPr>
          <w:color w:val="auto"/>
          <w:kern w:val="21"/>
        </w:rPr>
      </w:pPr>
    </w:p>
    <w:p>
      <w:pPr>
        <w:ind w:firstLine="480"/>
        <w:rPr>
          <w:color w:val="auto"/>
          <w:kern w:val="21"/>
        </w:rPr>
      </w:pPr>
    </w:p>
    <w:p>
      <w:pPr>
        <w:pStyle w:val="23"/>
        <w:ind w:left="480" w:firstLine="480"/>
        <w:rPr>
          <w:color w:val="auto"/>
          <w:kern w:val="21"/>
        </w:rPr>
      </w:pPr>
    </w:p>
    <w:sectPr>
      <w:footerReference r:id="rId19" w:type="default"/>
      <w:pgSz w:w="11906" w:h="16838"/>
      <w:pgMar w:top="1418" w:right="1134" w:bottom="1134" w:left="1418"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roman"/>
    <w:pitch w:val="default"/>
    <w:sig w:usb0="FFFFFFFF" w:usb1="E9FFFFFF" w:usb2="0000003F" w:usb3="00000000" w:csb0="603F01FF" w:csb1="FFFF0000"/>
  </w:font>
  <w:font w:name="CG Times">
    <w:panose1 w:val="02020603050405020304"/>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10"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仿宋体-10Point">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Roman PS">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幼圆">
    <w:panose1 w:val="02010509060101010101"/>
    <w:charset w:val="86"/>
    <w:family w:val="modern"/>
    <w:pitch w:val="default"/>
    <w:sig w:usb0="00000001" w:usb1="080E0000" w:usb2="00000000" w:usb3="00000000" w:csb0="00040000" w:csb1="00000000"/>
  </w:font>
  <w:font w:name="Sim Sun">
    <w:altName w:val="仿宋_GB2312"/>
    <w:panose1 w:val="00000000000000000000"/>
    <w:charset w:val="86"/>
    <w:family w:val="auto"/>
    <w:pitch w:val="default"/>
    <w:sig w:usb0="00000000" w:usb1="00000000" w:usb2="0000001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auto"/>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TimesNewRomanPS-BoldMT">
    <w:altName w:val="Times New Roman"/>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ind w:firstLine="360"/>
      <w:rPr>
        <w:rStyle w:val="55"/>
      </w:rPr>
    </w:pPr>
    <w:r>
      <w:fldChar w:fldCharType="begin"/>
    </w:r>
    <w:r>
      <w:rPr>
        <w:rStyle w:val="55"/>
      </w:rPr>
      <w:instrText xml:space="preserve">PAGE  </w:instrText>
    </w:r>
    <w:r>
      <w:fldChar w:fldCharType="separate"/>
    </w:r>
    <w:r>
      <w:rPr>
        <w:rStyle w:val="55"/>
      </w:rPr>
      <w:t>191</w:t>
    </w:r>
    <w:r>
      <w:fldChar w:fldCharType="end"/>
    </w:r>
  </w:p>
  <w:p>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66700" cy="131445"/>
              <wp:effectExtent l="2540" t="0" r="0" b="0"/>
              <wp:wrapNone/>
              <wp:docPr id="5"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266700" cy="131445"/>
                      </a:xfrm>
                      <a:prstGeom prst="rect">
                        <a:avLst/>
                      </a:prstGeom>
                      <a:noFill/>
                      <a:ln>
                        <a:noFill/>
                      </a:ln>
                    </wps:spPr>
                    <wps:txbx>
                      <w:txbxContent>
                        <w:p>
                          <w:pPr>
                            <w:pStyle w:val="25"/>
                            <w:ind w:firstLine="360"/>
                          </w:pPr>
                          <w:r>
                            <w:fldChar w:fldCharType="begin"/>
                          </w:r>
                          <w:r>
                            <w:instrText xml:space="preserve"> PAGE  \* MERGEFORMAT </w:instrText>
                          </w:r>
                          <w:r>
                            <w:fldChar w:fldCharType="separate"/>
                          </w:r>
                          <w:r>
                            <w:t>V</w:t>
                          </w:r>
                          <w:r>
                            <w:fldChar w:fldCharType="end"/>
                          </w:r>
                        </w:p>
                      </w:txbxContent>
                    </wps:txbx>
                    <wps:bodyPr rot="0" vert="horz" wrap="none" lIns="0" tIns="0" rIns="0" bIns="0" anchor="t" anchorCtr="0" upright="1">
                      <a:spAutoFit/>
                    </wps:bodyPr>
                  </wps:wsp>
                </a:graphicData>
              </a:graphic>
            </wp:anchor>
          </w:drawing>
        </mc:Choice>
        <mc:Fallback>
          <w:pict>
            <v:shape id="文本框 18" o:spid="_x0000_s1026" o:spt="202" type="#_x0000_t202" style="position:absolute;left:0pt;margin-top:0pt;height:10.35pt;width:21pt;mso-position-horizontal:center;mso-position-horizontal-relative:margin;mso-wrap-style:none;z-index:251659264;mso-width-relative:page;mso-height-relative:page;" filled="f" stroked="f" coordsize="21600,21600" o:gfxdata="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V18d0AAAAAMBAAAPAAAAAAAAAAEAIAAAACIAAABkcnMv&#10;ZG93bnJldi54bWxQSwECFAAUAAAACACHTuJALYrR0AsCAAADBAAADgAAAAAAAAABACAAAAAfAQAA&#10;ZHJzL2Uyb0RvYy54bWxQSwUGAAAAAAYABgBZAQAAnAUAAAAA&#10;">
              <v:fill on="f" focussize="0,0"/>
              <v:stroke on="f"/>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180"/>
      </w:tabs>
      <w:ind w:firstLine="0" w:firstLineChars="0"/>
      <w:jc w:val="both"/>
    </w:pP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left="138" w:firstLine="400"/>
      <w:rPr>
        <w:rFonts w:ascii="宋体" w:hAnsi="宋体"/>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43535" cy="131445"/>
              <wp:effectExtent l="0" t="1905" r="0" b="0"/>
              <wp:wrapNone/>
              <wp:docPr id="3"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343535" cy="131445"/>
                      </a:xfrm>
                      <a:prstGeom prst="rect">
                        <a:avLst/>
                      </a:prstGeom>
                      <a:noFill/>
                      <a:ln>
                        <a:noFill/>
                      </a:ln>
                    </wps:spPr>
                    <wps:txbx>
                      <w:txbxContent>
                        <w:p>
                          <w:pPr>
                            <w:pStyle w:val="25"/>
                            <w:ind w:firstLine="360"/>
                          </w:pPr>
                          <w:r>
                            <w:fldChar w:fldCharType="begin"/>
                          </w:r>
                          <w:r>
                            <w:instrText xml:space="preserve"> PAGE  \* MERGEFORMAT </w:instrText>
                          </w:r>
                          <w:r>
                            <w:fldChar w:fldCharType="separate"/>
                          </w:r>
                          <w:r>
                            <w:t>39</w:t>
                          </w:r>
                          <w:r>
                            <w:fldChar w:fldCharType="end"/>
                          </w:r>
                        </w:p>
                      </w:txbxContent>
                    </wps:txbx>
                    <wps:bodyPr rot="0" vert="horz" wrap="none" lIns="0" tIns="0" rIns="0" bIns="0" anchor="t" anchorCtr="0" upright="1">
                      <a:spAutoFit/>
                    </wps:bodyPr>
                  </wps:wsp>
                </a:graphicData>
              </a:graphic>
            </wp:anchor>
          </w:drawing>
        </mc:Choice>
        <mc:Fallback>
          <w:pict>
            <v:shape id="文本框 29" o:spid="_x0000_s1026" o:spt="202" type="#_x0000_t202" style="position:absolute;left:0pt;margin-top:0pt;height:10.35pt;width:27.05pt;mso-position-horizontal:center;mso-position-horizontal-relative:margin;mso-wrap-style:none;z-index:251660288;mso-width-relative:page;mso-height-relative:page;" filled="f" stroked="f" coordsize="21600,21600" o:gfxdata="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m2gV0QAAAAMBAAAPAAAAAAAAAAEAIAAAACIAAABkcnMv&#10;ZG93bnJldi54bWxQSwECFAAUAAAACACHTuJAJIJ/KwoCAAADBAAADgAAAAAAAAABACAAAAAgAQAA&#10;ZHJzL2Uyb0RvYy54bWxQSwUGAAAAAAYABgBZAQAAnAUAAAAA&#10;">
              <v:fill on="f" focussize="0,0"/>
              <v:stroke on="f"/>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Chars="1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43535" cy="131445"/>
              <wp:effectExtent l="2540" t="0" r="0" b="0"/>
              <wp:wrapNone/>
              <wp:docPr id="2"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343535" cy="131445"/>
                      </a:xfrm>
                      <a:prstGeom prst="rect">
                        <a:avLst/>
                      </a:prstGeom>
                      <a:noFill/>
                      <a:ln>
                        <a:noFill/>
                      </a:ln>
                    </wps:spPr>
                    <wps:txbx>
                      <w:txbxContent>
                        <w:p>
                          <w:pPr>
                            <w:pStyle w:val="25"/>
                            <w:ind w:firstLine="360"/>
                          </w:pPr>
                          <w:r>
                            <w:fldChar w:fldCharType="begin"/>
                          </w:r>
                          <w:r>
                            <w:instrText xml:space="preserve"> PAGE  \* MERGEFORMAT </w:instrText>
                          </w:r>
                          <w:r>
                            <w:fldChar w:fldCharType="separate"/>
                          </w:r>
                          <w:r>
                            <w:t>186</w:t>
                          </w:r>
                          <w:r>
                            <w:fldChar w:fldCharType="end"/>
                          </w:r>
                        </w:p>
                      </w:txbxContent>
                    </wps:txbx>
                    <wps:bodyPr rot="0" vert="horz" wrap="none" lIns="0" tIns="0" rIns="0" bIns="0" anchor="t" anchorCtr="0" upright="1">
                      <a:spAutoFit/>
                    </wps:bodyPr>
                  </wps:wsp>
                </a:graphicData>
              </a:graphic>
            </wp:anchor>
          </w:drawing>
        </mc:Choice>
        <mc:Fallback>
          <w:pict>
            <v:shape id="文本框 30" o:spid="_x0000_s1026" o:spt="202" type="#_x0000_t202" style="position:absolute;left:0pt;margin-top:0pt;height:10.35pt;width:27.05pt;mso-position-horizontal:center;mso-position-horizontal-relative:margin;mso-wrap-style:none;z-index:251660288;mso-width-relative:page;mso-height-relative:page;" filled="f" stroked="f" coordsize="21600,21600" o:gfxdata="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ptoFdEAAAADAQAADwAAAAAAAAABACAAAAAiAAAAZHJz&#10;L2Rvd25yZXYueG1sUEsBAhQAFAAAAAgAh07iQL4vXGELAgAAAwQAAA4AAAAAAAAAAQAgAAAAIAEA&#10;AGRycy9lMm9Eb2MueG1sUEsFBgAAAAAGAAYAWQEAAJ0FAAAAAA==&#10;">
              <v:fill on="f" focussize="0,0"/>
              <v:stroke on="f"/>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00685" cy="131445"/>
              <wp:effectExtent l="2540" t="0" r="0" b="0"/>
              <wp:wrapNone/>
              <wp:docPr id="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400685" cy="131445"/>
                      </a:xfrm>
                      <a:prstGeom prst="rect">
                        <a:avLst/>
                      </a:prstGeom>
                      <a:noFill/>
                      <a:ln>
                        <a:noFill/>
                      </a:ln>
                    </wps:spPr>
                    <wps:txbx>
                      <w:txbxContent>
                        <w:p>
                          <w:pPr>
                            <w:pStyle w:val="25"/>
                            <w:ind w:firstLine="360"/>
                          </w:pPr>
                          <w:r>
                            <w:fldChar w:fldCharType="begin"/>
                          </w:r>
                          <w:r>
                            <w:instrText xml:space="preserve"> PAGE  \* MERGEFORMAT </w:instrText>
                          </w:r>
                          <w:r>
                            <w:fldChar w:fldCharType="separate"/>
                          </w:r>
                          <w:r>
                            <w:t>191</w:t>
                          </w:r>
                          <w:r>
                            <w:fldChar w:fldCharType="end"/>
                          </w:r>
                        </w:p>
                      </w:txbxContent>
                    </wps:txbx>
                    <wps:bodyPr rot="0" vert="horz" wrap="none" lIns="0" tIns="0" rIns="0" bIns="0" anchor="t" anchorCtr="0" upright="1">
                      <a:spAutoFit/>
                    </wps:bodyPr>
                  </wps:wsp>
                </a:graphicData>
              </a:graphic>
            </wp:anchor>
          </w:drawing>
        </mc:Choice>
        <mc:Fallback>
          <w:pict>
            <v:shape id="文本框 31" o:spid="_x0000_s1026" o:spt="202" type="#_x0000_t202" style="position:absolute;left:0pt;margin-top:0pt;height:10.35pt;width:31.55pt;mso-position-horizontal:center;mso-position-horizontal-relative:margin;mso-wrap-style:none;z-index:251661312;mso-width-relative:page;mso-height-relative:page;" filled="f" stroked="f" coordsize="21600,21600" o:gfxdata="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QNptNEAAAADAQAADwAAAAAAAAABACAAAAAiAAAAZHJzL2Rv&#10;d25yZXYueG1sUEsBAhQAFAAAAAgAh07iQLCyBfkIAgAAAwQAAA4AAAAAAAAAAQAgAAAAIAEAAGRy&#10;cy9lMm9Eb2MueG1sUEsFBgAAAAAGAAYAWQEAAJoFAAAAAA==&#10;">
              <v:fill on="f" focussize="0,0"/>
              <v:stroke on="f"/>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rPr>
      <w:t>楚雄市富民工业园区污水处理厂工程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p>
  <w:p>
    <w:pPr>
      <w:pStyle w:val="26"/>
      <w:snapToGrid/>
    </w:pPr>
  </w:p>
  <w:p>
    <w:pPr>
      <w:pStyle w:val="26"/>
      <w:snapToGrid/>
    </w:pPr>
    <w:r>
      <w:rPr>
        <w:rFonts w:hint="eastAsia"/>
      </w:rPr>
      <w:t>楚雄市富民工业园区污水处理厂工程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rPr>
      <w:t>楚雄市富民工业园区污水处理厂工程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4200"/>
        <w:tab w:val="left" w:pos="4620"/>
        <w:tab w:val="left" w:pos="5040"/>
        <w:tab w:val="clear" w:pos="8306"/>
      </w:tabs>
    </w:pPr>
    <w:r>
      <w:rPr>
        <w:rFonts w:hint="eastAsia"/>
      </w:rPr>
      <w:t>楚雄市富民工业园区污水处理厂工程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rPr>
      <w:t>楚雄市富民工业园区污水处理厂工程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CCB37"/>
    <w:multiLevelType w:val="singleLevel"/>
    <w:tmpl w:val="843CCB37"/>
    <w:lvl w:ilvl="0" w:tentative="0">
      <w:start w:val="4"/>
      <w:numFmt w:val="decimal"/>
      <w:suff w:val="nothing"/>
      <w:lvlText w:val="%1、"/>
      <w:lvlJc w:val="left"/>
    </w:lvl>
  </w:abstractNum>
  <w:abstractNum w:abstractNumId="1">
    <w:nsid w:val="948622C1"/>
    <w:multiLevelType w:val="singleLevel"/>
    <w:tmpl w:val="948622C1"/>
    <w:lvl w:ilvl="0" w:tentative="0">
      <w:start w:val="1"/>
      <w:numFmt w:val="decimal"/>
      <w:suff w:val="nothing"/>
      <w:lvlText w:val="表5-%1  "/>
      <w:lvlJc w:val="left"/>
      <w:pPr>
        <w:tabs>
          <w:tab w:val="left" w:pos="0"/>
        </w:tabs>
        <w:ind w:left="0" w:firstLine="0"/>
      </w:pPr>
      <w:rPr>
        <w:rFonts w:hint="default" w:ascii="Times New Roman" w:hAnsi="Times New Roman" w:eastAsia="宋体" w:cs="Times New Roman"/>
        <w:b/>
        <w:bCs/>
        <w:sz w:val="24"/>
      </w:rPr>
    </w:lvl>
  </w:abstractNum>
  <w:abstractNum w:abstractNumId="2">
    <w:nsid w:val="9D421DA0"/>
    <w:multiLevelType w:val="singleLevel"/>
    <w:tmpl w:val="9D421DA0"/>
    <w:lvl w:ilvl="0" w:tentative="0">
      <w:start w:val="1"/>
      <w:numFmt w:val="decimal"/>
      <w:suff w:val="nothing"/>
      <w:lvlText w:val="表6-%1  "/>
      <w:lvlJc w:val="left"/>
      <w:pPr>
        <w:tabs>
          <w:tab w:val="left" w:pos="0"/>
        </w:tabs>
        <w:ind w:left="0" w:firstLine="0"/>
      </w:pPr>
      <w:rPr>
        <w:rFonts w:hint="default" w:ascii="Times New Roman" w:hAnsi="Times New Roman" w:eastAsia="宋体" w:cs="Times New Roman"/>
        <w:sz w:val="24"/>
      </w:rPr>
    </w:lvl>
  </w:abstractNum>
  <w:abstractNum w:abstractNumId="3">
    <w:nsid w:val="AE9E4D3E"/>
    <w:multiLevelType w:val="singleLevel"/>
    <w:tmpl w:val="AE9E4D3E"/>
    <w:lvl w:ilvl="0" w:tentative="0">
      <w:start w:val="1"/>
      <w:numFmt w:val="decimal"/>
      <w:suff w:val="nothing"/>
      <w:lvlText w:val="（%1）"/>
      <w:lvlJc w:val="left"/>
    </w:lvl>
  </w:abstractNum>
  <w:abstractNum w:abstractNumId="4">
    <w:nsid w:val="BDF8D4A9"/>
    <w:multiLevelType w:val="singleLevel"/>
    <w:tmpl w:val="BDF8D4A9"/>
    <w:lvl w:ilvl="0" w:tentative="0">
      <w:start w:val="1"/>
      <w:numFmt w:val="decimal"/>
      <w:suff w:val="nothing"/>
      <w:lvlText w:val="表7-%1  "/>
      <w:lvlJc w:val="left"/>
      <w:pPr>
        <w:tabs>
          <w:tab w:val="left" w:pos="0"/>
        </w:tabs>
        <w:ind w:left="0" w:firstLine="0"/>
      </w:pPr>
      <w:rPr>
        <w:rFonts w:hint="default" w:ascii="Times New Roman" w:hAnsi="Times New Roman" w:eastAsia="宋体" w:cs="Times New Roman"/>
        <w:sz w:val="24"/>
      </w:rPr>
    </w:lvl>
  </w:abstractNum>
  <w:abstractNum w:abstractNumId="5">
    <w:nsid w:val="CCBFF995"/>
    <w:multiLevelType w:val="singleLevel"/>
    <w:tmpl w:val="CCBFF995"/>
    <w:lvl w:ilvl="0" w:tentative="0">
      <w:start w:val="3"/>
      <w:numFmt w:val="upperLetter"/>
      <w:suff w:val="nothing"/>
      <w:lvlText w:val="%1-"/>
      <w:lvlJc w:val="left"/>
    </w:lvl>
  </w:abstractNum>
  <w:abstractNum w:abstractNumId="6">
    <w:nsid w:val="CFA09C43"/>
    <w:multiLevelType w:val="singleLevel"/>
    <w:tmpl w:val="CFA09C43"/>
    <w:lvl w:ilvl="0" w:tentative="0">
      <w:start w:val="1"/>
      <w:numFmt w:val="decimal"/>
      <w:suff w:val="nothing"/>
      <w:lvlText w:val="表9-%1  "/>
      <w:lvlJc w:val="left"/>
      <w:pPr>
        <w:tabs>
          <w:tab w:val="left" w:pos="0"/>
        </w:tabs>
        <w:ind w:left="0" w:firstLine="420"/>
      </w:pPr>
      <w:rPr>
        <w:rFonts w:hint="default" w:ascii="Times New Roman" w:hAnsi="Times New Roman" w:eastAsia="宋体" w:cs="Times New Roman"/>
        <w:sz w:val="24"/>
      </w:rPr>
    </w:lvl>
  </w:abstractNum>
  <w:abstractNum w:abstractNumId="7">
    <w:nsid w:val="DB0E9CF6"/>
    <w:multiLevelType w:val="singleLevel"/>
    <w:tmpl w:val="DB0E9CF6"/>
    <w:lvl w:ilvl="0" w:tentative="0">
      <w:start w:val="1"/>
      <w:numFmt w:val="decimal"/>
      <w:suff w:val="nothing"/>
      <w:lvlText w:val="图3-%1  "/>
      <w:lvlJc w:val="left"/>
      <w:pPr>
        <w:tabs>
          <w:tab w:val="left" w:pos="0"/>
        </w:tabs>
        <w:ind w:left="0" w:firstLine="420"/>
      </w:pPr>
      <w:rPr>
        <w:rFonts w:hint="default" w:ascii="Times New Roman" w:hAnsi="Times New Roman" w:eastAsia="宋体" w:cs="Times New Roman"/>
        <w:b/>
        <w:bCs/>
        <w:sz w:val="24"/>
      </w:rPr>
    </w:lvl>
  </w:abstractNum>
  <w:abstractNum w:abstractNumId="8">
    <w:nsid w:val="FDB93850"/>
    <w:multiLevelType w:val="singleLevel"/>
    <w:tmpl w:val="FDB93850"/>
    <w:lvl w:ilvl="0" w:tentative="0">
      <w:start w:val="1"/>
      <w:numFmt w:val="decimal"/>
      <w:suff w:val="nothing"/>
      <w:lvlText w:val="（%1）"/>
      <w:lvlJc w:val="left"/>
    </w:lvl>
  </w:abstractNum>
  <w:abstractNum w:abstractNumId="9">
    <w:nsid w:val="0239C2F1"/>
    <w:multiLevelType w:val="singleLevel"/>
    <w:tmpl w:val="0239C2F1"/>
    <w:lvl w:ilvl="0" w:tentative="0">
      <w:start w:val="1"/>
      <w:numFmt w:val="decimal"/>
      <w:suff w:val="nothing"/>
      <w:lvlText w:val="（%1）"/>
      <w:lvlJc w:val="left"/>
    </w:lvl>
  </w:abstractNum>
  <w:abstractNum w:abstractNumId="10">
    <w:nsid w:val="0D1C65BA"/>
    <w:multiLevelType w:val="singleLevel"/>
    <w:tmpl w:val="0D1C65BA"/>
    <w:lvl w:ilvl="0" w:tentative="0">
      <w:start w:val="1"/>
      <w:numFmt w:val="decimal"/>
      <w:suff w:val="nothing"/>
      <w:lvlText w:val="表3-%1  "/>
      <w:lvlJc w:val="left"/>
      <w:pPr>
        <w:tabs>
          <w:tab w:val="left" w:pos="0"/>
        </w:tabs>
        <w:ind w:left="0" w:firstLine="420"/>
      </w:pPr>
      <w:rPr>
        <w:rFonts w:hint="default" w:ascii="Times New Roman" w:hAnsi="Times New Roman" w:eastAsia="Times New Roman" w:cs="Times New Roman"/>
        <w:b/>
        <w:bCs/>
        <w:sz w:val="24"/>
      </w:rPr>
    </w:lvl>
  </w:abstractNum>
  <w:abstractNum w:abstractNumId="11">
    <w:nsid w:val="11CB5B55"/>
    <w:multiLevelType w:val="multilevel"/>
    <w:tmpl w:val="11CB5B55"/>
    <w:lvl w:ilvl="0" w:tentative="0">
      <w:start w:val="1"/>
      <w:numFmt w:val="decimal"/>
      <w:lvlText w:val="表2-%1"/>
      <w:lvlJc w:val="left"/>
      <w:pPr>
        <w:ind w:left="5807"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6BE6480"/>
    <w:multiLevelType w:val="singleLevel"/>
    <w:tmpl w:val="36BE6480"/>
    <w:lvl w:ilvl="0" w:tentative="0">
      <w:start w:val="1"/>
      <w:numFmt w:val="decimal"/>
      <w:suff w:val="nothing"/>
      <w:lvlText w:val="表8-%1  "/>
      <w:lvlJc w:val="left"/>
      <w:pPr>
        <w:tabs>
          <w:tab w:val="left" w:pos="0"/>
        </w:tabs>
        <w:ind w:left="0" w:firstLine="420"/>
      </w:pPr>
      <w:rPr>
        <w:rFonts w:hint="default" w:ascii="Times New Roman" w:hAnsi="Times New Roman" w:eastAsia="宋体" w:cs="Times New Roman"/>
        <w:sz w:val="24"/>
      </w:rPr>
    </w:lvl>
  </w:abstractNum>
  <w:abstractNum w:abstractNumId="13">
    <w:nsid w:val="3F0C9F3A"/>
    <w:multiLevelType w:val="singleLevel"/>
    <w:tmpl w:val="3F0C9F3A"/>
    <w:lvl w:ilvl="0" w:tentative="0">
      <w:start w:val="6"/>
      <w:numFmt w:val="decimal"/>
      <w:suff w:val="nothing"/>
      <w:lvlText w:val="%1、"/>
      <w:lvlJc w:val="left"/>
    </w:lvl>
  </w:abstractNum>
  <w:abstractNum w:abstractNumId="14">
    <w:nsid w:val="4C6CF2C6"/>
    <w:multiLevelType w:val="singleLevel"/>
    <w:tmpl w:val="4C6CF2C6"/>
    <w:lvl w:ilvl="0" w:tentative="0">
      <w:start w:val="1"/>
      <w:numFmt w:val="decimal"/>
      <w:suff w:val="nothing"/>
      <w:lvlText w:val="表2-%1  "/>
      <w:lvlJc w:val="left"/>
      <w:pPr>
        <w:tabs>
          <w:tab w:val="left" w:pos="0"/>
        </w:tabs>
        <w:ind w:left="0" w:firstLine="420"/>
      </w:pPr>
      <w:rPr>
        <w:rFonts w:hint="default" w:ascii="Times New Roman" w:hAnsi="Times New Roman" w:eastAsia="宋体" w:cs="Times New Roman"/>
        <w:sz w:val="24"/>
      </w:rPr>
    </w:lvl>
  </w:abstractNum>
  <w:abstractNum w:abstractNumId="15">
    <w:nsid w:val="51E41C4E"/>
    <w:multiLevelType w:val="singleLevel"/>
    <w:tmpl w:val="51E41C4E"/>
    <w:lvl w:ilvl="0" w:tentative="0">
      <w:start w:val="1"/>
      <w:numFmt w:val="decimal"/>
      <w:suff w:val="nothing"/>
      <w:lvlText w:val="表4-%1  "/>
      <w:lvlJc w:val="left"/>
      <w:pPr>
        <w:tabs>
          <w:tab w:val="left" w:pos="0"/>
        </w:tabs>
        <w:ind w:left="0" w:firstLine="0"/>
      </w:pPr>
      <w:rPr>
        <w:rFonts w:hint="default" w:ascii="Times New Roman" w:hAnsi="Times New Roman" w:eastAsia="Times New Roman" w:cs="Times New Roman"/>
        <w:sz w:val="24"/>
      </w:rPr>
    </w:lvl>
  </w:abstractNum>
  <w:abstractNum w:abstractNumId="16">
    <w:nsid w:val="568DEF69"/>
    <w:multiLevelType w:val="multilevel"/>
    <w:tmpl w:val="568DEF69"/>
    <w:lvl w:ilvl="0" w:tentative="0">
      <w:start w:val="1"/>
      <w:numFmt w:val="decimal"/>
      <w:suff w:val="space"/>
      <w:lvlText w:val="图5-%1 "/>
      <w:lvlJc w:val="left"/>
      <w:pPr>
        <w:tabs>
          <w:tab w:val="left" w:pos="0"/>
        </w:tabs>
        <w:ind w:left="0" w:leftChars="0" w:firstLine="0" w:firstLineChars="0"/>
      </w:pPr>
      <w:rPr>
        <w:rFonts w:hint="default" w:ascii="Times New Roman" w:hAnsi="Times New Roman" w:eastAsia="宋体" w:cs="Times New Roman"/>
        <w:b/>
        <w:bCs/>
        <w:sz w:val="24"/>
        <w:szCs w:val="24"/>
      </w:rPr>
    </w:lvl>
    <w:lvl w:ilvl="1" w:tentative="0">
      <w:start w:val="1"/>
      <w:numFmt w:val="decimal"/>
      <w:suff w:val="space"/>
      <w:lvlText w:val="3.%2"/>
      <w:lvlJc w:val="left"/>
      <w:pPr>
        <w:tabs>
          <w:tab w:val="left" w:pos="0"/>
        </w:tabs>
        <w:ind w:left="0" w:leftChars="0" w:firstLine="0" w:firstLineChars="0"/>
      </w:pPr>
      <w:rPr>
        <w:rFonts w:hint="default" w:ascii="Times New Roman" w:hAnsi="Times New Roman" w:eastAsia="宋体" w:cs="Times New Roman"/>
        <w:sz w:val="32"/>
        <w:szCs w:val="32"/>
      </w:rPr>
    </w:lvl>
    <w:lvl w:ilvl="2" w:tentative="0">
      <w:start w:val="1"/>
      <w:numFmt w:val="decimal"/>
      <w:suff w:val="space"/>
      <w:lvlText w:val="%1.%2.%3"/>
      <w:lvlJc w:val="left"/>
      <w:pPr>
        <w:ind w:left="0" w:leftChars="0" w:firstLine="0" w:firstLineChars="0"/>
      </w:pPr>
      <w:rPr>
        <w:rFonts w:hint="default" w:ascii="宋体" w:hAnsi="宋体" w:eastAsia="宋体" w:cs="宋体"/>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7">
    <w:nsid w:val="630309EA"/>
    <w:multiLevelType w:val="singleLevel"/>
    <w:tmpl w:val="630309EA"/>
    <w:lvl w:ilvl="0" w:tentative="0">
      <w:start w:val="1"/>
      <w:numFmt w:val="decimal"/>
      <w:suff w:val="nothing"/>
      <w:lvlText w:val="图2-%1  "/>
      <w:lvlJc w:val="left"/>
      <w:pPr>
        <w:tabs>
          <w:tab w:val="left" w:pos="0"/>
        </w:tabs>
        <w:ind w:left="0" w:firstLine="420"/>
      </w:pPr>
      <w:rPr>
        <w:rFonts w:hint="default" w:ascii="Times New Roman" w:hAnsi="Times New Roman" w:eastAsia="宋体" w:cs="Times New Roman"/>
        <w:sz w:val="24"/>
      </w:rPr>
    </w:lvl>
  </w:abstractNum>
  <w:abstractNum w:abstractNumId="18">
    <w:nsid w:val="64694E2F"/>
    <w:multiLevelType w:val="singleLevel"/>
    <w:tmpl w:val="64694E2F"/>
    <w:lvl w:ilvl="0" w:tentative="0">
      <w:start w:val="1"/>
      <w:numFmt w:val="decimal"/>
      <w:suff w:val="nothing"/>
      <w:lvlText w:val="图4-%1  "/>
      <w:lvlJc w:val="left"/>
      <w:pPr>
        <w:tabs>
          <w:tab w:val="left" w:pos="0"/>
        </w:tabs>
        <w:ind w:left="0" w:firstLine="420"/>
      </w:pPr>
      <w:rPr>
        <w:rFonts w:hint="default" w:ascii="Times New Roman" w:hAnsi="Times New Roman" w:eastAsia="宋体" w:cs="Times New Roman"/>
        <w:sz w:val="24"/>
      </w:rPr>
    </w:lvl>
  </w:abstractNum>
  <w:abstractNum w:abstractNumId="19">
    <w:nsid w:val="6B1C52F5"/>
    <w:multiLevelType w:val="singleLevel"/>
    <w:tmpl w:val="6B1C52F5"/>
    <w:lvl w:ilvl="0" w:tentative="0">
      <w:start w:val="1"/>
      <w:numFmt w:val="decimal"/>
      <w:suff w:val="nothing"/>
      <w:lvlText w:val="表10-%1  "/>
      <w:lvlJc w:val="left"/>
      <w:pPr>
        <w:tabs>
          <w:tab w:val="left" w:pos="0"/>
        </w:tabs>
        <w:ind w:left="0" w:firstLine="420"/>
      </w:pPr>
      <w:rPr>
        <w:rFonts w:hint="default" w:ascii="Times New Roman" w:hAnsi="Times New Roman" w:eastAsia="宋体" w:cs="Times New Roman"/>
        <w:sz w:val="24"/>
      </w:rPr>
    </w:lvl>
  </w:abstractNum>
  <w:abstractNum w:abstractNumId="20">
    <w:nsid w:val="79173E60"/>
    <w:multiLevelType w:val="singleLevel"/>
    <w:tmpl w:val="79173E60"/>
    <w:lvl w:ilvl="0" w:tentative="0">
      <w:start w:val="1"/>
      <w:numFmt w:val="decimal"/>
      <w:suff w:val="nothing"/>
      <w:lvlText w:val="图8-%1  "/>
      <w:lvlJc w:val="left"/>
      <w:pPr>
        <w:tabs>
          <w:tab w:val="left" w:pos="0"/>
        </w:tabs>
        <w:ind w:left="0" w:firstLine="420"/>
      </w:pPr>
      <w:rPr>
        <w:rFonts w:hint="default" w:ascii="Times New Roman" w:hAnsi="Times New Roman" w:eastAsia="宋体" w:cs="Times New Roman"/>
        <w:sz w:val="24"/>
      </w:rPr>
    </w:lvl>
  </w:abstractNum>
  <w:num w:numId="1">
    <w:abstractNumId w:val="8"/>
  </w:num>
  <w:num w:numId="2">
    <w:abstractNumId w:val="14"/>
  </w:num>
  <w:num w:numId="3">
    <w:abstractNumId w:val="13"/>
  </w:num>
  <w:num w:numId="4">
    <w:abstractNumId w:val="17"/>
  </w:num>
  <w:num w:numId="5">
    <w:abstractNumId w:val="10"/>
  </w:num>
  <w:num w:numId="6">
    <w:abstractNumId w:val="7"/>
  </w:num>
  <w:num w:numId="7">
    <w:abstractNumId w:val="11"/>
  </w:num>
  <w:num w:numId="8">
    <w:abstractNumId w:val="18"/>
  </w:num>
  <w:num w:numId="9">
    <w:abstractNumId w:val="15"/>
  </w:num>
  <w:num w:numId="10">
    <w:abstractNumId w:val="0"/>
  </w:num>
  <w:num w:numId="11">
    <w:abstractNumId w:val="1"/>
  </w:num>
  <w:num w:numId="12">
    <w:abstractNumId w:val="5"/>
  </w:num>
  <w:num w:numId="13">
    <w:abstractNumId w:val="16"/>
  </w:num>
  <w:num w:numId="14">
    <w:abstractNumId w:val="3"/>
  </w:num>
  <w:num w:numId="15">
    <w:abstractNumId w:val="2"/>
  </w:num>
  <w:num w:numId="16">
    <w:abstractNumId w:val="4"/>
  </w:num>
  <w:num w:numId="17">
    <w:abstractNumId w:val="12"/>
  </w:num>
  <w:num w:numId="18">
    <w:abstractNumId w:val="20"/>
  </w:num>
  <w:num w:numId="19">
    <w:abstractNumId w:val="9"/>
  </w:num>
  <w:num w:numId="20">
    <w:abstractNumId w:val="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6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UyOGJlZjMzNzc3MTczN2E1MjAxNWFlYzI0YTg4ODEifQ=="/>
  </w:docVars>
  <w:rsids>
    <w:rsidRoot w:val="00950424"/>
    <w:rsid w:val="004E2538"/>
    <w:rsid w:val="005944E4"/>
    <w:rsid w:val="00594845"/>
    <w:rsid w:val="005E5037"/>
    <w:rsid w:val="00665E49"/>
    <w:rsid w:val="008E0402"/>
    <w:rsid w:val="00950424"/>
    <w:rsid w:val="00BB7D88"/>
    <w:rsid w:val="00C21D8C"/>
    <w:rsid w:val="00FA1185"/>
    <w:rsid w:val="01695B6A"/>
    <w:rsid w:val="02EB3AD1"/>
    <w:rsid w:val="06413F69"/>
    <w:rsid w:val="068D252B"/>
    <w:rsid w:val="06D40273"/>
    <w:rsid w:val="08307DA6"/>
    <w:rsid w:val="088C5D8F"/>
    <w:rsid w:val="0CA15CBB"/>
    <w:rsid w:val="0DA866AC"/>
    <w:rsid w:val="0E380AB5"/>
    <w:rsid w:val="0EAD4D62"/>
    <w:rsid w:val="0EF40596"/>
    <w:rsid w:val="0EF7690C"/>
    <w:rsid w:val="10675755"/>
    <w:rsid w:val="11F4422F"/>
    <w:rsid w:val="12935C9F"/>
    <w:rsid w:val="12BA3934"/>
    <w:rsid w:val="13EC02E7"/>
    <w:rsid w:val="13FB420E"/>
    <w:rsid w:val="16CA6A90"/>
    <w:rsid w:val="170220ED"/>
    <w:rsid w:val="17F729A5"/>
    <w:rsid w:val="18170BBC"/>
    <w:rsid w:val="195A6195"/>
    <w:rsid w:val="197844C4"/>
    <w:rsid w:val="1A154A49"/>
    <w:rsid w:val="1A1E4A85"/>
    <w:rsid w:val="1AE9067B"/>
    <w:rsid w:val="1B141A82"/>
    <w:rsid w:val="1E215981"/>
    <w:rsid w:val="1EB338D7"/>
    <w:rsid w:val="1F331E1B"/>
    <w:rsid w:val="1F5D7ACE"/>
    <w:rsid w:val="1FE95059"/>
    <w:rsid w:val="23102EB4"/>
    <w:rsid w:val="23D1358C"/>
    <w:rsid w:val="244C7E23"/>
    <w:rsid w:val="245E323B"/>
    <w:rsid w:val="26306192"/>
    <w:rsid w:val="272D298A"/>
    <w:rsid w:val="28E974AD"/>
    <w:rsid w:val="292A7CF4"/>
    <w:rsid w:val="29F92D0A"/>
    <w:rsid w:val="2AD63914"/>
    <w:rsid w:val="2BA5269F"/>
    <w:rsid w:val="2BB47E1D"/>
    <w:rsid w:val="2DD72C20"/>
    <w:rsid w:val="2DF4661F"/>
    <w:rsid w:val="2E051CB2"/>
    <w:rsid w:val="2EFB2629"/>
    <w:rsid w:val="31D83BEC"/>
    <w:rsid w:val="335E2E67"/>
    <w:rsid w:val="338F32B7"/>
    <w:rsid w:val="33B069B3"/>
    <w:rsid w:val="348957BF"/>
    <w:rsid w:val="36D554E4"/>
    <w:rsid w:val="37164C20"/>
    <w:rsid w:val="39FA33A5"/>
    <w:rsid w:val="3A325276"/>
    <w:rsid w:val="3A3A403F"/>
    <w:rsid w:val="3CE24B49"/>
    <w:rsid w:val="3DF07218"/>
    <w:rsid w:val="3E715CE6"/>
    <w:rsid w:val="3ED439B6"/>
    <w:rsid w:val="3EE8032A"/>
    <w:rsid w:val="3FDE4DED"/>
    <w:rsid w:val="4387289B"/>
    <w:rsid w:val="454A2072"/>
    <w:rsid w:val="456948B1"/>
    <w:rsid w:val="459A313A"/>
    <w:rsid w:val="45AD6174"/>
    <w:rsid w:val="460A6FED"/>
    <w:rsid w:val="46883F52"/>
    <w:rsid w:val="469157CB"/>
    <w:rsid w:val="46B03FDF"/>
    <w:rsid w:val="46D77F1D"/>
    <w:rsid w:val="47037D22"/>
    <w:rsid w:val="473138E7"/>
    <w:rsid w:val="47881532"/>
    <w:rsid w:val="48297C04"/>
    <w:rsid w:val="49B97544"/>
    <w:rsid w:val="49D44470"/>
    <w:rsid w:val="4ABE7475"/>
    <w:rsid w:val="4D661C69"/>
    <w:rsid w:val="4DAB6C92"/>
    <w:rsid w:val="4E46403B"/>
    <w:rsid w:val="4E6E088E"/>
    <w:rsid w:val="4FDFC004"/>
    <w:rsid w:val="501B01BB"/>
    <w:rsid w:val="53354D92"/>
    <w:rsid w:val="53437088"/>
    <w:rsid w:val="551F0C93"/>
    <w:rsid w:val="552F3B91"/>
    <w:rsid w:val="568B3D80"/>
    <w:rsid w:val="56D627B6"/>
    <w:rsid w:val="5814328B"/>
    <w:rsid w:val="59E970D8"/>
    <w:rsid w:val="5F105933"/>
    <w:rsid w:val="5F5832AE"/>
    <w:rsid w:val="5FEB2F79"/>
    <w:rsid w:val="64597522"/>
    <w:rsid w:val="662274B9"/>
    <w:rsid w:val="662F1D69"/>
    <w:rsid w:val="666B476D"/>
    <w:rsid w:val="667A652F"/>
    <w:rsid w:val="66AB4F5A"/>
    <w:rsid w:val="6795210C"/>
    <w:rsid w:val="67F9474A"/>
    <w:rsid w:val="680B5540"/>
    <w:rsid w:val="691451B5"/>
    <w:rsid w:val="69AB4528"/>
    <w:rsid w:val="6A000727"/>
    <w:rsid w:val="6A5C59F1"/>
    <w:rsid w:val="6A8A0115"/>
    <w:rsid w:val="6A8D0A8A"/>
    <w:rsid w:val="6B040DD6"/>
    <w:rsid w:val="6C1E47A3"/>
    <w:rsid w:val="6CE1513D"/>
    <w:rsid w:val="6E1001A1"/>
    <w:rsid w:val="6F1D496D"/>
    <w:rsid w:val="6FD70486"/>
    <w:rsid w:val="6FF53465"/>
    <w:rsid w:val="701F6B24"/>
    <w:rsid w:val="71AF3C7D"/>
    <w:rsid w:val="71E00F6C"/>
    <w:rsid w:val="729D1A86"/>
    <w:rsid w:val="72E20B0C"/>
    <w:rsid w:val="739D0005"/>
    <w:rsid w:val="74693A71"/>
    <w:rsid w:val="74BA5AEF"/>
    <w:rsid w:val="7573110C"/>
    <w:rsid w:val="75B87946"/>
    <w:rsid w:val="76395437"/>
    <w:rsid w:val="766C071B"/>
    <w:rsid w:val="76F451B9"/>
    <w:rsid w:val="77DA4FD8"/>
    <w:rsid w:val="7AD46E57"/>
    <w:rsid w:val="7BAB24B7"/>
    <w:rsid w:val="7C2A52CB"/>
    <w:rsid w:val="7D16569F"/>
    <w:rsid w:val="7D692A50"/>
    <w:rsid w:val="7F5626E8"/>
    <w:rsid w:val="7FC51619"/>
    <w:rsid w:val="BBFD4028"/>
    <w:rsid w:val="E4FF2B56"/>
    <w:rsid w:val="EBB85815"/>
    <w:rsid w:val="F7A7D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uiPriority w:val="0"/>
    <w:pPr>
      <w:keepNext/>
      <w:keepLines/>
      <w:ind w:firstLine="0" w:firstLineChars="0"/>
      <w:outlineLvl w:val="0"/>
    </w:pPr>
    <w:rPr>
      <w:b/>
      <w:bCs/>
      <w:kern w:val="44"/>
      <w:sz w:val="32"/>
      <w:szCs w:val="30"/>
    </w:rPr>
  </w:style>
  <w:style w:type="paragraph" w:styleId="5">
    <w:name w:val="heading 2"/>
    <w:basedOn w:val="4"/>
    <w:next w:val="1"/>
    <w:qFormat/>
    <w:uiPriority w:val="0"/>
    <w:pPr>
      <w:spacing w:after="120"/>
      <w:outlineLvl w:val="1"/>
    </w:pPr>
    <w:rPr>
      <w:bCs w:val="0"/>
      <w:sz w:val="30"/>
      <w:szCs w:val="28"/>
    </w:rPr>
  </w:style>
  <w:style w:type="paragraph" w:styleId="6">
    <w:name w:val="heading 3"/>
    <w:basedOn w:val="7"/>
    <w:next w:val="1"/>
    <w:link w:val="59"/>
    <w:qFormat/>
    <w:uiPriority w:val="0"/>
    <w:pPr>
      <w:keepNext/>
      <w:keepLines/>
      <w:spacing w:after="120"/>
      <w:ind w:left="0" w:leftChars="0" w:firstLineChars="0"/>
      <w:outlineLvl w:val="2"/>
    </w:pPr>
    <w:rPr>
      <w:rFonts w:eastAsia="楷体_GB2312"/>
      <w:b/>
      <w:bCs/>
      <w:sz w:val="28"/>
      <w:szCs w:val="28"/>
    </w:rPr>
  </w:style>
  <w:style w:type="paragraph" w:styleId="8">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qFormat/>
    <w:uiPriority w:val="0"/>
    <w:pPr>
      <w:keepNext/>
      <w:keepLines/>
      <w:spacing w:before="280" w:after="290" w:line="376" w:lineRule="auto"/>
      <w:outlineLvl w:val="4"/>
    </w:pPr>
    <w:rPr>
      <w:b/>
      <w:bCs/>
      <w:sz w:val="28"/>
      <w:szCs w:val="28"/>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tabs>
        <w:tab w:val="right" w:leader="dot" w:pos="9571"/>
      </w:tabs>
      <w:spacing w:before="120" w:after="120" w:line="380" w:lineRule="exact"/>
      <w:ind w:firstLine="0" w:firstLineChars="0"/>
      <w:jc w:val="center"/>
    </w:pPr>
    <w:rPr>
      <w:b/>
      <w:bCs/>
      <w:caps/>
    </w:rPr>
  </w:style>
  <w:style w:type="paragraph" w:styleId="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kern w:val="2"/>
      <w:sz w:val="24"/>
      <w:szCs w:val="24"/>
      <w:lang w:val="en-US" w:eastAsia="zh-CN" w:bidi="ar-SA"/>
    </w:rPr>
  </w:style>
  <w:style w:type="paragraph" w:styleId="7">
    <w:name w:val="index 2"/>
    <w:basedOn w:val="1"/>
    <w:next w:val="1"/>
    <w:qFormat/>
    <w:uiPriority w:val="0"/>
    <w:pPr>
      <w:ind w:left="200" w:leftChars="200" w:firstLine="0"/>
    </w:pPr>
  </w:style>
  <w:style w:type="paragraph" w:styleId="10">
    <w:name w:val="toc 7"/>
    <w:basedOn w:val="1"/>
    <w:next w:val="1"/>
    <w:qFormat/>
    <w:uiPriority w:val="0"/>
    <w:pPr>
      <w:ind w:left="1440"/>
      <w:jc w:val="left"/>
    </w:pPr>
    <w:rPr>
      <w:sz w:val="18"/>
      <w:szCs w:val="18"/>
    </w:rPr>
  </w:style>
  <w:style w:type="paragraph" w:styleId="11">
    <w:name w:val="Normal Indent"/>
    <w:basedOn w:val="1"/>
    <w:next w:val="1"/>
    <w:link w:val="87"/>
    <w:qFormat/>
    <w:uiPriority w:val="0"/>
    <w:pPr>
      <w:spacing w:line="240" w:lineRule="auto"/>
      <w:ind w:firstLine="420"/>
    </w:pPr>
    <w:rPr>
      <w:sz w:val="21"/>
    </w:rPr>
  </w:style>
  <w:style w:type="paragraph" w:styleId="12">
    <w:name w:val="caption"/>
    <w:basedOn w:val="1"/>
    <w:next w:val="1"/>
    <w:link w:val="80"/>
    <w:qFormat/>
    <w:uiPriority w:val="0"/>
    <w:pPr>
      <w:spacing w:line="240" w:lineRule="auto"/>
      <w:ind w:firstLine="0" w:firstLineChars="0"/>
    </w:pPr>
    <w:rPr>
      <w:rFonts w:ascii="Symbol" w:hAnsi="Symbol" w:eastAsia="Wingdings" w:cs="Symbol"/>
    </w:rPr>
  </w:style>
  <w:style w:type="paragraph" w:styleId="13">
    <w:name w:val="Document Map"/>
    <w:basedOn w:val="1"/>
    <w:qFormat/>
    <w:uiPriority w:val="0"/>
    <w:pPr>
      <w:shd w:val="clear" w:color="auto" w:fill="000080"/>
    </w:pPr>
  </w:style>
  <w:style w:type="paragraph" w:styleId="14">
    <w:name w:val="annotation text"/>
    <w:basedOn w:val="1"/>
    <w:link w:val="85"/>
    <w:qFormat/>
    <w:uiPriority w:val="0"/>
    <w:pPr>
      <w:spacing w:line="240" w:lineRule="auto"/>
      <w:ind w:firstLine="0" w:firstLineChars="0"/>
      <w:jc w:val="left"/>
    </w:pPr>
    <w:rPr>
      <w:sz w:val="21"/>
    </w:rPr>
  </w:style>
  <w:style w:type="paragraph" w:styleId="15">
    <w:name w:val="Body Text 3"/>
    <w:basedOn w:val="1"/>
    <w:semiHidden/>
    <w:qFormat/>
    <w:uiPriority w:val="0"/>
    <w:pPr>
      <w:spacing w:after="120" w:line="240" w:lineRule="auto"/>
      <w:ind w:firstLine="0" w:firstLineChars="0"/>
    </w:pPr>
    <w:rPr>
      <w:sz w:val="16"/>
      <w:szCs w:val="16"/>
    </w:rPr>
  </w:style>
  <w:style w:type="paragraph" w:styleId="16">
    <w:name w:val="Body Text"/>
    <w:basedOn w:val="1"/>
    <w:next w:val="1"/>
    <w:qFormat/>
    <w:uiPriority w:val="0"/>
    <w:pPr>
      <w:autoSpaceDE w:val="0"/>
      <w:autoSpaceDN w:val="0"/>
      <w:adjustRightInd w:val="0"/>
      <w:spacing w:before="63"/>
      <w:ind w:right="-23" w:firstLine="560"/>
      <w:jc w:val="left"/>
    </w:pPr>
    <w:rPr>
      <w:rFonts w:ascii="宋体" w:hAnsi="宋体"/>
      <w:sz w:val="28"/>
      <w:szCs w:val="30"/>
    </w:rPr>
  </w:style>
  <w:style w:type="paragraph" w:styleId="17">
    <w:name w:val="Body Text Indent"/>
    <w:basedOn w:val="1"/>
    <w:qFormat/>
    <w:uiPriority w:val="0"/>
    <w:pPr>
      <w:spacing w:after="120"/>
      <w:ind w:left="420" w:leftChars="200"/>
    </w:pPr>
  </w:style>
  <w:style w:type="paragraph" w:styleId="18">
    <w:name w:val="toc 5"/>
    <w:basedOn w:val="1"/>
    <w:next w:val="1"/>
    <w:qFormat/>
    <w:uiPriority w:val="0"/>
    <w:pPr>
      <w:ind w:left="960"/>
      <w:jc w:val="left"/>
    </w:pPr>
    <w:rPr>
      <w:sz w:val="18"/>
      <w:szCs w:val="18"/>
    </w:rPr>
  </w:style>
  <w:style w:type="paragraph" w:styleId="19">
    <w:name w:val="toc 3"/>
    <w:basedOn w:val="1"/>
    <w:next w:val="1"/>
    <w:qFormat/>
    <w:uiPriority w:val="0"/>
    <w:pPr>
      <w:tabs>
        <w:tab w:val="right" w:leader="dot" w:pos="9571"/>
      </w:tabs>
      <w:spacing w:line="380" w:lineRule="exact"/>
      <w:ind w:firstLine="540" w:firstLineChars="257"/>
      <w:jc w:val="left"/>
    </w:pPr>
    <w:rPr>
      <w:iCs/>
      <w:sz w:val="21"/>
      <w:szCs w:val="21"/>
    </w:rPr>
  </w:style>
  <w:style w:type="paragraph" w:styleId="20">
    <w:name w:val="Plain Text"/>
    <w:basedOn w:val="1"/>
    <w:link w:val="88"/>
    <w:qFormat/>
    <w:uiPriority w:val="0"/>
    <w:pPr>
      <w:spacing w:line="240" w:lineRule="auto"/>
      <w:ind w:firstLine="0" w:firstLineChars="0"/>
    </w:pPr>
    <w:rPr>
      <w:rFonts w:ascii="宋体" w:hAnsi="Courier New"/>
      <w:sz w:val="21"/>
      <w:szCs w:val="21"/>
    </w:rPr>
  </w:style>
  <w:style w:type="paragraph" w:styleId="21">
    <w:name w:val="toc 8"/>
    <w:basedOn w:val="1"/>
    <w:next w:val="1"/>
    <w:qFormat/>
    <w:uiPriority w:val="0"/>
    <w:pPr>
      <w:ind w:left="1680"/>
      <w:jc w:val="left"/>
    </w:pPr>
    <w:rPr>
      <w:sz w:val="18"/>
      <w:szCs w:val="18"/>
    </w:rPr>
  </w:style>
  <w:style w:type="paragraph" w:styleId="22">
    <w:name w:val="Date"/>
    <w:basedOn w:val="1"/>
    <w:next w:val="1"/>
    <w:qFormat/>
    <w:uiPriority w:val="0"/>
    <w:pPr>
      <w:spacing w:line="240" w:lineRule="auto"/>
      <w:ind w:left="2500" w:leftChars="2500" w:firstLine="0" w:firstLineChars="0"/>
    </w:pPr>
    <w:rPr>
      <w:color w:val="FF6600"/>
    </w:rPr>
  </w:style>
  <w:style w:type="paragraph" w:styleId="23">
    <w:name w:val="Body Text Indent 2"/>
    <w:basedOn w:val="1"/>
    <w:link w:val="86"/>
    <w:qFormat/>
    <w:uiPriority w:val="0"/>
    <w:pPr>
      <w:spacing w:after="120" w:line="480" w:lineRule="auto"/>
      <w:ind w:left="420" w:leftChars="200"/>
    </w:pPr>
  </w:style>
  <w:style w:type="paragraph" w:styleId="24">
    <w:name w:val="Balloon Text"/>
    <w:basedOn w:val="1"/>
    <w:qFormat/>
    <w:uiPriority w:val="0"/>
    <w:rPr>
      <w:sz w:val="18"/>
      <w:szCs w:val="18"/>
    </w:rPr>
  </w:style>
  <w:style w:type="paragraph" w:styleId="25">
    <w:name w:val="footer"/>
    <w:basedOn w:val="1"/>
    <w:link w:val="207"/>
    <w:qFormat/>
    <w:uiPriority w:val="99"/>
    <w:pPr>
      <w:tabs>
        <w:tab w:val="center" w:pos="4153"/>
        <w:tab w:val="right" w:pos="8306"/>
      </w:tabs>
      <w:snapToGrid w:val="0"/>
      <w:spacing w:line="240" w:lineRule="auto"/>
      <w:jc w:val="left"/>
    </w:pPr>
    <w:rPr>
      <w:sz w:val="18"/>
      <w:szCs w:val="18"/>
    </w:rPr>
  </w:style>
  <w:style w:type="paragraph" w:styleId="26">
    <w:name w:val="header"/>
    <w:basedOn w:val="1"/>
    <w:next w:val="1"/>
    <w:qFormat/>
    <w:uiPriority w:val="0"/>
    <w:pPr>
      <w:pBdr>
        <w:bottom w:val="single" w:color="auto" w:sz="6" w:space="1"/>
      </w:pBdr>
      <w:tabs>
        <w:tab w:val="center" w:pos="4153"/>
        <w:tab w:val="right" w:pos="8306"/>
      </w:tabs>
      <w:snapToGrid w:val="0"/>
      <w:spacing w:line="240" w:lineRule="auto"/>
      <w:ind w:firstLine="0" w:firstLineChars="0"/>
      <w:jc w:val="center"/>
    </w:pPr>
    <w:rPr>
      <w:sz w:val="18"/>
      <w:szCs w:val="18"/>
    </w:rPr>
  </w:style>
  <w:style w:type="paragraph" w:styleId="27">
    <w:name w:val="toc 4"/>
    <w:basedOn w:val="1"/>
    <w:next w:val="1"/>
    <w:qFormat/>
    <w:uiPriority w:val="0"/>
    <w:pPr>
      <w:ind w:left="720"/>
      <w:jc w:val="left"/>
    </w:pPr>
    <w:rPr>
      <w:sz w:val="18"/>
      <w:szCs w:val="18"/>
    </w:rPr>
  </w:style>
  <w:style w:type="paragraph" w:styleId="28">
    <w:name w:val="List"/>
    <w:basedOn w:val="1"/>
    <w:qFormat/>
    <w:uiPriority w:val="0"/>
    <w:pPr>
      <w:tabs>
        <w:tab w:val="decimal" w:pos="2182"/>
        <w:tab w:val="left" w:pos="3393"/>
        <w:tab w:val="left" w:pos="5124"/>
      </w:tabs>
      <w:autoSpaceDE w:val="0"/>
      <w:autoSpaceDN w:val="0"/>
      <w:adjustRightInd w:val="0"/>
      <w:spacing w:line="240" w:lineRule="exact"/>
      <w:ind w:firstLine="0" w:firstLineChars="0"/>
      <w:jc w:val="center"/>
    </w:pPr>
    <w:rPr>
      <w:rFonts w:ascii="仿宋_GB2312" w:hAnsi="宋体"/>
      <w:bCs/>
      <w:kern w:val="0"/>
      <w:sz w:val="18"/>
      <w:szCs w:val="18"/>
    </w:rPr>
  </w:style>
  <w:style w:type="paragraph" w:styleId="29">
    <w:name w:val="toc 6"/>
    <w:basedOn w:val="1"/>
    <w:next w:val="1"/>
    <w:qFormat/>
    <w:uiPriority w:val="0"/>
    <w:pPr>
      <w:ind w:left="1200"/>
      <w:jc w:val="left"/>
    </w:pPr>
    <w:rPr>
      <w:sz w:val="18"/>
      <w:szCs w:val="18"/>
    </w:rPr>
  </w:style>
  <w:style w:type="paragraph" w:styleId="30">
    <w:name w:val="Body Text Indent 3"/>
    <w:basedOn w:val="1"/>
    <w:qFormat/>
    <w:uiPriority w:val="0"/>
    <w:pPr>
      <w:spacing w:after="120" w:line="240" w:lineRule="auto"/>
      <w:ind w:left="420" w:leftChars="200" w:firstLine="0" w:firstLineChars="0"/>
    </w:pPr>
    <w:rPr>
      <w:sz w:val="16"/>
      <w:szCs w:val="16"/>
    </w:rPr>
  </w:style>
  <w:style w:type="paragraph" w:styleId="31">
    <w:name w:val="table of figures"/>
    <w:basedOn w:val="1"/>
    <w:next w:val="1"/>
    <w:qFormat/>
    <w:uiPriority w:val="0"/>
    <w:pPr>
      <w:spacing w:line="240" w:lineRule="auto"/>
      <w:ind w:firstLine="0" w:firstLineChars="0"/>
    </w:pPr>
    <w:rPr>
      <w:sz w:val="21"/>
      <w:szCs w:val="20"/>
    </w:rPr>
  </w:style>
  <w:style w:type="paragraph" w:styleId="32">
    <w:name w:val="toc 2"/>
    <w:basedOn w:val="1"/>
    <w:next w:val="1"/>
    <w:qFormat/>
    <w:uiPriority w:val="0"/>
    <w:pPr>
      <w:tabs>
        <w:tab w:val="right" w:leader="dot" w:pos="9571"/>
      </w:tabs>
      <w:spacing w:line="400" w:lineRule="exact"/>
      <w:ind w:firstLine="300" w:firstLineChars="143"/>
      <w:jc w:val="left"/>
    </w:pPr>
    <w:rPr>
      <w:smallCaps/>
      <w:sz w:val="21"/>
      <w:szCs w:val="21"/>
    </w:rPr>
  </w:style>
  <w:style w:type="paragraph" w:styleId="33">
    <w:name w:val="toc 9"/>
    <w:basedOn w:val="1"/>
    <w:next w:val="1"/>
    <w:qFormat/>
    <w:uiPriority w:val="0"/>
    <w:pPr>
      <w:ind w:left="1920"/>
      <w:jc w:val="left"/>
    </w:pPr>
    <w:rPr>
      <w:sz w:val="18"/>
      <w:szCs w:val="18"/>
    </w:rPr>
  </w:style>
  <w:style w:type="paragraph" w:styleId="34">
    <w:name w:val="Body Text 2"/>
    <w:basedOn w:val="1"/>
    <w:link w:val="89"/>
    <w:qFormat/>
    <w:uiPriority w:val="0"/>
    <w:pPr>
      <w:spacing w:after="120" w:line="480" w:lineRule="auto"/>
    </w:pPr>
  </w:style>
  <w:style w:type="paragraph" w:styleId="3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cs="宋体"/>
      <w:kern w:val="0"/>
    </w:rPr>
  </w:style>
  <w:style w:type="paragraph" w:styleId="36">
    <w:name w:val="Normal (Web)"/>
    <w:basedOn w:val="1"/>
    <w:next w:val="37"/>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37">
    <w:name w:val="正文崔"/>
    <w:next w:val="38"/>
    <w:qFormat/>
    <w:uiPriority w:val="0"/>
    <w:pPr>
      <w:widowControl w:val="0"/>
      <w:spacing w:before="50" w:after="120" w:line="360" w:lineRule="auto"/>
      <w:ind w:firstLine="200"/>
      <w:jc w:val="both"/>
    </w:pPr>
    <w:rPr>
      <w:rFonts w:ascii="Calibri" w:hAnsi="Calibri" w:eastAsia="宋体" w:cs="Times New Roman"/>
      <w:sz w:val="24"/>
      <w:lang w:val="en-US" w:eastAsia="zh-CN" w:bidi="ar-SA"/>
    </w:rPr>
  </w:style>
  <w:style w:type="paragraph" w:customStyle="1" w:styleId="38">
    <w:name w:val="zyy样式"/>
    <w:basedOn w:val="1"/>
    <w:next w:val="39"/>
    <w:qFormat/>
    <w:uiPriority w:val="0"/>
    <w:pPr>
      <w:ind w:firstLine="480"/>
    </w:pPr>
  </w:style>
  <w:style w:type="paragraph" w:customStyle="1" w:styleId="39">
    <w:name w:val="Char Char1 Char"/>
    <w:basedOn w:val="1"/>
    <w:next w:val="40"/>
    <w:qFormat/>
    <w:uiPriority w:val="0"/>
    <w:pPr>
      <w:widowControl/>
      <w:spacing w:after="160" w:line="240" w:lineRule="exact"/>
      <w:ind w:firstLine="0"/>
    </w:pPr>
    <w:rPr>
      <w:rFonts w:ascii="Verdana" w:eastAsia="仿宋_GB2312"/>
    </w:rPr>
  </w:style>
  <w:style w:type="paragraph" w:customStyle="1" w:styleId="40">
    <w:name w:val="xl58"/>
    <w:basedOn w:val="1"/>
    <w:next w:val="41"/>
    <w:qFormat/>
    <w:uiPriority w:val="0"/>
    <w:pPr>
      <w:widowControl/>
      <w:spacing w:before="280" w:after="280" w:line="240" w:lineRule="auto"/>
      <w:ind w:firstLine="0"/>
      <w:jc w:val="center"/>
    </w:pPr>
    <w:rPr>
      <w:rFonts w:ascii="Arial Unicode MS" w:eastAsia="Arial Unicode MS"/>
      <w:color w:val="000000"/>
      <w:sz w:val="20"/>
    </w:rPr>
  </w:style>
  <w:style w:type="paragraph" w:customStyle="1" w:styleId="41">
    <w:name w:val="xl32"/>
    <w:basedOn w:val="1"/>
    <w:next w:val="42"/>
    <w:qFormat/>
    <w:uiPriority w:val="0"/>
    <w:pPr>
      <w:widowControl/>
      <w:spacing w:before="280" w:after="280" w:line="240" w:lineRule="auto"/>
      <w:ind w:firstLine="0"/>
    </w:pPr>
    <w:rPr>
      <w:rFonts w:ascii="Arial Unicode MS" w:eastAsia="Arial Unicode MS"/>
      <w:b/>
    </w:rPr>
  </w:style>
  <w:style w:type="paragraph" w:customStyle="1" w:styleId="42">
    <w:name w:val="hb2"/>
    <w:next w:val="43"/>
    <w:qFormat/>
    <w:uiPriority w:val="0"/>
    <w:pPr>
      <w:widowControl w:val="0"/>
      <w:spacing w:before="360" w:after="180" w:line="416" w:lineRule="atLeast"/>
      <w:jc w:val="both"/>
      <w:outlineLvl w:val="1"/>
    </w:pPr>
    <w:rPr>
      <w:rFonts w:ascii="Calibri" w:hAnsi="Calibri" w:eastAsia="宋体" w:cs="Times New Roman"/>
      <w:b/>
      <w:sz w:val="28"/>
      <w:lang w:val="en-US" w:eastAsia="zh-CN" w:bidi="ar-SA"/>
    </w:rPr>
  </w:style>
  <w:style w:type="paragraph" w:customStyle="1" w:styleId="43">
    <w:name w:val="Plain Text1"/>
    <w:basedOn w:val="1"/>
    <w:next w:val="44"/>
    <w:qFormat/>
    <w:uiPriority w:val="0"/>
    <w:pPr>
      <w:spacing w:line="240" w:lineRule="auto"/>
      <w:ind w:firstLine="0"/>
    </w:pPr>
    <w:rPr>
      <w:rFonts w:ascii="宋体"/>
      <w:sz w:val="21"/>
    </w:rPr>
  </w:style>
  <w:style w:type="paragraph" w:customStyle="1" w:styleId="44">
    <w:name w:val="表文"/>
    <w:basedOn w:val="1"/>
    <w:next w:val="45"/>
    <w:qFormat/>
    <w:uiPriority w:val="0"/>
    <w:pPr>
      <w:spacing w:line="500" w:lineRule="exact"/>
      <w:ind w:firstLine="0"/>
    </w:pPr>
    <w:rPr>
      <w:rFonts w:ascii="CG Times"/>
    </w:rPr>
  </w:style>
  <w:style w:type="paragraph" w:customStyle="1" w:styleId="45">
    <w:name w:val="s4"/>
    <w:basedOn w:val="1"/>
    <w:next w:val="46"/>
    <w:qFormat/>
    <w:uiPriority w:val="0"/>
    <w:pPr>
      <w:spacing w:line="240" w:lineRule="auto"/>
      <w:ind w:firstLine="420"/>
    </w:pPr>
  </w:style>
  <w:style w:type="paragraph" w:customStyle="1" w:styleId="46">
    <w:name w:val="标题 81"/>
    <w:basedOn w:val="1"/>
    <w:qFormat/>
    <w:uiPriority w:val="0"/>
    <w:pPr>
      <w:spacing w:before="240" w:after="64" w:line="320" w:lineRule="auto"/>
      <w:ind w:left="1440" w:hanging="1440"/>
      <w:outlineLvl w:val="7"/>
    </w:pPr>
    <w:rPr>
      <w:rFonts w:ascii="Arial" w:eastAsia="黑体"/>
      <w:color w:val="000000"/>
    </w:rPr>
  </w:style>
  <w:style w:type="paragraph" w:styleId="47">
    <w:name w:val="index 1"/>
    <w:basedOn w:val="1"/>
    <w:next w:val="1"/>
    <w:qFormat/>
    <w:uiPriority w:val="0"/>
    <w:pPr>
      <w:spacing w:line="240" w:lineRule="auto"/>
      <w:ind w:firstLine="0" w:firstLineChars="0"/>
      <w:jc w:val="center"/>
    </w:pPr>
  </w:style>
  <w:style w:type="paragraph" w:styleId="48">
    <w:name w:val="annotation subject"/>
    <w:basedOn w:val="14"/>
    <w:next w:val="14"/>
    <w:link w:val="90"/>
    <w:qFormat/>
    <w:uiPriority w:val="0"/>
    <w:pPr>
      <w:spacing w:line="360" w:lineRule="auto"/>
      <w:ind w:firstLine="200" w:firstLineChars="200"/>
    </w:pPr>
    <w:rPr>
      <w:b/>
      <w:bCs/>
      <w:sz w:val="24"/>
    </w:rPr>
  </w:style>
  <w:style w:type="paragraph" w:styleId="49">
    <w:name w:val="Body Text First Indent"/>
    <w:basedOn w:val="16"/>
    <w:qFormat/>
    <w:uiPriority w:val="0"/>
    <w:pPr>
      <w:autoSpaceDE/>
      <w:autoSpaceDN/>
      <w:adjustRightInd/>
      <w:spacing w:before="0" w:after="120"/>
      <w:ind w:right="0" w:firstLine="420" w:firstLineChars="100"/>
      <w:jc w:val="both"/>
    </w:pPr>
    <w:rPr>
      <w:rFonts w:ascii="Times New Roman" w:hAnsi="Times New Roman"/>
      <w:sz w:val="24"/>
      <w:szCs w:val="24"/>
    </w:rPr>
  </w:style>
  <w:style w:type="paragraph" w:styleId="50">
    <w:name w:val="Body Text First Indent 2"/>
    <w:basedOn w:val="17"/>
    <w:qFormat/>
    <w:uiPriority w:val="0"/>
    <w:pPr>
      <w:ind w:firstLine="42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rPr>
  </w:style>
  <w:style w:type="character" w:styleId="55">
    <w:name w:val="page number"/>
    <w:qFormat/>
    <w:uiPriority w:val="0"/>
  </w:style>
  <w:style w:type="character" w:styleId="56">
    <w:name w:val="Emphasis"/>
    <w:qFormat/>
    <w:uiPriority w:val="0"/>
    <w:rPr>
      <w:i/>
    </w:rPr>
  </w:style>
  <w:style w:type="character" w:styleId="57">
    <w:name w:val="Hyperlink"/>
    <w:qFormat/>
    <w:uiPriority w:val="0"/>
    <w:rPr>
      <w:color w:val="0000FF"/>
      <w:u w:val="single"/>
    </w:rPr>
  </w:style>
  <w:style w:type="character" w:styleId="58">
    <w:name w:val="annotation reference"/>
    <w:qFormat/>
    <w:uiPriority w:val="0"/>
    <w:rPr>
      <w:sz w:val="21"/>
      <w:szCs w:val="21"/>
    </w:rPr>
  </w:style>
  <w:style w:type="character" w:customStyle="1" w:styleId="59">
    <w:name w:val="标题 3 字符"/>
    <w:link w:val="6"/>
    <w:qFormat/>
    <w:uiPriority w:val="0"/>
    <w:rPr>
      <w:rFonts w:eastAsia="楷体_GB2312"/>
      <w:b/>
      <w:bCs/>
      <w:kern w:val="2"/>
      <w:sz w:val="28"/>
      <w:szCs w:val="28"/>
      <w:lang w:val="en-US" w:eastAsia="zh-CN" w:bidi="ar-SA"/>
    </w:rPr>
  </w:style>
  <w:style w:type="character" w:customStyle="1" w:styleId="60">
    <w:name w:val="表格 Char"/>
    <w:qFormat/>
    <w:uiPriority w:val="0"/>
    <w:rPr>
      <w:rFonts w:eastAsia="TimesNewRomanPSMT"/>
      <w:sz w:val="21"/>
      <w:lang w:val="en-US" w:eastAsia="zh-CN" w:bidi="ar-SA"/>
    </w:rPr>
  </w:style>
  <w:style w:type="character" w:customStyle="1" w:styleId="61">
    <w:name w:val="样式2 Char Char"/>
    <w:link w:val="62"/>
    <w:qFormat/>
    <w:uiPriority w:val="0"/>
    <w:rPr>
      <w:rFonts w:eastAsia="宋体"/>
      <w:kern w:val="2"/>
      <w:sz w:val="24"/>
      <w:szCs w:val="24"/>
      <w:lang w:val="en-US" w:eastAsia="zh-CN" w:bidi="ar-SA"/>
    </w:rPr>
  </w:style>
  <w:style w:type="paragraph" w:customStyle="1" w:styleId="62">
    <w:name w:val="样式2"/>
    <w:basedOn w:val="1"/>
    <w:link w:val="61"/>
    <w:qFormat/>
    <w:uiPriority w:val="0"/>
    <w:pPr>
      <w:spacing w:line="240" w:lineRule="auto"/>
      <w:ind w:firstLine="480"/>
    </w:pPr>
  </w:style>
  <w:style w:type="character" w:customStyle="1" w:styleId="63">
    <w:name w:val="apple-converted-space"/>
    <w:qFormat/>
    <w:uiPriority w:val="0"/>
  </w:style>
  <w:style w:type="character" w:customStyle="1" w:styleId="64">
    <w:name w:val="表格内容 Char Char"/>
    <w:link w:val="65"/>
    <w:qFormat/>
    <w:uiPriority w:val="0"/>
    <w:rPr>
      <w:rFonts w:ascii="Arial Narrow" w:hAnsi="Arial Narrow" w:eastAsia="宋体"/>
      <w:szCs w:val="21"/>
      <w:lang w:val="en-US" w:eastAsia="zh-CN" w:bidi="ar-SA"/>
    </w:rPr>
  </w:style>
  <w:style w:type="paragraph" w:customStyle="1" w:styleId="65">
    <w:name w:val="表格内容"/>
    <w:link w:val="64"/>
    <w:qFormat/>
    <w:uiPriority w:val="0"/>
    <w:pPr>
      <w:jc w:val="center"/>
    </w:pPr>
    <w:rPr>
      <w:rFonts w:ascii="Arial Narrow" w:hAnsi="Arial Narrow" w:eastAsia="宋体" w:cs="Times New Roman"/>
      <w:szCs w:val="21"/>
      <w:lang w:val="en-US" w:eastAsia="zh-CN" w:bidi="ar-SA"/>
    </w:rPr>
  </w:style>
  <w:style w:type="character" w:customStyle="1" w:styleId="66">
    <w:name w:val="font41"/>
    <w:qFormat/>
    <w:uiPriority w:val="0"/>
    <w:rPr>
      <w:rFonts w:hint="default" w:ascii="Times New Roman" w:hAnsi="Times New Roman" w:cs="Times New Roman"/>
      <w:color w:val="000000"/>
      <w:sz w:val="21"/>
      <w:szCs w:val="21"/>
      <w:u w:val="none"/>
      <w:vertAlign w:val="subscript"/>
    </w:rPr>
  </w:style>
  <w:style w:type="character" w:customStyle="1" w:styleId="67">
    <w:name w:val="gyy正文 Char2"/>
    <w:link w:val="68"/>
    <w:qFormat/>
    <w:uiPriority w:val="0"/>
    <w:rPr>
      <w:snapToGrid w:val="0"/>
      <w:color w:val="000000"/>
      <w:sz w:val="24"/>
      <w:lang w:bidi="ar-SA"/>
    </w:rPr>
  </w:style>
  <w:style w:type="paragraph" w:customStyle="1" w:styleId="68">
    <w:name w:val="gyy正文"/>
    <w:basedOn w:val="1"/>
    <w:link w:val="67"/>
    <w:qFormat/>
    <w:uiPriority w:val="0"/>
    <w:pPr>
      <w:snapToGrid w:val="0"/>
    </w:pPr>
    <w:rPr>
      <w:snapToGrid w:val="0"/>
      <w:color w:val="000000"/>
    </w:rPr>
  </w:style>
  <w:style w:type="character" w:customStyle="1" w:styleId="69">
    <w:name w:val="表标题 Char Char Char"/>
    <w:qFormat/>
    <w:uiPriority w:val="0"/>
    <w:rPr>
      <w:rFonts w:ascii="黑体" w:hAnsi="宋体" w:eastAsia="黑体"/>
      <w:sz w:val="24"/>
      <w:lang w:val="en-US" w:eastAsia="zh-CN" w:bidi="ar-SA"/>
    </w:rPr>
  </w:style>
  <w:style w:type="character" w:customStyle="1" w:styleId="70">
    <w:name w:val="F正文 Char Char"/>
    <w:link w:val="71"/>
    <w:qFormat/>
    <w:uiPriority w:val="0"/>
    <w:rPr>
      <w:rFonts w:eastAsia="宋体"/>
      <w:kern w:val="2"/>
      <w:sz w:val="24"/>
      <w:szCs w:val="24"/>
      <w:lang w:val="en-US" w:eastAsia="zh-CN" w:bidi="ar-SA"/>
    </w:rPr>
  </w:style>
  <w:style w:type="paragraph" w:customStyle="1" w:styleId="71">
    <w:name w:val="F正文"/>
    <w:basedOn w:val="1"/>
    <w:link w:val="70"/>
    <w:qFormat/>
    <w:uiPriority w:val="0"/>
  </w:style>
  <w:style w:type="character" w:customStyle="1" w:styleId="72">
    <w:name w:val="专业网格 Char Char"/>
    <w:qFormat/>
    <w:uiPriority w:val="0"/>
    <w:rPr>
      <w:rFonts w:eastAsia="宋体"/>
      <w:kern w:val="2"/>
      <w:sz w:val="21"/>
      <w:szCs w:val="21"/>
      <w:lang w:val="en-US" w:eastAsia="zh-CN" w:bidi="ar-SA"/>
    </w:rPr>
  </w:style>
  <w:style w:type="character" w:customStyle="1" w:styleId="73">
    <w:name w:val="font11"/>
    <w:qFormat/>
    <w:uiPriority w:val="0"/>
    <w:rPr>
      <w:rFonts w:hint="eastAsia" w:ascii="宋体" w:hAnsi="宋体" w:eastAsia="宋体" w:cs="宋体"/>
      <w:color w:val="000000"/>
      <w:sz w:val="21"/>
      <w:szCs w:val="21"/>
      <w:u w:val="none"/>
    </w:rPr>
  </w:style>
  <w:style w:type="character" w:customStyle="1" w:styleId="74">
    <w:name w:val="正文 Char Char"/>
    <w:link w:val="75"/>
    <w:qFormat/>
    <w:uiPriority w:val="0"/>
    <w:rPr>
      <w:rFonts w:ascii="仿宋_GB2312" w:hAnsi="宋体" w:eastAsia="宋体"/>
      <w:bCs/>
      <w:color w:val="000000"/>
      <w:kern w:val="2"/>
      <w:sz w:val="28"/>
      <w:szCs w:val="28"/>
      <w:lang w:val="en-US" w:eastAsia="zh-CN" w:bidi="ar-SA"/>
    </w:rPr>
  </w:style>
  <w:style w:type="paragraph" w:customStyle="1" w:styleId="75">
    <w:name w:val="正文2"/>
    <w:basedOn w:val="1"/>
    <w:next w:val="1"/>
    <w:link w:val="74"/>
    <w:qFormat/>
    <w:uiPriority w:val="0"/>
    <w:pPr>
      <w:ind w:firstLine="561" w:firstLineChars="0"/>
    </w:pPr>
    <w:rPr>
      <w:rFonts w:ascii="仿宋_GB2312" w:hAnsi="宋体"/>
      <w:bCs/>
      <w:color w:val="000000"/>
      <w:sz w:val="28"/>
      <w:szCs w:val="28"/>
    </w:rPr>
  </w:style>
  <w:style w:type="character" w:customStyle="1" w:styleId="76">
    <w:name w:val="样式20 Char"/>
    <w:link w:val="77"/>
    <w:qFormat/>
    <w:uiPriority w:val="0"/>
    <w:rPr>
      <w:kern w:val="2"/>
      <w:sz w:val="24"/>
      <w:szCs w:val="24"/>
    </w:rPr>
  </w:style>
  <w:style w:type="paragraph" w:customStyle="1" w:styleId="77">
    <w:name w:val="样式20"/>
    <w:basedOn w:val="1"/>
    <w:link w:val="76"/>
    <w:qFormat/>
    <w:uiPriority w:val="0"/>
    <w:pPr>
      <w:ind w:firstLine="556" w:firstLineChars="0"/>
    </w:pPr>
    <w:rPr>
      <w:rFonts w:eastAsia="Times New Roman"/>
    </w:rPr>
  </w:style>
  <w:style w:type="character" w:customStyle="1" w:styleId="78">
    <w:name w:val="样式 样式 样式 正文首行缩进 + 首行缩进:  2 字符 + 首行缩进:  2 字符 + 首行缩进:  2 字符 Char"/>
    <w:link w:val="79"/>
    <w:qFormat/>
    <w:uiPriority w:val="0"/>
    <w:rPr>
      <w:rFonts w:ascii="Arial Narrow" w:hAnsi="Arial Narrow" w:eastAsia="仿宋_GB2312"/>
      <w:sz w:val="28"/>
      <w:lang w:val="en-US" w:eastAsia="zh-CN" w:bidi="ar-SA"/>
    </w:rPr>
  </w:style>
  <w:style w:type="paragraph" w:customStyle="1" w:styleId="79">
    <w:name w:val="样式 样式 样式 正文首行缩进 + 首行缩进:  2 字符 + 首行缩进:  2 字符 + 首行缩进:  2 字符"/>
    <w:basedOn w:val="1"/>
    <w:link w:val="78"/>
    <w:qFormat/>
    <w:uiPriority w:val="0"/>
    <w:pPr>
      <w:widowControl/>
      <w:spacing w:line="560" w:lineRule="exact"/>
      <w:ind w:firstLine="560"/>
      <w:jc w:val="left"/>
    </w:pPr>
    <w:rPr>
      <w:rFonts w:ascii="Arial Narrow" w:hAnsi="Arial Narrow" w:eastAsia="仿宋_GB2312"/>
      <w:kern w:val="0"/>
      <w:sz w:val="28"/>
      <w:szCs w:val="20"/>
    </w:rPr>
  </w:style>
  <w:style w:type="character" w:customStyle="1" w:styleId="80">
    <w:name w:val="题注 字符"/>
    <w:link w:val="12"/>
    <w:qFormat/>
    <w:uiPriority w:val="0"/>
    <w:rPr>
      <w:rFonts w:ascii="Symbol" w:hAnsi="Symbol" w:eastAsia="Wingdings" w:cs="Symbol"/>
      <w:kern w:val="2"/>
      <w:lang w:val="en-US" w:eastAsia="zh-CN" w:bidi="ar-SA"/>
    </w:rPr>
  </w:style>
  <w:style w:type="character" w:customStyle="1" w:styleId="81">
    <w:name w:val="图表注 Char2"/>
    <w:qFormat/>
    <w:uiPriority w:val="0"/>
    <w:rPr>
      <w:rFonts w:ascii="Symbol" w:hAnsi="Symbol" w:eastAsia="Wingdings" w:cs="Symbol"/>
      <w:kern w:val="2"/>
      <w:lang w:val="en-US" w:eastAsia="zh-CN" w:bidi="ar-SA"/>
    </w:rPr>
  </w:style>
  <w:style w:type="character" w:customStyle="1" w:styleId="82">
    <w:name w:val="表题 Char Char"/>
    <w:link w:val="83"/>
    <w:qFormat/>
    <w:uiPriority w:val="0"/>
    <w:rPr>
      <w:rFonts w:ascii="Arial" w:hAnsi="Arial" w:eastAsia="黑体"/>
      <w:b/>
      <w:kern w:val="2"/>
      <w:sz w:val="24"/>
      <w:szCs w:val="24"/>
      <w:lang w:val="en-US" w:eastAsia="zh-CN" w:bidi="ar-SA"/>
    </w:rPr>
  </w:style>
  <w:style w:type="paragraph" w:customStyle="1" w:styleId="83">
    <w:name w:val="表题"/>
    <w:basedOn w:val="1"/>
    <w:link w:val="82"/>
    <w:qFormat/>
    <w:uiPriority w:val="0"/>
    <w:pPr>
      <w:spacing w:line="240" w:lineRule="auto"/>
      <w:jc w:val="center"/>
    </w:pPr>
    <w:rPr>
      <w:rFonts w:ascii="Arial" w:hAnsi="Arial" w:eastAsia="黑体"/>
      <w:b/>
    </w:rPr>
  </w:style>
  <w:style w:type="character" w:customStyle="1" w:styleId="84">
    <w:name w:val="f241"/>
    <w:qFormat/>
    <w:uiPriority w:val="0"/>
    <w:rPr>
      <w:sz w:val="36"/>
    </w:rPr>
  </w:style>
  <w:style w:type="character" w:customStyle="1" w:styleId="85">
    <w:name w:val="批注文字 字符"/>
    <w:link w:val="14"/>
    <w:qFormat/>
    <w:uiPriority w:val="0"/>
    <w:rPr>
      <w:kern w:val="2"/>
      <w:sz w:val="21"/>
      <w:szCs w:val="24"/>
    </w:rPr>
  </w:style>
  <w:style w:type="character" w:customStyle="1" w:styleId="86">
    <w:name w:val="正文文本缩进 2 字符"/>
    <w:link w:val="23"/>
    <w:qFormat/>
    <w:uiPriority w:val="0"/>
    <w:rPr>
      <w:rFonts w:eastAsia="宋体"/>
      <w:kern w:val="2"/>
      <w:sz w:val="24"/>
      <w:szCs w:val="24"/>
      <w:lang w:val="en-US" w:eastAsia="zh-CN" w:bidi="ar-SA"/>
    </w:rPr>
  </w:style>
  <w:style w:type="character" w:customStyle="1" w:styleId="87">
    <w:name w:val="正文缩进 字符"/>
    <w:link w:val="11"/>
    <w:qFormat/>
    <w:uiPriority w:val="0"/>
    <w:rPr>
      <w:rFonts w:eastAsia="宋体"/>
      <w:kern w:val="2"/>
      <w:sz w:val="21"/>
      <w:szCs w:val="24"/>
      <w:lang w:val="en-US" w:eastAsia="zh-CN" w:bidi="ar-SA"/>
    </w:rPr>
  </w:style>
  <w:style w:type="character" w:customStyle="1" w:styleId="88">
    <w:name w:val="纯文本 字符"/>
    <w:link w:val="20"/>
    <w:qFormat/>
    <w:uiPriority w:val="0"/>
    <w:rPr>
      <w:rFonts w:ascii="宋体" w:hAnsi="Courier New" w:eastAsia="宋体"/>
      <w:kern w:val="2"/>
      <w:sz w:val="21"/>
      <w:szCs w:val="21"/>
      <w:lang w:val="en-US" w:eastAsia="zh-CN" w:bidi="ar-SA"/>
    </w:rPr>
  </w:style>
  <w:style w:type="character" w:customStyle="1" w:styleId="89">
    <w:name w:val="正文文本 2 字符"/>
    <w:link w:val="34"/>
    <w:qFormat/>
    <w:uiPriority w:val="0"/>
    <w:rPr>
      <w:rFonts w:eastAsia="宋体"/>
      <w:kern w:val="2"/>
      <w:sz w:val="24"/>
      <w:szCs w:val="24"/>
      <w:lang w:val="en-US" w:eastAsia="zh-CN" w:bidi="ar-SA"/>
    </w:rPr>
  </w:style>
  <w:style w:type="character" w:customStyle="1" w:styleId="90">
    <w:name w:val="批注主题 字符"/>
    <w:link w:val="48"/>
    <w:qFormat/>
    <w:uiPriority w:val="0"/>
    <w:rPr>
      <w:b/>
      <w:bCs/>
      <w:kern w:val="2"/>
      <w:sz w:val="24"/>
      <w:szCs w:val="24"/>
    </w:rPr>
  </w:style>
  <w:style w:type="character" w:customStyle="1" w:styleId="91">
    <w:name w:val="样式25 Char Char"/>
    <w:link w:val="92"/>
    <w:qFormat/>
    <w:uiPriority w:val="0"/>
    <w:rPr>
      <w:rFonts w:eastAsia="宋体"/>
      <w:b/>
      <w:kern w:val="2"/>
      <w:sz w:val="24"/>
      <w:szCs w:val="24"/>
      <w:lang w:bidi="ar-SA"/>
    </w:rPr>
  </w:style>
  <w:style w:type="paragraph" w:customStyle="1" w:styleId="92">
    <w:name w:val="样式25"/>
    <w:basedOn w:val="1"/>
    <w:link w:val="91"/>
    <w:qFormat/>
    <w:uiPriority w:val="0"/>
    <w:pPr>
      <w:adjustRightInd w:val="0"/>
      <w:snapToGrid w:val="0"/>
      <w:jc w:val="left"/>
      <w:outlineLvl w:val="3"/>
    </w:pPr>
    <w:rPr>
      <w:b/>
    </w:rPr>
  </w:style>
  <w:style w:type="character" w:customStyle="1" w:styleId="93">
    <w:name w:val="样式4 Char"/>
    <w:qFormat/>
    <w:uiPriority w:val="0"/>
    <w:rPr>
      <w:rFonts w:ascii="宋体" w:hAnsi="宋体" w:cs="仿宋_GB2312"/>
      <w:sz w:val="24"/>
      <w:szCs w:val="28"/>
      <w:lang w:eastAsia="en-US" w:bidi="en-US"/>
    </w:rPr>
  </w:style>
  <w:style w:type="character" w:customStyle="1" w:styleId="94">
    <w:name w:val="标题3 Char"/>
    <w:link w:val="95"/>
    <w:qFormat/>
    <w:uiPriority w:val="0"/>
    <w:rPr>
      <w:rFonts w:eastAsia="宋体"/>
      <w:kern w:val="2"/>
      <w:sz w:val="28"/>
      <w:szCs w:val="24"/>
      <w:lang w:val="en-US" w:eastAsia="zh-CN" w:bidi="ar-SA"/>
    </w:rPr>
  </w:style>
  <w:style w:type="paragraph" w:customStyle="1" w:styleId="95">
    <w:name w:val="标题3"/>
    <w:basedOn w:val="1"/>
    <w:link w:val="94"/>
    <w:qFormat/>
    <w:uiPriority w:val="0"/>
    <w:pPr>
      <w:spacing w:line="500" w:lineRule="exact"/>
      <w:ind w:firstLine="570" w:firstLineChars="0"/>
    </w:pPr>
    <w:rPr>
      <w:sz w:val="28"/>
    </w:rPr>
  </w:style>
  <w:style w:type="character" w:customStyle="1" w:styleId="96">
    <w:name w:val="正文1 Char1"/>
    <w:link w:val="97"/>
    <w:qFormat/>
    <w:uiPriority w:val="0"/>
    <w:rPr>
      <w:rFonts w:ascii="宋体" w:hAnsi="Arial" w:eastAsia="宋体"/>
      <w:w w:val="98"/>
      <w:kern w:val="2"/>
      <w:sz w:val="21"/>
      <w:szCs w:val="21"/>
      <w:lang w:val="en-US" w:eastAsia="zh-CN" w:bidi="ar-SA"/>
    </w:rPr>
  </w:style>
  <w:style w:type="paragraph" w:customStyle="1" w:styleId="97">
    <w:name w:val="正文1"/>
    <w:basedOn w:val="1"/>
    <w:link w:val="96"/>
    <w:qFormat/>
    <w:uiPriority w:val="0"/>
    <w:pPr>
      <w:adjustRightInd w:val="0"/>
      <w:snapToGrid w:val="0"/>
      <w:spacing w:line="240" w:lineRule="auto"/>
      <w:ind w:firstLine="0" w:firstLineChars="0"/>
      <w:jc w:val="center"/>
    </w:pPr>
    <w:rPr>
      <w:rFonts w:ascii="宋体" w:hAnsi="Arial"/>
      <w:w w:val="98"/>
      <w:sz w:val="21"/>
      <w:szCs w:val="21"/>
    </w:rPr>
  </w:style>
  <w:style w:type="character" w:customStyle="1" w:styleId="98">
    <w:name w:val="表标题 Char Char"/>
    <w:link w:val="99"/>
    <w:qFormat/>
    <w:uiPriority w:val="0"/>
    <w:rPr>
      <w:rFonts w:ascii="宋体" w:eastAsia="宋体"/>
      <w:b/>
      <w:kern w:val="2"/>
      <w:sz w:val="24"/>
      <w:lang w:val="en-US" w:eastAsia="zh-CN" w:bidi="ar-SA"/>
    </w:rPr>
  </w:style>
  <w:style w:type="paragraph" w:customStyle="1" w:styleId="99">
    <w:name w:val="表标题"/>
    <w:basedOn w:val="1"/>
    <w:link w:val="98"/>
    <w:qFormat/>
    <w:uiPriority w:val="0"/>
    <w:pPr>
      <w:spacing w:line="240" w:lineRule="auto"/>
      <w:ind w:firstLine="0" w:firstLineChars="0"/>
      <w:jc w:val="center"/>
    </w:pPr>
    <w:rPr>
      <w:rFonts w:ascii="宋体"/>
      <w:b/>
    </w:rPr>
  </w:style>
  <w:style w:type="character" w:customStyle="1" w:styleId="100">
    <w:name w:val="段落1 Char1"/>
    <w:link w:val="101"/>
    <w:qFormat/>
    <w:uiPriority w:val="0"/>
    <w:rPr>
      <w:rFonts w:eastAsia="宋体"/>
      <w:spacing w:val="6"/>
      <w:sz w:val="28"/>
      <w:lang w:val="en-US" w:eastAsia="zh-CN" w:bidi="ar-SA"/>
    </w:rPr>
  </w:style>
  <w:style w:type="paragraph" w:customStyle="1" w:styleId="101">
    <w:name w:val="段落1"/>
    <w:basedOn w:val="1"/>
    <w:link w:val="100"/>
    <w:qFormat/>
    <w:uiPriority w:val="0"/>
    <w:pPr>
      <w:adjustRightInd w:val="0"/>
      <w:spacing w:line="440" w:lineRule="exact"/>
      <w:ind w:firstLine="600"/>
      <w:textAlignment w:val="baseline"/>
    </w:pPr>
    <w:rPr>
      <w:spacing w:val="6"/>
      <w:sz w:val="28"/>
    </w:rPr>
  </w:style>
  <w:style w:type="character" w:customStyle="1" w:styleId="102">
    <w:name w:val="font31"/>
    <w:qFormat/>
    <w:uiPriority w:val="0"/>
    <w:rPr>
      <w:rFonts w:hint="default" w:ascii="Times New Roman" w:hAnsi="Times New Roman" w:cs="Times New Roman"/>
      <w:color w:val="000000"/>
      <w:sz w:val="21"/>
      <w:szCs w:val="21"/>
      <w:u w:val="none"/>
      <w:vertAlign w:val="superscript"/>
    </w:rPr>
  </w:style>
  <w:style w:type="character" w:customStyle="1" w:styleId="103">
    <w:name w:val="表格2 Char Char"/>
    <w:link w:val="104"/>
    <w:qFormat/>
    <w:uiPriority w:val="0"/>
    <w:rPr>
      <w:rFonts w:eastAsia="宋体"/>
      <w:kern w:val="2"/>
      <w:sz w:val="21"/>
      <w:szCs w:val="24"/>
      <w:lang w:val="en-US" w:eastAsia="zh-CN" w:bidi="ar-SA"/>
    </w:rPr>
  </w:style>
  <w:style w:type="paragraph" w:customStyle="1" w:styleId="104">
    <w:name w:val="表格2"/>
    <w:basedOn w:val="1"/>
    <w:next w:val="1"/>
    <w:link w:val="103"/>
    <w:qFormat/>
    <w:uiPriority w:val="0"/>
    <w:pPr>
      <w:widowControl/>
      <w:spacing w:line="320" w:lineRule="exact"/>
      <w:ind w:firstLine="0" w:firstLineChars="0"/>
      <w:jc w:val="center"/>
    </w:pPr>
    <w:rPr>
      <w:sz w:val="21"/>
    </w:rPr>
  </w:style>
  <w:style w:type="character" w:customStyle="1" w:styleId="105">
    <w:name w:val="报告正文 Char1"/>
    <w:qFormat/>
    <w:uiPriority w:val="0"/>
    <w:rPr>
      <w:rFonts w:eastAsia="宋体"/>
      <w:snapToGrid/>
      <w:sz w:val="24"/>
      <w:lang w:val="en-US" w:eastAsia="zh-CN" w:bidi="ar-SA"/>
    </w:rPr>
  </w:style>
  <w:style w:type="character" w:customStyle="1" w:styleId="106">
    <w:name w:val="font21"/>
    <w:qFormat/>
    <w:uiPriority w:val="0"/>
    <w:rPr>
      <w:rFonts w:hint="default" w:ascii="Times New Roman" w:hAnsi="Times New Roman" w:cs="Times New Roman"/>
      <w:color w:val="000000"/>
      <w:sz w:val="21"/>
      <w:szCs w:val="21"/>
      <w:u w:val="none"/>
    </w:rPr>
  </w:style>
  <w:style w:type="character" w:customStyle="1" w:styleId="107">
    <w:name w:val="表格 Char Char"/>
    <w:link w:val="108"/>
    <w:qFormat/>
    <w:uiPriority w:val="0"/>
    <w:rPr>
      <w:rFonts w:eastAsia="宋体"/>
      <w:sz w:val="21"/>
      <w:szCs w:val="24"/>
      <w:lang w:val="zh-CN" w:eastAsia="zh-CN" w:bidi="ar-SA"/>
    </w:rPr>
  </w:style>
  <w:style w:type="paragraph" w:customStyle="1" w:styleId="108">
    <w:name w:val="表格"/>
    <w:basedOn w:val="109"/>
    <w:link w:val="107"/>
    <w:qFormat/>
    <w:uiPriority w:val="0"/>
    <w:pPr>
      <w:spacing w:before="60" w:after="46" w:afterLines="15" w:line="240" w:lineRule="auto"/>
      <w:ind w:firstLine="0"/>
      <w:jc w:val="left"/>
    </w:pPr>
    <w:rPr>
      <w:sz w:val="21"/>
      <w:szCs w:val="24"/>
      <w:lang w:val="zh-CN"/>
    </w:rPr>
  </w:style>
  <w:style w:type="paragraph" w:customStyle="1" w:styleId="109">
    <w:name w:val="表头"/>
    <w:basedOn w:val="28"/>
    <w:next w:val="1"/>
    <w:qFormat/>
    <w:uiPriority w:val="0"/>
    <w:pPr>
      <w:tabs>
        <w:tab w:val="clear" w:pos="2182"/>
        <w:tab w:val="clear" w:pos="3393"/>
        <w:tab w:val="clear" w:pos="5124"/>
      </w:tabs>
      <w:autoSpaceDE/>
      <w:autoSpaceDN/>
      <w:adjustRightInd/>
      <w:spacing w:line="360" w:lineRule="auto"/>
      <w:ind w:firstLine="560"/>
      <w:jc w:val="both"/>
    </w:pPr>
    <w:rPr>
      <w:rFonts w:ascii="宋体"/>
      <w:bCs w:val="0"/>
      <w:kern w:val="18"/>
      <w:sz w:val="28"/>
      <w:szCs w:val="28"/>
    </w:rPr>
  </w:style>
  <w:style w:type="character" w:customStyle="1" w:styleId="110">
    <w:name w:val="表标题 Char"/>
    <w:qFormat/>
    <w:uiPriority w:val="0"/>
    <w:rPr>
      <w:b/>
      <w:sz w:val="24"/>
      <w:lang w:val="zh-CN"/>
    </w:rPr>
  </w:style>
  <w:style w:type="character" w:customStyle="1" w:styleId="111">
    <w:name w:val="表头1 Char"/>
    <w:link w:val="112"/>
    <w:qFormat/>
    <w:uiPriority w:val="0"/>
    <w:rPr>
      <w:rFonts w:eastAsia="黑体"/>
      <w:sz w:val="21"/>
      <w:szCs w:val="28"/>
      <w:lang w:val="en-US" w:eastAsia="zh-CN" w:bidi="ar-SA"/>
    </w:rPr>
  </w:style>
  <w:style w:type="paragraph" w:customStyle="1" w:styleId="112">
    <w:name w:val="表头1"/>
    <w:basedOn w:val="1"/>
    <w:next w:val="1"/>
    <w:link w:val="111"/>
    <w:qFormat/>
    <w:uiPriority w:val="0"/>
    <w:pPr>
      <w:tabs>
        <w:tab w:val="left" w:pos="605"/>
      </w:tabs>
      <w:adjustRightInd w:val="0"/>
      <w:snapToGrid w:val="0"/>
      <w:spacing w:line="240" w:lineRule="auto"/>
      <w:ind w:firstLine="0" w:firstLineChars="0"/>
      <w:jc w:val="center"/>
    </w:pPr>
    <w:rPr>
      <w:rFonts w:eastAsia="黑体"/>
      <w:kern w:val="0"/>
      <w:sz w:val="21"/>
      <w:szCs w:val="28"/>
    </w:rPr>
  </w:style>
  <w:style w:type="character" w:customStyle="1" w:styleId="113">
    <w:name w:val="td011"/>
    <w:qFormat/>
    <w:uiPriority w:val="0"/>
    <w:rPr>
      <w:rFonts w:hint="eastAsia" w:ascii="宋体" w:hAnsi="宋体" w:eastAsia="宋体"/>
      <w:color w:val="000000"/>
      <w:sz w:val="18"/>
      <w:szCs w:val="18"/>
      <w:u w:val="none"/>
    </w:rPr>
  </w:style>
  <w:style w:type="character" w:customStyle="1" w:styleId="114">
    <w:name w:val="样式25 Char"/>
    <w:qFormat/>
    <w:uiPriority w:val="0"/>
    <w:rPr>
      <w:rFonts w:eastAsia="宋体"/>
      <w:b/>
      <w:kern w:val="2"/>
      <w:sz w:val="24"/>
      <w:szCs w:val="24"/>
      <w:lang w:val="en-US" w:eastAsia="zh-CN" w:bidi="ar-SA"/>
    </w:rPr>
  </w:style>
  <w:style w:type="character" w:customStyle="1" w:styleId="115">
    <w:name w:val="方案正文样式 Char"/>
    <w:link w:val="116"/>
    <w:qFormat/>
    <w:uiPriority w:val="0"/>
    <w:rPr>
      <w:rFonts w:eastAsia="宋体"/>
      <w:snapToGrid w:val="0"/>
      <w:sz w:val="24"/>
      <w:szCs w:val="24"/>
      <w:lang w:val="en-US" w:eastAsia="zh-CN" w:bidi="ar-SA"/>
    </w:rPr>
  </w:style>
  <w:style w:type="paragraph" w:customStyle="1" w:styleId="116">
    <w:name w:val="方案正文样式"/>
    <w:basedOn w:val="1"/>
    <w:link w:val="115"/>
    <w:qFormat/>
    <w:uiPriority w:val="0"/>
    <w:pPr>
      <w:adjustRightInd w:val="0"/>
      <w:snapToGrid w:val="0"/>
      <w:ind w:firstLine="454" w:firstLineChars="0"/>
      <w:textAlignment w:val="baseline"/>
    </w:pPr>
    <w:rPr>
      <w:snapToGrid w:val="0"/>
      <w:kern w:val="0"/>
    </w:rPr>
  </w:style>
  <w:style w:type="character" w:customStyle="1" w:styleId="117">
    <w:name w:val="标题 3 Char Char"/>
    <w:qFormat/>
    <w:uiPriority w:val="0"/>
    <w:rPr>
      <w:bCs/>
      <w:szCs w:val="32"/>
    </w:rPr>
  </w:style>
  <w:style w:type="character" w:customStyle="1" w:styleId="118">
    <w:name w:val="文本 Char"/>
    <w:qFormat/>
    <w:uiPriority w:val="0"/>
    <w:rPr>
      <w:rFonts w:eastAsia="宋体"/>
      <w:bCs/>
      <w:color w:val="000000"/>
      <w:kern w:val="2"/>
      <w:sz w:val="24"/>
      <w:szCs w:val="24"/>
      <w:lang w:val="en-US" w:eastAsia="zh-CN" w:bidi="ar-SA"/>
    </w:rPr>
  </w:style>
  <w:style w:type="character" w:customStyle="1" w:styleId="119">
    <w:name w:val="A正文缩进 Char"/>
    <w:qFormat/>
    <w:uiPriority w:val="0"/>
    <w:rPr>
      <w:rFonts w:eastAsia="Courier New"/>
      <w:kern w:val="2"/>
      <w:sz w:val="21"/>
      <w:lang w:val="en-US" w:eastAsia="zh-CN" w:bidi="ar-SA"/>
    </w:rPr>
  </w:style>
  <w:style w:type="character" w:customStyle="1" w:styleId="120">
    <w:name w:val="普通文字 Char"/>
    <w:qFormat/>
    <w:uiPriority w:val="0"/>
    <w:rPr>
      <w:rFonts w:ascii="宋体" w:hAnsi="Courier New" w:eastAsia="宋体" w:cs="Courier New"/>
      <w:kern w:val="2"/>
      <w:sz w:val="21"/>
      <w:szCs w:val="21"/>
      <w:lang w:val="en-US" w:eastAsia="zh-CN" w:bidi="ar-SA"/>
    </w:rPr>
  </w:style>
  <w:style w:type="character" w:customStyle="1" w:styleId="121">
    <w:name w:val="1正文段落 Char"/>
    <w:link w:val="122"/>
    <w:qFormat/>
    <w:uiPriority w:val="0"/>
    <w:rPr>
      <w:rFonts w:eastAsia="宋体"/>
      <w:snapToGrid w:val="0"/>
      <w:sz w:val="24"/>
      <w:szCs w:val="24"/>
      <w:lang w:val="en-US" w:eastAsia="zh-CN" w:bidi="ar-SA"/>
    </w:rPr>
  </w:style>
  <w:style w:type="paragraph" w:customStyle="1" w:styleId="122">
    <w:name w:val="1正文段落"/>
    <w:basedOn w:val="1"/>
    <w:link w:val="121"/>
    <w:qFormat/>
    <w:uiPriority w:val="0"/>
    <w:pPr>
      <w:ind w:firstLine="480"/>
      <w:jc w:val="left"/>
    </w:pPr>
    <w:rPr>
      <w:snapToGrid w:val="0"/>
      <w:kern w:val="0"/>
    </w:rPr>
  </w:style>
  <w:style w:type="character" w:customStyle="1" w:styleId="123">
    <w:name w:val="正文(首行缩进) Char1"/>
    <w:link w:val="124"/>
    <w:qFormat/>
    <w:uiPriority w:val="0"/>
    <w:rPr>
      <w:rFonts w:eastAsia="宋体"/>
      <w:snapToGrid w:val="0"/>
      <w:color w:val="000000"/>
      <w:sz w:val="24"/>
      <w:szCs w:val="24"/>
      <w:lang w:val="en-US" w:eastAsia="zh-CN" w:bidi="ar-SA"/>
    </w:rPr>
  </w:style>
  <w:style w:type="paragraph" w:customStyle="1" w:styleId="124">
    <w:name w:val="正文(首行缩进)"/>
    <w:basedOn w:val="1"/>
    <w:link w:val="123"/>
    <w:qFormat/>
    <w:uiPriority w:val="0"/>
    <w:pPr>
      <w:ind w:firstLine="540" w:firstLineChars="225"/>
    </w:pPr>
    <w:rPr>
      <w:snapToGrid w:val="0"/>
      <w:color w:val="000000"/>
      <w:kern w:val="0"/>
    </w:rPr>
  </w:style>
  <w:style w:type="character" w:customStyle="1" w:styleId="125">
    <w:name w:val="ca-02"/>
    <w:qFormat/>
    <w:uiPriority w:val="0"/>
  </w:style>
  <w:style w:type="character" w:customStyle="1" w:styleId="126">
    <w:name w:val="报告正文 Char Char"/>
    <w:link w:val="127"/>
    <w:qFormat/>
    <w:uiPriority w:val="0"/>
    <w:rPr>
      <w:rFonts w:hAnsi="宋体" w:eastAsia="宋体"/>
      <w:kern w:val="2"/>
      <w:sz w:val="24"/>
      <w:szCs w:val="24"/>
      <w:lang w:val="en-US" w:eastAsia="zh-CN" w:bidi="ar-SA"/>
    </w:rPr>
  </w:style>
  <w:style w:type="paragraph" w:customStyle="1" w:styleId="127">
    <w:name w:val="报告正文"/>
    <w:basedOn w:val="1"/>
    <w:link w:val="126"/>
    <w:qFormat/>
    <w:uiPriority w:val="0"/>
    <w:pPr>
      <w:ind w:firstLine="600" w:firstLineChars="250"/>
    </w:pPr>
    <w:rPr>
      <w:rFonts w:hAnsi="宋体"/>
    </w:rPr>
  </w:style>
  <w:style w:type="character" w:customStyle="1" w:styleId="128">
    <w:name w:val="样式4 Char Char"/>
    <w:link w:val="129"/>
    <w:qFormat/>
    <w:uiPriority w:val="0"/>
    <w:rPr>
      <w:rFonts w:eastAsia="宋体"/>
      <w:kern w:val="2"/>
      <w:sz w:val="21"/>
      <w:szCs w:val="21"/>
      <w:lang w:val="en-US" w:eastAsia="zh-CN" w:bidi="ar-SA"/>
    </w:rPr>
  </w:style>
  <w:style w:type="paragraph" w:customStyle="1" w:styleId="129">
    <w:name w:val="样式4"/>
    <w:basedOn w:val="1"/>
    <w:link w:val="128"/>
    <w:qFormat/>
    <w:uiPriority w:val="0"/>
    <w:pPr>
      <w:spacing w:line="360" w:lineRule="exact"/>
      <w:ind w:firstLine="0" w:firstLineChars="0"/>
      <w:jc w:val="center"/>
    </w:pPr>
    <w:rPr>
      <w:sz w:val="21"/>
      <w:szCs w:val="21"/>
    </w:rPr>
  </w:style>
  <w:style w:type="character" w:customStyle="1" w:styleId="130">
    <w:name w:val="Char Char3"/>
    <w:qFormat/>
    <w:uiPriority w:val="0"/>
    <w:rPr>
      <w:rFonts w:eastAsia="楷体_GB2312"/>
      <w:b/>
      <w:bCs/>
      <w:kern w:val="2"/>
      <w:sz w:val="28"/>
      <w:szCs w:val="28"/>
      <w:lang w:val="en-US" w:eastAsia="zh-CN" w:bidi="ar-SA"/>
    </w:rPr>
  </w:style>
  <w:style w:type="paragraph" w:customStyle="1" w:styleId="131">
    <w:name w:val="样式 首行缩进:  2 字符"/>
    <w:basedOn w:val="1"/>
    <w:qFormat/>
    <w:uiPriority w:val="0"/>
    <w:pPr>
      <w:ind w:firstLine="504"/>
    </w:pPr>
    <w:rPr>
      <w:rFonts w:cs="宋体"/>
    </w:rPr>
  </w:style>
  <w:style w:type="paragraph" w:customStyle="1" w:styleId="132">
    <w:name w:val="reader-word-layer reader-word-s1-1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33">
    <w:name w:val="Char Char Char Char Char Char Char Char Char Char Char Char Char Char Char Char Char Char Char"/>
    <w:basedOn w:val="1"/>
    <w:qFormat/>
    <w:uiPriority w:val="0"/>
    <w:pPr>
      <w:spacing w:line="240" w:lineRule="auto"/>
      <w:ind w:firstLine="0" w:firstLineChars="0"/>
    </w:pPr>
    <w:rPr>
      <w:sz w:val="21"/>
      <w:szCs w:val="21"/>
    </w:rPr>
  </w:style>
  <w:style w:type="paragraph" w:customStyle="1" w:styleId="134">
    <w:name w:val="Char Char Char Char Char Char1 Char"/>
    <w:basedOn w:val="1"/>
    <w:next w:val="3"/>
    <w:qFormat/>
    <w:uiPriority w:val="0"/>
    <w:pPr>
      <w:spacing w:line="240" w:lineRule="auto"/>
      <w:ind w:firstLine="0" w:firstLineChars="0"/>
    </w:pPr>
    <w:rPr>
      <w:sz w:val="28"/>
      <w:szCs w:val="28"/>
    </w:rPr>
  </w:style>
  <w:style w:type="paragraph" w:customStyle="1" w:styleId="135">
    <w:name w:val="wj样式 + 首行缩进:  2 字符"/>
    <w:basedOn w:val="1"/>
    <w:next w:val="1"/>
    <w:qFormat/>
    <w:uiPriority w:val="0"/>
    <w:pPr>
      <w:ind w:firstLine="536"/>
    </w:pPr>
    <w:rPr>
      <w:spacing w:val="14"/>
      <w:szCs w:val="20"/>
    </w:rPr>
  </w:style>
  <w:style w:type="paragraph" w:customStyle="1" w:styleId="136">
    <w:name w:val="正文（首行缩进两字）"/>
    <w:basedOn w:val="1"/>
    <w:qFormat/>
    <w:uiPriority w:val="0"/>
    <w:pPr>
      <w:spacing w:line="240" w:lineRule="auto"/>
      <w:ind w:firstLine="0" w:firstLineChars="0"/>
    </w:pPr>
    <w:rPr>
      <w:rFonts w:ascii="仿宋体-10Point" w:hAnsi="Roman PS" w:eastAsia="仿宋体-10Point"/>
      <w:sz w:val="28"/>
      <w:szCs w:val="20"/>
    </w:rPr>
  </w:style>
  <w:style w:type="paragraph" w:customStyle="1" w:styleId="137">
    <w:name w:val="xl54"/>
    <w:basedOn w:val="1"/>
    <w:next w:val="138"/>
    <w:qFormat/>
    <w:uiPriority w:val="0"/>
    <w:pPr>
      <w:widowControl/>
      <w:spacing w:before="280" w:after="280" w:line="240" w:lineRule="auto"/>
      <w:ind w:firstLine="0"/>
      <w:jc w:val="center"/>
    </w:pPr>
    <w:rPr>
      <w:rFonts w:ascii="Arial Unicode MS" w:eastAsia="Arial Unicode MS"/>
      <w:color w:val="000000"/>
      <w:sz w:val="20"/>
    </w:rPr>
  </w:style>
  <w:style w:type="paragraph" w:customStyle="1" w:styleId="138">
    <w:name w:val="font1"/>
    <w:basedOn w:val="1"/>
    <w:next w:val="139"/>
    <w:qFormat/>
    <w:uiPriority w:val="0"/>
    <w:pPr>
      <w:widowControl/>
      <w:spacing w:before="280" w:after="280" w:line="240" w:lineRule="auto"/>
      <w:ind w:firstLine="0"/>
    </w:pPr>
    <w:rPr>
      <w:rFonts w:ascii="宋体"/>
    </w:rPr>
  </w:style>
  <w:style w:type="paragraph" w:customStyle="1" w:styleId="139">
    <w:name w:val="xl75"/>
    <w:basedOn w:val="1"/>
    <w:next w:val="140"/>
    <w:qFormat/>
    <w:uiPriority w:val="0"/>
    <w:pPr>
      <w:widowControl/>
      <w:spacing w:before="280" w:after="280" w:line="240" w:lineRule="auto"/>
      <w:ind w:firstLine="0"/>
    </w:pPr>
    <w:rPr>
      <w:rFonts w:ascii="Arial Unicode MS" w:eastAsia="Arial Unicode MS"/>
      <w:sz w:val="20"/>
    </w:rPr>
  </w:style>
  <w:style w:type="paragraph" w:customStyle="1" w:styleId="140">
    <w:name w:val="cucd-0"/>
    <w:next w:val="141"/>
    <w:qFormat/>
    <w:uiPriority w:val="0"/>
    <w:pPr>
      <w:spacing w:line="360" w:lineRule="auto"/>
      <w:ind w:firstLine="480"/>
    </w:pPr>
    <w:rPr>
      <w:rFonts w:ascii="Calibri" w:hAnsi="Calibri" w:eastAsia="宋体" w:cs="Times New Roman"/>
      <w:sz w:val="24"/>
      <w:lang w:val="en-US" w:eastAsia="zh-CN" w:bidi="ar-SA"/>
    </w:rPr>
  </w:style>
  <w:style w:type="paragraph" w:customStyle="1" w:styleId="141">
    <w:name w:val="表字1"/>
    <w:basedOn w:val="1"/>
    <w:next w:val="142"/>
    <w:qFormat/>
    <w:uiPriority w:val="0"/>
    <w:pPr>
      <w:ind w:firstLine="0"/>
      <w:jc w:val="center"/>
    </w:pPr>
    <w:rPr>
      <w:rFonts w:ascii="宋体" w:eastAsia="仿宋_GB2312"/>
      <w:color w:val="000000"/>
      <w:sz w:val="28"/>
    </w:rPr>
  </w:style>
  <w:style w:type="paragraph" w:customStyle="1" w:styleId="142">
    <w:name w:val="正文缩进3"/>
    <w:basedOn w:val="1"/>
    <w:next w:val="143"/>
    <w:qFormat/>
    <w:uiPriority w:val="0"/>
    <w:pPr>
      <w:spacing w:line="440" w:lineRule="exact"/>
      <w:ind w:firstLine="420"/>
    </w:pPr>
    <w:rPr>
      <w:rFonts w:ascii="宋体"/>
    </w:rPr>
  </w:style>
  <w:style w:type="paragraph" w:customStyle="1" w:styleId="143">
    <w:name w:val="xl33"/>
    <w:basedOn w:val="1"/>
    <w:next w:val="144"/>
    <w:qFormat/>
    <w:uiPriority w:val="0"/>
    <w:pPr>
      <w:widowControl/>
      <w:spacing w:before="280" w:after="280" w:line="240" w:lineRule="auto"/>
      <w:ind w:firstLine="0"/>
      <w:jc w:val="center"/>
    </w:pPr>
    <w:rPr>
      <w:rFonts w:eastAsia="Arial Unicode MS"/>
    </w:rPr>
  </w:style>
  <w:style w:type="paragraph" w:customStyle="1" w:styleId="144">
    <w:name w:val="xl57"/>
    <w:basedOn w:val="1"/>
    <w:next w:val="145"/>
    <w:qFormat/>
    <w:uiPriority w:val="0"/>
    <w:pPr>
      <w:widowControl/>
      <w:spacing w:before="280" w:after="280" w:line="240" w:lineRule="auto"/>
      <w:ind w:firstLine="0"/>
      <w:jc w:val="center"/>
    </w:pPr>
    <w:rPr>
      <w:rFonts w:ascii="Arial Unicode MS" w:eastAsia="Arial Unicode MS"/>
      <w:color w:val="000000"/>
      <w:sz w:val="20"/>
    </w:rPr>
  </w:style>
  <w:style w:type="paragraph" w:customStyle="1" w:styleId="145">
    <w:name w:val="图表标题"/>
    <w:basedOn w:val="1"/>
    <w:next w:val="146"/>
    <w:qFormat/>
    <w:uiPriority w:val="0"/>
    <w:pPr>
      <w:ind w:firstLine="0"/>
      <w:jc w:val="center"/>
    </w:pPr>
  </w:style>
  <w:style w:type="paragraph" w:customStyle="1" w:styleId="146">
    <w:name w:val="样式 样式 样式 正文1 + 首行缩进:  2 字符 + (符号) 宋体 首行缩进:  2 字符 + 首行缩进:  2 字符"/>
    <w:basedOn w:val="1"/>
    <w:next w:val="147"/>
    <w:qFormat/>
    <w:uiPriority w:val="0"/>
    <w:pPr>
      <w:ind w:firstLine="480"/>
    </w:pPr>
    <w:rPr>
      <w:rFonts w:ascii="宋体"/>
    </w:rPr>
  </w:style>
  <w:style w:type="paragraph" w:customStyle="1" w:styleId="147">
    <w:name w:val="Char Char Char Char Char Char1"/>
    <w:basedOn w:val="1"/>
    <w:next w:val="148"/>
    <w:qFormat/>
    <w:uiPriority w:val="0"/>
    <w:rPr>
      <w:sz w:val="28"/>
    </w:rPr>
  </w:style>
  <w:style w:type="paragraph" w:customStyle="1" w:styleId="148">
    <w:name w:val="目录 21"/>
    <w:basedOn w:val="1"/>
    <w:next w:val="1"/>
    <w:qFormat/>
    <w:uiPriority w:val="0"/>
    <w:pPr>
      <w:spacing w:line="240" w:lineRule="auto"/>
      <w:ind w:left="210" w:firstLine="0"/>
    </w:pPr>
    <w:rPr>
      <w:smallCaps/>
      <w:sz w:val="20"/>
    </w:rPr>
  </w:style>
  <w:style w:type="paragraph" w:customStyle="1" w:styleId="149">
    <w:name w:val="Char"/>
    <w:basedOn w:val="1"/>
    <w:qFormat/>
    <w:uiPriority w:val="0"/>
    <w:pPr>
      <w:spacing w:line="240" w:lineRule="auto"/>
      <w:ind w:firstLine="0" w:firstLineChars="0"/>
    </w:pPr>
    <w:rPr>
      <w:sz w:val="21"/>
    </w:rPr>
  </w:style>
  <w:style w:type="paragraph" w:customStyle="1" w:styleId="150">
    <w:name w:val="CM75"/>
    <w:basedOn w:val="151"/>
    <w:next w:val="151"/>
    <w:unhideWhenUsed/>
    <w:qFormat/>
    <w:uiPriority w:val="99"/>
    <w:pPr>
      <w:spacing w:after="75"/>
    </w:pPr>
  </w:style>
  <w:style w:type="paragraph" w:customStyle="1" w:styleId="151">
    <w:name w:val="Default"/>
    <w:qFormat/>
    <w:uiPriority w:val="0"/>
    <w:pPr>
      <w:widowControl w:val="0"/>
      <w:autoSpaceDE w:val="0"/>
      <w:autoSpaceDN w:val="0"/>
      <w:adjustRightInd w:val="0"/>
    </w:pPr>
    <w:rPr>
      <w:rFonts w:ascii="黑体" w:hAnsi="Times New Roman" w:eastAsia="黑体" w:cs="Times New Roman"/>
      <w:color w:val="000000"/>
      <w:sz w:val="24"/>
      <w:lang w:val="en-US" w:eastAsia="zh-CN" w:bidi="ar-SA"/>
    </w:rPr>
  </w:style>
  <w:style w:type="paragraph" w:styleId="152">
    <w:name w:val="List Paragraph"/>
    <w:basedOn w:val="1"/>
    <w:qFormat/>
    <w:uiPriority w:val="1"/>
    <w:pPr>
      <w:ind w:left="926" w:hanging="584"/>
    </w:pPr>
    <w:rPr>
      <w:rFonts w:ascii="宋体" w:hAnsi="宋体" w:cs="宋体"/>
      <w:lang w:val="zh-CN" w:bidi="zh-CN"/>
    </w:rPr>
  </w:style>
  <w:style w:type="paragraph" w:customStyle="1" w:styleId="153">
    <w:name w:val="cc 表头"/>
    <w:basedOn w:val="135"/>
    <w:qFormat/>
    <w:uiPriority w:val="0"/>
    <w:pPr>
      <w:ind w:firstLine="0" w:firstLineChars="0"/>
      <w:jc w:val="center"/>
    </w:pPr>
    <w:rPr>
      <w:rFonts w:eastAsia="仿宋_GB2312"/>
      <w:b/>
      <w:szCs w:val="24"/>
    </w:rPr>
  </w:style>
  <w:style w:type="paragraph" w:customStyle="1" w:styleId="154">
    <w:name w:val="L图表"/>
    <w:next w:val="155"/>
    <w:qFormat/>
    <w:uiPriority w:val="0"/>
    <w:pPr>
      <w:spacing w:line="300" w:lineRule="auto"/>
      <w:jc w:val="center"/>
    </w:pPr>
    <w:rPr>
      <w:rFonts w:ascii="Times New Roman" w:hAnsi="Times New Roman" w:eastAsia="宋体" w:cs="Arial"/>
      <w:color w:val="000000"/>
      <w:sz w:val="21"/>
      <w:lang w:val="en-US" w:eastAsia="zh-CN" w:bidi="ar-SA"/>
    </w:rPr>
  </w:style>
  <w:style w:type="paragraph" w:customStyle="1" w:styleId="155">
    <w:name w:val="L正文"/>
    <w:qFormat/>
    <w:uiPriority w:val="0"/>
    <w:pPr>
      <w:adjustRightInd w:val="0"/>
      <w:spacing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paragraph" w:customStyle="1" w:styleId="156">
    <w:name w:val="文件"/>
    <w:basedOn w:val="1"/>
    <w:qFormat/>
    <w:uiPriority w:val="0"/>
    <w:pPr>
      <w:tabs>
        <w:tab w:val="left" w:pos="1440"/>
        <w:tab w:val="left" w:pos="1680"/>
      </w:tabs>
      <w:adjustRightInd w:val="0"/>
      <w:snapToGrid w:val="0"/>
      <w:spacing w:before="120" w:after="120"/>
      <w:ind w:firstLine="0" w:firstLineChars="0"/>
    </w:pPr>
    <w:rPr>
      <w:rFonts w:ascii="黑体" w:eastAsia="黑体"/>
      <w:w w:val="110"/>
      <w:kern w:val="0"/>
      <w:szCs w:val="20"/>
    </w:rPr>
  </w:style>
  <w:style w:type="paragraph" w:customStyle="1" w:styleId="157">
    <w:name w:val="正文文本缩进 31"/>
    <w:basedOn w:val="1"/>
    <w:qFormat/>
    <w:uiPriority w:val="0"/>
    <w:pPr>
      <w:adjustRightInd w:val="0"/>
      <w:spacing w:line="480" w:lineRule="exact"/>
      <w:ind w:firstLine="570" w:firstLineChars="0"/>
      <w:textAlignment w:val="baseline"/>
    </w:pPr>
    <w:rPr>
      <w:rFonts w:hAnsi="宋体"/>
      <w:bCs/>
    </w:rPr>
  </w:style>
  <w:style w:type="paragraph" w:customStyle="1" w:styleId="158">
    <w:name w:val="说明书正文"/>
    <w:basedOn w:val="1"/>
    <w:qFormat/>
    <w:uiPriority w:val="0"/>
    <w:pPr>
      <w:spacing w:line="560" w:lineRule="exact"/>
    </w:pPr>
    <w:rPr>
      <w:rFonts w:ascii="Arial Unicode MS" w:hAnsi="Arial Unicode MS" w:eastAsia="幼圆" w:cs="宋体"/>
      <w:szCs w:val="28"/>
    </w:rPr>
  </w:style>
  <w:style w:type="paragraph" w:customStyle="1" w:styleId="159">
    <w:name w:val="CM4"/>
    <w:basedOn w:val="151"/>
    <w:next w:val="151"/>
    <w:unhideWhenUsed/>
    <w:qFormat/>
    <w:uiPriority w:val="99"/>
    <w:pPr>
      <w:spacing w:line="360" w:lineRule="auto"/>
    </w:pPr>
    <w:rPr>
      <w:rFonts w:ascii="宋体" w:hAnsi="宋体" w:eastAsia="宋体"/>
    </w:rPr>
  </w:style>
  <w:style w:type="paragraph" w:customStyle="1" w:styleId="160">
    <w:name w:val="表中"/>
    <w:qFormat/>
    <w:uiPriority w:val="0"/>
    <w:pPr>
      <w:widowControl w:val="0"/>
      <w:tabs>
        <w:tab w:val="left" w:pos="3600"/>
      </w:tabs>
      <w:ind w:left="-1" w:leftChars="-50" w:hanging="104" w:hangingChars="58"/>
      <w:jc w:val="center"/>
    </w:pPr>
    <w:rPr>
      <w:rFonts w:ascii="宋体" w:hAnsi="宋体" w:eastAsia="宋体" w:cs="Arial"/>
      <w:color w:val="FF0000"/>
      <w:kern w:val="2"/>
      <w:sz w:val="18"/>
      <w:szCs w:val="18"/>
      <w:lang w:val="en-US" w:eastAsia="zh-CN" w:bidi="ar-SA"/>
    </w:rPr>
  </w:style>
  <w:style w:type="paragraph" w:customStyle="1" w:styleId="161">
    <w:name w:val="正文1 Char"/>
    <w:basedOn w:val="1"/>
    <w:qFormat/>
    <w:uiPriority w:val="0"/>
    <w:pPr>
      <w:tabs>
        <w:tab w:val="left" w:pos="5327"/>
        <w:tab w:val="left" w:pos="6326"/>
        <w:tab w:val="left" w:pos="7230"/>
        <w:tab w:val="left" w:pos="9301"/>
      </w:tabs>
      <w:autoSpaceDE w:val="0"/>
      <w:autoSpaceDN w:val="0"/>
      <w:adjustRightInd w:val="0"/>
      <w:snapToGrid w:val="0"/>
      <w:spacing w:line="500" w:lineRule="exact"/>
      <w:ind w:firstLine="560"/>
      <w:jc w:val="left"/>
    </w:pPr>
    <w:rPr>
      <w:rFonts w:ascii="Arial Narrow" w:hAnsi="Arial Narrow"/>
      <w:color w:val="000000"/>
      <w:kern w:val="10"/>
      <w:sz w:val="28"/>
      <w:szCs w:val="28"/>
    </w:rPr>
  </w:style>
  <w:style w:type="paragraph" w:customStyle="1" w:styleId="162">
    <w:name w:val="表格1"/>
    <w:basedOn w:val="1"/>
    <w:qFormat/>
    <w:uiPriority w:val="0"/>
    <w:pPr>
      <w:tabs>
        <w:tab w:val="left" w:pos="1440"/>
        <w:tab w:val="left" w:pos="1680"/>
      </w:tabs>
      <w:spacing w:line="240" w:lineRule="auto"/>
      <w:ind w:firstLine="0" w:firstLineChars="0"/>
      <w:jc w:val="center"/>
    </w:pPr>
    <w:rPr>
      <w:rFonts w:ascii="宋体"/>
      <w:w w:val="95"/>
      <w:kern w:val="0"/>
      <w:sz w:val="21"/>
      <w:szCs w:val="20"/>
    </w:rPr>
  </w:style>
  <w:style w:type="paragraph" w:customStyle="1" w:styleId="163">
    <w:name w:val="1正文"/>
    <w:qFormat/>
    <w:uiPriority w:val="0"/>
    <w:pPr>
      <w:spacing w:line="560" w:lineRule="exact"/>
      <w:ind w:firstLine="480" w:firstLineChars="200"/>
      <w:jc w:val="both"/>
    </w:pPr>
    <w:rPr>
      <w:rFonts w:ascii="Times New Roman" w:hAnsi="Times New Roman" w:eastAsia="宋体" w:cs="Times New Roman"/>
      <w:color w:val="00B0F0"/>
      <w:kern w:val="2"/>
      <w:sz w:val="24"/>
      <w:szCs w:val="24"/>
      <w:lang w:val="en-US" w:eastAsia="zh-CN" w:bidi="ar-SA"/>
    </w:rPr>
  </w:style>
  <w:style w:type="paragraph" w:customStyle="1" w:styleId="164">
    <w:name w:val="Char Char1 Char Char Char Char"/>
    <w:basedOn w:val="1"/>
    <w:qFormat/>
    <w:uiPriority w:val="0"/>
    <w:pPr>
      <w:spacing w:line="240" w:lineRule="auto"/>
      <w:ind w:firstLine="0" w:firstLineChars="0"/>
    </w:pPr>
    <w:rPr>
      <w:sz w:val="21"/>
    </w:rPr>
  </w:style>
  <w:style w:type="paragraph" w:customStyle="1" w:styleId="165">
    <w:name w:val="标准"/>
    <w:basedOn w:val="1"/>
    <w:qFormat/>
    <w:uiPriority w:val="0"/>
    <w:pPr>
      <w:tabs>
        <w:tab w:val="left" w:pos="720"/>
      </w:tabs>
      <w:adjustRightInd w:val="0"/>
      <w:spacing w:line="312" w:lineRule="atLeast"/>
      <w:ind w:firstLine="0" w:firstLineChars="0"/>
      <w:textAlignment w:val="baseline"/>
    </w:pPr>
    <w:rPr>
      <w:kern w:val="0"/>
      <w:sz w:val="21"/>
      <w:szCs w:val="20"/>
    </w:rPr>
  </w:style>
  <w:style w:type="paragraph" w:customStyle="1" w:styleId="166">
    <w:name w:val="reader-word-layer reader-word-s1-14"/>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67">
    <w:name w:val="_Style 2"/>
    <w:qFormat/>
    <w:uiPriority w:val="0"/>
    <w:pPr>
      <w:spacing w:line="400" w:lineRule="exact"/>
      <w:ind w:firstLine="420" w:firstLineChars="200"/>
    </w:pPr>
    <w:rPr>
      <w:rFonts w:ascii="Calibri" w:hAnsi="Calibri" w:eastAsia="宋体" w:cs="Times New Roman"/>
      <w:sz w:val="21"/>
      <w:szCs w:val="22"/>
      <w:lang w:val="en-US" w:eastAsia="zh-CN" w:bidi="ar-SA"/>
    </w:rPr>
  </w:style>
  <w:style w:type="paragraph" w:customStyle="1" w:styleId="168">
    <w:name w:val="表格内容自定"/>
    <w:basedOn w:val="1"/>
    <w:qFormat/>
    <w:uiPriority w:val="0"/>
    <w:pPr>
      <w:spacing w:line="280" w:lineRule="exact"/>
      <w:ind w:firstLine="0" w:firstLineChars="0"/>
      <w:jc w:val="center"/>
    </w:pPr>
    <w:rPr>
      <w:kern w:val="0"/>
      <w:sz w:val="18"/>
      <w:szCs w:val="21"/>
    </w:rPr>
  </w:style>
  <w:style w:type="paragraph" w:customStyle="1" w:styleId="169">
    <w:name w:val="表格文字"/>
    <w:basedOn w:val="1"/>
    <w:next w:val="16"/>
    <w:qFormat/>
    <w:uiPriority w:val="0"/>
    <w:pPr>
      <w:tabs>
        <w:tab w:val="left" w:pos="5327"/>
        <w:tab w:val="left" w:pos="6326"/>
        <w:tab w:val="left" w:pos="7230"/>
        <w:tab w:val="left" w:pos="9301"/>
      </w:tabs>
      <w:spacing w:line="380" w:lineRule="exact"/>
      <w:ind w:firstLine="0" w:firstLineChars="0"/>
      <w:jc w:val="center"/>
    </w:pPr>
    <w:rPr>
      <w:rFonts w:ascii="Arial Narrow" w:hAnsi="Arial Narrow" w:cs="Arial Narrow"/>
      <w:kern w:val="0"/>
      <w:sz w:val="21"/>
      <w:szCs w:val="21"/>
    </w:rPr>
  </w:style>
  <w:style w:type="paragraph" w:customStyle="1" w:styleId="170">
    <w:name w:val="样式 首行缩进:  1.01 厘米"/>
    <w:basedOn w:val="1"/>
    <w:qFormat/>
    <w:uiPriority w:val="0"/>
    <w:pPr>
      <w:spacing w:line="500" w:lineRule="atLeast"/>
      <w:ind w:firstLine="570" w:firstLineChars="0"/>
    </w:pPr>
    <w:rPr>
      <w:kern w:val="28"/>
      <w:sz w:val="28"/>
      <w:szCs w:val="20"/>
    </w:rPr>
  </w:style>
  <w:style w:type="paragraph" w:customStyle="1" w:styleId="171">
    <w:name w:val="Char Char Char Char Char Char Char Char Char Char Char Char Char Char Char Char Char Char Char Char Char Char Char Char Char Char Char Char Char Char Char Char Char Char"/>
    <w:basedOn w:val="1"/>
    <w:semiHidden/>
    <w:qFormat/>
    <w:uiPriority w:val="0"/>
  </w:style>
  <w:style w:type="paragraph" w:customStyle="1" w:styleId="172">
    <w:name w:val="Char Char Char Char"/>
    <w:basedOn w:val="1"/>
    <w:next w:val="1"/>
    <w:qFormat/>
    <w:uiPriority w:val="0"/>
    <w:pPr>
      <w:adjustRightInd w:val="0"/>
      <w:snapToGrid w:val="0"/>
    </w:pPr>
    <w:rPr>
      <w:rFonts w:ascii="宋体" w:hAnsi="宋体" w:cs="宋体"/>
    </w:rPr>
  </w:style>
  <w:style w:type="paragraph" w:customStyle="1" w:styleId="173">
    <w:name w:val="样式 标题 2 + Times New Roman 小四 非加粗 段前: 6 磅 段后: 6 磅 行距: 1.5 倍行距"/>
    <w:basedOn w:val="5"/>
    <w:qFormat/>
    <w:uiPriority w:val="0"/>
    <w:pPr>
      <w:spacing w:after="0"/>
    </w:pPr>
    <w:rPr>
      <w:rFonts w:eastAsia="黑体" w:cs="宋体"/>
      <w:b w:val="0"/>
      <w:kern w:val="2"/>
      <w:sz w:val="28"/>
      <w:szCs w:val="20"/>
    </w:rPr>
  </w:style>
  <w:style w:type="paragraph" w:customStyle="1" w:styleId="174">
    <w:name w:val="样式1"/>
    <w:basedOn w:val="1"/>
    <w:qFormat/>
    <w:uiPriority w:val="0"/>
    <w:pPr>
      <w:adjustRightInd w:val="0"/>
      <w:snapToGrid w:val="0"/>
      <w:spacing w:before="156"/>
      <w:ind w:left="240" w:firstLine="480" w:firstLineChars="0"/>
    </w:pPr>
    <w:rPr>
      <w:rFonts w:ascii="宋体" w:hAnsi="宋体"/>
      <w:szCs w:val="20"/>
    </w:rPr>
  </w:style>
  <w:style w:type="paragraph" w:customStyle="1" w:styleId="175">
    <w:name w:val="图表头"/>
    <w:basedOn w:val="1"/>
    <w:qFormat/>
    <w:uiPriority w:val="0"/>
    <w:pPr>
      <w:adjustRightInd w:val="0"/>
      <w:ind w:firstLine="0" w:firstLineChars="0"/>
      <w:jc w:val="center"/>
      <w:textAlignment w:val="baseline"/>
    </w:pPr>
    <w:rPr>
      <w:rFonts w:ascii="黑体" w:eastAsia="黑体"/>
      <w:spacing w:val="5"/>
      <w:kern w:val="0"/>
      <w:sz w:val="21"/>
      <w:szCs w:val="20"/>
    </w:rPr>
  </w:style>
  <w:style w:type="paragraph" w:customStyle="1" w:styleId="176">
    <w:name w:val="规划正文"/>
    <w:basedOn w:val="1"/>
    <w:qFormat/>
    <w:uiPriority w:val="0"/>
    <w:rPr>
      <w:szCs w:val="20"/>
    </w:rPr>
  </w:style>
  <w:style w:type="paragraph" w:customStyle="1" w:styleId="177">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178">
    <w:name w:val="正文样式"/>
    <w:basedOn w:val="1"/>
    <w:qFormat/>
    <w:uiPriority w:val="0"/>
    <w:pPr>
      <w:ind w:firstLine="420"/>
    </w:pPr>
    <w:rPr>
      <w:rFonts w:cs="宋体"/>
      <w:szCs w:val="20"/>
    </w:rPr>
  </w:style>
  <w:style w:type="paragraph" w:customStyle="1" w:styleId="179">
    <w:name w:val="芮家村"/>
    <w:basedOn w:val="1"/>
    <w:qFormat/>
    <w:uiPriority w:val="99"/>
    <w:pPr>
      <w:jc w:val="left"/>
    </w:pPr>
  </w:style>
  <w:style w:type="paragraph" w:customStyle="1" w:styleId="180">
    <w:name w:val="说明书宋体正文"/>
    <w:basedOn w:val="1"/>
    <w:qFormat/>
    <w:uiPriority w:val="0"/>
    <w:pPr>
      <w:topLinePunct/>
      <w:spacing w:line="560" w:lineRule="exact"/>
    </w:pPr>
    <w:rPr>
      <w:sz w:val="28"/>
      <w:szCs w:val="28"/>
    </w:rPr>
  </w:style>
  <w:style w:type="paragraph" w:customStyle="1" w:styleId="181">
    <w:name w:val="cc正文"/>
    <w:basedOn w:val="182"/>
    <w:qFormat/>
    <w:uiPriority w:val="0"/>
    <w:rPr>
      <w:color w:val="auto"/>
    </w:rPr>
  </w:style>
  <w:style w:type="paragraph" w:customStyle="1" w:styleId="182">
    <w:name w:val="CC 正文"/>
    <w:basedOn w:val="1"/>
    <w:qFormat/>
    <w:uiPriority w:val="0"/>
    <w:pPr>
      <w:autoSpaceDE w:val="0"/>
      <w:autoSpaceDN w:val="0"/>
      <w:ind w:firstLine="480"/>
    </w:pPr>
    <w:rPr>
      <w:color w:val="FF0000"/>
    </w:rPr>
  </w:style>
  <w:style w:type="paragraph" w:customStyle="1" w:styleId="183">
    <w:name w:val="xl40"/>
    <w:basedOn w:val="1"/>
    <w:qFormat/>
    <w:uiPriority w:val="0"/>
    <w:pPr>
      <w:widowControl/>
      <w:pBdr>
        <w:bottom w:val="single" w:color="auto" w:sz="8" w:space="0"/>
      </w:pBdr>
      <w:spacing w:before="100" w:beforeAutospacing="1" w:after="100" w:afterAutospacing="1" w:line="240" w:lineRule="auto"/>
      <w:ind w:firstLine="0" w:firstLineChars="0"/>
      <w:jc w:val="center"/>
      <w:textAlignment w:val="center"/>
    </w:pPr>
    <w:rPr>
      <w:rFonts w:hint="eastAsia" w:ascii="楷体_GB2312" w:hAnsi="宋体" w:eastAsia="楷体_GB2312"/>
      <w:kern w:val="0"/>
      <w:szCs w:val="20"/>
    </w:rPr>
  </w:style>
  <w:style w:type="paragraph" w:customStyle="1" w:styleId="184">
    <w:name w:val="xl24"/>
    <w:basedOn w:val="1"/>
    <w:qFormat/>
    <w:uiPriority w:val="0"/>
    <w:pPr>
      <w:widowControl/>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185">
    <w:name w:val="无悬挂正文5号"/>
    <w:basedOn w:val="1"/>
    <w:qFormat/>
    <w:uiPriority w:val="0"/>
    <w:pPr>
      <w:spacing w:line="240" w:lineRule="auto"/>
      <w:ind w:firstLine="0" w:firstLineChars="0"/>
      <w:jc w:val="center"/>
    </w:pPr>
    <w:rPr>
      <w:sz w:val="21"/>
    </w:rPr>
  </w:style>
  <w:style w:type="paragraph" w:customStyle="1" w:styleId="186">
    <w:name w:val="font10"/>
    <w:basedOn w:val="1"/>
    <w:next w:val="187"/>
    <w:qFormat/>
    <w:uiPriority w:val="0"/>
    <w:pPr>
      <w:widowControl/>
      <w:spacing w:before="280" w:after="280" w:line="240" w:lineRule="auto"/>
      <w:ind w:firstLine="0"/>
    </w:pPr>
    <w:rPr>
      <w:rFonts w:ascii="宋体"/>
      <w:b/>
      <w:color w:val="000000"/>
      <w:sz w:val="21"/>
    </w:rPr>
  </w:style>
  <w:style w:type="paragraph" w:customStyle="1" w:styleId="187">
    <w:name w:val="xl88"/>
    <w:basedOn w:val="1"/>
    <w:next w:val="137"/>
    <w:qFormat/>
    <w:uiPriority w:val="0"/>
    <w:pPr>
      <w:widowControl/>
      <w:spacing w:before="280" w:after="280" w:line="240" w:lineRule="auto"/>
      <w:ind w:firstLine="0"/>
      <w:jc w:val="center"/>
    </w:pPr>
    <w:rPr>
      <w:rFonts w:ascii="Arial Unicode MS" w:eastAsia="Arial Unicode MS"/>
    </w:rPr>
  </w:style>
  <w:style w:type="paragraph" w:customStyle="1" w:styleId="188">
    <w:name w:val="Char Char Char Char Char Char"/>
    <w:basedOn w:val="1"/>
    <w:next w:val="3"/>
    <w:qFormat/>
    <w:uiPriority w:val="0"/>
    <w:pPr>
      <w:spacing w:line="240" w:lineRule="auto"/>
      <w:ind w:firstLine="0" w:firstLineChars="0"/>
    </w:pPr>
    <w:rPr>
      <w:sz w:val="28"/>
      <w:szCs w:val="28"/>
    </w:rPr>
  </w:style>
  <w:style w:type="paragraph" w:customStyle="1" w:styleId="189">
    <w:name w:val="样式 样式 样式 列表 + 五号 非加粗 + 居中 + 小五"/>
    <w:basedOn w:val="1"/>
    <w:qFormat/>
    <w:uiPriority w:val="0"/>
    <w:pPr>
      <w:spacing w:line="240" w:lineRule="auto"/>
      <w:ind w:firstLine="0" w:firstLineChars="0"/>
      <w:jc w:val="left"/>
    </w:pPr>
    <w:rPr>
      <w:rFonts w:cs="宋体"/>
      <w:sz w:val="18"/>
      <w:szCs w:val="20"/>
    </w:rPr>
  </w:style>
  <w:style w:type="paragraph" w:customStyle="1" w:styleId="190">
    <w:name w:val="纪芳"/>
    <w:basedOn w:val="1"/>
    <w:qFormat/>
    <w:uiPriority w:val="0"/>
    <w:pPr>
      <w:spacing w:line="320" w:lineRule="atLeast"/>
      <w:ind w:firstLine="0" w:firstLineChars="0"/>
    </w:pPr>
    <w:rPr>
      <w:rFonts w:hint="eastAsia" w:ascii="仿宋_GB2312"/>
      <w:color w:val="000000"/>
      <w:kern w:val="28"/>
      <w:sz w:val="21"/>
      <w:szCs w:val="21"/>
    </w:rPr>
  </w:style>
  <w:style w:type="paragraph" w:customStyle="1" w:styleId="191">
    <w:name w:val="Char Char Char Char Char Char Char"/>
    <w:basedOn w:val="1"/>
    <w:semiHidden/>
    <w:qFormat/>
    <w:uiPriority w:val="0"/>
    <w:pPr>
      <w:spacing w:line="240" w:lineRule="auto"/>
      <w:ind w:firstLine="0" w:firstLineChars="0"/>
    </w:pPr>
  </w:style>
  <w:style w:type="paragraph" w:customStyle="1" w:styleId="192">
    <w:name w:val="正文文本 31"/>
    <w:basedOn w:val="1"/>
    <w:qFormat/>
    <w:uiPriority w:val="0"/>
    <w:pPr>
      <w:adjustRightInd w:val="0"/>
      <w:spacing w:line="240" w:lineRule="auto"/>
      <w:ind w:firstLine="0" w:firstLineChars="0"/>
      <w:jc w:val="center"/>
    </w:pPr>
    <w:rPr>
      <w:szCs w:val="20"/>
    </w:rPr>
  </w:style>
  <w:style w:type="paragraph" w:customStyle="1" w:styleId="193">
    <w:name w:val="标题5"/>
    <w:basedOn w:val="1"/>
    <w:qFormat/>
    <w:uiPriority w:val="0"/>
    <w:pPr>
      <w:snapToGrid w:val="0"/>
      <w:spacing w:line="240" w:lineRule="atLeast"/>
      <w:ind w:firstLine="0" w:firstLineChars="0"/>
    </w:pPr>
    <w:rPr>
      <w:szCs w:val="20"/>
    </w:rPr>
  </w:style>
  <w:style w:type="paragraph" w:customStyle="1" w:styleId="194">
    <w:name w:val="图题"/>
    <w:basedOn w:val="1"/>
    <w:qFormat/>
    <w:uiPriority w:val="0"/>
    <w:pPr>
      <w:spacing w:after="156" w:afterLines="50" w:line="240" w:lineRule="auto"/>
      <w:ind w:firstLine="0" w:firstLineChars="0"/>
      <w:jc w:val="center"/>
    </w:pPr>
    <w:rPr>
      <w:rFonts w:ascii="Arial" w:hAnsi="Arial"/>
      <w:b/>
    </w:rPr>
  </w:style>
  <w:style w:type="paragraph" w:customStyle="1" w:styleId="195">
    <w:name w:val="reader-word-layer reader-word-s1-13"/>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96">
    <w:name w:val="Body text|1"/>
    <w:basedOn w:val="1"/>
    <w:qFormat/>
    <w:uiPriority w:val="0"/>
    <w:pPr>
      <w:spacing w:line="418" w:lineRule="auto"/>
      <w:ind w:firstLine="400"/>
    </w:pPr>
    <w:rPr>
      <w:rFonts w:ascii="宋体" w:hAnsi="宋体" w:cs="宋体"/>
      <w:sz w:val="22"/>
      <w:szCs w:val="22"/>
      <w:lang w:val="zh-TW" w:eastAsia="zh-TW" w:bidi="zh-TW"/>
    </w:rPr>
  </w:style>
  <w:style w:type="paragraph" w:customStyle="1" w:styleId="197">
    <w:name w:val="Table Paragraph"/>
    <w:basedOn w:val="1"/>
    <w:next w:val="198"/>
    <w:qFormat/>
    <w:uiPriority w:val="0"/>
    <w:pPr>
      <w:spacing w:line="240" w:lineRule="auto"/>
      <w:ind w:firstLine="0"/>
    </w:pPr>
  </w:style>
  <w:style w:type="paragraph" w:customStyle="1" w:styleId="198">
    <w:name w:val="正文格式"/>
    <w:basedOn w:val="1"/>
    <w:next w:val="186"/>
    <w:qFormat/>
    <w:uiPriority w:val="0"/>
    <w:pPr>
      <w:ind w:firstLine="544"/>
    </w:pPr>
  </w:style>
  <w:style w:type="paragraph" w:customStyle="1" w:styleId="199">
    <w:name w:val="ice表内"/>
    <w:basedOn w:val="1"/>
    <w:qFormat/>
    <w:uiPriority w:val="0"/>
    <w:pPr>
      <w:widowControl/>
      <w:spacing w:line="240" w:lineRule="auto"/>
      <w:ind w:firstLine="0" w:firstLineChars="0"/>
      <w:jc w:val="center"/>
    </w:pPr>
    <w:rPr>
      <w:rFonts w:cs="宋体"/>
      <w:color w:val="000000"/>
      <w:kern w:val="0"/>
      <w:sz w:val="21"/>
    </w:rPr>
  </w:style>
  <w:style w:type="paragraph" w:customStyle="1" w:styleId="200">
    <w:name w:val="Char Char Char Char1"/>
    <w:basedOn w:val="1"/>
    <w:next w:val="1"/>
    <w:qFormat/>
    <w:uiPriority w:val="0"/>
    <w:pPr>
      <w:adjustRightInd w:val="0"/>
      <w:snapToGrid w:val="0"/>
    </w:pPr>
    <w:rPr>
      <w:rFonts w:ascii="宋体" w:hAnsi="宋体" w:cs="宋体"/>
    </w:rPr>
  </w:style>
  <w:style w:type="paragraph" w:customStyle="1" w:styleId="201">
    <w:name w:val="CM1"/>
    <w:basedOn w:val="1"/>
    <w:next w:val="1"/>
    <w:qFormat/>
    <w:uiPriority w:val="0"/>
    <w:pPr>
      <w:autoSpaceDE w:val="0"/>
      <w:autoSpaceDN w:val="0"/>
      <w:adjustRightInd w:val="0"/>
      <w:spacing w:line="546" w:lineRule="atLeast"/>
      <w:ind w:firstLine="0" w:firstLineChars="0"/>
      <w:jc w:val="left"/>
    </w:pPr>
    <w:rPr>
      <w:rFonts w:ascii="Sim Sun" w:eastAsia="Sim Sun"/>
      <w:kern w:val="0"/>
    </w:rPr>
  </w:style>
  <w:style w:type="paragraph" w:customStyle="1" w:styleId="202">
    <w:name w:val="L图表标题"/>
    <w:next w:val="155"/>
    <w:qFormat/>
    <w:uiPriority w:val="0"/>
    <w:pPr>
      <w:spacing w:line="360" w:lineRule="auto"/>
      <w:jc w:val="center"/>
      <w:outlineLvl w:val="4"/>
    </w:pPr>
    <w:rPr>
      <w:rFonts w:ascii="Times New Roman" w:hAnsi="Times New Roman" w:eastAsia="黑体" w:cs="Times New Roman"/>
      <w:b/>
      <w:color w:val="000000"/>
      <w:kern w:val="2"/>
      <w:sz w:val="24"/>
      <w:szCs w:val="24"/>
      <w:lang w:val="en-US" w:eastAsia="zh-CN" w:bidi="ar-SA"/>
    </w:rPr>
  </w:style>
  <w:style w:type="paragraph" w:customStyle="1" w:styleId="203">
    <w:name w:val="ice表头"/>
    <w:basedOn w:val="1"/>
    <w:qFormat/>
    <w:uiPriority w:val="0"/>
    <w:pPr>
      <w:widowControl/>
      <w:spacing w:line="240" w:lineRule="auto"/>
      <w:ind w:firstLine="0" w:firstLineChars="0"/>
      <w:jc w:val="center"/>
      <w:outlineLvl w:val="4"/>
    </w:pPr>
    <w:rPr>
      <w:rFonts w:ascii="宋体" w:hAnsi="宋体" w:cs="宋体"/>
      <w:b/>
      <w:kern w:val="0"/>
      <w:szCs w:val="21"/>
    </w:rPr>
  </w:style>
  <w:style w:type="paragraph" w:customStyle="1" w:styleId="204">
    <w:name w:val="Other|1"/>
    <w:basedOn w:val="1"/>
    <w:qFormat/>
    <w:uiPriority w:val="0"/>
    <w:pPr>
      <w:spacing w:line="470" w:lineRule="auto"/>
      <w:ind w:firstLine="400"/>
    </w:pPr>
    <w:rPr>
      <w:rFonts w:ascii="宋体" w:hAnsi="宋体" w:cs="宋体"/>
      <w:sz w:val="20"/>
      <w:szCs w:val="20"/>
      <w:lang w:val="zh-TW" w:eastAsia="zh-TW" w:bidi="zh-TW"/>
    </w:rPr>
  </w:style>
  <w:style w:type="paragraph" w:customStyle="1" w:styleId="205">
    <w:name w:val="文本正文"/>
    <w:basedOn w:val="1"/>
    <w:qFormat/>
    <w:uiPriority w:val="0"/>
    <w:pPr>
      <w:snapToGrid w:val="0"/>
      <w:ind w:firstLine="510"/>
      <w:jc w:val="left"/>
    </w:pPr>
    <w:rPr>
      <w:spacing w:val="4"/>
      <w:kern w:val="24"/>
      <w:lang w:val="zh-CN"/>
    </w:rPr>
  </w:style>
  <w:style w:type="table" w:customStyle="1" w:styleId="206">
    <w:name w:val="Table Normal"/>
    <w:unhideWhenUsed/>
    <w:qFormat/>
    <w:uiPriority w:val="0"/>
    <w:tblPr>
      <w:tblCellMar>
        <w:top w:w="0" w:type="dxa"/>
        <w:left w:w="0" w:type="dxa"/>
        <w:bottom w:w="0" w:type="dxa"/>
        <w:right w:w="0" w:type="dxa"/>
      </w:tblCellMar>
    </w:tblPr>
  </w:style>
  <w:style w:type="character" w:customStyle="1" w:styleId="207">
    <w:name w:val="页脚 字符"/>
    <w:basedOn w:val="53"/>
    <w:link w:val="25"/>
    <w:qFormat/>
    <w:uiPriority w:val="99"/>
    <w:rPr>
      <w:kern w:val="2"/>
      <w:sz w:val="18"/>
      <w:szCs w:val="18"/>
    </w:rPr>
  </w:style>
  <w:style w:type="paragraph" w:customStyle="1" w:styleId="208">
    <w:name w:val="样式 首行缩进"/>
    <w:basedOn w:val="1"/>
    <w:qFormat/>
    <w:uiPriority w:val="99"/>
    <w:pPr>
      <w:spacing w:before="60" w:after="60" w:line="360" w:lineRule="auto"/>
      <w:ind w:firstLine="480" w:firstLineChars="200"/>
    </w:pPr>
    <w:rPr>
      <w:rFonts w:cs="宋体"/>
    </w:rPr>
  </w:style>
  <w:style w:type="paragraph" w:customStyle="1" w:styleId="209">
    <w:name w:val="ice表头、图头"/>
    <w:next w:val="1"/>
    <w:qFormat/>
    <w:uiPriority w:val="0"/>
    <w:pPr>
      <w:spacing w:beforeLines="20" w:afterLines="15"/>
      <w:jc w:val="center"/>
      <w:outlineLvl w:val="5"/>
    </w:pPr>
    <w:rPr>
      <w:rFonts w:ascii="Times New Roman" w:hAnsi="Times New Roman" w:eastAsia="宋体" w:cs="Times New Roman"/>
      <w:b/>
      <w:kern w:val="2"/>
      <w:sz w:val="24"/>
      <w:szCs w:val="24"/>
      <w:lang w:val="en-US" w:eastAsia="zh-CN" w:bidi="ar-SA"/>
    </w:rPr>
  </w:style>
  <w:style w:type="paragraph" w:customStyle="1" w:styleId="210">
    <w:name w:val="ice表图头"/>
    <w:basedOn w:val="1"/>
    <w:qFormat/>
    <w:uiPriority w:val="0"/>
    <w:pPr>
      <w:tabs>
        <w:tab w:val="center" w:pos="4678"/>
        <w:tab w:val="right" w:pos="8504"/>
      </w:tabs>
      <w:spacing w:line="360" w:lineRule="auto"/>
      <w:ind w:firstLine="200" w:firstLineChars="200"/>
      <w:jc w:val="center"/>
      <w:outlineLvl w:val="5"/>
    </w:pPr>
    <w:rPr>
      <w:b/>
      <w:szCs w:val="21"/>
    </w:rPr>
  </w:style>
  <w:style w:type="paragraph" w:customStyle="1" w:styleId="211">
    <w:name w:val="报告"/>
    <w:basedOn w:val="1"/>
    <w:qFormat/>
    <w:uiPriority w:val="0"/>
    <w:pPr>
      <w:adjustRightInd w:val="0"/>
      <w:spacing w:line="360" w:lineRule="auto"/>
      <w:ind w:firstLine="505" w:firstLineChars="200"/>
      <w:textAlignment w:val="baseline"/>
    </w:pPr>
    <w:rPr>
      <w:kern w:val="0"/>
      <w:szCs w:val="20"/>
    </w:rPr>
  </w:style>
  <w:style w:type="paragraph" w:customStyle="1" w:styleId="212">
    <w:name w:val="hp表格小五"/>
    <w:qFormat/>
    <w:uiPriority w:val="0"/>
    <w:pPr>
      <w:adjustRightInd w:val="0"/>
      <w:snapToGrid w:val="0"/>
      <w:spacing w:line="240" w:lineRule="atLeast"/>
      <w:jc w:val="center"/>
    </w:pPr>
    <w:rPr>
      <w:rFonts w:ascii="Times New Roman" w:hAnsi="Times New Roman" w:eastAsia="宋体" w:cs="Times New Roman"/>
      <w:sz w:val="18"/>
      <w:szCs w:val="18"/>
      <w:lang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oleObject" Target="embeddings/oleObject6.bin"/><Relationship Id="rId66" Type="http://schemas.openxmlformats.org/officeDocument/2006/relationships/image" Target="media/image39.png"/><Relationship Id="rId65" Type="http://schemas.openxmlformats.org/officeDocument/2006/relationships/image" Target="media/image38.jpeg"/><Relationship Id="rId64" Type="http://schemas.openxmlformats.org/officeDocument/2006/relationships/image" Target="media/image37.png"/><Relationship Id="rId63" Type="http://schemas.openxmlformats.org/officeDocument/2006/relationships/image" Target="media/image36.jpeg"/><Relationship Id="rId62" Type="http://schemas.openxmlformats.org/officeDocument/2006/relationships/image" Target="media/image35.jpeg"/><Relationship Id="rId61" Type="http://schemas.openxmlformats.org/officeDocument/2006/relationships/image" Target="media/image34.jpeg"/><Relationship Id="rId60" Type="http://schemas.openxmlformats.org/officeDocument/2006/relationships/image" Target="media/image33.jpe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jpeg"/><Relationship Id="rId52" Type="http://schemas.openxmlformats.org/officeDocument/2006/relationships/image" Target="media/image25.jpeg"/><Relationship Id="rId51" Type="http://schemas.openxmlformats.org/officeDocument/2006/relationships/chart" Target="charts/chart2.xml"/><Relationship Id="rId50" Type="http://schemas.openxmlformats.org/officeDocument/2006/relationships/chart" Target="charts/chart1.xml"/><Relationship Id="rId5" Type="http://schemas.openxmlformats.org/officeDocument/2006/relationships/header" Target="head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emf"/><Relationship Id="rId34" Type="http://schemas.openxmlformats.org/officeDocument/2006/relationships/oleObject" Target="embeddings/oleObject5.bin"/><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emf"/><Relationship Id="rId30" Type="http://schemas.openxmlformats.org/officeDocument/2006/relationships/oleObject" Target="embeddings/oleObject4.bin"/><Relationship Id="rId3" Type="http://schemas.openxmlformats.org/officeDocument/2006/relationships/footnotes" Target="footnotes.xml"/><Relationship Id="rId29" Type="http://schemas.openxmlformats.org/officeDocument/2006/relationships/image" Target="media/image6.emf"/><Relationship Id="rId28" Type="http://schemas.openxmlformats.org/officeDocument/2006/relationships/oleObject" Target="embeddings/oleObject3.bin"/><Relationship Id="rId27" Type="http://schemas.openxmlformats.org/officeDocument/2006/relationships/image" Target="media/image5.emf"/><Relationship Id="rId26" Type="http://schemas.openxmlformats.org/officeDocument/2006/relationships/oleObject" Target="embeddings/oleObject2.bin"/><Relationship Id="rId25" Type="http://schemas.openxmlformats.org/officeDocument/2006/relationships/image" Target="media/image4.emf"/><Relationship Id="rId24" Type="http://schemas.openxmlformats.org/officeDocument/2006/relationships/oleObject" Target="embeddings/oleObject1.bin"/><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emf"/><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20XLS%20&#24037;&#20316;&#34920;%20(4).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6032;&#24314;%20XLS%20&#24037;&#20316;&#34920;%2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氨氮</a:t>
            </a:r>
          </a:p>
        </c:rich>
      </c:tx>
      <c:layout/>
      <c:overlay val="0"/>
      <c:spPr>
        <a:noFill/>
        <a:ln>
          <a:noFill/>
        </a:ln>
        <a:effectLst/>
      </c:spPr>
    </c:title>
    <c:autoTitleDeleted val="0"/>
    <c:plotArea>
      <c:layout/>
      <c:scatterChart>
        <c:scatterStyle val="smoothMarker"/>
        <c:varyColors val="0"/>
        <c:ser>
          <c:idx val="0"/>
          <c:order val="0"/>
          <c:tx>
            <c:strRef>
              <c:f>'[新建 XLS 工作表 (4).xls]Sheet1'!$L$15</c:f>
              <c:strCache>
                <c:ptCount val="1"/>
                <c:pt idx="0">
                  <c:v>100天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'[新建 XLS 工作表 (4).xls]Sheet1'!$K$16:$K$57</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(4).xls]Sheet1'!$L$16:$L$57</c:f>
              <c:numCache>
                <c:formatCode>0.00_ </c:formatCode>
                <c:ptCount val="42"/>
                <c:pt idx="0">
                  <c:v>40.7</c:v>
                </c:pt>
                <c:pt idx="1">
                  <c:v>28.9</c:v>
                </c:pt>
                <c:pt idx="2">
                  <c:v>15.8</c:v>
                </c:pt>
                <c:pt idx="3">
                  <c:v>6.38</c:v>
                </c:pt>
                <c:pt idx="4">
                  <c:v>1.87</c:v>
                </c:pt>
                <c:pt idx="5">
                  <c:v>0.388</c:v>
                </c:pt>
                <c:pt idx="6">
                  <c:v>0.0569</c:v>
                </c:pt>
                <c:pt idx="7">
                  <c:v>0.00584</c:v>
                </c:pt>
                <c:pt idx="8">
                  <c:v>0.000417</c:v>
                </c:pt>
                <c:pt idx="9">
                  <c:v>2.07e-5</c:v>
                </c:pt>
                <c:pt idx="10">
                  <c:v>7.09e-7</c:v>
                </c:pt>
                <c:pt idx="11">
                  <c:v>1.74e-8</c:v>
                </c:pt>
                <c:pt idx="12">
                  <c:v>2.79e-10</c:v>
                </c:pt>
                <c:pt idx="13">
                  <c:v>1.76e-12</c:v>
                </c:pt>
                <c:pt idx="14">
                  <c:v>1.36e-14</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yVal>
          <c:smooth val="1"/>
        </c:ser>
        <c:ser>
          <c:idx val="1"/>
          <c:order val="1"/>
          <c:tx>
            <c:strRef>
              <c:f>'[新建 XLS 工作表 (4).xls]Sheet1'!$M$15</c:f>
              <c:strCache>
                <c:ptCount val="1"/>
                <c:pt idx="0">
                  <c:v>365天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xVal>
            <c:numRef>
              <c:f>'[新建 XLS 工作表 (4).xls]Sheet1'!$K$16:$K$57</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(4).xls]Sheet1'!$M$16:$M$57</c:f>
              <c:numCache>
                <c:formatCode>0.00_ </c:formatCode>
                <c:ptCount val="42"/>
                <c:pt idx="0">
                  <c:v>40.7</c:v>
                </c:pt>
                <c:pt idx="1">
                  <c:v>37.9</c:v>
                </c:pt>
                <c:pt idx="2">
                  <c:v>33.6</c:v>
                </c:pt>
                <c:pt idx="3">
                  <c:v>28.1</c:v>
                </c:pt>
                <c:pt idx="4">
                  <c:v>22</c:v>
                </c:pt>
                <c:pt idx="5">
                  <c:v>15.9</c:v>
                </c:pt>
                <c:pt idx="6">
                  <c:v>10.7</c:v>
                </c:pt>
                <c:pt idx="7">
                  <c:v>6.55</c:v>
                </c:pt>
                <c:pt idx="8">
                  <c:v>3.68</c:v>
                </c:pt>
                <c:pt idx="9">
                  <c:v>1.89</c:v>
                </c:pt>
                <c:pt idx="10">
                  <c:v>0.885</c:v>
                </c:pt>
                <c:pt idx="11">
                  <c:v>0.376</c:v>
                </c:pt>
                <c:pt idx="12">
                  <c:v>0.145</c:v>
                </c:pt>
                <c:pt idx="13">
                  <c:v>0.051</c:v>
                </c:pt>
                <c:pt idx="14">
                  <c:v>0.0162</c:v>
                </c:pt>
                <c:pt idx="15">
                  <c:v>0.00466</c:v>
                </c:pt>
                <c:pt idx="16">
                  <c:v>0.00122</c:v>
                </c:pt>
                <c:pt idx="17">
                  <c:v>0.000287</c:v>
                </c:pt>
                <c:pt idx="18">
                  <c:v>6.11e-5</c:v>
                </c:pt>
                <c:pt idx="19">
                  <c:v>1.22e-5</c:v>
                </c:pt>
                <c:pt idx="20">
                  <c:v>2.12e-6</c:v>
                </c:pt>
                <c:pt idx="21">
                  <c:v>4.03e-11</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yVal>
          <c:smooth val="1"/>
        </c:ser>
        <c:ser>
          <c:idx val="2"/>
          <c:order val="2"/>
          <c:tx>
            <c:strRef>
              <c:f>'[新建 XLS 工作表 (4).xls]Sheet1'!$N$15</c:f>
              <c:strCache>
                <c:ptCount val="1"/>
                <c:pt idx="0">
                  <c:v>1000天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elete val="1"/>
          </c:dLbls>
          <c:xVal>
            <c:numRef>
              <c:f>'[新建 XLS 工作表 (4).xls]Sheet1'!$K$16:$K$57</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(4).xls]Sheet1'!$N$16:$N$57</c:f>
              <c:numCache>
                <c:formatCode>0.00_ </c:formatCode>
                <c:ptCount val="42"/>
                <c:pt idx="0">
                  <c:v>40.7</c:v>
                </c:pt>
                <c:pt idx="1">
                  <c:v>40.3</c:v>
                </c:pt>
                <c:pt idx="2">
                  <c:v>39.7</c:v>
                </c:pt>
                <c:pt idx="3">
                  <c:v>38.6</c:v>
                </c:pt>
                <c:pt idx="4">
                  <c:v>37.2</c:v>
                </c:pt>
                <c:pt idx="5">
                  <c:v>35.3</c:v>
                </c:pt>
                <c:pt idx="6">
                  <c:v>33</c:v>
                </c:pt>
                <c:pt idx="7">
                  <c:v>30.2</c:v>
                </c:pt>
                <c:pt idx="8">
                  <c:v>27.1</c:v>
                </c:pt>
                <c:pt idx="9">
                  <c:v>23.7</c:v>
                </c:pt>
                <c:pt idx="10">
                  <c:v>20.3</c:v>
                </c:pt>
                <c:pt idx="11">
                  <c:v>16.9</c:v>
                </c:pt>
                <c:pt idx="12">
                  <c:v>13.6</c:v>
                </c:pt>
                <c:pt idx="13">
                  <c:v>10.7</c:v>
                </c:pt>
                <c:pt idx="14">
                  <c:v>8.15</c:v>
                </c:pt>
                <c:pt idx="15">
                  <c:v>6.02</c:v>
                </c:pt>
                <c:pt idx="16">
                  <c:v>4.3</c:v>
                </c:pt>
                <c:pt idx="17">
                  <c:v>2.98</c:v>
                </c:pt>
                <c:pt idx="18">
                  <c:v>1.99</c:v>
                </c:pt>
                <c:pt idx="19">
                  <c:v>1.29</c:v>
                </c:pt>
                <c:pt idx="20">
                  <c:v>0.807</c:v>
                </c:pt>
                <c:pt idx="21">
                  <c:v>0.0456</c:v>
                </c:pt>
                <c:pt idx="22">
                  <c:v>0.00108</c:v>
                </c:pt>
                <c:pt idx="23">
                  <c:v>6.03e-6</c:v>
                </c:pt>
                <c:pt idx="24">
                  <c:v>2.17e-8</c:v>
                </c:pt>
                <c:pt idx="25">
                  <c:v>3.35e-11</c:v>
                </c:pt>
                <c:pt idx="26">
                  <c:v>1.81e-14</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yVal>
          <c:smooth val="1"/>
        </c:ser>
        <c:ser>
          <c:idx val="3"/>
          <c:order val="3"/>
          <c:tx>
            <c:strRef>
              <c:f>'[新建 XLS 工作表 (4).xls]Sheet1'!$O$15</c:f>
              <c:strCache>
                <c:ptCount val="1"/>
                <c:pt idx="0">
                  <c:v>1825天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elete val="1"/>
          </c:dLbls>
          <c:xVal>
            <c:numRef>
              <c:f>'[新建 XLS 工作表 (4).xls]Sheet1'!$K$16:$K$57</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(4).xls]Sheet1'!$O$16:$O$57</c:f>
              <c:numCache>
                <c:formatCode>0.00_ </c:formatCode>
                <c:ptCount val="42"/>
                <c:pt idx="0">
                  <c:v>40.7</c:v>
                </c:pt>
                <c:pt idx="1">
                  <c:v>40.7</c:v>
                </c:pt>
                <c:pt idx="2">
                  <c:v>40.6</c:v>
                </c:pt>
                <c:pt idx="3">
                  <c:v>40.4</c:v>
                </c:pt>
                <c:pt idx="4">
                  <c:v>40.1</c:v>
                </c:pt>
                <c:pt idx="5">
                  <c:v>39.8</c:v>
                </c:pt>
                <c:pt idx="6">
                  <c:v>39.3</c:v>
                </c:pt>
                <c:pt idx="7">
                  <c:v>38.6</c:v>
                </c:pt>
                <c:pt idx="8">
                  <c:v>37.8</c:v>
                </c:pt>
                <c:pt idx="9">
                  <c:v>36.7</c:v>
                </c:pt>
                <c:pt idx="10">
                  <c:v>35.5</c:v>
                </c:pt>
                <c:pt idx="11">
                  <c:v>33.9</c:v>
                </c:pt>
                <c:pt idx="12">
                  <c:v>32.2</c:v>
                </c:pt>
                <c:pt idx="13">
                  <c:v>30.2</c:v>
                </c:pt>
                <c:pt idx="14">
                  <c:v>28.1</c:v>
                </c:pt>
                <c:pt idx="15">
                  <c:v>25.8</c:v>
                </c:pt>
                <c:pt idx="16">
                  <c:v>23.4</c:v>
                </c:pt>
                <c:pt idx="17">
                  <c:v>20.9</c:v>
                </c:pt>
                <c:pt idx="18">
                  <c:v>18.4</c:v>
                </c:pt>
                <c:pt idx="19">
                  <c:v>16</c:v>
                </c:pt>
                <c:pt idx="20">
                  <c:v>13.7</c:v>
                </c:pt>
                <c:pt idx="21">
                  <c:v>4.91</c:v>
                </c:pt>
                <c:pt idx="22">
                  <c:v>1.14</c:v>
                </c:pt>
                <c:pt idx="23">
                  <c:v>0.168</c:v>
                </c:pt>
                <c:pt idx="24">
                  <c:v>0.0148</c:v>
                </c:pt>
                <c:pt idx="25">
                  <c:v>0.000532</c:v>
                </c:pt>
                <c:pt idx="26">
                  <c:v>1.71e-5</c:v>
                </c:pt>
                <c:pt idx="27">
                  <c:v>3.35e-7</c:v>
                </c:pt>
                <c:pt idx="28">
                  <c:v>3.95e-9</c:v>
                </c:pt>
                <c:pt idx="29">
                  <c:v>3.02e-11</c:v>
                </c:pt>
                <c:pt idx="30">
                  <c:v>1.27e-13</c:v>
                </c:pt>
                <c:pt idx="31">
                  <c:v>0</c:v>
                </c:pt>
                <c:pt idx="32">
                  <c:v>0</c:v>
                </c:pt>
                <c:pt idx="33">
                  <c:v>0</c:v>
                </c:pt>
                <c:pt idx="34">
                  <c:v>0</c:v>
                </c:pt>
                <c:pt idx="35">
                  <c:v>0</c:v>
                </c:pt>
                <c:pt idx="36">
                  <c:v>0</c:v>
                </c:pt>
                <c:pt idx="37">
                  <c:v>0</c:v>
                </c:pt>
                <c:pt idx="38">
                  <c:v>0</c:v>
                </c:pt>
                <c:pt idx="39">
                  <c:v>0</c:v>
                </c:pt>
                <c:pt idx="40">
                  <c:v>0</c:v>
                </c:pt>
                <c:pt idx="41">
                  <c:v>0</c:v>
                </c:pt>
              </c:numCache>
            </c:numRef>
          </c:yVal>
          <c:smooth val="1"/>
        </c:ser>
        <c:ser>
          <c:idx val="4"/>
          <c:order val="4"/>
          <c:tx>
            <c:strRef>
              <c:f>'[新建 XLS 工作表 (4).xls]Sheet1'!$P$15</c:f>
              <c:strCache>
                <c:ptCount val="1"/>
                <c:pt idx="0">
                  <c:v>3650天        </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elete val="1"/>
          </c:dLbls>
          <c:xVal>
            <c:numRef>
              <c:f>'[新建 XLS 工作表 (4).xls]Sheet1'!$K$16:$K$57</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(4).xls]Sheet1'!$P$16:$P$57</c:f>
              <c:numCache>
                <c:formatCode>0.00_ </c:formatCode>
                <c:ptCount val="42"/>
                <c:pt idx="0">
                  <c:v>40.7</c:v>
                </c:pt>
                <c:pt idx="1">
                  <c:v>40.7</c:v>
                </c:pt>
                <c:pt idx="2">
                  <c:v>40.7</c:v>
                </c:pt>
                <c:pt idx="3">
                  <c:v>40.7</c:v>
                </c:pt>
                <c:pt idx="4">
                  <c:v>40.7</c:v>
                </c:pt>
                <c:pt idx="5">
                  <c:v>40.7</c:v>
                </c:pt>
                <c:pt idx="6">
                  <c:v>40.7</c:v>
                </c:pt>
                <c:pt idx="7">
                  <c:v>40.7</c:v>
                </c:pt>
                <c:pt idx="8">
                  <c:v>40.6</c:v>
                </c:pt>
                <c:pt idx="9">
                  <c:v>40.6</c:v>
                </c:pt>
                <c:pt idx="10">
                  <c:v>40.5</c:v>
                </c:pt>
                <c:pt idx="11">
                  <c:v>40.4</c:v>
                </c:pt>
                <c:pt idx="12">
                  <c:v>40.3</c:v>
                </c:pt>
                <c:pt idx="13">
                  <c:v>40.1</c:v>
                </c:pt>
                <c:pt idx="14">
                  <c:v>39.9</c:v>
                </c:pt>
                <c:pt idx="15">
                  <c:v>39.7</c:v>
                </c:pt>
                <c:pt idx="16">
                  <c:v>39.4</c:v>
                </c:pt>
                <c:pt idx="17">
                  <c:v>39</c:v>
                </c:pt>
                <c:pt idx="18">
                  <c:v>38.6</c:v>
                </c:pt>
                <c:pt idx="19">
                  <c:v>38</c:v>
                </c:pt>
                <c:pt idx="20">
                  <c:v>37.4</c:v>
                </c:pt>
                <c:pt idx="21">
                  <c:v>32.8</c:v>
                </c:pt>
                <c:pt idx="22">
                  <c:v>25.6</c:v>
                </c:pt>
                <c:pt idx="23">
                  <c:v>17.1</c:v>
                </c:pt>
                <c:pt idx="24">
                  <c:v>9.68</c:v>
                </c:pt>
                <c:pt idx="25">
                  <c:v>4.41</c:v>
                </c:pt>
                <c:pt idx="26">
                  <c:v>1.68</c:v>
                </c:pt>
                <c:pt idx="27">
                  <c:v>0.353</c:v>
                </c:pt>
                <c:pt idx="28">
                  <c:v>0.0786</c:v>
                </c:pt>
                <c:pt idx="29">
                  <c:v>0.0138</c:v>
                </c:pt>
                <c:pt idx="30">
                  <c:v>0.00189</c:v>
                </c:pt>
                <c:pt idx="31">
                  <c:v>0.000203</c:v>
                </c:pt>
                <c:pt idx="32">
                  <c:v>1.7e-5</c:v>
                </c:pt>
                <c:pt idx="33">
                  <c:v>1.1e-6</c:v>
                </c:pt>
                <c:pt idx="34">
                  <c:v>5.59e-8</c:v>
                </c:pt>
                <c:pt idx="35">
                  <c:v>2.19e-9</c:v>
                </c:pt>
                <c:pt idx="36">
                  <c:v>6.68e-11</c:v>
                </c:pt>
                <c:pt idx="37">
                  <c:v>2.94e-14</c:v>
                </c:pt>
                <c:pt idx="38">
                  <c:v>0</c:v>
                </c:pt>
                <c:pt idx="39">
                  <c:v>0</c:v>
                </c:pt>
                <c:pt idx="40">
                  <c:v>0</c:v>
                </c:pt>
                <c:pt idx="41">
                  <c:v>0</c:v>
                </c:pt>
              </c:numCache>
            </c:numRef>
          </c:yVal>
          <c:smooth val="1"/>
        </c:ser>
        <c:ser>
          <c:idx val="5"/>
          <c:order val="5"/>
          <c:tx>
            <c:strRef>
              <c:f>'[新建 XLS 工作表 (4).xls]Sheet1'!$Q$15</c:f>
              <c:strCache>
                <c:ptCount val="1"/>
                <c:pt idx="0">
                  <c:v>7300天        </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dLbls>
            <c:delete val="1"/>
          </c:dLbls>
          <c:xVal>
            <c:numRef>
              <c:f>'[新建 XLS 工作表 (4).xls]Sheet1'!$K$16:$K$57</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(4).xls]Sheet1'!$Q$16:$Q$57</c:f>
              <c:numCache>
                <c:formatCode>0.00_ </c:formatCode>
                <c:ptCount val="42"/>
                <c:pt idx="0">
                  <c:v>40.7</c:v>
                </c:pt>
                <c:pt idx="1">
                  <c:v>40.7</c:v>
                </c:pt>
                <c:pt idx="2">
                  <c:v>40.7</c:v>
                </c:pt>
                <c:pt idx="3">
                  <c:v>40.7</c:v>
                </c:pt>
                <c:pt idx="4">
                  <c:v>40.7</c:v>
                </c:pt>
                <c:pt idx="5">
                  <c:v>40.7</c:v>
                </c:pt>
                <c:pt idx="6">
                  <c:v>40.7</c:v>
                </c:pt>
                <c:pt idx="7">
                  <c:v>40.7</c:v>
                </c:pt>
                <c:pt idx="8">
                  <c:v>40.7</c:v>
                </c:pt>
                <c:pt idx="9">
                  <c:v>40.7</c:v>
                </c:pt>
                <c:pt idx="10">
                  <c:v>40.7</c:v>
                </c:pt>
                <c:pt idx="11">
                  <c:v>40.7</c:v>
                </c:pt>
                <c:pt idx="12">
                  <c:v>40.7</c:v>
                </c:pt>
                <c:pt idx="13">
                  <c:v>40.7</c:v>
                </c:pt>
                <c:pt idx="14">
                  <c:v>40.7</c:v>
                </c:pt>
                <c:pt idx="15">
                  <c:v>40.7</c:v>
                </c:pt>
                <c:pt idx="16">
                  <c:v>40.7</c:v>
                </c:pt>
                <c:pt idx="17">
                  <c:v>40.7</c:v>
                </c:pt>
                <c:pt idx="18">
                  <c:v>40.7</c:v>
                </c:pt>
                <c:pt idx="19">
                  <c:v>40.7</c:v>
                </c:pt>
                <c:pt idx="20">
                  <c:v>40.7</c:v>
                </c:pt>
                <c:pt idx="21">
                  <c:v>40.7</c:v>
                </c:pt>
                <c:pt idx="22">
                  <c:v>40.5</c:v>
                </c:pt>
                <c:pt idx="23">
                  <c:v>40.2</c:v>
                </c:pt>
                <c:pt idx="24">
                  <c:v>39.4</c:v>
                </c:pt>
                <c:pt idx="25">
                  <c:v>37.8</c:v>
                </c:pt>
                <c:pt idx="26">
                  <c:v>35.1</c:v>
                </c:pt>
                <c:pt idx="27">
                  <c:v>29.5</c:v>
                </c:pt>
                <c:pt idx="28">
                  <c:v>24.2</c:v>
                </c:pt>
                <c:pt idx="29">
                  <c:v>18.4</c:v>
                </c:pt>
                <c:pt idx="30">
                  <c:v>12.8</c:v>
                </c:pt>
                <c:pt idx="31">
                  <c:v>8.12</c:v>
                </c:pt>
                <c:pt idx="32">
                  <c:v>4.66</c:v>
                </c:pt>
                <c:pt idx="33">
                  <c:v>2.4</c:v>
                </c:pt>
                <c:pt idx="34">
                  <c:v>1.11</c:v>
                </c:pt>
                <c:pt idx="35">
                  <c:v>0.455</c:v>
                </c:pt>
                <c:pt idx="36">
                  <c:v>0.166</c:v>
                </c:pt>
                <c:pt idx="37">
                  <c:v>0.0155</c:v>
                </c:pt>
                <c:pt idx="38">
                  <c:v>0.000892</c:v>
                </c:pt>
                <c:pt idx="39">
                  <c:v>3.12e-5</c:v>
                </c:pt>
                <c:pt idx="40">
                  <c:v>6.62e-7</c:v>
                </c:pt>
                <c:pt idx="41">
                  <c:v>8.49e-9</c:v>
                </c:pt>
              </c:numCache>
            </c:numRef>
          </c:yVal>
          <c:smooth val="1"/>
        </c:ser>
        <c:dLbls>
          <c:showLegendKey val="0"/>
          <c:showVal val="0"/>
          <c:showCatName val="0"/>
          <c:showSerName val="0"/>
          <c:showPercent val="0"/>
          <c:showBubbleSize val="0"/>
        </c:dLbls>
        <c:axId val="938438843"/>
        <c:axId val="41609911"/>
      </c:scatterChart>
      <c:valAx>
        <c:axId val="9384388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609911"/>
        <c:crosses val="autoZero"/>
        <c:crossBetween val="midCat"/>
      </c:valAx>
      <c:valAx>
        <c:axId val="41609911"/>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8438843"/>
        <c:crosses val="autoZero"/>
        <c:crossBetween val="midCat"/>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氟化物</a:t>
            </a:r>
          </a:p>
        </c:rich>
      </c:tx>
      <c:layout/>
      <c:overlay val="0"/>
      <c:spPr>
        <a:noFill/>
        <a:ln>
          <a:noFill/>
        </a:ln>
        <a:effectLst/>
      </c:spPr>
    </c:title>
    <c:autoTitleDeleted val="0"/>
    <c:plotArea>
      <c:layout/>
      <c:scatterChart>
        <c:scatterStyle val="smoothMarker"/>
        <c:varyColors val="0"/>
        <c:ser>
          <c:idx val="0"/>
          <c:order val="0"/>
          <c:tx>
            <c:strRef>
              <c:f>'[新建 XLS 工作表 (4).xls]Sheet1'!$C$24</c:f>
              <c:strCache>
                <c:ptCount val="1"/>
                <c:pt idx="0">
                  <c:v>100天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'[新建 XLS 工作表 (4).xls]Sheet1'!$B$25:$B$66</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(4).xls]Sheet1'!$C$25:$C$66</c:f>
              <c:numCache>
                <c:formatCode>0.00_ </c:formatCode>
                <c:ptCount val="42"/>
                <c:pt idx="0">
                  <c:v>16.4</c:v>
                </c:pt>
                <c:pt idx="1">
                  <c:v>11.6</c:v>
                </c:pt>
                <c:pt idx="2">
                  <c:v>6.33</c:v>
                </c:pt>
                <c:pt idx="3">
                  <c:v>2.56</c:v>
                </c:pt>
                <c:pt idx="4">
                  <c:v>0.749</c:v>
                </c:pt>
                <c:pt idx="5">
                  <c:v>0.156</c:v>
                </c:pt>
                <c:pt idx="6">
                  <c:v>0.0228</c:v>
                </c:pt>
                <c:pt idx="7">
                  <c:v>0.00234</c:v>
                </c:pt>
                <c:pt idx="8">
                  <c:v>0.000167</c:v>
                </c:pt>
                <c:pt idx="9">
                  <c:v>8.29e-6</c:v>
                </c:pt>
                <c:pt idx="10">
                  <c:v>2.84e-7</c:v>
                </c:pt>
                <c:pt idx="11">
                  <c:v>6.97e-9</c:v>
                </c:pt>
                <c:pt idx="12">
                  <c:v>1.12e-10</c:v>
                </c:pt>
                <c:pt idx="13">
                  <c:v>7.05e-13</c:v>
                </c:pt>
                <c:pt idx="14">
                  <c:v>5.45e-15</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yVal>
          <c:smooth val="1"/>
        </c:ser>
        <c:ser>
          <c:idx val="1"/>
          <c:order val="1"/>
          <c:tx>
            <c:strRef>
              <c:f>'[新建 XLS 工作表 (4).xls]Sheet1'!$D$24</c:f>
              <c:strCache>
                <c:ptCount val="1"/>
                <c:pt idx="0">
                  <c:v>365天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xVal>
            <c:numRef>
              <c:f>'[新建 XLS 工作表 (4).xls]Sheet1'!$B$25:$B$66</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(4).xls]Sheet1'!$D$25:$D$66</c:f>
              <c:numCache>
                <c:formatCode>0.00_ </c:formatCode>
                <c:ptCount val="42"/>
                <c:pt idx="0">
                  <c:v>16.4</c:v>
                </c:pt>
                <c:pt idx="1">
                  <c:v>15.2</c:v>
                </c:pt>
                <c:pt idx="2">
                  <c:v>13.5</c:v>
                </c:pt>
                <c:pt idx="3">
                  <c:v>11.3</c:v>
                </c:pt>
                <c:pt idx="4">
                  <c:v>8.81</c:v>
                </c:pt>
                <c:pt idx="5">
                  <c:v>6.39</c:v>
                </c:pt>
                <c:pt idx="6">
                  <c:v>4.28</c:v>
                </c:pt>
                <c:pt idx="7">
                  <c:v>2.63</c:v>
                </c:pt>
                <c:pt idx="8">
                  <c:v>1.48</c:v>
                </c:pt>
                <c:pt idx="9">
                  <c:v>0.759</c:v>
                </c:pt>
                <c:pt idx="10">
                  <c:v>0.355</c:v>
                </c:pt>
                <c:pt idx="11">
                  <c:v>0.151</c:v>
                </c:pt>
                <c:pt idx="12">
                  <c:v>0.0584</c:v>
                </c:pt>
                <c:pt idx="13">
                  <c:v>0.0205</c:v>
                </c:pt>
                <c:pt idx="14">
                  <c:v>0.0065</c:v>
                </c:pt>
                <c:pt idx="15">
                  <c:v>0.00187</c:v>
                </c:pt>
                <c:pt idx="16">
                  <c:v>0.000488</c:v>
                </c:pt>
                <c:pt idx="17">
                  <c:v>0.000115</c:v>
                </c:pt>
                <c:pt idx="18">
                  <c:v>2.45e-5</c:v>
                </c:pt>
                <c:pt idx="19">
                  <c:v>4.89e-6</c:v>
                </c:pt>
                <c:pt idx="20">
                  <c:v>8.49e-7</c:v>
                </c:pt>
                <c:pt idx="21">
                  <c:v>1.62e-11</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yVal>
          <c:smooth val="1"/>
        </c:ser>
        <c:ser>
          <c:idx val="2"/>
          <c:order val="2"/>
          <c:tx>
            <c:strRef>
              <c:f>'[新建 XLS 工作表 (4).xls]Sheet1'!$E$24</c:f>
              <c:strCache>
                <c:ptCount val="1"/>
                <c:pt idx="0">
                  <c:v>1000天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elete val="1"/>
          </c:dLbls>
          <c:xVal>
            <c:numRef>
              <c:f>'[新建 XLS 工作表 (4).xls]Sheet1'!$B$25:$B$66</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(4).xls]Sheet1'!$E$25:$E$66</c:f>
              <c:numCache>
                <c:formatCode>0.00_ </c:formatCode>
                <c:ptCount val="42"/>
                <c:pt idx="0">
                  <c:v>16.4</c:v>
                </c:pt>
                <c:pt idx="1">
                  <c:v>16.2</c:v>
                </c:pt>
                <c:pt idx="2">
                  <c:v>15.9</c:v>
                </c:pt>
                <c:pt idx="3">
                  <c:v>15.5</c:v>
                </c:pt>
                <c:pt idx="4">
                  <c:v>14.9</c:v>
                </c:pt>
                <c:pt idx="5">
                  <c:v>14.2</c:v>
                </c:pt>
                <c:pt idx="6">
                  <c:v>13.2</c:v>
                </c:pt>
                <c:pt idx="7">
                  <c:v>12.1</c:v>
                </c:pt>
                <c:pt idx="8">
                  <c:v>10.9</c:v>
                </c:pt>
                <c:pt idx="9">
                  <c:v>9.52</c:v>
                </c:pt>
                <c:pt idx="10">
                  <c:v>8.13</c:v>
                </c:pt>
                <c:pt idx="11">
                  <c:v>6.76</c:v>
                </c:pt>
                <c:pt idx="12">
                  <c:v>5.47</c:v>
                </c:pt>
                <c:pt idx="13">
                  <c:v>4.3</c:v>
                </c:pt>
                <c:pt idx="14">
                  <c:v>3.27</c:v>
                </c:pt>
                <c:pt idx="15">
                  <c:v>2.42</c:v>
                </c:pt>
                <c:pt idx="16">
                  <c:v>1.73</c:v>
                </c:pt>
                <c:pt idx="17">
                  <c:v>1.2</c:v>
                </c:pt>
                <c:pt idx="18">
                  <c:v>0.8</c:v>
                </c:pt>
                <c:pt idx="19">
                  <c:v>0.518</c:v>
                </c:pt>
                <c:pt idx="20">
                  <c:v>0.324</c:v>
                </c:pt>
                <c:pt idx="21">
                  <c:v>0.0183</c:v>
                </c:pt>
                <c:pt idx="22">
                  <c:v>0.000433</c:v>
                </c:pt>
                <c:pt idx="23">
                  <c:v>2.42e-6</c:v>
                </c:pt>
                <c:pt idx="24">
                  <c:v>8.71e-9</c:v>
                </c:pt>
                <c:pt idx="25">
                  <c:v>1.34e-11</c:v>
                </c:pt>
                <c:pt idx="26">
                  <c:v>7.26e-15</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yVal>
          <c:smooth val="1"/>
        </c:ser>
        <c:ser>
          <c:idx val="3"/>
          <c:order val="3"/>
          <c:tx>
            <c:strRef>
              <c:f>'[新建 XLS 工作表 (4).xls]Sheet1'!$F$24</c:f>
              <c:strCache>
                <c:ptCount val="1"/>
                <c:pt idx="0">
                  <c:v>1825天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elete val="1"/>
          </c:dLbls>
          <c:xVal>
            <c:numRef>
              <c:f>'[新建 XLS 工作表 (4).xls]Sheet1'!$B$25:$B$66</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(4).xls]Sheet1'!$F$25:$F$66</c:f>
              <c:numCache>
                <c:formatCode>0.00_ </c:formatCode>
                <c:ptCount val="42"/>
                <c:pt idx="0">
                  <c:v>16.4</c:v>
                </c:pt>
                <c:pt idx="1">
                  <c:v>16.3</c:v>
                </c:pt>
                <c:pt idx="2">
                  <c:v>16.3</c:v>
                </c:pt>
                <c:pt idx="3">
                  <c:v>16.2</c:v>
                </c:pt>
                <c:pt idx="4">
                  <c:v>16.1</c:v>
                </c:pt>
                <c:pt idx="5">
                  <c:v>16</c:v>
                </c:pt>
                <c:pt idx="6">
                  <c:v>15.8</c:v>
                </c:pt>
                <c:pt idx="7">
                  <c:v>15.5</c:v>
                </c:pt>
                <c:pt idx="8">
                  <c:v>15.2</c:v>
                </c:pt>
                <c:pt idx="9">
                  <c:v>14.7</c:v>
                </c:pt>
                <c:pt idx="10">
                  <c:v>14.2</c:v>
                </c:pt>
                <c:pt idx="11">
                  <c:v>13.6</c:v>
                </c:pt>
                <c:pt idx="12">
                  <c:v>12.9</c:v>
                </c:pt>
                <c:pt idx="13">
                  <c:v>12.1</c:v>
                </c:pt>
                <c:pt idx="14">
                  <c:v>11.3</c:v>
                </c:pt>
                <c:pt idx="15">
                  <c:v>10.3</c:v>
                </c:pt>
                <c:pt idx="16">
                  <c:v>9.37</c:v>
                </c:pt>
                <c:pt idx="17">
                  <c:v>8.38</c:v>
                </c:pt>
                <c:pt idx="18">
                  <c:v>7.39</c:v>
                </c:pt>
                <c:pt idx="19">
                  <c:v>6.42</c:v>
                </c:pt>
                <c:pt idx="20">
                  <c:v>5.49</c:v>
                </c:pt>
                <c:pt idx="21">
                  <c:v>1.97</c:v>
                </c:pt>
                <c:pt idx="22">
                  <c:v>0.456</c:v>
                </c:pt>
                <c:pt idx="23">
                  <c:v>0.0674</c:v>
                </c:pt>
                <c:pt idx="24">
                  <c:v>0.00594</c:v>
                </c:pt>
                <c:pt idx="25">
                  <c:v>0.000213</c:v>
                </c:pt>
                <c:pt idx="26">
                  <c:v>6.88e-6</c:v>
                </c:pt>
                <c:pt idx="27">
                  <c:v>1.34e-7</c:v>
                </c:pt>
                <c:pt idx="28">
                  <c:v>1.58e-9</c:v>
                </c:pt>
                <c:pt idx="29">
                  <c:v>1.21e-11</c:v>
                </c:pt>
                <c:pt idx="30">
                  <c:v>5.08e-14</c:v>
                </c:pt>
                <c:pt idx="31">
                  <c:v>0</c:v>
                </c:pt>
                <c:pt idx="32">
                  <c:v>0</c:v>
                </c:pt>
                <c:pt idx="33">
                  <c:v>0</c:v>
                </c:pt>
                <c:pt idx="34">
                  <c:v>0</c:v>
                </c:pt>
                <c:pt idx="35">
                  <c:v>0</c:v>
                </c:pt>
                <c:pt idx="36">
                  <c:v>0</c:v>
                </c:pt>
                <c:pt idx="37">
                  <c:v>0</c:v>
                </c:pt>
                <c:pt idx="38">
                  <c:v>0</c:v>
                </c:pt>
                <c:pt idx="39">
                  <c:v>0</c:v>
                </c:pt>
                <c:pt idx="40">
                  <c:v>0</c:v>
                </c:pt>
                <c:pt idx="41">
                  <c:v>0</c:v>
                </c:pt>
              </c:numCache>
            </c:numRef>
          </c:yVal>
          <c:smooth val="1"/>
        </c:ser>
        <c:ser>
          <c:idx val="4"/>
          <c:order val="4"/>
          <c:tx>
            <c:strRef>
              <c:f>'[新建 XLS 工作表 (4).xls]Sheet1'!$G$24</c:f>
              <c:strCache>
                <c:ptCount val="1"/>
                <c:pt idx="0">
                  <c:v>3650天        </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elete val="1"/>
          </c:dLbls>
          <c:xVal>
            <c:numRef>
              <c:f>'[新建 XLS 工作表 (4).xls]Sheet1'!$B$25:$B$66</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(4).xls]Sheet1'!$G$25:$G$66</c:f>
              <c:numCache>
                <c:formatCode>0.00_ </c:formatCode>
                <c:ptCount val="42"/>
                <c:pt idx="0">
                  <c:v>16.4</c:v>
                </c:pt>
                <c:pt idx="1">
                  <c:v>16.3</c:v>
                </c:pt>
                <c:pt idx="2">
                  <c:v>16.3</c:v>
                </c:pt>
                <c:pt idx="3">
                  <c:v>16.3</c:v>
                </c:pt>
                <c:pt idx="4">
                  <c:v>16.3</c:v>
                </c:pt>
                <c:pt idx="5">
                  <c:v>16.3</c:v>
                </c:pt>
                <c:pt idx="6">
                  <c:v>16.3</c:v>
                </c:pt>
                <c:pt idx="7">
                  <c:v>16.3</c:v>
                </c:pt>
                <c:pt idx="8">
                  <c:v>16.3</c:v>
                </c:pt>
                <c:pt idx="9">
                  <c:v>16.3</c:v>
                </c:pt>
                <c:pt idx="10">
                  <c:v>16.3</c:v>
                </c:pt>
                <c:pt idx="11">
                  <c:v>16.2</c:v>
                </c:pt>
                <c:pt idx="12">
                  <c:v>16.2</c:v>
                </c:pt>
                <c:pt idx="13">
                  <c:v>16.1</c:v>
                </c:pt>
                <c:pt idx="14">
                  <c:v>16</c:v>
                </c:pt>
                <c:pt idx="15">
                  <c:v>15.9</c:v>
                </c:pt>
                <c:pt idx="16">
                  <c:v>15.8</c:v>
                </c:pt>
                <c:pt idx="17">
                  <c:v>15.7</c:v>
                </c:pt>
                <c:pt idx="18">
                  <c:v>15.5</c:v>
                </c:pt>
                <c:pt idx="19">
                  <c:v>15.3</c:v>
                </c:pt>
                <c:pt idx="20">
                  <c:v>15</c:v>
                </c:pt>
                <c:pt idx="21">
                  <c:v>13.2</c:v>
                </c:pt>
                <c:pt idx="22">
                  <c:v>10.3</c:v>
                </c:pt>
                <c:pt idx="23">
                  <c:v>6.88</c:v>
                </c:pt>
                <c:pt idx="24">
                  <c:v>3.89</c:v>
                </c:pt>
                <c:pt idx="25">
                  <c:v>1.77</c:v>
                </c:pt>
                <c:pt idx="26">
                  <c:v>0.672</c:v>
                </c:pt>
                <c:pt idx="27">
                  <c:v>0.142</c:v>
                </c:pt>
                <c:pt idx="28">
                  <c:v>0.0315</c:v>
                </c:pt>
                <c:pt idx="29">
                  <c:v>0.00553</c:v>
                </c:pt>
                <c:pt idx="30">
                  <c:v>0.000759</c:v>
                </c:pt>
                <c:pt idx="31">
                  <c:v>8.14e-5</c:v>
                </c:pt>
                <c:pt idx="32">
                  <c:v>6.81e-6</c:v>
                </c:pt>
                <c:pt idx="33">
                  <c:v>4.43e-7</c:v>
                </c:pt>
                <c:pt idx="34">
                  <c:v>2.24e-8</c:v>
                </c:pt>
                <c:pt idx="35">
                  <c:v>8.8e-10</c:v>
                </c:pt>
                <c:pt idx="36">
                  <c:v>2.68e-11</c:v>
                </c:pt>
                <c:pt idx="37">
                  <c:v>1.18e-14</c:v>
                </c:pt>
                <c:pt idx="38">
                  <c:v>0</c:v>
                </c:pt>
                <c:pt idx="39">
                  <c:v>0</c:v>
                </c:pt>
                <c:pt idx="40">
                  <c:v>0</c:v>
                </c:pt>
                <c:pt idx="41">
                  <c:v>0</c:v>
                </c:pt>
              </c:numCache>
            </c:numRef>
          </c:yVal>
          <c:smooth val="1"/>
        </c:ser>
        <c:ser>
          <c:idx val="5"/>
          <c:order val="5"/>
          <c:tx>
            <c:strRef>
              <c:f>'[新建 XLS 工作表 (4).xls]Sheet1'!$H$24</c:f>
              <c:strCache>
                <c:ptCount val="1"/>
                <c:pt idx="0">
                  <c:v>7300天        </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dLbls>
            <c:delete val="1"/>
          </c:dLbls>
          <c:xVal>
            <c:numRef>
              <c:f>'[新建 XLS 工作表 (4).xls]Sheet1'!$B$25:$B$66</c:f>
              <c:numCache>
                <c:formatCode>General</c:formatCode>
                <c:ptCount val="4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250</c:v>
                </c:pt>
                <c:pt idx="22">
                  <c:v>300</c:v>
                </c:pt>
                <c:pt idx="23">
                  <c:v>350</c:v>
                </c:pt>
                <c:pt idx="24">
                  <c:v>400</c:v>
                </c:pt>
                <c:pt idx="25">
                  <c:v>450</c:v>
                </c:pt>
                <c:pt idx="26">
                  <c:v>500</c:v>
                </c:pt>
                <c:pt idx="27">
                  <c:v>550</c:v>
                </c:pt>
                <c:pt idx="28">
                  <c:v>600</c:v>
                </c:pt>
                <c:pt idx="29">
                  <c:v>650</c:v>
                </c:pt>
                <c:pt idx="30">
                  <c:v>700</c:v>
                </c:pt>
                <c:pt idx="31">
                  <c:v>750</c:v>
                </c:pt>
                <c:pt idx="32">
                  <c:v>800</c:v>
                </c:pt>
                <c:pt idx="33">
                  <c:v>850</c:v>
                </c:pt>
                <c:pt idx="34">
                  <c:v>900</c:v>
                </c:pt>
                <c:pt idx="35">
                  <c:v>950</c:v>
                </c:pt>
                <c:pt idx="36">
                  <c:v>1000</c:v>
                </c:pt>
                <c:pt idx="37">
                  <c:v>1100</c:v>
                </c:pt>
                <c:pt idx="38">
                  <c:v>1200</c:v>
                </c:pt>
                <c:pt idx="39">
                  <c:v>1300</c:v>
                </c:pt>
                <c:pt idx="40">
                  <c:v>1400</c:v>
                </c:pt>
                <c:pt idx="41">
                  <c:v>1500</c:v>
                </c:pt>
              </c:numCache>
            </c:numRef>
          </c:xVal>
          <c:yVal>
            <c:numRef>
              <c:f>'[新建 XLS 工作表 (4).xls]Sheet1'!$H$25:$H$66</c:f>
              <c:numCache>
                <c:formatCode>0.00_ </c:formatCode>
                <c:ptCount val="42"/>
                <c:pt idx="0">
                  <c:v>16.4</c:v>
                </c:pt>
                <c:pt idx="1">
                  <c:v>16.4</c:v>
                </c:pt>
                <c:pt idx="2">
                  <c:v>16.4</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pt idx="23">
                  <c:v>16.1</c:v>
                </c:pt>
                <c:pt idx="24">
                  <c:v>15.8</c:v>
                </c:pt>
                <c:pt idx="25">
                  <c:v>15.2</c:v>
                </c:pt>
                <c:pt idx="26">
                  <c:v>14.1</c:v>
                </c:pt>
                <c:pt idx="27">
                  <c:v>11.9</c:v>
                </c:pt>
                <c:pt idx="28">
                  <c:v>9.71</c:v>
                </c:pt>
                <c:pt idx="29">
                  <c:v>7.37</c:v>
                </c:pt>
                <c:pt idx="30">
                  <c:v>5.14</c:v>
                </c:pt>
                <c:pt idx="31">
                  <c:v>3.26</c:v>
                </c:pt>
                <c:pt idx="32">
                  <c:v>1.87</c:v>
                </c:pt>
                <c:pt idx="33">
                  <c:v>0.962</c:v>
                </c:pt>
                <c:pt idx="34">
                  <c:v>0.444</c:v>
                </c:pt>
                <c:pt idx="35">
                  <c:v>0.182</c:v>
                </c:pt>
                <c:pt idx="36">
                  <c:v>0.0667</c:v>
                </c:pt>
                <c:pt idx="37">
                  <c:v>0.00624</c:v>
                </c:pt>
                <c:pt idx="38">
                  <c:v>0.000358</c:v>
                </c:pt>
                <c:pt idx="39">
                  <c:v>1.25e-5</c:v>
                </c:pt>
                <c:pt idx="40">
                  <c:v>2.66e-7</c:v>
                </c:pt>
                <c:pt idx="41">
                  <c:v>3.41e-9</c:v>
                </c:pt>
              </c:numCache>
            </c:numRef>
          </c:yVal>
          <c:smooth val="1"/>
        </c:ser>
        <c:dLbls>
          <c:showLegendKey val="0"/>
          <c:showVal val="0"/>
          <c:showCatName val="0"/>
          <c:showSerName val="0"/>
          <c:showPercent val="0"/>
          <c:showBubbleSize val="0"/>
        </c:dLbls>
        <c:axId val="480299350"/>
        <c:axId val="614417251"/>
      </c:scatterChart>
      <c:valAx>
        <c:axId val="48029935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4417251"/>
        <c:crosses val="autoZero"/>
        <c:crossBetween val="midCat"/>
      </c:valAx>
      <c:valAx>
        <c:axId val="614417251"/>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0299350"/>
        <c:crosses val="autoZero"/>
        <c:crossBetween val="midCat"/>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Xtzj.Com</Company>
  <Pages>243</Pages>
  <Words>151461</Words>
  <Characters>196584</Characters>
  <Lines>1325</Lines>
  <Paragraphs>373</Paragraphs>
  <TotalTime>11</TotalTime>
  <ScaleCrop>false</ScaleCrop>
  <LinksUpToDate>false</LinksUpToDate>
  <CharactersWithSpaces>197995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2022-06-26T02:50:00Z</dcterms:created>
  <dc:creator>Xtzj.User</dc:creator>
  <cp:lastModifiedBy>吴仕波</cp:lastModifiedBy>
  <cp:lastPrinted>2022-08-15T02:43:00Z</cp:lastPrinted>
  <dcterms:modified xsi:type="dcterms:W3CDTF">2022-09-01T03:00:25Z</dcterms:modified>
  <dc:title>1 总则</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33ADF0A32FFA47BFABEE132039CA61E3</vt:lpwstr>
  </property>
  <property fmtid="{D5CDD505-2E9C-101B-9397-08002B2CF9AE}" pid="4" name="commondata">
    <vt:lpwstr>eyJoZGlkIjoiN2NkYzY4NzRkZmUzOTc0MjI4NzQ0YzkzMDA1OWY0MDAifQ==</vt:lpwstr>
  </property>
</Properties>
</file>