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tabs>
          <w:tab w:val="right" w:leader="dot" w:pos="8306"/>
        </w:tabs>
        <w:jc w:val="center"/>
        <w:rPr>
          <w:b/>
          <w:bCs/>
          <w:color w:val="auto"/>
          <w:sz w:val="24"/>
          <w:szCs w:val="24"/>
        </w:rPr>
      </w:pPr>
      <w:bookmarkStart w:id="0" w:name="_Toc4894"/>
      <w:r>
        <w:rPr>
          <w:rFonts w:hint="eastAsia"/>
          <w:b/>
          <w:bCs/>
          <w:color w:val="auto"/>
          <w:sz w:val="24"/>
          <w:szCs w:val="24"/>
        </w:rPr>
        <w:t>目录</w:t>
      </w:r>
    </w:p>
    <w:p>
      <w:pPr>
        <w:pStyle w:val="15"/>
        <w:tabs>
          <w:tab w:val="right" w:leader="dot" w:pos="8306"/>
        </w:tabs>
        <w:rPr>
          <w:color w:val="auto"/>
          <w:sz w:val="24"/>
          <w:szCs w:val="24"/>
        </w:rPr>
      </w:pPr>
      <w:r>
        <w:rPr>
          <w:rFonts w:hint="eastAsia"/>
          <w:color w:val="auto"/>
          <w:sz w:val="24"/>
          <w:szCs w:val="24"/>
        </w:rPr>
        <w:fldChar w:fldCharType="begin"/>
      </w:r>
      <w:r>
        <w:rPr>
          <w:rFonts w:hint="eastAsia"/>
          <w:color w:val="auto"/>
          <w:sz w:val="24"/>
          <w:szCs w:val="24"/>
        </w:rPr>
        <w:instrText xml:space="preserve">TOC \o "1-3" \u </w:instrText>
      </w:r>
      <w:r>
        <w:rPr>
          <w:rFonts w:hint="eastAsia"/>
          <w:color w:val="auto"/>
          <w:sz w:val="24"/>
          <w:szCs w:val="24"/>
        </w:rPr>
        <w:fldChar w:fldCharType="separate"/>
      </w:r>
      <w:r>
        <w:rPr>
          <w:rFonts w:hint="eastAsia"/>
          <w:color w:val="auto"/>
          <w:sz w:val="24"/>
          <w:szCs w:val="24"/>
        </w:rPr>
        <w:t>1概述</w:t>
      </w:r>
      <w:r>
        <w:rPr>
          <w:color w:val="auto"/>
          <w:sz w:val="24"/>
          <w:szCs w:val="24"/>
        </w:rPr>
        <w:tab/>
      </w:r>
      <w:r>
        <w:rPr>
          <w:color w:val="auto"/>
          <w:sz w:val="24"/>
          <w:szCs w:val="24"/>
        </w:rPr>
        <w:fldChar w:fldCharType="begin"/>
      </w:r>
      <w:r>
        <w:rPr>
          <w:color w:val="auto"/>
          <w:sz w:val="24"/>
          <w:szCs w:val="24"/>
        </w:rPr>
        <w:instrText xml:space="preserve"> PAGEREF _Toc24974 </w:instrText>
      </w:r>
      <w:r>
        <w:rPr>
          <w:color w:val="auto"/>
          <w:sz w:val="24"/>
          <w:szCs w:val="24"/>
        </w:rPr>
        <w:fldChar w:fldCharType="separate"/>
      </w:r>
      <w:r>
        <w:rPr>
          <w:color w:val="auto"/>
          <w:sz w:val="24"/>
          <w:szCs w:val="24"/>
        </w:rPr>
        <w:t>1</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1.1</w:t>
      </w:r>
      <w:r>
        <w:rPr>
          <w:rFonts w:hint="eastAsia" w:hAnsi="宋体"/>
          <w:color w:val="auto"/>
          <w:sz w:val="24"/>
          <w:szCs w:val="24"/>
        </w:rPr>
        <w:t>建设项目的背景</w:t>
      </w:r>
      <w:r>
        <w:rPr>
          <w:color w:val="auto"/>
          <w:sz w:val="24"/>
          <w:szCs w:val="24"/>
        </w:rPr>
        <w:tab/>
      </w:r>
      <w:r>
        <w:rPr>
          <w:color w:val="auto"/>
          <w:sz w:val="24"/>
          <w:szCs w:val="24"/>
        </w:rPr>
        <w:fldChar w:fldCharType="begin"/>
      </w:r>
      <w:r>
        <w:rPr>
          <w:color w:val="auto"/>
          <w:sz w:val="24"/>
          <w:szCs w:val="24"/>
        </w:rPr>
        <w:instrText xml:space="preserve"> PAGEREF _Toc24574 </w:instrText>
      </w:r>
      <w:r>
        <w:rPr>
          <w:color w:val="auto"/>
          <w:sz w:val="24"/>
          <w:szCs w:val="24"/>
        </w:rPr>
        <w:fldChar w:fldCharType="separate"/>
      </w:r>
      <w:r>
        <w:rPr>
          <w:color w:val="auto"/>
          <w:sz w:val="24"/>
          <w:szCs w:val="24"/>
        </w:rPr>
        <w:t>1</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1.2建设项目环境影响评价过程</w:t>
      </w:r>
      <w:r>
        <w:rPr>
          <w:color w:val="auto"/>
          <w:sz w:val="24"/>
          <w:szCs w:val="24"/>
        </w:rPr>
        <w:tab/>
      </w:r>
      <w:r>
        <w:rPr>
          <w:color w:val="auto"/>
          <w:sz w:val="24"/>
          <w:szCs w:val="24"/>
        </w:rPr>
        <w:fldChar w:fldCharType="begin"/>
      </w:r>
      <w:r>
        <w:rPr>
          <w:color w:val="auto"/>
          <w:sz w:val="24"/>
          <w:szCs w:val="24"/>
        </w:rPr>
        <w:instrText xml:space="preserve"> PAGEREF _Toc14982 </w:instrText>
      </w:r>
      <w:r>
        <w:rPr>
          <w:color w:val="auto"/>
          <w:sz w:val="24"/>
          <w:szCs w:val="24"/>
        </w:rPr>
        <w:fldChar w:fldCharType="separate"/>
      </w:r>
      <w:r>
        <w:rPr>
          <w:color w:val="auto"/>
          <w:sz w:val="24"/>
          <w:szCs w:val="24"/>
        </w:rPr>
        <w:t>2</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1.3分析判定相关情况</w:t>
      </w:r>
      <w:r>
        <w:rPr>
          <w:color w:val="auto"/>
          <w:sz w:val="24"/>
          <w:szCs w:val="24"/>
        </w:rPr>
        <w:tab/>
      </w:r>
      <w:r>
        <w:rPr>
          <w:color w:val="auto"/>
          <w:sz w:val="24"/>
          <w:szCs w:val="24"/>
        </w:rPr>
        <w:fldChar w:fldCharType="begin"/>
      </w:r>
      <w:r>
        <w:rPr>
          <w:color w:val="auto"/>
          <w:sz w:val="24"/>
          <w:szCs w:val="24"/>
        </w:rPr>
        <w:instrText xml:space="preserve"> PAGEREF _Toc11738 </w:instrText>
      </w:r>
      <w:r>
        <w:rPr>
          <w:color w:val="auto"/>
          <w:sz w:val="24"/>
          <w:szCs w:val="24"/>
        </w:rPr>
        <w:fldChar w:fldCharType="separate"/>
      </w:r>
      <w:r>
        <w:rPr>
          <w:color w:val="auto"/>
          <w:sz w:val="24"/>
          <w:szCs w:val="24"/>
        </w:rPr>
        <w:t>3</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1.3.1产业</w:t>
      </w:r>
      <w:r>
        <w:rPr>
          <w:rFonts w:ascii="Times New Roman" w:hAnsi="Times New Roman"/>
          <w:color w:val="auto"/>
          <w:sz w:val="24"/>
          <w:szCs w:val="24"/>
        </w:rPr>
        <w:t>政策</w:t>
      </w:r>
      <w:r>
        <w:rPr>
          <w:rFonts w:hint="eastAsia" w:ascii="Times New Roman" w:hAnsi="Times New Roman"/>
          <w:color w:val="auto"/>
          <w:sz w:val="24"/>
          <w:szCs w:val="24"/>
        </w:rPr>
        <w:t>相符</w:t>
      </w:r>
      <w:r>
        <w:rPr>
          <w:rFonts w:ascii="Times New Roman" w:hAnsi="Times New Roman"/>
          <w:color w:val="auto"/>
          <w:sz w:val="24"/>
          <w:szCs w:val="24"/>
        </w:rPr>
        <w:t>性分析</w:t>
      </w:r>
      <w:r>
        <w:rPr>
          <w:color w:val="auto"/>
          <w:sz w:val="24"/>
          <w:szCs w:val="24"/>
        </w:rPr>
        <w:tab/>
      </w:r>
      <w:r>
        <w:rPr>
          <w:color w:val="auto"/>
          <w:sz w:val="24"/>
          <w:szCs w:val="24"/>
        </w:rPr>
        <w:fldChar w:fldCharType="begin"/>
      </w:r>
      <w:r>
        <w:rPr>
          <w:color w:val="auto"/>
          <w:sz w:val="24"/>
          <w:szCs w:val="24"/>
        </w:rPr>
        <w:instrText xml:space="preserve"> PAGEREF _Toc32198 </w:instrText>
      </w:r>
      <w:r>
        <w:rPr>
          <w:color w:val="auto"/>
          <w:sz w:val="24"/>
          <w:szCs w:val="24"/>
        </w:rPr>
        <w:fldChar w:fldCharType="separate"/>
      </w:r>
      <w:r>
        <w:rPr>
          <w:color w:val="auto"/>
          <w:sz w:val="24"/>
          <w:szCs w:val="24"/>
        </w:rPr>
        <w:t>3</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1.3.2与相关规划判定情况</w:t>
      </w:r>
      <w:r>
        <w:rPr>
          <w:color w:val="auto"/>
          <w:sz w:val="24"/>
          <w:szCs w:val="24"/>
        </w:rPr>
        <w:tab/>
      </w:r>
      <w:r>
        <w:rPr>
          <w:color w:val="auto"/>
          <w:sz w:val="24"/>
          <w:szCs w:val="24"/>
        </w:rPr>
        <w:fldChar w:fldCharType="begin"/>
      </w:r>
      <w:r>
        <w:rPr>
          <w:color w:val="auto"/>
          <w:sz w:val="24"/>
          <w:szCs w:val="24"/>
        </w:rPr>
        <w:instrText xml:space="preserve"> PAGEREF _Toc14392 </w:instrText>
      </w:r>
      <w:r>
        <w:rPr>
          <w:color w:val="auto"/>
          <w:sz w:val="24"/>
          <w:szCs w:val="24"/>
        </w:rPr>
        <w:fldChar w:fldCharType="separate"/>
      </w:r>
      <w:r>
        <w:rPr>
          <w:color w:val="auto"/>
          <w:sz w:val="24"/>
          <w:szCs w:val="24"/>
        </w:rPr>
        <w:t>3</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1.3.3与相关</w:t>
      </w:r>
      <w:r>
        <w:rPr>
          <w:rFonts w:ascii="Times New Roman" w:hAnsi="Times New Roman"/>
          <w:color w:val="auto"/>
          <w:sz w:val="24"/>
          <w:szCs w:val="24"/>
        </w:rPr>
        <w:t>规划符合性分析</w:t>
      </w:r>
      <w:r>
        <w:rPr>
          <w:color w:val="auto"/>
          <w:sz w:val="24"/>
          <w:szCs w:val="24"/>
        </w:rPr>
        <w:tab/>
      </w:r>
      <w:r>
        <w:rPr>
          <w:color w:val="auto"/>
          <w:sz w:val="24"/>
          <w:szCs w:val="24"/>
        </w:rPr>
        <w:fldChar w:fldCharType="begin"/>
      </w:r>
      <w:r>
        <w:rPr>
          <w:color w:val="auto"/>
          <w:sz w:val="24"/>
          <w:szCs w:val="24"/>
        </w:rPr>
        <w:instrText xml:space="preserve"> PAGEREF _Toc21110 </w:instrText>
      </w:r>
      <w:r>
        <w:rPr>
          <w:color w:val="auto"/>
          <w:sz w:val="24"/>
          <w:szCs w:val="24"/>
        </w:rPr>
        <w:fldChar w:fldCharType="separate"/>
      </w:r>
      <w:r>
        <w:rPr>
          <w:color w:val="auto"/>
          <w:sz w:val="24"/>
          <w:szCs w:val="24"/>
        </w:rPr>
        <w:t>4</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1.3.</w:t>
      </w:r>
      <w:r>
        <w:rPr>
          <w:rFonts w:ascii="Times New Roman" w:hAnsi="Times New Roman"/>
          <w:color w:val="auto"/>
          <w:sz w:val="24"/>
          <w:szCs w:val="24"/>
        </w:rPr>
        <w:t>4</w:t>
      </w:r>
      <w:r>
        <w:rPr>
          <w:rFonts w:hint="eastAsia" w:ascii="Times New Roman" w:hAnsi="Times New Roman"/>
          <w:color w:val="auto"/>
          <w:sz w:val="24"/>
          <w:szCs w:val="24"/>
        </w:rPr>
        <w:t>“三线</w:t>
      </w:r>
      <w:r>
        <w:rPr>
          <w:rFonts w:ascii="Times New Roman" w:hAnsi="Times New Roman"/>
          <w:color w:val="auto"/>
          <w:sz w:val="24"/>
          <w:szCs w:val="24"/>
        </w:rPr>
        <w:t>一单</w:t>
      </w:r>
      <w:r>
        <w:rPr>
          <w:rFonts w:hint="eastAsia" w:ascii="Times New Roman" w:hAnsi="Times New Roman"/>
          <w:color w:val="auto"/>
          <w:sz w:val="24"/>
          <w:szCs w:val="24"/>
        </w:rPr>
        <w:t>”符合性</w:t>
      </w:r>
      <w:r>
        <w:rPr>
          <w:rFonts w:ascii="Times New Roman" w:hAnsi="Times New Roman"/>
          <w:color w:val="auto"/>
          <w:sz w:val="24"/>
          <w:szCs w:val="24"/>
        </w:rPr>
        <w:t>分析</w:t>
      </w:r>
      <w:r>
        <w:rPr>
          <w:color w:val="auto"/>
          <w:sz w:val="24"/>
          <w:szCs w:val="24"/>
        </w:rPr>
        <w:tab/>
      </w:r>
      <w:r>
        <w:rPr>
          <w:color w:val="auto"/>
          <w:sz w:val="24"/>
          <w:szCs w:val="24"/>
        </w:rPr>
        <w:fldChar w:fldCharType="begin"/>
      </w:r>
      <w:r>
        <w:rPr>
          <w:color w:val="auto"/>
          <w:sz w:val="24"/>
          <w:szCs w:val="24"/>
        </w:rPr>
        <w:instrText xml:space="preserve"> PAGEREF _Toc3698 </w:instrText>
      </w:r>
      <w:r>
        <w:rPr>
          <w:color w:val="auto"/>
          <w:sz w:val="24"/>
          <w:szCs w:val="24"/>
        </w:rPr>
        <w:fldChar w:fldCharType="separate"/>
      </w:r>
      <w:r>
        <w:rPr>
          <w:color w:val="auto"/>
          <w:sz w:val="24"/>
          <w:szCs w:val="24"/>
        </w:rPr>
        <w:t>5</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1.3.</w:t>
      </w:r>
      <w:r>
        <w:rPr>
          <w:rFonts w:ascii="Times New Roman" w:hAnsi="Times New Roman"/>
          <w:color w:val="auto"/>
          <w:sz w:val="24"/>
          <w:szCs w:val="24"/>
        </w:rPr>
        <w:t>5</w:t>
      </w:r>
      <w:r>
        <w:rPr>
          <w:rFonts w:hint="eastAsia" w:ascii="Times New Roman" w:hAnsi="Times New Roman"/>
          <w:color w:val="auto"/>
          <w:sz w:val="24"/>
          <w:szCs w:val="24"/>
        </w:rPr>
        <w:t>云南省</w:t>
      </w:r>
      <w:r>
        <w:rPr>
          <w:rFonts w:ascii="Times New Roman" w:hAnsi="Times New Roman"/>
          <w:color w:val="auto"/>
          <w:sz w:val="24"/>
          <w:szCs w:val="24"/>
        </w:rPr>
        <w:t>主体功能区规划符合性分析</w:t>
      </w:r>
      <w:r>
        <w:rPr>
          <w:color w:val="auto"/>
          <w:sz w:val="24"/>
          <w:szCs w:val="24"/>
        </w:rPr>
        <w:tab/>
      </w:r>
      <w:r>
        <w:rPr>
          <w:color w:val="auto"/>
          <w:sz w:val="24"/>
          <w:szCs w:val="24"/>
        </w:rPr>
        <w:fldChar w:fldCharType="begin"/>
      </w:r>
      <w:r>
        <w:rPr>
          <w:color w:val="auto"/>
          <w:sz w:val="24"/>
          <w:szCs w:val="24"/>
        </w:rPr>
        <w:instrText xml:space="preserve"> PAGEREF _Toc17416 </w:instrText>
      </w:r>
      <w:r>
        <w:rPr>
          <w:color w:val="auto"/>
          <w:sz w:val="24"/>
          <w:szCs w:val="24"/>
        </w:rPr>
        <w:fldChar w:fldCharType="separate"/>
      </w:r>
      <w:r>
        <w:rPr>
          <w:color w:val="auto"/>
          <w:sz w:val="24"/>
          <w:szCs w:val="24"/>
        </w:rPr>
        <w:t>5</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1.3.</w:t>
      </w:r>
      <w:r>
        <w:rPr>
          <w:rFonts w:ascii="Times New Roman" w:hAnsi="Times New Roman"/>
          <w:color w:val="auto"/>
          <w:sz w:val="24"/>
          <w:szCs w:val="24"/>
        </w:rPr>
        <w:t>6</w:t>
      </w:r>
      <w:r>
        <w:rPr>
          <w:rFonts w:hint="eastAsia" w:ascii="Times New Roman" w:hAnsi="Times New Roman"/>
          <w:color w:val="auto"/>
          <w:sz w:val="24"/>
          <w:szCs w:val="24"/>
        </w:rPr>
        <w:t>“水十条”、“气十条”、“土十条”符合性</w:t>
      </w:r>
      <w:r>
        <w:rPr>
          <w:rFonts w:ascii="Times New Roman" w:hAnsi="Times New Roman"/>
          <w:color w:val="auto"/>
          <w:sz w:val="24"/>
          <w:szCs w:val="24"/>
        </w:rPr>
        <w:t>分析</w:t>
      </w:r>
      <w:r>
        <w:rPr>
          <w:color w:val="auto"/>
          <w:sz w:val="24"/>
          <w:szCs w:val="24"/>
        </w:rPr>
        <w:tab/>
      </w:r>
      <w:r>
        <w:rPr>
          <w:color w:val="auto"/>
          <w:sz w:val="24"/>
          <w:szCs w:val="24"/>
        </w:rPr>
        <w:fldChar w:fldCharType="begin"/>
      </w:r>
      <w:r>
        <w:rPr>
          <w:color w:val="auto"/>
          <w:sz w:val="24"/>
          <w:szCs w:val="24"/>
        </w:rPr>
        <w:instrText xml:space="preserve"> PAGEREF _Toc2450 </w:instrText>
      </w:r>
      <w:r>
        <w:rPr>
          <w:color w:val="auto"/>
          <w:sz w:val="24"/>
          <w:szCs w:val="24"/>
        </w:rPr>
        <w:fldChar w:fldCharType="separate"/>
      </w:r>
      <w:r>
        <w:rPr>
          <w:color w:val="auto"/>
          <w:sz w:val="24"/>
          <w:szCs w:val="24"/>
        </w:rPr>
        <w:t>5</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1.4</w:t>
      </w:r>
      <w:r>
        <w:rPr>
          <w:rFonts w:hint="eastAsia" w:hAnsi="Times New Roman"/>
          <w:color w:val="auto"/>
          <w:sz w:val="24"/>
          <w:szCs w:val="24"/>
        </w:rPr>
        <w:t>项目</w:t>
      </w:r>
      <w:r>
        <w:rPr>
          <w:rFonts w:hAnsi="Times New Roman"/>
          <w:color w:val="auto"/>
          <w:sz w:val="24"/>
          <w:szCs w:val="24"/>
        </w:rPr>
        <w:t>主要关注的环境问题</w:t>
      </w:r>
      <w:r>
        <w:rPr>
          <w:color w:val="auto"/>
          <w:sz w:val="24"/>
          <w:szCs w:val="24"/>
        </w:rPr>
        <w:tab/>
      </w:r>
      <w:r>
        <w:rPr>
          <w:color w:val="auto"/>
          <w:sz w:val="24"/>
          <w:szCs w:val="24"/>
        </w:rPr>
        <w:fldChar w:fldCharType="begin"/>
      </w:r>
      <w:r>
        <w:rPr>
          <w:color w:val="auto"/>
          <w:sz w:val="24"/>
          <w:szCs w:val="24"/>
        </w:rPr>
        <w:instrText xml:space="preserve"> PAGEREF _Toc23873 </w:instrText>
      </w:r>
      <w:r>
        <w:rPr>
          <w:color w:val="auto"/>
          <w:sz w:val="24"/>
          <w:szCs w:val="24"/>
        </w:rPr>
        <w:fldChar w:fldCharType="separate"/>
      </w:r>
      <w:r>
        <w:rPr>
          <w:color w:val="auto"/>
          <w:sz w:val="24"/>
          <w:szCs w:val="24"/>
        </w:rPr>
        <w:t>10</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1.5环境影响评价的主要结论</w:t>
      </w:r>
      <w:r>
        <w:rPr>
          <w:color w:val="auto"/>
          <w:sz w:val="24"/>
          <w:szCs w:val="24"/>
        </w:rPr>
        <w:tab/>
      </w:r>
      <w:r>
        <w:rPr>
          <w:color w:val="auto"/>
          <w:sz w:val="24"/>
          <w:szCs w:val="24"/>
        </w:rPr>
        <w:fldChar w:fldCharType="begin"/>
      </w:r>
      <w:r>
        <w:rPr>
          <w:color w:val="auto"/>
          <w:sz w:val="24"/>
          <w:szCs w:val="24"/>
        </w:rPr>
        <w:instrText xml:space="preserve"> PAGEREF _Toc12224 </w:instrText>
      </w:r>
      <w:r>
        <w:rPr>
          <w:color w:val="auto"/>
          <w:sz w:val="24"/>
          <w:szCs w:val="24"/>
        </w:rPr>
        <w:fldChar w:fldCharType="separate"/>
      </w:r>
      <w:r>
        <w:rPr>
          <w:color w:val="auto"/>
          <w:sz w:val="24"/>
          <w:szCs w:val="24"/>
        </w:rPr>
        <w:t>11</w:t>
      </w:r>
      <w:r>
        <w:rPr>
          <w:color w:val="auto"/>
          <w:sz w:val="24"/>
          <w:szCs w:val="24"/>
        </w:rPr>
        <w:fldChar w:fldCharType="end"/>
      </w:r>
    </w:p>
    <w:p>
      <w:pPr>
        <w:pStyle w:val="15"/>
        <w:tabs>
          <w:tab w:val="right" w:leader="dot" w:pos="8306"/>
        </w:tabs>
        <w:rPr>
          <w:color w:val="auto"/>
          <w:sz w:val="24"/>
          <w:szCs w:val="24"/>
        </w:rPr>
      </w:pPr>
      <w:r>
        <w:rPr>
          <w:rFonts w:hint="eastAsia"/>
          <w:color w:val="auto"/>
          <w:sz w:val="24"/>
          <w:szCs w:val="24"/>
        </w:rPr>
        <w:t>2.总则</w:t>
      </w:r>
      <w:r>
        <w:rPr>
          <w:color w:val="auto"/>
          <w:sz w:val="24"/>
          <w:szCs w:val="24"/>
        </w:rPr>
        <w:tab/>
      </w:r>
      <w:r>
        <w:rPr>
          <w:color w:val="auto"/>
          <w:sz w:val="24"/>
          <w:szCs w:val="24"/>
        </w:rPr>
        <w:fldChar w:fldCharType="begin"/>
      </w:r>
      <w:r>
        <w:rPr>
          <w:color w:val="auto"/>
          <w:sz w:val="24"/>
          <w:szCs w:val="24"/>
        </w:rPr>
        <w:instrText xml:space="preserve"> PAGEREF _Toc24655 </w:instrText>
      </w:r>
      <w:r>
        <w:rPr>
          <w:color w:val="auto"/>
          <w:sz w:val="24"/>
          <w:szCs w:val="24"/>
        </w:rPr>
        <w:fldChar w:fldCharType="separate"/>
      </w:r>
      <w:r>
        <w:rPr>
          <w:color w:val="auto"/>
          <w:sz w:val="24"/>
          <w:szCs w:val="24"/>
        </w:rPr>
        <w:t>12</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2.1编制依据</w:t>
      </w:r>
      <w:r>
        <w:rPr>
          <w:color w:val="auto"/>
          <w:sz w:val="24"/>
          <w:szCs w:val="24"/>
        </w:rPr>
        <w:tab/>
      </w:r>
      <w:r>
        <w:rPr>
          <w:color w:val="auto"/>
          <w:sz w:val="24"/>
          <w:szCs w:val="24"/>
        </w:rPr>
        <w:fldChar w:fldCharType="begin"/>
      </w:r>
      <w:r>
        <w:rPr>
          <w:color w:val="auto"/>
          <w:sz w:val="24"/>
          <w:szCs w:val="24"/>
        </w:rPr>
        <w:instrText xml:space="preserve"> PAGEREF _Toc25714 </w:instrText>
      </w:r>
      <w:r>
        <w:rPr>
          <w:color w:val="auto"/>
          <w:sz w:val="24"/>
          <w:szCs w:val="24"/>
        </w:rPr>
        <w:fldChar w:fldCharType="separate"/>
      </w:r>
      <w:r>
        <w:rPr>
          <w:color w:val="auto"/>
          <w:sz w:val="24"/>
          <w:szCs w:val="24"/>
        </w:rPr>
        <w:t>12</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2.1.1国家环境保护法律、法规和有关文件</w:t>
      </w:r>
      <w:r>
        <w:rPr>
          <w:color w:val="auto"/>
          <w:sz w:val="24"/>
          <w:szCs w:val="24"/>
        </w:rPr>
        <w:tab/>
      </w:r>
      <w:r>
        <w:rPr>
          <w:color w:val="auto"/>
          <w:sz w:val="24"/>
          <w:szCs w:val="24"/>
        </w:rPr>
        <w:fldChar w:fldCharType="begin"/>
      </w:r>
      <w:r>
        <w:rPr>
          <w:color w:val="auto"/>
          <w:sz w:val="24"/>
          <w:szCs w:val="24"/>
        </w:rPr>
        <w:instrText xml:space="preserve"> PAGEREF _Toc11464 </w:instrText>
      </w:r>
      <w:r>
        <w:rPr>
          <w:color w:val="auto"/>
          <w:sz w:val="24"/>
          <w:szCs w:val="24"/>
        </w:rPr>
        <w:fldChar w:fldCharType="separate"/>
      </w:r>
      <w:r>
        <w:rPr>
          <w:color w:val="auto"/>
          <w:sz w:val="24"/>
          <w:szCs w:val="24"/>
        </w:rPr>
        <w:t>12</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2.1.2地方法律法规及政策</w:t>
      </w:r>
      <w:r>
        <w:rPr>
          <w:color w:val="auto"/>
          <w:sz w:val="24"/>
          <w:szCs w:val="24"/>
        </w:rPr>
        <w:tab/>
      </w:r>
      <w:r>
        <w:rPr>
          <w:color w:val="auto"/>
          <w:sz w:val="24"/>
          <w:szCs w:val="24"/>
        </w:rPr>
        <w:fldChar w:fldCharType="begin"/>
      </w:r>
      <w:r>
        <w:rPr>
          <w:color w:val="auto"/>
          <w:sz w:val="24"/>
          <w:szCs w:val="24"/>
        </w:rPr>
        <w:instrText xml:space="preserve"> PAGEREF _Toc21237 </w:instrText>
      </w:r>
      <w:r>
        <w:rPr>
          <w:color w:val="auto"/>
          <w:sz w:val="24"/>
          <w:szCs w:val="24"/>
        </w:rPr>
        <w:fldChar w:fldCharType="separate"/>
      </w:r>
      <w:r>
        <w:rPr>
          <w:color w:val="auto"/>
          <w:sz w:val="24"/>
          <w:szCs w:val="24"/>
        </w:rPr>
        <w:t>13</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2.1.3行业</w:t>
      </w:r>
      <w:r>
        <w:rPr>
          <w:rFonts w:ascii="Times New Roman" w:hAnsi="Times New Roman"/>
          <w:color w:val="auto"/>
          <w:sz w:val="24"/>
          <w:szCs w:val="24"/>
        </w:rPr>
        <w:t>标准和技术规范</w:t>
      </w:r>
      <w:r>
        <w:rPr>
          <w:color w:val="auto"/>
          <w:sz w:val="24"/>
          <w:szCs w:val="24"/>
        </w:rPr>
        <w:tab/>
      </w:r>
      <w:r>
        <w:rPr>
          <w:color w:val="auto"/>
          <w:sz w:val="24"/>
          <w:szCs w:val="24"/>
        </w:rPr>
        <w:fldChar w:fldCharType="begin"/>
      </w:r>
      <w:r>
        <w:rPr>
          <w:color w:val="auto"/>
          <w:sz w:val="24"/>
          <w:szCs w:val="24"/>
        </w:rPr>
        <w:instrText xml:space="preserve"> PAGEREF _Toc10899 </w:instrText>
      </w:r>
      <w:r>
        <w:rPr>
          <w:color w:val="auto"/>
          <w:sz w:val="24"/>
          <w:szCs w:val="24"/>
        </w:rPr>
        <w:fldChar w:fldCharType="separate"/>
      </w:r>
      <w:r>
        <w:rPr>
          <w:color w:val="auto"/>
          <w:sz w:val="24"/>
          <w:szCs w:val="24"/>
        </w:rPr>
        <w:t>13</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2.1.4委托</w:t>
      </w:r>
      <w:r>
        <w:rPr>
          <w:rFonts w:ascii="Times New Roman" w:hAnsi="Times New Roman"/>
          <w:color w:val="auto"/>
          <w:sz w:val="24"/>
          <w:szCs w:val="24"/>
        </w:rPr>
        <w:t>、相关文件及技术资料</w:t>
      </w:r>
      <w:r>
        <w:rPr>
          <w:color w:val="auto"/>
          <w:sz w:val="24"/>
          <w:szCs w:val="24"/>
        </w:rPr>
        <w:tab/>
      </w:r>
      <w:r>
        <w:rPr>
          <w:color w:val="auto"/>
          <w:sz w:val="24"/>
          <w:szCs w:val="24"/>
        </w:rPr>
        <w:fldChar w:fldCharType="begin"/>
      </w:r>
      <w:r>
        <w:rPr>
          <w:color w:val="auto"/>
          <w:sz w:val="24"/>
          <w:szCs w:val="24"/>
        </w:rPr>
        <w:instrText xml:space="preserve"> PAGEREF _Toc11831 </w:instrText>
      </w:r>
      <w:r>
        <w:rPr>
          <w:color w:val="auto"/>
          <w:sz w:val="24"/>
          <w:szCs w:val="24"/>
        </w:rPr>
        <w:fldChar w:fldCharType="separate"/>
      </w:r>
      <w:r>
        <w:rPr>
          <w:color w:val="auto"/>
          <w:sz w:val="24"/>
          <w:szCs w:val="24"/>
        </w:rPr>
        <w:t>14</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2.2评价目的、指导思想和评价原则</w:t>
      </w:r>
      <w:r>
        <w:rPr>
          <w:color w:val="auto"/>
          <w:sz w:val="24"/>
          <w:szCs w:val="24"/>
        </w:rPr>
        <w:tab/>
      </w:r>
      <w:r>
        <w:rPr>
          <w:color w:val="auto"/>
          <w:sz w:val="24"/>
          <w:szCs w:val="24"/>
        </w:rPr>
        <w:fldChar w:fldCharType="begin"/>
      </w:r>
      <w:r>
        <w:rPr>
          <w:color w:val="auto"/>
          <w:sz w:val="24"/>
          <w:szCs w:val="24"/>
        </w:rPr>
        <w:instrText xml:space="preserve"> PAGEREF _Toc2302 </w:instrText>
      </w:r>
      <w:r>
        <w:rPr>
          <w:color w:val="auto"/>
          <w:sz w:val="24"/>
          <w:szCs w:val="24"/>
        </w:rPr>
        <w:fldChar w:fldCharType="separate"/>
      </w:r>
      <w:r>
        <w:rPr>
          <w:color w:val="auto"/>
          <w:sz w:val="24"/>
          <w:szCs w:val="24"/>
        </w:rPr>
        <w:t>15</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2.2.1评价目的</w:t>
      </w:r>
      <w:r>
        <w:rPr>
          <w:color w:val="auto"/>
          <w:sz w:val="24"/>
          <w:szCs w:val="24"/>
        </w:rPr>
        <w:tab/>
      </w:r>
      <w:r>
        <w:rPr>
          <w:color w:val="auto"/>
          <w:sz w:val="24"/>
          <w:szCs w:val="24"/>
        </w:rPr>
        <w:fldChar w:fldCharType="begin"/>
      </w:r>
      <w:r>
        <w:rPr>
          <w:color w:val="auto"/>
          <w:sz w:val="24"/>
          <w:szCs w:val="24"/>
        </w:rPr>
        <w:instrText xml:space="preserve"> PAGEREF _Toc30726 </w:instrText>
      </w:r>
      <w:r>
        <w:rPr>
          <w:color w:val="auto"/>
          <w:sz w:val="24"/>
          <w:szCs w:val="24"/>
        </w:rPr>
        <w:fldChar w:fldCharType="separate"/>
      </w:r>
      <w:r>
        <w:rPr>
          <w:color w:val="auto"/>
          <w:sz w:val="24"/>
          <w:szCs w:val="24"/>
        </w:rPr>
        <w:t>15</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2.2.2指导思想</w:t>
      </w:r>
      <w:r>
        <w:rPr>
          <w:color w:val="auto"/>
          <w:sz w:val="24"/>
          <w:szCs w:val="24"/>
        </w:rPr>
        <w:tab/>
      </w:r>
      <w:r>
        <w:rPr>
          <w:color w:val="auto"/>
          <w:sz w:val="24"/>
          <w:szCs w:val="24"/>
        </w:rPr>
        <w:fldChar w:fldCharType="begin"/>
      </w:r>
      <w:r>
        <w:rPr>
          <w:color w:val="auto"/>
          <w:sz w:val="24"/>
          <w:szCs w:val="24"/>
        </w:rPr>
        <w:instrText xml:space="preserve"> PAGEREF _Toc23433 </w:instrText>
      </w:r>
      <w:r>
        <w:rPr>
          <w:color w:val="auto"/>
          <w:sz w:val="24"/>
          <w:szCs w:val="24"/>
        </w:rPr>
        <w:fldChar w:fldCharType="separate"/>
      </w:r>
      <w:r>
        <w:rPr>
          <w:color w:val="auto"/>
          <w:sz w:val="24"/>
          <w:szCs w:val="24"/>
        </w:rPr>
        <w:t>15</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color w:val="auto"/>
          <w:sz w:val="24"/>
          <w:szCs w:val="24"/>
        </w:rPr>
        <w:t>2.2.3评价原则</w:t>
      </w:r>
      <w:r>
        <w:rPr>
          <w:color w:val="auto"/>
          <w:sz w:val="24"/>
          <w:szCs w:val="24"/>
        </w:rPr>
        <w:tab/>
      </w:r>
      <w:r>
        <w:rPr>
          <w:color w:val="auto"/>
          <w:sz w:val="24"/>
          <w:szCs w:val="24"/>
        </w:rPr>
        <w:fldChar w:fldCharType="begin"/>
      </w:r>
      <w:r>
        <w:rPr>
          <w:color w:val="auto"/>
          <w:sz w:val="24"/>
          <w:szCs w:val="24"/>
        </w:rPr>
        <w:instrText xml:space="preserve"> PAGEREF _Toc21277 </w:instrText>
      </w:r>
      <w:r>
        <w:rPr>
          <w:color w:val="auto"/>
          <w:sz w:val="24"/>
          <w:szCs w:val="24"/>
        </w:rPr>
        <w:fldChar w:fldCharType="separate"/>
      </w:r>
      <w:r>
        <w:rPr>
          <w:color w:val="auto"/>
          <w:sz w:val="24"/>
          <w:szCs w:val="24"/>
        </w:rPr>
        <w:t>15</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2.3评价因子和评价标准</w:t>
      </w:r>
      <w:r>
        <w:rPr>
          <w:color w:val="auto"/>
          <w:sz w:val="24"/>
          <w:szCs w:val="24"/>
        </w:rPr>
        <w:tab/>
      </w:r>
      <w:r>
        <w:rPr>
          <w:color w:val="auto"/>
          <w:sz w:val="24"/>
          <w:szCs w:val="24"/>
        </w:rPr>
        <w:fldChar w:fldCharType="begin"/>
      </w:r>
      <w:r>
        <w:rPr>
          <w:color w:val="auto"/>
          <w:sz w:val="24"/>
          <w:szCs w:val="24"/>
        </w:rPr>
        <w:instrText xml:space="preserve"> PAGEREF _Toc10814 </w:instrText>
      </w:r>
      <w:r>
        <w:rPr>
          <w:color w:val="auto"/>
          <w:sz w:val="24"/>
          <w:szCs w:val="24"/>
        </w:rPr>
        <w:fldChar w:fldCharType="separate"/>
      </w:r>
      <w:r>
        <w:rPr>
          <w:color w:val="auto"/>
          <w:sz w:val="24"/>
          <w:szCs w:val="24"/>
        </w:rPr>
        <w:t>16</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2.3.1环境影响因素识别</w:t>
      </w:r>
      <w:r>
        <w:rPr>
          <w:color w:val="auto"/>
          <w:sz w:val="24"/>
          <w:szCs w:val="24"/>
        </w:rPr>
        <w:tab/>
      </w:r>
      <w:r>
        <w:rPr>
          <w:color w:val="auto"/>
          <w:sz w:val="24"/>
          <w:szCs w:val="24"/>
        </w:rPr>
        <w:fldChar w:fldCharType="begin"/>
      </w:r>
      <w:r>
        <w:rPr>
          <w:color w:val="auto"/>
          <w:sz w:val="24"/>
          <w:szCs w:val="24"/>
        </w:rPr>
        <w:instrText xml:space="preserve"> PAGEREF _Toc16048 </w:instrText>
      </w:r>
      <w:r>
        <w:rPr>
          <w:color w:val="auto"/>
          <w:sz w:val="24"/>
          <w:szCs w:val="24"/>
        </w:rPr>
        <w:fldChar w:fldCharType="separate"/>
      </w:r>
      <w:r>
        <w:rPr>
          <w:color w:val="auto"/>
          <w:sz w:val="24"/>
          <w:szCs w:val="24"/>
        </w:rPr>
        <w:t>16</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2.3.2评价因子筛选</w:t>
      </w:r>
      <w:r>
        <w:rPr>
          <w:color w:val="auto"/>
          <w:sz w:val="24"/>
          <w:szCs w:val="24"/>
        </w:rPr>
        <w:tab/>
      </w:r>
      <w:r>
        <w:rPr>
          <w:color w:val="auto"/>
          <w:sz w:val="24"/>
          <w:szCs w:val="24"/>
        </w:rPr>
        <w:fldChar w:fldCharType="begin"/>
      </w:r>
      <w:r>
        <w:rPr>
          <w:color w:val="auto"/>
          <w:sz w:val="24"/>
          <w:szCs w:val="24"/>
        </w:rPr>
        <w:instrText xml:space="preserve"> PAGEREF _Toc31113 </w:instrText>
      </w:r>
      <w:r>
        <w:rPr>
          <w:color w:val="auto"/>
          <w:sz w:val="24"/>
          <w:szCs w:val="24"/>
        </w:rPr>
        <w:fldChar w:fldCharType="separate"/>
      </w:r>
      <w:r>
        <w:rPr>
          <w:color w:val="auto"/>
          <w:sz w:val="24"/>
          <w:szCs w:val="24"/>
        </w:rPr>
        <w:t>17</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2.4评价工作等级及评价范围</w:t>
      </w:r>
      <w:r>
        <w:rPr>
          <w:color w:val="auto"/>
          <w:sz w:val="24"/>
          <w:szCs w:val="24"/>
        </w:rPr>
        <w:tab/>
      </w:r>
      <w:r>
        <w:rPr>
          <w:color w:val="auto"/>
          <w:sz w:val="24"/>
          <w:szCs w:val="24"/>
        </w:rPr>
        <w:fldChar w:fldCharType="begin"/>
      </w:r>
      <w:r>
        <w:rPr>
          <w:color w:val="auto"/>
          <w:sz w:val="24"/>
          <w:szCs w:val="24"/>
        </w:rPr>
        <w:instrText xml:space="preserve"> PAGEREF _Toc20320 </w:instrText>
      </w:r>
      <w:r>
        <w:rPr>
          <w:color w:val="auto"/>
          <w:sz w:val="24"/>
          <w:szCs w:val="24"/>
        </w:rPr>
        <w:fldChar w:fldCharType="separate"/>
      </w:r>
      <w:r>
        <w:rPr>
          <w:color w:val="auto"/>
          <w:sz w:val="24"/>
          <w:szCs w:val="24"/>
        </w:rPr>
        <w:t>18</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2.4.1环境空气评价工作等级及评价范围</w:t>
      </w:r>
      <w:r>
        <w:rPr>
          <w:color w:val="auto"/>
          <w:sz w:val="24"/>
          <w:szCs w:val="24"/>
        </w:rPr>
        <w:tab/>
      </w:r>
      <w:r>
        <w:rPr>
          <w:color w:val="auto"/>
          <w:sz w:val="24"/>
          <w:szCs w:val="24"/>
        </w:rPr>
        <w:fldChar w:fldCharType="begin"/>
      </w:r>
      <w:r>
        <w:rPr>
          <w:color w:val="auto"/>
          <w:sz w:val="24"/>
          <w:szCs w:val="24"/>
        </w:rPr>
        <w:instrText xml:space="preserve"> PAGEREF _Toc11746 </w:instrText>
      </w:r>
      <w:r>
        <w:rPr>
          <w:color w:val="auto"/>
          <w:sz w:val="24"/>
          <w:szCs w:val="24"/>
        </w:rPr>
        <w:fldChar w:fldCharType="separate"/>
      </w:r>
      <w:r>
        <w:rPr>
          <w:color w:val="auto"/>
          <w:sz w:val="24"/>
          <w:szCs w:val="24"/>
        </w:rPr>
        <w:t>18</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2.4.</w:t>
      </w:r>
      <w:r>
        <w:rPr>
          <w:rFonts w:hAnsi="Times New Roman"/>
          <w:color w:val="auto"/>
          <w:sz w:val="24"/>
          <w:szCs w:val="24"/>
        </w:rPr>
        <w:t>2</w:t>
      </w:r>
      <w:r>
        <w:rPr>
          <w:rFonts w:hint="eastAsia" w:hAnsi="Times New Roman"/>
          <w:color w:val="auto"/>
          <w:sz w:val="24"/>
          <w:szCs w:val="24"/>
        </w:rPr>
        <w:t>地表水评价工作等级及评价范围</w:t>
      </w:r>
      <w:r>
        <w:rPr>
          <w:color w:val="auto"/>
          <w:sz w:val="24"/>
          <w:szCs w:val="24"/>
        </w:rPr>
        <w:tab/>
      </w:r>
      <w:r>
        <w:rPr>
          <w:color w:val="auto"/>
          <w:sz w:val="24"/>
          <w:szCs w:val="24"/>
        </w:rPr>
        <w:fldChar w:fldCharType="begin"/>
      </w:r>
      <w:r>
        <w:rPr>
          <w:color w:val="auto"/>
          <w:sz w:val="24"/>
          <w:szCs w:val="24"/>
        </w:rPr>
        <w:instrText xml:space="preserve"> PAGEREF _Toc22714 </w:instrText>
      </w:r>
      <w:r>
        <w:rPr>
          <w:color w:val="auto"/>
          <w:sz w:val="24"/>
          <w:szCs w:val="24"/>
        </w:rPr>
        <w:fldChar w:fldCharType="separate"/>
      </w:r>
      <w:r>
        <w:rPr>
          <w:color w:val="auto"/>
          <w:sz w:val="24"/>
          <w:szCs w:val="24"/>
        </w:rPr>
        <w:t>19</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2.4.</w:t>
      </w:r>
      <w:r>
        <w:rPr>
          <w:rFonts w:hAnsi="Times New Roman"/>
          <w:color w:val="auto"/>
          <w:sz w:val="24"/>
          <w:szCs w:val="24"/>
        </w:rPr>
        <w:t>3</w:t>
      </w:r>
      <w:r>
        <w:rPr>
          <w:rFonts w:hint="eastAsia" w:hAnsi="Times New Roman"/>
          <w:color w:val="auto"/>
          <w:sz w:val="24"/>
          <w:szCs w:val="24"/>
        </w:rPr>
        <w:t>地下水评价工作等级及</w:t>
      </w:r>
      <w:r>
        <w:rPr>
          <w:rFonts w:hAnsi="Times New Roman"/>
          <w:color w:val="auto"/>
          <w:sz w:val="24"/>
          <w:szCs w:val="24"/>
        </w:rPr>
        <w:t>评价范围</w:t>
      </w:r>
      <w:r>
        <w:rPr>
          <w:color w:val="auto"/>
          <w:sz w:val="24"/>
          <w:szCs w:val="24"/>
        </w:rPr>
        <w:tab/>
      </w:r>
      <w:r>
        <w:rPr>
          <w:color w:val="auto"/>
          <w:sz w:val="24"/>
          <w:szCs w:val="24"/>
        </w:rPr>
        <w:fldChar w:fldCharType="begin"/>
      </w:r>
      <w:r>
        <w:rPr>
          <w:color w:val="auto"/>
          <w:sz w:val="24"/>
          <w:szCs w:val="24"/>
        </w:rPr>
        <w:instrText xml:space="preserve"> PAGEREF _Toc4559 </w:instrText>
      </w:r>
      <w:r>
        <w:rPr>
          <w:color w:val="auto"/>
          <w:sz w:val="24"/>
          <w:szCs w:val="24"/>
        </w:rPr>
        <w:fldChar w:fldCharType="separate"/>
      </w:r>
      <w:r>
        <w:rPr>
          <w:color w:val="auto"/>
          <w:sz w:val="24"/>
          <w:szCs w:val="24"/>
        </w:rPr>
        <w:t>20</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2.4.</w:t>
      </w:r>
      <w:r>
        <w:rPr>
          <w:rFonts w:hAnsi="Times New Roman"/>
          <w:color w:val="auto"/>
          <w:sz w:val="24"/>
          <w:szCs w:val="24"/>
        </w:rPr>
        <w:t>3</w:t>
      </w:r>
      <w:r>
        <w:rPr>
          <w:rFonts w:hint="eastAsia" w:hAnsi="Times New Roman"/>
          <w:color w:val="auto"/>
          <w:sz w:val="24"/>
          <w:szCs w:val="24"/>
        </w:rPr>
        <w:t>声环境评价工作等级及</w:t>
      </w:r>
      <w:r>
        <w:rPr>
          <w:rFonts w:hAnsi="Times New Roman"/>
          <w:color w:val="auto"/>
          <w:sz w:val="24"/>
          <w:szCs w:val="24"/>
        </w:rPr>
        <w:t>评价</w:t>
      </w:r>
      <w:r>
        <w:rPr>
          <w:rFonts w:hint="eastAsia" w:hAnsi="Times New Roman"/>
          <w:color w:val="auto"/>
          <w:sz w:val="24"/>
          <w:szCs w:val="24"/>
        </w:rPr>
        <w:t>范围</w:t>
      </w:r>
      <w:r>
        <w:rPr>
          <w:color w:val="auto"/>
          <w:sz w:val="24"/>
          <w:szCs w:val="24"/>
        </w:rPr>
        <w:tab/>
      </w:r>
      <w:r>
        <w:rPr>
          <w:color w:val="auto"/>
          <w:sz w:val="24"/>
          <w:szCs w:val="24"/>
        </w:rPr>
        <w:fldChar w:fldCharType="begin"/>
      </w:r>
      <w:r>
        <w:rPr>
          <w:color w:val="auto"/>
          <w:sz w:val="24"/>
          <w:szCs w:val="24"/>
        </w:rPr>
        <w:instrText xml:space="preserve"> PAGEREF _Toc21413 </w:instrText>
      </w:r>
      <w:r>
        <w:rPr>
          <w:color w:val="auto"/>
          <w:sz w:val="24"/>
          <w:szCs w:val="24"/>
        </w:rPr>
        <w:fldChar w:fldCharType="separate"/>
      </w:r>
      <w:r>
        <w:rPr>
          <w:color w:val="auto"/>
          <w:sz w:val="24"/>
          <w:szCs w:val="24"/>
        </w:rPr>
        <w:t>21</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2.4.</w:t>
      </w:r>
      <w:r>
        <w:rPr>
          <w:rFonts w:hAnsi="Times New Roman"/>
          <w:color w:val="auto"/>
          <w:sz w:val="24"/>
          <w:szCs w:val="24"/>
        </w:rPr>
        <w:t>4</w:t>
      </w:r>
      <w:r>
        <w:rPr>
          <w:rFonts w:hint="eastAsia" w:hAnsi="Times New Roman"/>
          <w:color w:val="auto"/>
          <w:sz w:val="24"/>
          <w:szCs w:val="24"/>
        </w:rPr>
        <w:t>土壤环境评价工作等级</w:t>
      </w:r>
      <w:r>
        <w:rPr>
          <w:color w:val="auto"/>
          <w:sz w:val="24"/>
          <w:szCs w:val="24"/>
        </w:rPr>
        <w:tab/>
      </w:r>
      <w:r>
        <w:rPr>
          <w:color w:val="auto"/>
          <w:sz w:val="24"/>
          <w:szCs w:val="24"/>
        </w:rPr>
        <w:fldChar w:fldCharType="begin"/>
      </w:r>
      <w:r>
        <w:rPr>
          <w:color w:val="auto"/>
          <w:sz w:val="24"/>
          <w:szCs w:val="24"/>
        </w:rPr>
        <w:instrText xml:space="preserve"> PAGEREF _Toc14609 </w:instrText>
      </w:r>
      <w:r>
        <w:rPr>
          <w:color w:val="auto"/>
          <w:sz w:val="24"/>
          <w:szCs w:val="24"/>
        </w:rPr>
        <w:fldChar w:fldCharType="separate"/>
      </w:r>
      <w:r>
        <w:rPr>
          <w:color w:val="auto"/>
          <w:sz w:val="24"/>
          <w:szCs w:val="24"/>
        </w:rPr>
        <w:t>22</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2.4.</w:t>
      </w:r>
      <w:r>
        <w:rPr>
          <w:rFonts w:hAnsi="Times New Roman"/>
          <w:color w:val="auto"/>
          <w:sz w:val="24"/>
          <w:szCs w:val="24"/>
        </w:rPr>
        <w:t>5</w:t>
      </w:r>
      <w:r>
        <w:rPr>
          <w:rFonts w:hint="eastAsia" w:hAnsi="Times New Roman"/>
          <w:color w:val="auto"/>
          <w:sz w:val="24"/>
          <w:szCs w:val="24"/>
        </w:rPr>
        <w:t>生态环境评价工作等级及</w:t>
      </w:r>
      <w:r>
        <w:rPr>
          <w:rFonts w:hAnsi="Times New Roman"/>
          <w:color w:val="auto"/>
          <w:sz w:val="24"/>
          <w:szCs w:val="24"/>
        </w:rPr>
        <w:t>评价范围</w:t>
      </w:r>
      <w:r>
        <w:rPr>
          <w:color w:val="auto"/>
          <w:sz w:val="24"/>
          <w:szCs w:val="24"/>
        </w:rPr>
        <w:tab/>
      </w:r>
      <w:r>
        <w:rPr>
          <w:color w:val="auto"/>
          <w:sz w:val="24"/>
          <w:szCs w:val="24"/>
        </w:rPr>
        <w:fldChar w:fldCharType="begin"/>
      </w:r>
      <w:r>
        <w:rPr>
          <w:color w:val="auto"/>
          <w:sz w:val="24"/>
          <w:szCs w:val="24"/>
        </w:rPr>
        <w:instrText xml:space="preserve"> PAGEREF _Toc29050 </w:instrText>
      </w:r>
      <w:r>
        <w:rPr>
          <w:color w:val="auto"/>
          <w:sz w:val="24"/>
          <w:szCs w:val="24"/>
        </w:rPr>
        <w:fldChar w:fldCharType="separate"/>
      </w:r>
      <w:r>
        <w:rPr>
          <w:color w:val="auto"/>
          <w:sz w:val="24"/>
          <w:szCs w:val="24"/>
        </w:rPr>
        <w:t>22</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2.4.</w:t>
      </w:r>
      <w:r>
        <w:rPr>
          <w:rFonts w:hAnsi="Times New Roman"/>
          <w:color w:val="auto"/>
          <w:sz w:val="24"/>
          <w:szCs w:val="24"/>
        </w:rPr>
        <w:t>6</w:t>
      </w:r>
      <w:r>
        <w:rPr>
          <w:rFonts w:hint="eastAsia" w:hAnsi="Times New Roman"/>
          <w:color w:val="auto"/>
          <w:sz w:val="24"/>
          <w:szCs w:val="24"/>
        </w:rPr>
        <w:t>环境风险评价工作等级</w:t>
      </w:r>
      <w:r>
        <w:rPr>
          <w:color w:val="auto"/>
          <w:sz w:val="24"/>
          <w:szCs w:val="24"/>
        </w:rPr>
        <w:tab/>
      </w:r>
      <w:r>
        <w:rPr>
          <w:color w:val="auto"/>
          <w:sz w:val="24"/>
          <w:szCs w:val="24"/>
        </w:rPr>
        <w:fldChar w:fldCharType="begin"/>
      </w:r>
      <w:r>
        <w:rPr>
          <w:color w:val="auto"/>
          <w:sz w:val="24"/>
          <w:szCs w:val="24"/>
        </w:rPr>
        <w:instrText xml:space="preserve"> PAGEREF _Toc4583 </w:instrText>
      </w:r>
      <w:r>
        <w:rPr>
          <w:color w:val="auto"/>
          <w:sz w:val="24"/>
          <w:szCs w:val="24"/>
        </w:rPr>
        <w:fldChar w:fldCharType="separate"/>
      </w:r>
      <w:r>
        <w:rPr>
          <w:color w:val="auto"/>
          <w:sz w:val="24"/>
          <w:szCs w:val="24"/>
        </w:rPr>
        <w:t>23</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2.5评价</w:t>
      </w:r>
      <w:r>
        <w:rPr>
          <w:rFonts w:hAnsi="Times New Roman"/>
          <w:color w:val="auto"/>
          <w:sz w:val="24"/>
          <w:szCs w:val="24"/>
        </w:rPr>
        <w:t>标准</w:t>
      </w:r>
      <w:r>
        <w:rPr>
          <w:color w:val="auto"/>
          <w:sz w:val="24"/>
          <w:szCs w:val="24"/>
        </w:rPr>
        <w:tab/>
      </w:r>
      <w:r>
        <w:rPr>
          <w:color w:val="auto"/>
          <w:sz w:val="24"/>
          <w:szCs w:val="24"/>
        </w:rPr>
        <w:fldChar w:fldCharType="begin"/>
      </w:r>
      <w:r>
        <w:rPr>
          <w:color w:val="auto"/>
          <w:sz w:val="24"/>
          <w:szCs w:val="24"/>
        </w:rPr>
        <w:instrText xml:space="preserve"> PAGEREF _Toc2197 </w:instrText>
      </w:r>
      <w:r>
        <w:rPr>
          <w:color w:val="auto"/>
          <w:sz w:val="24"/>
          <w:szCs w:val="24"/>
        </w:rPr>
        <w:fldChar w:fldCharType="separate"/>
      </w:r>
      <w:r>
        <w:rPr>
          <w:color w:val="auto"/>
          <w:sz w:val="24"/>
          <w:szCs w:val="24"/>
        </w:rPr>
        <w:t>23</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2.5.1环境</w:t>
      </w:r>
      <w:r>
        <w:rPr>
          <w:rFonts w:hAnsi="Times New Roman"/>
          <w:color w:val="auto"/>
          <w:sz w:val="24"/>
          <w:szCs w:val="24"/>
        </w:rPr>
        <w:t>质量标准</w:t>
      </w:r>
      <w:r>
        <w:rPr>
          <w:color w:val="auto"/>
          <w:sz w:val="24"/>
          <w:szCs w:val="24"/>
        </w:rPr>
        <w:tab/>
      </w:r>
      <w:r>
        <w:rPr>
          <w:color w:val="auto"/>
          <w:sz w:val="24"/>
          <w:szCs w:val="24"/>
        </w:rPr>
        <w:fldChar w:fldCharType="begin"/>
      </w:r>
      <w:r>
        <w:rPr>
          <w:color w:val="auto"/>
          <w:sz w:val="24"/>
          <w:szCs w:val="24"/>
        </w:rPr>
        <w:instrText xml:space="preserve"> PAGEREF _Toc15832 </w:instrText>
      </w:r>
      <w:r>
        <w:rPr>
          <w:color w:val="auto"/>
          <w:sz w:val="24"/>
          <w:szCs w:val="24"/>
        </w:rPr>
        <w:fldChar w:fldCharType="separate"/>
      </w:r>
      <w:r>
        <w:rPr>
          <w:color w:val="auto"/>
          <w:sz w:val="24"/>
          <w:szCs w:val="24"/>
        </w:rPr>
        <w:t>23</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2.5.2污染物</w:t>
      </w:r>
      <w:r>
        <w:rPr>
          <w:rFonts w:hAnsi="Times New Roman"/>
          <w:color w:val="auto"/>
          <w:sz w:val="24"/>
          <w:szCs w:val="24"/>
        </w:rPr>
        <w:t>排放标准</w:t>
      </w:r>
      <w:r>
        <w:rPr>
          <w:color w:val="auto"/>
          <w:sz w:val="24"/>
          <w:szCs w:val="24"/>
        </w:rPr>
        <w:tab/>
      </w:r>
      <w:r>
        <w:rPr>
          <w:color w:val="auto"/>
          <w:sz w:val="24"/>
          <w:szCs w:val="24"/>
        </w:rPr>
        <w:fldChar w:fldCharType="begin"/>
      </w:r>
      <w:r>
        <w:rPr>
          <w:color w:val="auto"/>
          <w:sz w:val="24"/>
          <w:szCs w:val="24"/>
        </w:rPr>
        <w:instrText xml:space="preserve"> PAGEREF _Toc11930 </w:instrText>
      </w:r>
      <w:r>
        <w:rPr>
          <w:color w:val="auto"/>
          <w:sz w:val="24"/>
          <w:szCs w:val="24"/>
        </w:rPr>
        <w:fldChar w:fldCharType="separate"/>
      </w:r>
      <w:r>
        <w:rPr>
          <w:color w:val="auto"/>
          <w:sz w:val="24"/>
          <w:szCs w:val="24"/>
        </w:rPr>
        <w:t>26</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2.6环境</w:t>
      </w:r>
      <w:r>
        <w:rPr>
          <w:rFonts w:hAnsi="Times New Roman"/>
          <w:color w:val="auto"/>
          <w:sz w:val="24"/>
          <w:szCs w:val="24"/>
        </w:rPr>
        <w:t>保护目标</w:t>
      </w:r>
      <w:r>
        <w:rPr>
          <w:color w:val="auto"/>
          <w:sz w:val="24"/>
          <w:szCs w:val="24"/>
        </w:rPr>
        <w:tab/>
      </w:r>
      <w:r>
        <w:rPr>
          <w:color w:val="auto"/>
          <w:sz w:val="24"/>
          <w:szCs w:val="24"/>
        </w:rPr>
        <w:fldChar w:fldCharType="begin"/>
      </w:r>
      <w:r>
        <w:rPr>
          <w:color w:val="auto"/>
          <w:sz w:val="24"/>
          <w:szCs w:val="24"/>
        </w:rPr>
        <w:instrText xml:space="preserve"> PAGEREF _Toc21859 </w:instrText>
      </w:r>
      <w:r>
        <w:rPr>
          <w:color w:val="auto"/>
          <w:sz w:val="24"/>
          <w:szCs w:val="24"/>
        </w:rPr>
        <w:fldChar w:fldCharType="separate"/>
      </w:r>
      <w:r>
        <w:rPr>
          <w:color w:val="auto"/>
          <w:sz w:val="24"/>
          <w:szCs w:val="24"/>
        </w:rPr>
        <w:t>29</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2.7评价方法和工作程序</w:t>
      </w:r>
      <w:r>
        <w:rPr>
          <w:color w:val="auto"/>
          <w:sz w:val="24"/>
          <w:szCs w:val="24"/>
        </w:rPr>
        <w:tab/>
      </w:r>
      <w:r>
        <w:rPr>
          <w:color w:val="auto"/>
          <w:sz w:val="24"/>
          <w:szCs w:val="24"/>
        </w:rPr>
        <w:fldChar w:fldCharType="begin"/>
      </w:r>
      <w:r>
        <w:rPr>
          <w:color w:val="auto"/>
          <w:sz w:val="24"/>
          <w:szCs w:val="24"/>
        </w:rPr>
        <w:instrText xml:space="preserve"> PAGEREF _Toc13771 </w:instrText>
      </w:r>
      <w:r>
        <w:rPr>
          <w:color w:val="auto"/>
          <w:sz w:val="24"/>
          <w:szCs w:val="24"/>
        </w:rPr>
        <w:fldChar w:fldCharType="separate"/>
      </w:r>
      <w:r>
        <w:rPr>
          <w:color w:val="auto"/>
          <w:sz w:val="24"/>
          <w:szCs w:val="24"/>
        </w:rPr>
        <w:t>30</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2.7.1评价方法</w:t>
      </w:r>
      <w:r>
        <w:rPr>
          <w:color w:val="auto"/>
          <w:sz w:val="24"/>
          <w:szCs w:val="24"/>
        </w:rPr>
        <w:tab/>
      </w:r>
      <w:r>
        <w:rPr>
          <w:color w:val="auto"/>
          <w:sz w:val="24"/>
          <w:szCs w:val="24"/>
        </w:rPr>
        <w:fldChar w:fldCharType="begin"/>
      </w:r>
      <w:r>
        <w:rPr>
          <w:color w:val="auto"/>
          <w:sz w:val="24"/>
          <w:szCs w:val="24"/>
        </w:rPr>
        <w:instrText xml:space="preserve"> PAGEREF _Toc5756 </w:instrText>
      </w:r>
      <w:r>
        <w:rPr>
          <w:color w:val="auto"/>
          <w:sz w:val="24"/>
          <w:szCs w:val="24"/>
        </w:rPr>
        <w:fldChar w:fldCharType="separate"/>
      </w:r>
      <w:r>
        <w:rPr>
          <w:color w:val="auto"/>
          <w:sz w:val="24"/>
          <w:szCs w:val="24"/>
        </w:rPr>
        <w:t>30</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2.7.2评价工作程序</w:t>
      </w:r>
      <w:r>
        <w:rPr>
          <w:color w:val="auto"/>
          <w:sz w:val="24"/>
          <w:szCs w:val="24"/>
        </w:rPr>
        <w:tab/>
      </w:r>
      <w:r>
        <w:rPr>
          <w:color w:val="auto"/>
          <w:sz w:val="24"/>
          <w:szCs w:val="24"/>
        </w:rPr>
        <w:fldChar w:fldCharType="begin"/>
      </w:r>
      <w:r>
        <w:rPr>
          <w:color w:val="auto"/>
          <w:sz w:val="24"/>
          <w:szCs w:val="24"/>
        </w:rPr>
        <w:instrText xml:space="preserve"> PAGEREF _Toc11804 </w:instrText>
      </w:r>
      <w:r>
        <w:rPr>
          <w:color w:val="auto"/>
          <w:sz w:val="24"/>
          <w:szCs w:val="24"/>
        </w:rPr>
        <w:fldChar w:fldCharType="separate"/>
      </w:r>
      <w:r>
        <w:rPr>
          <w:color w:val="auto"/>
          <w:sz w:val="24"/>
          <w:szCs w:val="24"/>
        </w:rPr>
        <w:t>30</w:t>
      </w:r>
      <w:r>
        <w:rPr>
          <w:color w:val="auto"/>
          <w:sz w:val="24"/>
          <w:szCs w:val="24"/>
        </w:rPr>
        <w:fldChar w:fldCharType="end"/>
      </w:r>
    </w:p>
    <w:p>
      <w:pPr>
        <w:pStyle w:val="15"/>
        <w:tabs>
          <w:tab w:val="right" w:leader="dot" w:pos="8306"/>
        </w:tabs>
        <w:rPr>
          <w:color w:val="auto"/>
          <w:sz w:val="24"/>
          <w:szCs w:val="24"/>
        </w:rPr>
      </w:pPr>
      <w:r>
        <w:rPr>
          <w:rFonts w:hint="eastAsia"/>
          <w:color w:val="auto"/>
          <w:sz w:val="24"/>
          <w:szCs w:val="24"/>
        </w:rPr>
        <w:t>3.建设项目工程分析</w:t>
      </w:r>
      <w:r>
        <w:rPr>
          <w:color w:val="auto"/>
          <w:sz w:val="24"/>
          <w:szCs w:val="24"/>
        </w:rPr>
        <w:tab/>
      </w:r>
      <w:r>
        <w:rPr>
          <w:color w:val="auto"/>
          <w:sz w:val="24"/>
          <w:szCs w:val="24"/>
        </w:rPr>
        <w:fldChar w:fldCharType="begin"/>
      </w:r>
      <w:r>
        <w:rPr>
          <w:color w:val="auto"/>
          <w:sz w:val="24"/>
          <w:szCs w:val="24"/>
        </w:rPr>
        <w:instrText xml:space="preserve"> PAGEREF _Toc15311 </w:instrText>
      </w:r>
      <w:r>
        <w:rPr>
          <w:color w:val="auto"/>
          <w:sz w:val="24"/>
          <w:szCs w:val="24"/>
        </w:rPr>
        <w:fldChar w:fldCharType="separate"/>
      </w:r>
      <w:r>
        <w:rPr>
          <w:color w:val="auto"/>
          <w:sz w:val="24"/>
          <w:szCs w:val="24"/>
        </w:rPr>
        <w:t>32</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3.1建设项目概况</w:t>
      </w:r>
      <w:r>
        <w:rPr>
          <w:color w:val="auto"/>
          <w:sz w:val="24"/>
          <w:szCs w:val="24"/>
        </w:rPr>
        <w:tab/>
      </w:r>
      <w:r>
        <w:rPr>
          <w:color w:val="auto"/>
          <w:sz w:val="24"/>
          <w:szCs w:val="24"/>
        </w:rPr>
        <w:fldChar w:fldCharType="begin"/>
      </w:r>
      <w:r>
        <w:rPr>
          <w:color w:val="auto"/>
          <w:sz w:val="24"/>
          <w:szCs w:val="24"/>
        </w:rPr>
        <w:instrText xml:space="preserve"> PAGEREF _Toc20464 </w:instrText>
      </w:r>
      <w:r>
        <w:rPr>
          <w:color w:val="auto"/>
          <w:sz w:val="24"/>
          <w:szCs w:val="24"/>
        </w:rPr>
        <w:fldChar w:fldCharType="separate"/>
      </w:r>
      <w:r>
        <w:rPr>
          <w:color w:val="auto"/>
          <w:sz w:val="24"/>
          <w:szCs w:val="24"/>
        </w:rPr>
        <w:t>32</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3.1.1建设项目基本情况</w:t>
      </w:r>
      <w:r>
        <w:rPr>
          <w:color w:val="auto"/>
          <w:sz w:val="24"/>
          <w:szCs w:val="24"/>
        </w:rPr>
        <w:tab/>
      </w:r>
      <w:r>
        <w:rPr>
          <w:color w:val="auto"/>
          <w:sz w:val="24"/>
          <w:szCs w:val="24"/>
        </w:rPr>
        <w:fldChar w:fldCharType="begin"/>
      </w:r>
      <w:r>
        <w:rPr>
          <w:color w:val="auto"/>
          <w:sz w:val="24"/>
          <w:szCs w:val="24"/>
        </w:rPr>
        <w:instrText xml:space="preserve"> PAGEREF _Toc27407 </w:instrText>
      </w:r>
      <w:r>
        <w:rPr>
          <w:color w:val="auto"/>
          <w:sz w:val="24"/>
          <w:szCs w:val="24"/>
        </w:rPr>
        <w:fldChar w:fldCharType="separate"/>
      </w:r>
      <w:r>
        <w:rPr>
          <w:color w:val="auto"/>
          <w:sz w:val="24"/>
          <w:szCs w:val="24"/>
        </w:rPr>
        <w:t>32</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3.1.2项目组成</w:t>
      </w:r>
      <w:r>
        <w:rPr>
          <w:color w:val="auto"/>
          <w:sz w:val="24"/>
          <w:szCs w:val="24"/>
        </w:rPr>
        <w:tab/>
      </w:r>
      <w:r>
        <w:rPr>
          <w:color w:val="auto"/>
          <w:sz w:val="24"/>
          <w:szCs w:val="24"/>
        </w:rPr>
        <w:fldChar w:fldCharType="begin"/>
      </w:r>
      <w:r>
        <w:rPr>
          <w:color w:val="auto"/>
          <w:sz w:val="24"/>
          <w:szCs w:val="24"/>
        </w:rPr>
        <w:instrText xml:space="preserve"> PAGEREF _Toc9628 </w:instrText>
      </w:r>
      <w:r>
        <w:rPr>
          <w:color w:val="auto"/>
          <w:sz w:val="24"/>
          <w:szCs w:val="24"/>
        </w:rPr>
        <w:fldChar w:fldCharType="separate"/>
      </w:r>
      <w:r>
        <w:rPr>
          <w:color w:val="auto"/>
          <w:sz w:val="24"/>
          <w:szCs w:val="24"/>
        </w:rPr>
        <w:t>32</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3.1.3产品方案、原辅材料及主要设备</w:t>
      </w:r>
      <w:r>
        <w:rPr>
          <w:color w:val="auto"/>
          <w:sz w:val="24"/>
          <w:szCs w:val="24"/>
        </w:rPr>
        <w:tab/>
      </w:r>
      <w:r>
        <w:rPr>
          <w:color w:val="auto"/>
          <w:sz w:val="24"/>
          <w:szCs w:val="24"/>
        </w:rPr>
        <w:fldChar w:fldCharType="begin"/>
      </w:r>
      <w:r>
        <w:rPr>
          <w:color w:val="auto"/>
          <w:sz w:val="24"/>
          <w:szCs w:val="24"/>
        </w:rPr>
        <w:instrText xml:space="preserve"> PAGEREF _Toc23271 </w:instrText>
      </w:r>
      <w:r>
        <w:rPr>
          <w:color w:val="auto"/>
          <w:sz w:val="24"/>
          <w:szCs w:val="24"/>
        </w:rPr>
        <w:fldChar w:fldCharType="separate"/>
      </w:r>
      <w:r>
        <w:rPr>
          <w:color w:val="auto"/>
          <w:sz w:val="24"/>
          <w:szCs w:val="24"/>
        </w:rPr>
        <w:t>34</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3.1.4主要生产设备</w:t>
      </w:r>
      <w:r>
        <w:rPr>
          <w:color w:val="auto"/>
          <w:sz w:val="24"/>
          <w:szCs w:val="24"/>
        </w:rPr>
        <w:tab/>
      </w:r>
      <w:r>
        <w:rPr>
          <w:color w:val="auto"/>
          <w:sz w:val="24"/>
          <w:szCs w:val="24"/>
        </w:rPr>
        <w:fldChar w:fldCharType="begin"/>
      </w:r>
      <w:r>
        <w:rPr>
          <w:color w:val="auto"/>
          <w:sz w:val="24"/>
          <w:szCs w:val="24"/>
        </w:rPr>
        <w:instrText xml:space="preserve"> PAGEREF _Toc12836 </w:instrText>
      </w:r>
      <w:r>
        <w:rPr>
          <w:color w:val="auto"/>
          <w:sz w:val="24"/>
          <w:szCs w:val="24"/>
        </w:rPr>
        <w:fldChar w:fldCharType="separate"/>
      </w:r>
      <w:r>
        <w:rPr>
          <w:color w:val="auto"/>
          <w:sz w:val="24"/>
          <w:szCs w:val="24"/>
        </w:rPr>
        <w:t>35</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3.1.5劳动定员、工作制度</w:t>
      </w:r>
      <w:r>
        <w:rPr>
          <w:color w:val="auto"/>
          <w:sz w:val="24"/>
          <w:szCs w:val="24"/>
        </w:rPr>
        <w:tab/>
      </w:r>
      <w:r>
        <w:rPr>
          <w:color w:val="auto"/>
          <w:sz w:val="24"/>
          <w:szCs w:val="24"/>
        </w:rPr>
        <w:fldChar w:fldCharType="begin"/>
      </w:r>
      <w:r>
        <w:rPr>
          <w:color w:val="auto"/>
          <w:sz w:val="24"/>
          <w:szCs w:val="24"/>
        </w:rPr>
        <w:instrText xml:space="preserve"> PAGEREF _Toc5442 </w:instrText>
      </w:r>
      <w:r>
        <w:rPr>
          <w:color w:val="auto"/>
          <w:sz w:val="24"/>
          <w:szCs w:val="24"/>
        </w:rPr>
        <w:fldChar w:fldCharType="separate"/>
      </w:r>
      <w:r>
        <w:rPr>
          <w:color w:val="auto"/>
          <w:sz w:val="24"/>
          <w:szCs w:val="24"/>
        </w:rPr>
        <w:t>36</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3.1.6公用工程</w:t>
      </w:r>
      <w:r>
        <w:rPr>
          <w:color w:val="auto"/>
          <w:sz w:val="24"/>
          <w:szCs w:val="24"/>
        </w:rPr>
        <w:tab/>
      </w:r>
      <w:r>
        <w:rPr>
          <w:color w:val="auto"/>
          <w:sz w:val="24"/>
          <w:szCs w:val="24"/>
        </w:rPr>
        <w:fldChar w:fldCharType="begin"/>
      </w:r>
      <w:r>
        <w:rPr>
          <w:color w:val="auto"/>
          <w:sz w:val="24"/>
          <w:szCs w:val="24"/>
        </w:rPr>
        <w:instrText xml:space="preserve"> PAGEREF _Toc1749 </w:instrText>
      </w:r>
      <w:r>
        <w:rPr>
          <w:color w:val="auto"/>
          <w:sz w:val="24"/>
          <w:szCs w:val="24"/>
        </w:rPr>
        <w:fldChar w:fldCharType="separate"/>
      </w:r>
      <w:r>
        <w:rPr>
          <w:color w:val="auto"/>
          <w:sz w:val="24"/>
          <w:szCs w:val="24"/>
        </w:rPr>
        <w:t>36</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3.1.7项目区平面布置</w:t>
      </w:r>
      <w:r>
        <w:rPr>
          <w:color w:val="auto"/>
          <w:sz w:val="24"/>
          <w:szCs w:val="24"/>
        </w:rPr>
        <w:tab/>
      </w:r>
      <w:r>
        <w:rPr>
          <w:color w:val="auto"/>
          <w:sz w:val="24"/>
          <w:szCs w:val="24"/>
        </w:rPr>
        <w:fldChar w:fldCharType="begin"/>
      </w:r>
      <w:r>
        <w:rPr>
          <w:color w:val="auto"/>
          <w:sz w:val="24"/>
          <w:szCs w:val="24"/>
        </w:rPr>
        <w:instrText xml:space="preserve"> PAGEREF _Toc8455 </w:instrText>
      </w:r>
      <w:r>
        <w:rPr>
          <w:color w:val="auto"/>
          <w:sz w:val="24"/>
          <w:szCs w:val="24"/>
        </w:rPr>
        <w:fldChar w:fldCharType="separate"/>
      </w:r>
      <w:r>
        <w:rPr>
          <w:color w:val="auto"/>
          <w:sz w:val="24"/>
          <w:szCs w:val="24"/>
        </w:rPr>
        <w:t>37</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3.1.8项目实施计划</w:t>
      </w:r>
      <w:r>
        <w:rPr>
          <w:color w:val="auto"/>
          <w:sz w:val="24"/>
          <w:szCs w:val="24"/>
        </w:rPr>
        <w:tab/>
      </w:r>
      <w:r>
        <w:rPr>
          <w:color w:val="auto"/>
          <w:sz w:val="24"/>
          <w:szCs w:val="24"/>
        </w:rPr>
        <w:fldChar w:fldCharType="begin"/>
      </w:r>
      <w:r>
        <w:rPr>
          <w:color w:val="auto"/>
          <w:sz w:val="24"/>
          <w:szCs w:val="24"/>
        </w:rPr>
        <w:instrText xml:space="preserve"> PAGEREF _Toc1696 </w:instrText>
      </w:r>
      <w:r>
        <w:rPr>
          <w:color w:val="auto"/>
          <w:sz w:val="24"/>
          <w:szCs w:val="24"/>
        </w:rPr>
        <w:fldChar w:fldCharType="separate"/>
      </w:r>
      <w:r>
        <w:rPr>
          <w:color w:val="auto"/>
          <w:sz w:val="24"/>
          <w:szCs w:val="24"/>
        </w:rPr>
        <w:t>38</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3.1.9环保投资</w:t>
      </w:r>
      <w:r>
        <w:rPr>
          <w:color w:val="auto"/>
          <w:sz w:val="24"/>
          <w:szCs w:val="24"/>
        </w:rPr>
        <w:tab/>
      </w:r>
      <w:r>
        <w:rPr>
          <w:color w:val="auto"/>
          <w:sz w:val="24"/>
          <w:szCs w:val="24"/>
        </w:rPr>
        <w:fldChar w:fldCharType="begin"/>
      </w:r>
      <w:r>
        <w:rPr>
          <w:color w:val="auto"/>
          <w:sz w:val="24"/>
          <w:szCs w:val="24"/>
        </w:rPr>
        <w:instrText xml:space="preserve"> PAGEREF _Toc30330 </w:instrText>
      </w:r>
      <w:r>
        <w:rPr>
          <w:color w:val="auto"/>
          <w:sz w:val="24"/>
          <w:szCs w:val="24"/>
        </w:rPr>
        <w:fldChar w:fldCharType="separate"/>
      </w:r>
      <w:r>
        <w:rPr>
          <w:color w:val="auto"/>
          <w:sz w:val="24"/>
          <w:szCs w:val="24"/>
        </w:rPr>
        <w:t>38</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3.1.10主要技术经济指标</w:t>
      </w:r>
      <w:r>
        <w:rPr>
          <w:color w:val="auto"/>
          <w:sz w:val="24"/>
          <w:szCs w:val="24"/>
        </w:rPr>
        <w:tab/>
      </w:r>
      <w:r>
        <w:rPr>
          <w:color w:val="auto"/>
          <w:sz w:val="24"/>
          <w:szCs w:val="24"/>
        </w:rPr>
        <w:fldChar w:fldCharType="begin"/>
      </w:r>
      <w:r>
        <w:rPr>
          <w:color w:val="auto"/>
          <w:sz w:val="24"/>
          <w:szCs w:val="24"/>
        </w:rPr>
        <w:instrText xml:space="preserve"> PAGEREF _Toc19815 </w:instrText>
      </w:r>
      <w:r>
        <w:rPr>
          <w:color w:val="auto"/>
          <w:sz w:val="24"/>
          <w:szCs w:val="24"/>
        </w:rPr>
        <w:fldChar w:fldCharType="separate"/>
      </w:r>
      <w:r>
        <w:rPr>
          <w:color w:val="auto"/>
          <w:sz w:val="24"/>
          <w:szCs w:val="24"/>
        </w:rPr>
        <w:t>38</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3.2建设项目污染物影响分析</w:t>
      </w:r>
      <w:r>
        <w:rPr>
          <w:color w:val="auto"/>
          <w:sz w:val="24"/>
          <w:szCs w:val="24"/>
        </w:rPr>
        <w:tab/>
      </w:r>
      <w:r>
        <w:rPr>
          <w:color w:val="auto"/>
          <w:sz w:val="24"/>
          <w:szCs w:val="24"/>
        </w:rPr>
        <w:fldChar w:fldCharType="begin"/>
      </w:r>
      <w:r>
        <w:rPr>
          <w:color w:val="auto"/>
          <w:sz w:val="24"/>
          <w:szCs w:val="24"/>
        </w:rPr>
        <w:instrText xml:space="preserve"> PAGEREF _Toc31714 </w:instrText>
      </w:r>
      <w:r>
        <w:rPr>
          <w:color w:val="auto"/>
          <w:sz w:val="24"/>
          <w:szCs w:val="24"/>
        </w:rPr>
        <w:fldChar w:fldCharType="separate"/>
      </w:r>
      <w:r>
        <w:rPr>
          <w:color w:val="auto"/>
          <w:sz w:val="24"/>
          <w:szCs w:val="24"/>
        </w:rPr>
        <w:t>39</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3.2.1施工期污染分析</w:t>
      </w:r>
      <w:r>
        <w:rPr>
          <w:color w:val="auto"/>
          <w:sz w:val="24"/>
          <w:szCs w:val="24"/>
        </w:rPr>
        <w:tab/>
      </w:r>
      <w:r>
        <w:rPr>
          <w:color w:val="auto"/>
          <w:sz w:val="24"/>
          <w:szCs w:val="24"/>
        </w:rPr>
        <w:fldChar w:fldCharType="begin"/>
      </w:r>
      <w:r>
        <w:rPr>
          <w:color w:val="auto"/>
          <w:sz w:val="24"/>
          <w:szCs w:val="24"/>
        </w:rPr>
        <w:instrText xml:space="preserve"> PAGEREF _Toc8858 </w:instrText>
      </w:r>
      <w:r>
        <w:rPr>
          <w:color w:val="auto"/>
          <w:sz w:val="24"/>
          <w:szCs w:val="24"/>
        </w:rPr>
        <w:fldChar w:fldCharType="separate"/>
      </w:r>
      <w:r>
        <w:rPr>
          <w:color w:val="auto"/>
          <w:sz w:val="24"/>
          <w:szCs w:val="24"/>
        </w:rPr>
        <w:t>39</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3.2.2运营期污染分析</w:t>
      </w:r>
      <w:r>
        <w:rPr>
          <w:color w:val="auto"/>
          <w:sz w:val="24"/>
          <w:szCs w:val="24"/>
        </w:rPr>
        <w:tab/>
      </w:r>
      <w:r>
        <w:rPr>
          <w:color w:val="auto"/>
          <w:sz w:val="24"/>
          <w:szCs w:val="24"/>
        </w:rPr>
        <w:fldChar w:fldCharType="begin"/>
      </w:r>
      <w:r>
        <w:rPr>
          <w:color w:val="auto"/>
          <w:sz w:val="24"/>
          <w:szCs w:val="24"/>
        </w:rPr>
        <w:instrText xml:space="preserve"> PAGEREF _Toc29734 </w:instrText>
      </w:r>
      <w:r>
        <w:rPr>
          <w:color w:val="auto"/>
          <w:sz w:val="24"/>
          <w:szCs w:val="24"/>
        </w:rPr>
        <w:fldChar w:fldCharType="separate"/>
      </w:r>
      <w:r>
        <w:rPr>
          <w:color w:val="auto"/>
          <w:sz w:val="24"/>
          <w:szCs w:val="24"/>
        </w:rPr>
        <w:t>48</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3.2.3建设项目主要污染物排放及处置汇总</w:t>
      </w:r>
      <w:r>
        <w:rPr>
          <w:color w:val="auto"/>
          <w:sz w:val="24"/>
          <w:szCs w:val="24"/>
        </w:rPr>
        <w:tab/>
      </w:r>
      <w:r>
        <w:rPr>
          <w:color w:val="auto"/>
          <w:sz w:val="24"/>
          <w:szCs w:val="24"/>
        </w:rPr>
        <w:fldChar w:fldCharType="begin"/>
      </w:r>
      <w:r>
        <w:rPr>
          <w:color w:val="auto"/>
          <w:sz w:val="24"/>
          <w:szCs w:val="24"/>
        </w:rPr>
        <w:instrText xml:space="preserve"> PAGEREF _Toc23000 </w:instrText>
      </w:r>
      <w:r>
        <w:rPr>
          <w:color w:val="auto"/>
          <w:sz w:val="24"/>
          <w:szCs w:val="24"/>
        </w:rPr>
        <w:fldChar w:fldCharType="separate"/>
      </w:r>
      <w:r>
        <w:rPr>
          <w:color w:val="auto"/>
          <w:sz w:val="24"/>
          <w:szCs w:val="24"/>
        </w:rPr>
        <w:t>60</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3.3项目合理性分析</w:t>
      </w:r>
      <w:r>
        <w:rPr>
          <w:color w:val="auto"/>
          <w:sz w:val="24"/>
          <w:szCs w:val="24"/>
        </w:rPr>
        <w:tab/>
      </w:r>
      <w:r>
        <w:rPr>
          <w:color w:val="auto"/>
          <w:sz w:val="24"/>
          <w:szCs w:val="24"/>
        </w:rPr>
        <w:fldChar w:fldCharType="begin"/>
      </w:r>
      <w:r>
        <w:rPr>
          <w:color w:val="auto"/>
          <w:sz w:val="24"/>
          <w:szCs w:val="24"/>
        </w:rPr>
        <w:instrText xml:space="preserve"> PAGEREF _Toc22391 </w:instrText>
      </w:r>
      <w:r>
        <w:rPr>
          <w:color w:val="auto"/>
          <w:sz w:val="24"/>
          <w:szCs w:val="24"/>
        </w:rPr>
        <w:fldChar w:fldCharType="separate"/>
      </w:r>
      <w:r>
        <w:rPr>
          <w:color w:val="auto"/>
          <w:sz w:val="24"/>
          <w:szCs w:val="24"/>
        </w:rPr>
        <w:t>61</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3.3.1产业政策符合性分析</w:t>
      </w:r>
      <w:r>
        <w:rPr>
          <w:color w:val="auto"/>
          <w:sz w:val="24"/>
          <w:szCs w:val="24"/>
        </w:rPr>
        <w:tab/>
      </w:r>
      <w:r>
        <w:rPr>
          <w:color w:val="auto"/>
          <w:sz w:val="24"/>
          <w:szCs w:val="24"/>
        </w:rPr>
        <w:fldChar w:fldCharType="begin"/>
      </w:r>
      <w:r>
        <w:rPr>
          <w:color w:val="auto"/>
          <w:sz w:val="24"/>
          <w:szCs w:val="24"/>
        </w:rPr>
        <w:instrText xml:space="preserve"> PAGEREF _Toc22889 </w:instrText>
      </w:r>
      <w:r>
        <w:rPr>
          <w:color w:val="auto"/>
          <w:sz w:val="24"/>
          <w:szCs w:val="24"/>
        </w:rPr>
        <w:fldChar w:fldCharType="separate"/>
      </w:r>
      <w:r>
        <w:rPr>
          <w:color w:val="auto"/>
          <w:sz w:val="24"/>
          <w:szCs w:val="24"/>
        </w:rPr>
        <w:t>61</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3.3.2选址可行性分析</w:t>
      </w:r>
      <w:r>
        <w:rPr>
          <w:color w:val="auto"/>
          <w:sz w:val="24"/>
          <w:szCs w:val="24"/>
        </w:rPr>
        <w:tab/>
      </w:r>
      <w:r>
        <w:rPr>
          <w:color w:val="auto"/>
          <w:sz w:val="24"/>
          <w:szCs w:val="24"/>
        </w:rPr>
        <w:fldChar w:fldCharType="begin"/>
      </w:r>
      <w:r>
        <w:rPr>
          <w:color w:val="auto"/>
          <w:sz w:val="24"/>
          <w:szCs w:val="24"/>
        </w:rPr>
        <w:instrText xml:space="preserve"> PAGEREF _Toc3663 </w:instrText>
      </w:r>
      <w:r>
        <w:rPr>
          <w:color w:val="auto"/>
          <w:sz w:val="24"/>
          <w:szCs w:val="24"/>
        </w:rPr>
        <w:fldChar w:fldCharType="separate"/>
      </w:r>
      <w:r>
        <w:rPr>
          <w:color w:val="auto"/>
          <w:sz w:val="24"/>
          <w:szCs w:val="24"/>
        </w:rPr>
        <w:t>62</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3.3.3规划符合性分析</w:t>
      </w:r>
      <w:r>
        <w:rPr>
          <w:color w:val="auto"/>
          <w:sz w:val="24"/>
          <w:szCs w:val="24"/>
        </w:rPr>
        <w:tab/>
      </w:r>
      <w:r>
        <w:rPr>
          <w:color w:val="auto"/>
          <w:sz w:val="24"/>
          <w:szCs w:val="24"/>
        </w:rPr>
        <w:fldChar w:fldCharType="begin"/>
      </w:r>
      <w:r>
        <w:rPr>
          <w:color w:val="auto"/>
          <w:sz w:val="24"/>
          <w:szCs w:val="24"/>
        </w:rPr>
        <w:instrText xml:space="preserve"> PAGEREF _Toc32216 </w:instrText>
      </w:r>
      <w:r>
        <w:rPr>
          <w:color w:val="auto"/>
          <w:sz w:val="24"/>
          <w:szCs w:val="24"/>
        </w:rPr>
        <w:fldChar w:fldCharType="separate"/>
      </w:r>
      <w:r>
        <w:rPr>
          <w:color w:val="auto"/>
          <w:sz w:val="24"/>
          <w:szCs w:val="24"/>
        </w:rPr>
        <w:t>62</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.4建设</w:t>
      </w:r>
      <w:r>
        <w:rPr>
          <w:rFonts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符合性分析</w:t>
      </w:r>
      <w:r>
        <w:rPr>
          <w:color w:val="auto"/>
          <w:sz w:val="24"/>
          <w:szCs w:val="24"/>
        </w:rPr>
        <w:tab/>
      </w:r>
      <w:r>
        <w:rPr>
          <w:color w:val="auto"/>
          <w:sz w:val="24"/>
          <w:szCs w:val="24"/>
        </w:rPr>
        <w:fldChar w:fldCharType="begin"/>
      </w:r>
      <w:r>
        <w:rPr>
          <w:color w:val="auto"/>
          <w:sz w:val="24"/>
          <w:szCs w:val="24"/>
        </w:rPr>
        <w:instrText xml:space="preserve"> PAGEREF _Toc2369 </w:instrText>
      </w:r>
      <w:r>
        <w:rPr>
          <w:color w:val="auto"/>
          <w:sz w:val="24"/>
          <w:szCs w:val="24"/>
        </w:rPr>
        <w:fldChar w:fldCharType="separate"/>
      </w:r>
      <w:r>
        <w:rPr>
          <w:color w:val="auto"/>
          <w:sz w:val="24"/>
          <w:szCs w:val="24"/>
        </w:rPr>
        <w:t>62</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3.3.</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项目区平面布置合理性分析</w:t>
      </w:r>
      <w:r>
        <w:rPr>
          <w:color w:val="auto"/>
          <w:sz w:val="24"/>
          <w:szCs w:val="24"/>
        </w:rPr>
        <w:tab/>
      </w:r>
      <w:r>
        <w:rPr>
          <w:color w:val="auto"/>
          <w:sz w:val="24"/>
          <w:szCs w:val="24"/>
        </w:rPr>
        <w:fldChar w:fldCharType="begin"/>
      </w:r>
      <w:r>
        <w:rPr>
          <w:color w:val="auto"/>
          <w:sz w:val="24"/>
          <w:szCs w:val="24"/>
        </w:rPr>
        <w:instrText xml:space="preserve"> PAGEREF _Toc2794 </w:instrText>
      </w:r>
      <w:r>
        <w:rPr>
          <w:color w:val="auto"/>
          <w:sz w:val="24"/>
          <w:szCs w:val="24"/>
        </w:rPr>
        <w:fldChar w:fldCharType="separate"/>
      </w:r>
      <w:r>
        <w:rPr>
          <w:color w:val="auto"/>
          <w:sz w:val="24"/>
          <w:szCs w:val="24"/>
        </w:rPr>
        <w:t>63</w:t>
      </w:r>
      <w:r>
        <w:rPr>
          <w:color w:val="auto"/>
          <w:sz w:val="24"/>
          <w:szCs w:val="24"/>
        </w:rPr>
        <w:fldChar w:fldCharType="end"/>
      </w:r>
    </w:p>
    <w:p>
      <w:pPr>
        <w:pStyle w:val="15"/>
        <w:tabs>
          <w:tab w:val="right" w:leader="dot" w:pos="8306"/>
        </w:tabs>
        <w:rPr>
          <w:color w:val="auto"/>
          <w:sz w:val="24"/>
          <w:szCs w:val="24"/>
        </w:rPr>
      </w:pPr>
      <w:r>
        <w:rPr>
          <w:rFonts w:hint="eastAsia"/>
          <w:color w:val="auto"/>
          <w:sz w:val="24"/>
          <w:szCs w:val="24"/>
        </w:rPr>
        <w:t>4环境质量现状调查及评价</w:t>
      </w:r>
      <w:r>
        <w:rPr>
          <w:color w:val="auto"/>
          <w:sz w:val="24"/>
          <w:szCs w:val="24"/>
        </w:rPr>
        <w:tab/>
      </w:r>
      <w:r>
        <w:rPr>
          <w:color w:val="auto"/>
          <w:sz w:val="24"/>
          <w:szCs w:val="24"/>
        </w:rPr>
        <w:fldChar w:fldCharType="begin"/>
      </w:r>
      <w:r>
        <w:rPr>
          <w:color w:val="auto"/>
          <w:sz w:val="24"/>
          <w:szCs w:val="24"/>
        </w:rPr>
        <w:instrText xml:space="preserve"> PAGEREF _Toc17520 </w:instrText>
      </w:r>
      <w:r>
        <w:rPr>
          <w:color w:val="auto"/>
          <w:sz w:val="24"/>
          <w:szCs w:val="24"/>
        </w:rPr>
        <w:fldChar w:fldCharType="separate"/>
      </w:r>
      <w:r>
        <w:rPr>
          <w:color w:val="auto"/>
          <w:sz w:val="24"/>
          <w:szCs w:val="24"/>
        </w:rPr>
        <w:t>64</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4.1区域自然环境现状调查</w:t>
      </w:r>
      <w:r>
        <w:rPr>
          <w:color w:val="auto"/>
          <w:sz w:val="24"/>
          <w:szCs w:val="24"/>
        </w:rPr>
        <w:tab/>
      </w:r>
      <w:r>
        <w:rPr>
          <w:color w:val="auto"/>
          <w:sz w:val="24"/>
          <w:szCs w:val="24"/>
        </w:rPr>
        <w:fldChar w:fldCharType="begin"/>
      </w:r>
      <w:r>
        <w:rPr>
          <w:color w:val="auto"/>
          <w:sz w:val="24"/>
          <w:szCs w:val="24"/>
        </w:rPr>
        <w:instrText xml:space="preserve"> PAGEREF _Toc7625 </w:instrText>
      </w:r>
      <w:r>
        <w:rPr>
          <w:color w:val="auto"/>
          <w:sz w:val="24"/>
          <w:szCs w:val="24"/>
        </w:rPr>
        <w:fldChar w:fldCharType="separate"/>
      </w:r>
      <w:r>
        <w:rPr>
          <w:color w:val="auto"/>
          <w:sz w:val="24"/>
          <w:szCs w:val="24"/>
        </w:rPr>
        <w:t>64</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4.1.1地理位置</w:t>
      </w:r>
      <w:r>
        <w:rPr>
          <w:color w:val="auto"/>
          <w:sz w:val="24"/>
          <w:szCs w:val="24"/>
        </w:rPr>
        <w:tab/>
      </w:r>
      <w:r>
        <w:rPr>
          <w:color w:val="auto"/>
          <w:sz w:val="24"/>
          <w:szCs w:val="24"/>
        </w:rPr>
        <w:fldChar w:fldCharType="begin"/>
      </w:r>
      <w:r>
        <w:rPr>
          <w:color w:val="auto"/>
          <w:sz w:val="24"/>
          <w:szCs w:val="24"/>
        </w:rPr>
        <w:instrText xml:space="preserve"> PAGEREF _Toc31662 </w:instrText>
      </w:r>
      <w:r>
        <w:rPr>
          <w:color w:val="auto"/>
          <w:sz w:val="24"/>
          <w:szCs w:val="24"/>
        </w:rPr>
        <w:fldChar w:fldCharType="separate"/>
      </w:r>
      <w:r>
        <w:rPr>
          <w:color w:val="auto"/>
          <w:sz w:val="24"/>
          <w:szCs w:val="24"/>
        </w:rPr>
        <w:t>64</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4.1.2地形、地貌、地质</w:t>
      </w:r>
      <w:r>
        <w:rPr>
          <w:color w:val="auto"/>
          <w:sz w:val="24"/>
          <w:szCs w:val="24"/>
        </w:rPr>
        <w:tab/>
      </w:r>
      <w:r>
        <w:rPr>
          <w:color w:val="auto"/>
          <w:sz w:val="24"/>
          <w:szCs w:val="24"/>
        </w:rPr>
        <w:fldChar w:fldCharType="begin"/>
      </w:r>
      <w:r>
        <w:rPr>
          <w:color w:val="auto"/>
          <w:sz w:val="24"/>
          <w:szCs w:val="24"/>
        </w:rPr>
        <w:instrText xml:space="preserve"> PAGEREF _Toc28962 </w:instrText>
      </w:r>
      <w:r>
        <w:rPr>
          <w:color w:val="auto"/>
          <w:sz w:val="24"/>
          <w:szCs w:val="24"/>
        </w:rPr>
        <w:fldChar w:fldCharType="separate"/>
      </w:r>
      <w:r>
        <w:rPr>
          <w:color w:val="auto"/>
          <w:sz w:val="24"/>
          <w:szCs w:val="24"/>
        </w:rPr>
        <w:t>64</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4.1.3气候、气象特征</w:t>
      </w:r>
      <w:r>
        <w:rPr>
          <w:color w:val="auto"/>
          <w:sz w:val="24"/>
          <w:szCs w:val="24"/>
        </w:rPr>
        <w:tab/>
      </w:r>
      <w:r>
        <w:rPr>
          <w:color w:val="auto"/>
          <w:sz w:val="24"/>
          <w:szCs w:val="24"/>
        </w:rPr>
        <w:fldChar w:fldCharType="begin"/>
      </w:r>
      <w:r>
        <w:rPr>
          <w:color w:val="auto"/>
          <w:sz w:val="24"/>
          <w:szCs w:val="24"/>
        </w:rPr>
        <w:instrText xml:space="preserve"> PAGEREF _Toc15497 </w:instrText>
      </w:r>
      <w:r>
        <w:rPr>
          <w:color w:val="auto"/>
          <w:sz w:val="24"/>
          <w:szCs w:val="24"/>
        </w:rPr>
        <w:fldChar w:fldCharType="separate"/>
      </w:r>
      <w:r>
        <w:rPr>
          <w:color w:val="auto"/>
          <w:sz w:val="24"/>
          <w:szCs w:val="24"/>
        </w:rPr>
        <w:t>65</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4.1.4水文特征</w:t>
      </w:r>
      <w:r>
        <w:rPr>
          <w:color w:val="auto"/>
          <w:sz w:val="24"/>
          <w:szCs w:val="24"/>
        </w:rPr>
        <w:tab/>
      </w:r>
      <w:r>
        <w:rPr>
          <w:color w:val="auto"/>
          <w:sz w:val="24"/>
          <w:szCs w:val="24"/>
        </w:rPr>
        <w:fldChar w:fldCharType="begin"/>
      </w:r>
      <w:r>
        <w:rPr>
          <w:color w:val="auto"/>
          <w:sz w:val="24"/>
          <w:szCs w:val="24"/>
        </w:rPr>
        <w:instrText xml:space="preserve"> PAGEREF _Toc2942 </w:instrText>
      </w:r>
      <w:r>
        <w:rPr>
          <w:color w:val="auto"/>
          <w:sz w:val="24"/>
          <w:szCs w:val="24"/>
        </w:rPr>
        <w:fldChar w:fldCharType="separate"/>
      </w:r>
      <w:r>
        <w:rPr>
          <w:color w:val="auto"/>
          <w:sz w:val="24"/>
          <w:szCs w:val="24"/>
        </w:rPr>
        <w:t>65</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4.1.5 土壤</w:t>
      </w:r>
      <w:r>
        <w:rPr>
          <w:color w:val="auto"/>
          <w:sz w:val="24"/>
          <w:szCs w:val="24"/>
        </w:rPr>
        <w:tab/>
      </w:r>
      <w:r>
        <w:rPr>
          <w:color w:val="auto"/>
          <w:sz w:val="24"/>
          <w:szCs w:val="24"/>
        </w:rPr>
        <w:fldChar w:fldCharType="begin"/>
      </w:r>
      <w:r>
        <w:rPr>
          <w:color w:val="auto"/>
          <w:sz w:val="24"/>
          <w:szCs w:val="24"/>
        </w:rPr>
        <w:instrText xml:space="preserve"> PAGEREF _Toc11731 </w:instrText>
      </w:r>
      <w:r>
        <w:rPr>
          <w:color w:val="auto"/>
          <w:sz w:val="24"/>
          <w:szCs w:val="24"/>
        </w:rPr>
        <w:fldChar w:fldCharType="separate"/>
      </w:r>
      <w:r>
        <w:rPr>
          <w:color w:val="auto"/>
          <w:sz w:val="24"/>
          <w:szCs w:val="24"/>
        </w:rPr>
        <w:t>66</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4.1.6 植被</w:t>
      </w:r>
      <w:r>
        <w:rPr>
          <w:color w:val="auto"/>
          <w:sz w:val="24"/>
          <w:szCs w:val="24"/>
        </w:rPr>
        <w:tab/>
      </w:r>
      <w:r>
        <w:rPr>
          <w:color w:val="auto"/>
          <w:sz w:val="24"/>
          <w:szCs w:val="24"/>
        </w:rPr>
        <w:fldChar w:fldCharType="begin"/>
      </w:r>
      <w:r>
        <w:rPr>
          <w:color w:val="auto"/>
          <w:sz w:val="24"/>
          <w:szCs w:val="24"/>
        </w:rPr>
        <w:instrText xml:space="preserve"> PAGEREF _Toc28965 </w:instrText>
      </w:r>
      <w:r>
        <w:rPr>
          <w:color w:val="auto"/>
          <w:sz w:val="24"/>
          <w:szCs w:val="24"/>
        </w:rPr>
        <w:fldChar w:fldCharType="separate"/>
      </w:r>
      <w:r>
        <w:rPr>
          <w:color w:val="auto"/>
          <w:sz w:val="24"/>
          <w:szCs w:val="24"/>
        </w:rPr>
        <w:t>66</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4.2区域污染源</w:t>
      </w:r>
      <w:r>
        <w:rPr>
          <w:rFonts w:hAnsi="Times New Roman"/>
          <w:color w:val="auto"/>
          <w:sz w:val="24"/>
          <w:szCs w:val="24"/>
        </w:rPr>
        <w:t>调查</w:t>
      </w:r>
      <w:r>
        <w:rPr>
          <w:color w:val="auto"/>
          <w:sz w:val="24"/>
          <w:szCs w:val="24"/>
        </w:rPr>
        <w:tab/>
      </w:r>
      <w:r>
        <w:rPr>
          <w:color w:val="auto"/>
          <w:sz w:val="24"/>
          <w:szCs w:val="24"/>
        </w:rPr>
        <w:fldChar w:fldCharType="begin"/>
      </w:r>
      <w:r>
        <w:rPr>
          <w:color w:val="auto"/>
          <w:sz w:val="24"/>
          <w:szCs w:val="24"/>
        </w:rPr>
        <w:instrText xml:space="preserve"> PAGEREF _Toc24687 </w:instrText>
      </w:r>
      <w:r>
        <w:rPr>
          <w:color w:val="auto"/>
          <w:sz w:val="24"/>
          <w:szCs w:val="24"/>
        </w:rPr>
        <w:fldChar w:fldCharType="separate"/>
      </w:r>
      <w:r>
        <w:rPr>
          <w:color w:val="auto"/>
          <w:sz w:val="24"/>
          <w:szCs w:val="24"/>
        </w:rPr>
        <w:t>66</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4.2.</w:t>
      </w:r>
      <w:r>
        <w:rPr>
          <w:rFonts w:hint="eastAsia" w:ascii="Times New Roman" w:hAnsi="Times New Roman" w:eastAsia="宋体" w:cs="Times New Roman"/>
          <w:color w:val="auto"/>
          <w:sz w:val="24"/>
          <w:szCs w:val="24"/>
        </w:rPr>
        <w:t>1元谋</w:t>
      </w:r>
      <w:r>
        <w:rPr>
          <w:rFonts w:ascii="Times New Roman" w:hAnsi="Times New Roman" w:eastAsia="宋体" w:cs="Times New Roman"/>
          <w:color w:val="auto"/>
          <w:sz w:val="24"/>
          <w:szCs w:val="24"/>
        </w:rPr>
        <w:t>工业</w:t>
      </w:r>
      <w:r>
        <w:rPr>
          <w:rFonts w:hint="eastAsia" w:ascii="Times New Roman" w:hAnsi="Times New Roman" w:eastAsia="宋体" w:cs="Times New Roman"/>
          <w:color w:val="auto"/>
          <w:sz w:val="24"/>
          <w:szCs w:val="24"/>
        </w:rPr>
        <w:t>园区规划概述</w:t>
      </w:r>
      <w:r>
        <w:rPr>
          <w:color w:val="auto"/>
          <w:sz w:val="24"/>
          <w:szCs w:val="24"/>
        </w:rPr>
        <w:tab/>
      </w:r>
      <w:r>
        <w:rPr>
          <w:color w:val="auto"/>
          <w:sz w:val="24"/>
          <w:szCs w:val="24"/>
        </w:rPr>
        <w:fldChar w:fldCharType="begin"/>
      </w:r>
      <w:r>
        <w:rPr>
          <w:color w:val="auto"/>
          <w:sz w:val="24"/>
          <w:szCs w:val="24"/>
        </w:rPr>
        <w:instrText xml:space="preserve"> PAGEREF _Toc32323 </w:instrText>
      </w:r>
      <w:r>
        <w:rPr>
          <w:color w:val="auto"/>
          <w:sz w:val="24"/>
          <w:szCs w:val="24"/>
        </w:rPr>
        <w:fldChar w:fldCharType="separate"/>
      </w:r>
      <w:r>
        <w:rPr>
          <w:color w:val="auto"/>
          <w:sz w:val="24"/>
          <w:szCs w:val="24"/>
        </w:rPr>
        <w:t>66</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4.2.2区域</w:t>
      </w:r>
      <w:r>
        <w:rPr>
          <w:rFonts w:ascii="Times New Roman" w:hAnsi="Times New Roman" w:eastAsia="宋体" w:cs="Times New Roman"/>
          <w:color w:val="auto"/>
          <w:sz w:val="24"/>
          <w:szCs w:val="24"/>
        </w:rPr>
        <w:t>保护目标调查</w:t>
      </w:r>
      <w:r>
        <w:rPr>
          <w:color w:val="auto"/>
          <w:sz w:val="24"/>
          <w:szCs w:val="24"/>
        </w:rPr>
        <w:tab/>
      </w:r>
      <w:r>
        <w:rPr>
          <w:color w:val="auto"/>
          <w:sz w:val="24"/>
          <w:szCs w:val="24"/>
        </w:rPr>
        <w:fldChar w:fldCharType="begin"/>
      </w:r>
      <w:r>
        <w:rPr>
          <w:color w:val="auto"/>
          <w:sz w:val="24"/>
          <w:szCs w:val="24"/>
        </w:rPr>
        <w:instrText xml:space="preserve"> PAGEREF _Toc23390 </w:instrText>
      </w:r>
      <w:r>
        <w:rPr>
          <w:color w:val="auto"/>
          <w:sz w:val="24"/>
          <w:szCs w:val="24"/>
        </w:rPr>
        <w:fldChar w:fldCharType="separate"/>
      </w:r>
      <w:r>
        <w:rPr>
          <w:color w:val="auto"/>
          <w:sz w:val="24"/>
          <w:szCs w:val="24"/>
        </w:rPr>
        <w:t>69</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4.2.3区域</w:t>
      </w:r>
      <w:r>
        <w:rPr>
          <w:rFonts w:ascii="Times New Roman" w:hAnsi="Times New Roman" w:eastAsia="宋体" w:cs="Times New Roman"/>
          <w:color w:val="auto"/>
          <w:sz w:val="24"/>
          <w:szCs w:val="24"/>
        </w:rPr>
        <w:t>污染源调查</w:t>
      </w:r>
      <w:r>
        <w:rPr>
          <w:color w:val="auto"/>
          <w:sz w:val="24"/>
          <w:szCs w:val="24"/>
        </w:rPr>
        <w:tab/>
      </w:r>
      <w:r>
        <w:rPr>
          <w:color w:val="auto"/>
          <w:sz w:val="24"/>
          <w:szCs w:val="24"/>
        </w:rPr>
        <w:fldChar w:fldCharType="begin"/>
      </w:r>
      <w:r>
        <w:rPr>
          <w:color w:val="auto"/>
          <w:sz w:val="24"/>
          <w:szCs w:val="24"/>
        </w:rPr>
        <w:instrText xml:space="preserve"> PAGEREF _Toc29494 </w:instrText>
      </w:r>
      <w:r>
        <w:rPr>
          <w:color w:val="auto"/>
          <w:sz w:val="24"/>
          <w:szCs w:val="24"/>
        </w:rPr>
        <w:fldChar w:fldCharType="separate"/>
      </w:r>
      <w:r>
        <w:rPr>
          <w:color w:val="auto"/>
          <w:sz w:val="24"/>
          <w:szCs w:val="24"/>
        </w:rPr>
        <w:t>69</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4.3环境质量现状调查与评价</w:t>
      </w:r>
      <w:r>
        <w:rPr>
          <w:color w:val="auto"/>
          <w:sz w:val="24"/>
          <w:szCs w:val="24"/>
        </w:rPr>
        <w:tab/>
      </w:r>
      <w:r>
        <w:rPr>
          <w:color w:val="auto"/>
          <w:sz w:val="24"/>
          <w:szCs w:val="24"/>
        </w:rPr>
        <w:fldChar w:fldCharType="begin"/>
      </w:r>
      <w:r>
        <w:rPr>
          <w:color w:val="auto"/>
          <w:sz w:val="24"/>
          <w:szCs w:val="24"/>
        </w:rPr>
        <w:instrText xml:space="preserve"> PAGEREF _Toc25958 </w:instrText>
      </w:r>
      <w:r>
        <w:rPr>
          <w:color w:val="auto"/>
          <w:sz w:val="24"/>
          <w:szCs w:val="24"/>
        </w:rPr>
        <w:fldChar w:fldCharType="separate"/>
      </w:r>
      <w:r>
        <w:rPr>
          <w:color w:val="auto"/>
          <w:sz w:val="24"/>
          <w:szCs w:val="24"/>
        </w:rPr>
        <w:t>70</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4.3.1 大气环境质量现状</w:t>
      </w:r>
      <w:r>
        <w:rPr>
          <w:color w:val="auto"/>
          <w:sz w:val="24"/>
          <w:szCs w:val="24"/>
        </w:rPr>
        <w:tab/>
      </w:r>
      <w:r>
        <w:rPr>
          <w:color w:val="auto"/>
          <w:sz w:val="24"/>
          <w:szCs w:val="24"/>
        </w:rPr>
        <w:fldChar w:fldCharType="begin"/>
      </w:r>
      <w:r>
        <w:rPr>
          <w:color w:val="auto"/>
          <w:sz w:val="24"/>
          <w:szCs w:val="24"/>
        </w:rPr>
        <w:instrText xml:space="preserve"> PAGEREF _Toc19486 </w:instrText>
      </w:r>
      <w:r>
        <w:rPr>
          <w:color w:val="auto"/>
          <w:sz w:val="24"/>
          <w:szCs w:val="24"/>
        </w:rPr>
        <w:fldChar w:fldCharType="separate"/>
      </w:r>
      <w:r>
        <w:rPr>
          <w:color w:val="auto"/>
          <w:sz w:val="24"/>
          <w:szCs w:val="24"/>
        </w:rPr>
        <w:t>70</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4.3.2地表水环境质量现状监测及评价</w:t>
      </w:r>
      <w:r>
        <w:rPr>
          <w:color w:val="auto"/>
          <w:sz w:val="24"/>
          <w:szCs w:val="24"/>
        </w:rPr>
        <w:tab/>
      </w:r>
      <w:r>
        <w:rPr>
          <w:color w:val="auto"/>
          <w:sz w:val="24"/>
          <w:szCs w:val="24"/>
        </w:rPr>
        <w:fldChar w:fldCharType="begin"/>
      </w:r>
      <w:r>
        <w:rPr>
          <w:color w:val="auto"/>
          <w:sz w:val="24"/>
          <w:szCs w:val="24"/>
        </w:rPr>
        <w:instrText xml:space="preserve"> PAGEREF _Toc24780 </w:instrText>
      </w:r>
      <w:r>
        <w:rPr>
          <w:color w:val="auto"/>
          <w:sz w:val="24"/>
          <w:szCs w:val="24"/>
        </w:rPr>
        <w:fldChar w:fldCharType="separate"/>
      </w:r>
      <w:r>
        <w:rPr>
          <w:color w:val="auto"/>
          <w:sz w:val="24"/>
          <w:szCs w:val="24"/>
        </w:rPr>
        <w:t>76</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4.3.3声环境质量现状分析</w:t>
      </w:r>
      <w:r>
        <w:rPr>
          <w:color w:val="auto"/>
          <w:sz w:val="24"/>
          <w:szCs w:val="24"/>
        </w:rPr>
        <w:tab/>
      </w:r>
      <w:r>
        <w:rPr>
          <w:color w:val="auto"/>
          <w:sz w:val="24"/>
          <w:szCs w:val="24"/>
        </w:rPr>
        <w:fldChar w:fldCharType="begin"/>
      </w:r>
      <w:r>
        <w:rPr>
          <w:color w:val="auto"/>
          <w:sz w:val="24"/>
          <w:szCs w:val="24"/>
        </w:rPr>
        <w:instrText xml:space="preserve"> PAGEREF _Toc1583 </w:instrText>
      </w:r>
      <w:r>
        <w:rPr>
          <w:color w:val="auto"/>
          <w:sz w:val="24"/>
          <w:szCs w:val="24"/>
        </w:rPr>
        <w:fldChar w:fldCharType="separate"/>
      </w:r>
      <w:r>
        <w:rPr>
          <w:color w:val="auto"/>
          <w:sz w:val="24"/>
          <w:szCs w:val="24"/>
        </w:rPr>
        <w:t>81</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4.3.4地下水</w:t>
      </w:r>
      <w:r>
        <w:rPr>
          <w:rFonts w:ascii="Times New Roman" w:hAnsi="Times New Roman" w:eastAsia="宋体" w:cs="Times New Roman"/>
          <w:color w:val="auto"/>
          <w:sz w:val="24"/>
          <w:szCs w:val="24"/>
        </w:rPr>
        <w:t>环境质量现状分析</w:t>
      </w:r>
      <w:r>
        <w:rPr>
          <w:color w:val="auto"/>
          <w:sz w:val="24"/>
          <w:szCs w:val="24"/>
        </w:rPr>
        <w:tab/>
      </w:r>
      <w:r>
        <w:rPr>
          <w:color w:val="auto"/>
          <w:sz w:val="24"/>
          <w:szCs w:val="24"/>
        </w:rPr>
        <w:fldChar w:fldCharType="begin"/>
      </w:r>
      <w:r>
        <w:rPr>
          <w:color w:val="auto"/>
          <w:sz w:val="24"/>
          <w:szCs w:val="24"/>
        </w:rPr>
        <w:instrText xml:space="preserve"> PAGEREF _Toc29169 </w:instrText>
      </w:r>
      <w:r>
        <w:rPr>
          <w:color w:val="auto"/>
          <w:sz w:val="24"/>
          <w:szCs w:val="24"/>
        </w:rPr>
        <w:fldChar w:fldCharType="separate"/>
      </w:r>
      <w:r>
        <w:rPr>
          <w:color w:val="auto"/>
          <w:sz w:val="24"/>
          <w:szCs w:val="24"/>
        </w:rPr>
        <w:t>82</w:t>
      </w:r>
      <w:r>
        <w:rPr>
          <w:color w:val="auto"/>
          <w:sz w:val="24"/>
          <w:szCs w:val="24"/>
        </w:rPr>
        <w:fldChar w:fldCharType="end"/>
      </w:r>
    </w:p>
    <w:p>
      <w:pPr>
        <w:pStyle w:val="15"/>
        <w:tabs>
          <w:tab w:val="right" w:leader="dot" w:pos="8306"/>
        </w:tabs>
        <w:rPr>
          <w:color w:val="auto"/>
          <w:sz w:val="24"/>
          <w:szCs w:val="24"/>
        </w:rPr>
      </w:pPr>
      <w:r>
        <w:rPr>
          <w:rFonts w:hint="eastAsia" w:ascii="Times New Roman" w:hAnsi="Times New Roman"/>
          <w:color w:val="auto"/>
          <w:sz w:val="24"/>
          <w:szCs w:val="24"/>
        </w:rPr>
        <w:t>3、地下水</w:t>
      </w:r>
      <w:r>
        <w:rPr>
          <w:rFonts w:ascii="Times New Roman" w:hAnsi="Times New Roman"/>
          <w:color w:val="auto"/>
          <w:sz w:val="24"/>
          <w:szCs w:val="24"/>
        </w:rPr>
        <w:t>质量监测</w:t>
      </w:r>
      <w:r>
        <w:rPr>
          <w:rFonts w:hint="eastAsia" w:ascii="Times New Roman" w:hAnsi="Times New Roman"/>
          <w:color w:val="auto"/>
          <w:sz w:val="24"/>
          <w:szCs w:val="24"/>
        </w:rPr>
        <w:t>评价</w:t>
      </w:r>
      <w:r>
        <w:rPr>
          <w:rFonts w:ascii="Times New Roman" w:hAnsi="Times New Roman"/>
          <w:color w:val="auto"/>
          <w:sz w:val="24"/>
          <w:szCs w:val="24"/>
        </w:rPr>
        <w:t>结果见表</w:t>
      </w:r>
      <w:r>
        <w:rPr>
          <w:rFonts w:hint="eastAsia" w:ascii="Times New Roman" w:hAnsi="Times New Roman"/>
          <w:color w:val="auto"/>
          <w:sz w:val="24"/>
          <w:szCs w:val="24"/>
        </w:rPr>
        <w:t>4.3</w:t>
      </w:r>
      <w:r>
        <w:rPr>
          <w:rFonts w:ascii="Times New Roman" w:hAnsi="Times New Roman"/>
          <w:color w:val="auto"/>
          <w:sz w:val="24"/>
          <w:szCs w:val="24"/>
        </w:rPr>
        <w:t>-7</w:t>
      </w:r>
      <w:r>
        <w:rPr>
          <w:rFonts w:hint="eastAsia" w:ascii="Times New Roman" w:hAnsi="Times New Roman"/>
          <w:color w:val="auto"/>
          <w:sz w:val="24"/>
          <w:szCs w:val="24"/>
        </w:rPr>
        <w:t>。</w:t>
      </w:r>
      <w:r>
        <w:rPr>
          <w:color w:val="auto"/>
          <w:sz w:val="24"/>
          <w:szCs w:val="24"/>
        </w:rPr>
        <w:tab/>
      </w:r>
      <w:r>
        <w:rPr>
          <w:color w:val="auto"/>
          <w:sz w:val="24"/>
          <w:szCs w:val="24"/>
        </w:rPr>
        <w:fldChar w:fldCharType="begin"/>
      </w:r>
      <w:r>
        <w:rPr>
          <w:color w:val="auto"/>
          <w:sz w:val="24"/>
          <w:szCs w:val="24"/>
        </w:rPr>
        <w:instrText xml:space="preserve"> PAGEREF _Toc18517 </w:instrText>
      </w:r>
      <w:r>
        <w:rPr>
          <w:color w:val="auto"/>
          <w:sz w:val="24"/>
          <w:szCs w:val="24"/>
        </w:rPr>
        <w:fldChar w:fldCharType="separate"/>
      </w:r>
      <w:r>
        <w:rPr>
          <w:color w:val="auto"/>
          <w:sz w:val="24"/>
          <w:szCs w:val="24"/>
        </w:rPr>
        <w:t>83</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4.3.5</w:t>
      </w:r>
      <w:r>
        <w:rPr>
          <w:rFonts w:hint="eastAsia" w:ascii="Times New Roman" w:hAnsi="Times New Roman" w:eastAsia="宋体" w:cs="Times New Roman"/>
          <w:color w:val="auto"/>
          <w:sz w:val="24"/>
          <w:szCs w:val="24"/>
        </w:rPr>
        <w:t>土壤</w:t>
      </w:r>
      <w:r>
        <w:rPr>
          <w:rFonts w:ascii="Times New Roman" w:hAnsi="Times New Roman" w:eastAsia="宋体" w:cs="Times New Roman"/>
          <w:color w:val="auto"/>
          <w:sz w:val="24"/>
          <w:szCs w:val="24"/>
        </w:rPr>
        <w:t>环境质量现状分析</w:t>
      </w:r>
      <w:r>
        <w:rPr>
          <w:color w:val="auto"/>
          <w:sz w:val="24"/>
          <w:szCs w:val="24"/>
        </w:rPr>
        <w:tab/>
      </w:r>
      <w:r>
        <w:rPr>
          <w:color w:val="auto"/>
          <w:sz w:val="24"/>
          <w:szCs w:val="24"/>
        </w:rPr>
        <w:fldChar w:fldCharType="begin"/>
      </w:r>
      <w:r>
        <w:rPr>
          <w:color w:val="auto"/>
          <w:sz w:val="24"/>
          <w:szCs w:val="24"/>
        </w:rPr>
        <w:instrText xml:space="preserve"> PAGEREF _Toc12252 </w:instrText>
      </w:r>
      <w:r>
        <w:rPr>
          <w:color w:val="auto"/>
          <w:sz w:val="24"/>
          <w:szCs w:val="24"/>
        </w:rPr>
        <w:fldChar w:fldCharType="separate"/>
      </w:r>
      <w:r>
        <w:rPr>
          <w:color w:val="auto"/>
          <w:sz w:val="24"/>
          <w:szCs w:val="24"/>
        </w:rPr>
        <w:t>84</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4.3.6</w:t>
      </w:r>
      <w:r>
        <w:rPr>
          <w:rFonts w:hint="eastAsia" w:ascii="Times New Roman" w:hAnsi="Times New Roman" w:eastAsia="宋体" w:cs="Times New Roman"/>
          <w:color w:val="auto"/>
          <w:sz w:val="24"/>
          <w:szCs w:val="24"/>
        </w:rPr>
        <w:t>生态环境</w:t>
      </w:r>
      <w:r>
        <w:rPr>
          <w:color w:val="auto"/>
          <w:sz w:val="24"/>
          <w:szCs w:val="24"/>
        </w:rPr>
        <w:tab/>
      </w:r>
      <w:r>
        <w:rPr>
          <w:color w:val="auto"/>
          <w:sz w:val="24"/>
          <w:szCs w:val="24"/>
        </w:rPr>
        <w:fldChar w:fldCharType="begin"/>
      </w:r>
      <w:r>
        <w:rPr>
          <w:color w:val="auto"/>
          <w:sz w:val="24"/>
          <w:szCs w:val="24"/>
        </w:rPr>
        <w:instrText xml:space="preserve"> PAGEREF _Toc21028 </w:instrText>
      </w:r>
      <w:r>
        <w:rPr>
          <w:color w:val="auto"/>
          <w:sz w:val="24"/>
          <w:szCs w:val="24"/>
        </w:rPr>
        <w:fldChar w:fldCharType="separate"/>
      </w:r>
      <w:r>
        <w:rPr>
          <w:color w:val="auto"/>
          <w:sz w:val="24"/>
          <w:szCs w:val="24"/>
        </w:rPr>
        <w:t>86</w:t>
      </w:r>
      <w:r>
        <w:rPr>
          <w:color w:val="auto"/>
          <w:sz w:val="24"/>
          <w:szCs w:val="24"/>
        </w:rPr>
        <w:fldChar w:fldCharType="end"/>
      </w:r>
    </w:p>
    <w:p>
      <w:pPr>
        <w:pStyle w:val="15"/>
        <w:tabs>
          <w:tab w:val="right" w:leader="dot" w:pos="8306"/>
        </w:tabs>
        <w:rPr>
          <w:color w:val="auto"/>
          <w:sz w:val="24"/>
          <w:szCs w:val="24"/>
        </w:rPr>
      </w:pPr>
      <w:r>
        <w:rPr>
          <w:rFonts w:hint="eastAsia"/>
          <w:color w:val="auto"/>
          <w:sz w:val="24"/>
          <w:szCs w:val="24"/>
        </w:rPr>
        <w:t>5环境影响预测及评价</w:t>
      </w:r>
      <w:r>
        <w:rPr>
          <w:color w:val="auto"/>
          <w:sz w:val="24"/>
          <w:szCs w:val="24"/>
        </w:rPr>
        <w:tab/>
      </w:r>
      <w:r>
        <w:rPr>
          <w:color w:val="auto"/>
          <w:sz w:val="24"/>
          <w:szCs w:val="24"/>
        </w:rPr>
        <w:fldChar w:fldCharType="begin"/>
      </w:r>
      <w:r>
        <w:rPr>
          <w:color w:val="auto"/>
          <w:sz w:val="24"/>
          <w:szCs w:val="24"/>
        </w:rPr>
        <w:instrText xml:space="preserve"> PAGEREF _Toc21993 </w:instrText>
      </w:r>
      <w:r>
        <w:rPr>
          <w:color w:val="auto"/>
          <w:sz w:val="24"/>
          <w:szCs w:val="24"/>
        </w:rPr>
        <w:fldChar w:fldCharType="separate"/>
      </w:r>
      <w:r>
        <w:rPr>
          <w:color w:val="auto"/>
          <w:sz w:val="24"/>
          <w:szCs w:val="24"/>
        </w:rPr>
        <w:t>87</w:t>
      </w:r>
      <w:r>
        <w:rPr>
          <w:color w:val="auto"/>
          <w:sz w:val="24"/>
          <w:szCs w:val="24"/>
        </w:rPr>
        <w:fldChar w:fldCharType="end"/>
      </w:r>
    </w:p>
    <w:p>
      <w:pPr>
        <w:pStyle w:val="17"/>
        <w:tabs>
          <w:tab w:val="right" w:leader="dot" w:pos="8306"/>
        </w:tabs>
        <w:rPr>
          <w:color w:val="auto"/>
          <w:sz w:val="24"/>
          <w:szCs w:val="24"/>
        </w:rPr>
      </w:pPr>
      <w:r>
        <w:rPr>
          <w:rFonts w:hint="eastAsia" w:hAnsi="Times New Roman"/>
          <w:color w:val="auto"/>
          <w:sz w:val="24"/>
          <w:szCs w:val="24"/>
        </w:rPr>
        <w:t>5.1施工期环境影响分析</w:t>
      </w:r>
      <w:r>
        <w:rPr>
          <w:color w:val="auto"/>
          <w:sz w:val="24"/>
          <w:szCs w:val="24"/>
        </w:rPr>
        <w:tab/>
      </w:r>
      <w:r>
        <w:rPr>
          <w:color w:val="auto"/>
          <w:sz w:val="24"/>
          <w:szCs w:val="24"/>
        </w:rPr>
        <w:fldChar w:fldCharType="begin"/>
      </w:r>
      <w:r>
        <w:rPr>
          <w:color w:val="auto"/>
          <w:sz w:val="24"/>
          <w:szCs w:val="24"/>
        </w:rPr>
        <w:instrText xml:space="preserve"> PAGEREF _Toc27440 </w:instrText>
      </w:r>
      <w:r>
        <w:rPr>
          <w:color w:val="auto"/>
          <w:sz w:val="24"/>
          <w:szCs w:val="24"/>
        </w:rPr>
        <w:fldChar w:fldCharType="separate"/>
      </w:r>
      <w:r>
        <w:rPr>
          <w:color w:val="auto"/>
          <w:sz w:val="24"/>
          <w:szCs w:val="24"/>
        </w:rPr>
        <w:t>87</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5.1.1施工期环境空气影响分析</w:t>
      </w:r>
      <w:r>
        <w:rPr>
          <w:color w:val="auto"/>
          <w:sz w:val="24"/>
          <w:szCs w:val="24"/>
        </w:rPr>
        <w:tab/>
      </w:r>
      <w:r>
        <w:rPr>
          <w:color w:val="auto"/>
          <w:sz w:val="24"/>
          <w:szCs w:val="24"/>
        </w:rPr>
        <w:fldChar w:fldCharType="begin"/>
      </w:r>
      <w:r>
        <w:rPr>
          <w:color w:val="auto"/>
          <w:sz w:val="24"/>
          <w:szCs w:val="24"/>
        </w:rPr>
        <w:instrText xml:space="preserve"> PAGEREF _Toc26691 </w:instrText>
      </w:r>
      <w:r>
        <w:rPr>
          <w:color w:val="auto"/>
          <w:sz w:val="24"/>
          <w:szCs w:val="24"/>
        </w:rPr>
        <w:fldChar w:fldCharType="separate"/>
      </w:r>
      <w:r>
        <w:rPr>
          <w:color w:val="auto"/>
          <w:sz w:val="24"/>
          <w:szCs w:val="24"/>
        </w:rPr>
        <w:t>87</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5.1.2施工期水环境影响分析</w:t>
      </w:r>
      <w:r>
        <w:rPr>
          <w:color w:val="auto"/>
          <w:sz w:val="24"/>
          <w:szCs w:val="24"/>
        </w:rPr>
        <w:tab/>
      </w:r>
      <w:r>
        <w:rPr>
          <w:color w:val="auto"/>
          <w:sz w:val="24"/>
          <w:szCs w:val="24"/>
        </w:rPr>
        <w:fldChar w:fldCharType="begin"/>
      </w:r>
      <w:r>
        <w:rPr>
          <w:color w:val="auto"/>
          <w:sz w:val="24"/>
          <w:szCs w:val="24"/>
        </w:rPr>
        <w:instrText xml:space="preserve"> PAGEREF _Toc7747 </w:instrText>
      </w:r>
      <w:r>
        <w:rPr>
          <w:color w:val="auto"/>
          <w:sz w:val="24"/>
          <w:szCs w:val="24"/>
        </w:rPr>
        <w:fldChar w:fldCharType="separate"/>
      </w:r>
      <w:r>
        <w:rPr>
          <w:color w:val="auto"/>
          <w:sz w:val="24"/>
          <w:szCs w:val="24"/>
        </w:rPr>
        <w:t>88</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5.1.3施工期噪声环境影响分析</w:t>
      </w:r>
      <w:r>
        <w:rPr>
          <w:color w:val="auto"/>
          <w:sz w:val="24"/>
          <w:szCs w:val="24"/>
        </w:rPr>
        <w:tab/>
      </w:r>
      <w:r>
        <w:rPr>
          <w:color w:val="auto"/>
          <w:sz w:val="24"/>
          <w:szCs w:val="24"/>
        </w:rPr>
        <w:fldChar w:fldCharType="begin"/>
      </w:r>
      <w:r>
        <w:rPr>
          <w:color w:val="auto"/>
          <w:sz w:val="24"/>
          <w:szCs w:val="24"/>
        </w:rPr>
        <w:instrText xml:space="preserve"> PAGEREF _Toc2253 </w:instrText>
      </w:r>
      <w:r>
        <w:rPr>
          <w:color w:val="auto"/>
          <w:sz w:val="24"/>
          <w:szCs w:val="24"/>
        </w:rPr>
        <w:fldChar w:fldCharType="separate"/>
      </w:r>
      <w:r>
        <w:rPr>
          <w:color w:val="auto"/>
          <w:sz w:val="24"/>
          <w:szCs w:val="24"/>
        </w:rPr>
        <w:t>89</w:t>
      </w:r>
      <w:r>
        <w:rPr>
          <w:color w:val="auto"/>
          <w:sz w:val="24"/>
          <w:szCs w:val="24"/>
        </w:rPr>
        <w:fldChar w:fldCharType="end"/>
      </w:r>
    </w:p>
    <w:p>
      <w:pPr>
        <w:pStyle w:val="15"/>
        <w:tabs>
          <w:tab w:val="right" w:leader="dot" w:pos="8306"/>
        </w:tabs>
        <w:rPr>
          <w:color w:val="auto"/>
          <w:sz w:val="24"/>
          <w:szCs w:val="24"/>
        </w:rPr>
      </w:pPr>
      <w:r>
        <w:rPr>
          <w:rFonts w:hint="eastAsia" w:ascii="Times New Roman" w:hAnsi="Times New Roman" w:eastAsia="宋体" w:cs="Times New Roman"/>
          <w:color w:val="auto"/>
          <w:sz w:val="24"/>
          <w:szCs w:val="24"/>
        </w:rPr>
        <w:t>2、施工期噪声控制措施</w:t>
      </w:r>
      <w:r>
        <w:rPr>
          <w:color w:val="auto"/>
          <w:sz w:val="24"/>
          <w:szCs w:val="24"/>
        </w:rPr>
        <w:tab/>
      </w:r>
      <w:r>
        <w:rPr>
          <w:color w:val="auto"/>
          <w:sz w:val="24"/>
          <w:szCs w:val="24"/>
        </w:rPr>
        <w:fldChar w:fldCharType="begin"/>
      </w:r>
      <w:r>
        <w:rPr>
          <w:color w:val="auto"/>
          <w:sz w:val="24"/>
          <w:szCs w:val="24"/>
        </w:rPr>
        <w:instrText xml:space="preserve"> PAGEREF _Toc9984 </w:instrText>
      </w:r>
      <w:r>
        <w:rPr>
          <w:color w:val="auto"/>
          <w:sz w:val="24"/>
          <w:szCs w:val="24"/>
        </w:rPr>
        <w:fldChar w:fldCharType="separate"/>
      </w:r>
      <w:r>
        <w:rPr>
          <w:color w:val="auto"/>
          <w:sz w:val="24"/>
          <w:szCs w:val="24"/>
        </w:rPr>
        <w:t>90</w:t>
      </w:r>
      <w:r>
        <w:rPr>
          <w:color w:val="auto"/>
          <w:sz w:val="24"/>
          <w:szCs w:val="24"/>
        </w:rPr>
        <w:fldChar w:fldCharType="end"/>
      </w:r>
    </w:p>
    <w:p>
      <w:pPr>
        <w:pStyle w:val="15"/>
        <w:tabs>
          <w:tab w:val="right" w:leader="dot" w:pos="8306"/>
        </w:tabs>
        <w:rPr>
          <w:color w:val="auto"/>
          <w:sz w:val="24"/>
          <w:szCs w:val="24"/>
        </w:rPr>
      </w:pPr>
      <w:r>
        <w:rPr>
          <w:rFonts w:hint="eastAsia" w:ascii="Times New Roman" w:hAnsi="Times New Roman" w:eastAsia="宋体" w:cs="Times New Roman"/>
          <w:color w:val="auto"/>
          <w:sz w:val="24"/>
          <w:szCs w:val="24"/>
        </w:rPr>
        <w:t>3、施工期声环境影响评价小结</w:t>
      </w:r>
      <w:r>
        <w:rPr>
          <w:color w:val="auto"/>
          <w:sz w:val="24"/>
          <w:szCs w:val="24"/>
        </w:rPr>
        <w:tab/>
      </w:r>
      <w:r>
        <w:rPr>
          <w:color w:val="auto"/>
          <w:sz w:val="24"/>
          <w:szCs w:val="24"/>
        </w:rPr>
        <w:fldChar w:fldCharType="begin"/>
      </w:r>
      <w:r>
        <w:rPr>
          <w:color w:val="auto"/>
          <w:sz w:val="24"/>
          <w:szCs w:val="24"/>
        </w:rPr>
        <w:instrText xml:space="preserve"> PAGEREF _Toc26785 </w:instrText>
      </w:r>
      <w:r>
        <w:rPr>
          <w:color w:val="auto"/>
          <w:sz w:val="24"/>
          <w:szCs w:val="24"/>
        </w:rPr>
        <w:fldChar w:fldCharType="separate"/>
      </w:r>
      <w:r>
        <w:rPr>
          <w:color w:val="auto"/>
          <w:sz w:val="24"/>
          <w:szCs w:val="24"/>
        </w:rPr>
        <w:t>91</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5.1.4施工期固体废物环境影响分析</w:t>
      </w:r>
      <w:r>
        <w:rPr>
          <w:color w:val="auto"/>
          <w:sz w:val="24"/>
          <w:szCs w:val="24"/>
        </w:rPr>
        <w:tab/>
      </w:r>
      <w:r>
        <w:rPr>
          <w:color w:val="auto"/>
          <w:sz w:val="24"/>
          <w:szCs w:val="24"/>
        </w:rPr>
        <w:fldChar w:fldCharType="begin"/>
      </w:r>
      <w:r>
        <w:rPr>
          <w:color w:val="auto"/>
          <w:sz w:val="24"/>
          <w:szCs w:val="24"/>
        </w:rPr>
        <w:instrText xml:space="preserve"> PAGEREF _Toc28158 </w:instrText>
      </w:r>
      <w:r>
        <w:rPr>
          <w:color w:val="auto"/>
          <w:sz w:val="24"/>
          <w:szCs w:val="24"/>
        </w:rPr>
        <w:fldChar w:fldCharType="separate"/>
      </w:r>
      <w:r>
        <w:rPr>
          <w:color w:val="auto"/>
          <w:sz w:val="24"/>
          <w:szCs w:val="24"/>
        </w:rPr>
        <w:t>91</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5.1.5施工期生态影响分析</w:t>
      </w:r>
      <w:r>
        <w:rPr>
          <w:color w:val="auto"/>
          <w:sz w:val="24"/>
          <w:szCs w:val="24"/>
        </w:rPr>
        <w:tab/>
      </w:r>
      <w:r>
        <w:rPr>
          <w:color w:val="auto"/>
          <w:sz w:val="24"/>
          <w:szCs w:val="24"/>
        </w:rPr>
        <w:fldChar w:fldCharType="begin"/>
      </w:r>
      <w:r>
        <w:rPr>
          <w:color w:val="auto"/>
          <w:sz w:val="24"/>
          <w:szCs w:val="24"/>
        </w:rPr>
        <w:instrText xml:space="preserve"> PAGEREF _Toc25177 </w:instrText>
      </w:r>
      <w:r>
        <w:rPr>
          <w:color w:val="auto"/>
          <w:sz w:val="24"/>
          <w:szCs w:val="24"/>
        </w:rPr>
        <w:fldChar w:fldCharType="separate"/>
      </w:r>
      <w:r>
        <w:rPr>
          <w:color w:val="auto"/>
          <w:sz w:val="24"/>
          <w:szCs w:val="24"/>
        </w:rPr>
        <w:t>92</w:t>
      </w:r>
      <w:r>
        <w:rPr>
          <w:color w:val="auto"/>
          <w:sz w:val="24"/>
          <w:szCs w:val="24"/>
        </w:rPr>
        <w:fldChar w:fldCharType="end"/>
      </w:r>
    </w:p>
    <w:p>
      <w:pPr>
        <w:pStyle w:val="17"/>
        <w:tabs>
          <w:tab w:val="right" w:leader="dot" w:pos="8306"/>
        </w:tabs>
        <w:rPr>
          <w:color w:val="auto"/>
          <w:sz w:val="24"/>
          <w:szCs w:val="24"/>
        </w:rPr>
      </w:pPr>
      <w:r>
        <w:rPr>
          <w:rFonts w:hint="eastAsia" w:ascii="Times New Roman" w:hAnsi="Times New Roman" w:eastAsia="宋体" w:cs="Times New Roman"/>
          <w:bCs/>
          <w:color w:val="auto"/>
          <w:sz w:val="24"/>
          <w:szCs w:val="24"/>
        </w:rPr>
        <w:t>5.2运营期环境影响分析</w:t>
      </w:r>
      <w:r>
        <w:rPr>
          <w:color w:val="auto"/>
          <w:sz w:val="24"/>
          <w:szCs w:val="24"/>
        </w:rPr>
        <w:tab/>
      </w:r>
      <w:r>
        <w:rPr>
          <w:color w:val="auto"/>
          <w:sz w:val="24"/>
          <w:szCs w:val="24"/>
        </w:rPr>
        <w:fldChar w:fldCharType="begin"/>
      </w:r>
      <w:r>
        <w:rPr>
          <w:color w:val="auto"/>
          <w:sz w:val="24"/>
          <w:szCs w:val="24"/>
        </w:rPr>
        <w:instrText xml:space="preserve"> PAGEREF _Toc3680 </w:instrText>
      </w:r>
      <w:r>
        <w:rPr>
          <w:color w:val="auto"/>
          <w:sz w:val="24"/>
          <w:szCs w:val="24"/>
        </w:rPr>
        <w:fldChar w:fldCharType="separate"/>
      </w:r>
      <w:r>
        <w:rPr>
          <w:color w:val="auto"/>
          <w:sz w:val="24"/>
          <w:szCs w:val="24"/>
        </w:rPr>
        <w:t>94</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5.2.1运营期环境空气影响分析</w:t>
      </w:r>
      <w:r>
        <w:rPr>
          <w:color w:val="auto"/>
          <w:sz w:val="24"/>
          <w:szCs w:val="24"/>
        </w:rPr>
        <w:tab/>
      </w:r>
      <w:r>
        <w:rPr>
          <w:color w:val="auto"/>
          <w:sz w:val="24"/>
          <w:szCs w:val="24"/>
        </w:rPr>
        <w:fldChar w:fldCharType="begin"/>
      </w:r>
      <w:r>
        <w:rPr>
          <w:color w:val="auto"/>
          <w:sz w:val="24"/>
          <w:szCs w:val="24"/>
        </w:rPr>
        <w:instrText xml:space="preserve"> PAGEREF _Toc27572 </w:instrText>
      </w:r>
      <w:r>
        <w:rPr>
          <w:color w:val="auto"/>
          <w:sz w:val="24"/>
          <w:szCs w:val="24"/>
        </w:rPr>
        <w:fldChar w:fldCharType="separate"/>
      </w:r>
      <w:r>
        <w:rPr>
          <w:color w:val="auto"/>
          <w:sz w:val="24"/>
          <w:szCs w:val="24"/>
        </w:rPr>
        <w:t>94</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5.2.2运营期地表水环境影响分析</w:t>
      </w:r>
      <w:r>
        <w:rPr>
          <w:color w:val="auto"/>
          <w:sz w:val="24"/>
          <w:szCs w:val="24"/>
        </w:rPr>
        <w:tab/>
      </w:r>
      <w:r>
        <w:rPr>
          <w:color w:val="auto"/>
          <w:sz w:val="24"/>
          <w:szCs w:val="24"/>
        </w:rPr>
        <w:fldChar w:fldCharType="begin"/>
      </w:r>
      <w:r>
        <w:rPr>
          <w:color w:val="auto"/>
          <w:sz w:val="24"/>
          <w:szCs w:val="24"/>
        </w:rPr>
        <w:instrText xml:space="preserve"> PAGEREF _Toc31085 </w:instrText>
      </w:r>
      <w:r>
        <w:rPr>
          <w:color w:val="auto"/>
          <w:sz w:val="24"/>
          <w:szCs w:val="24"/>
        </w:rPr>
        <w:fldChar w:fldCharType="separate"/>
      </w:r>
      <w:r>
        <w:rPr>
          <w:color w:val="auto"/>
          <w:sz w:val="24"/>
          <w:szCs w:val="24"/>
        </w:rPr>
        <w:t>99</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5.2.3运营期地下水环境影响分析</w:t>
      </w:r>
      <w:r>
        <w:rPr>
          <w:color w:val="auto"/>
          <w:sz w:val="24"/>
          <w:szCs w:val="24"/>
        </w:rPr>
        <w:tab/>
      </w:r>
      <w:r>
        <w:rPr>
          <w:color w:val="auto"/>
          <w:sz w:val="24"/>
          <w:szCs w:val="24"/>
        </w:rPr>
        <w:fldChar w:fldCharType="begin"/>
      </w:r>
      <w:r>
        <w:rPr>
          <w:color w:val="auto"/>
          <w:sz w:val="24"/>
          <w:szCs w:val="24"/>
        </w:rPr>
        <w:instrText xml:space="preserve"> PAGEREF _Toc16730 </w:instrText>
      </w:r>
      <w:r>
        <w:rPr>
          <w:color w:val="auto"/>
          <w:sz w:val="24"/>
          <w:szCs w:val="24"/>
        </w:rPr>
        <w:fldChar w:fldCharType="separate"/>
      </w:r>
      <w:r>
        <w:rPr>
          <w:color w:val="auto"/>
          <w:sz w:val="24"/>
          <w:szCs w:val="24"/>
        </w:rPr>
        <w:t>100</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5.2.4运营期噪声环境影响分析</w:t>
      </w:r>
      <w:r>
        <w:rPr>
          <w:color w:val="auto"/>
          <w:sz w:val="24"/>
          <w:szCs w:val="24"/>
        </w:rPr>
        <w:tab/>
      </w:r>
      <w:r>
        <w:rPr>
          <w:color w:val="auto"/>
          <w:sz w:val="24"/>
          <w:szCs w:val="24"/>
        </w:rPr>
        <w:fldChar w:fldCharType="begin"/>
      </w:r>
      <w:r>
        <w:rPr>
          <w:color w:val="auto"/>
          <w:sz w:val="24"/>
          <w:szCs w:val="24"/>
        </w:rPr>
        <w:instrText xml:space="preserve"> PAGEREF _Toc12219 </w:instrText>
      </w:r>
      <w:r>
        <w:rPr>
          <w:color w:val="auto"/>
          <w:sz w:val="24"/>
          <w:szCs w:val="24"/>
        </w:rPr>
        <w:fldChar w:fldCharType="separate"/>
      </w:r>
      <w:r>
        <w:rPr>
          <w:color w:val="auto"/>
          <w:sz w:val="24"/>
          <w:szCs w:val="24"/>
        </w:rPr>
        <w:t>106</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5.2.5运营期固体废物环境影响分析</w:t>
      </w:r>
      <w:r>
        <w:rPr>
          <w:color w:val="auto"/>
          <w:sz w:val="24"/>
          <w:szCs w:val="24"/>
        </w:rPr>
        <w:tab/>
      </w:r>
      <w:r>
        <w:rPr>
          <w:color w:val="auto"/>
          <w:sz w:val="24"/>
          <w:szCs w:val="24"/>
        </w:rPr>
        <w:fldChar w:fldCharType="begin"/>
      </w:r>
      <w:r>
        <w:rPr>
          <w:color w:val="auto"/>
          <w:sz w:val="24"/>
          <w:szCs w:val="24"/>
        </w:rPr>
        <w:instrText xml:space="preserve"> PAGEREF _Toc1483 </w:instrText>
      </w:r>
      <w:r>
        <w:rPr>
          <w:color w:val="auto"/>
          <w:sz w:val="24"/>
          <w:szCs w:val="24"/>
        </w:rPr>
        <w:fldChar w:fldCharType="separate"/>
      </w:r>
      <w:r>
        <w:rPr>
          <w:color w:val="auto"/>
          <w:sz w:val="24"/>
          <w:szCs w:val="24"/>
        </w:rPr>
        <w:t>108</w:t>
      </w:r>
      <w:r>
        <w:rPr>
          <w:color w:val="auto"/>
          <w:sz w:val="24"/>
          <w:szCs w:val="24"/>
        </w:rPr>
        <w:fldChar w:fldCharType="end"/>
      </w:r>
    </w:p>
    <w:p>
      <w:pPr>
        <w:pStyle w:val="10"/>
        <w:tabs>
          <w:tab w:val="right" w:leader="dot" w:pos="8306"/>
        </w:tabs>
        <w:rPr>
          <w:color w:val="auto"/>
          <w:sz w:val="24"/>
          <w:szCs w:val="24"/>
        </w:rPr>
      </w:pPr>
      <w:r>
        <w:rPr>
          <w:rFonts w:hint="eastAsia"/>
          <w:color w:val="auto"/>
          <w:sz w:val="24"/>
          <w:szCs w:val="24"/>
        </w:rPr>
        <w:t>5.2.6 土壤环境影响预测和评价</w:t>
      </w:r>
      <w:r>
        <w:rPr>
          <w:color w:val="auto"/>
          <w:sz w:val="24"/>
          <w:szCs w:val="24"/>
        </w:rPr>
        <w:tab/>
      </w:r>
      <w:r>
        <w:rPr>
          <w:color w:val="auto"/>
          <w:sz w:val="24"/>
          <w:szCs w:val="24"/>
        </w:rPr>
        <w:fldChar w:fldCharType="begin"/>
      </w:r>
      <w:r>
        <w:rPr>
          <w:color w:val="auto"/>
          <w:sz w:val="24"/>
          <w:szCs w:val="24"/>
        </w:rPr>
        <w:instrText xml:space="preserve"> PAGEREF _Toc1261 </w:instrText>
      </w:r>
      <w:r>
        <w:rPr>
          <w:color w:val="auto"/>
          <w:sz w:val="24"/>
          <w:szCs w:val="24"/>
        </w:rPr>
        <w:fldChar w:fldCharType="separate"/>
      </w:r>
      <w:r>
        <w:rPr>
          <w:color w:val="auto"/>
          <w:sz w:val="24"/>
          <w:szCs w:val="24"/>
        </w:rPr>
        <w:t>109</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bCs/>
          <w:color w:val="auto"/>
          <w:sz w:val="24"/>
          <w:szCs w:val="24"/>
        </w:rPr>
        <w:t>5.2.7运营期生态影响分析</w:t>
      </w:r>
      <w:r>
        <w:rPr>
          <w:color w:val="auto"/>
          <w:sz w:val="24"/>
          <w:szCs w:val="24"/>
        </w:rPr>
        <w:tab/>
      </w:r>
      <w:r>
        <w:rPr>
          <w:color w:val="auto"/>
          <w:sz w:val="24"/>
          <w:szCs w:val="24"/>
        </w:rPr>
        <w:fldChar w:fldCharType="begin"/>
      </w:r>
      <w:r>
        <w:rPr>
          <w:color w:val="auto"/>
          <w:sz w:val="24"/>
          <w:szCs w:val="24"/>
        </w:rPr>
        <w:instrText xml:space="preserve"> PAGEREF _Toc5312 </w:instrText>
      </w:r>
      <w:r>
        <w:rPr>
          <w:color w:val="auto"/>
          <w:sz w:val="24"/>
          <w:szCs w:val="24"/>
        </w:rPr>
        <w:fldChar w:fldCharType="separate"/>
      </w:r>
      <w:r>
        <w:rPr>
          <w:color w:val="auto"/>
          <w:sz w:val="24"/>
          <w:szCs w:val="24"/>
        </w:rPr>
        <w:t>113</w:t>
      </w:r>
      <w:r>
        <w:rPr>
          <w:color w:val="auto"/>
          <w:sz w:val="24"/>
          <w:szCs w:val="24"/>
        </w:rPr>
        <w:fldChar w:fldCharType="end"/>
      </w:r>
    </w:p>
    <w:p>
      <w:pPr>
        <w:pStyle w:val="15"/>
        <w:tabs>
          <w:tab w:val="right" w:leader="dot" w:pos="8306"/>
        </w:tabs>
        <w:rPr>
          <w:color w:val="auto"/>
          <w:sz w:val="24"/>
          <w:szCs w:val="24"/>
        </w:rPr>
      </w:pPr>
      <w:r>
        <w:rPr>
          <w:color w:val="auto"/>
          <w:sz w:val="24"/>
          <w:szCs w:val="24"/>
        </w:rPr>
        <w:t>6</w:t>
      </w:r>
      <w:r>
        <w:rPr>
          <w:rFonts w:hint="eastAsia"/>
          <w:color w:val="auto"/>
          <w:sz w:val="24"/>
          <w:szCs w:val="24"/>
        </w:rPr>
        <w:t>环境风险影响分析</w:t>
      </w:r>
      <w:r>
        <w:rPr>
          <w:color w:val="auto"/>
          <w:sz w:val="24"/>
          <w:szCs w:val="24"/>
        </w:rPr>
        <w:tab/>
      </w:r>
      <w:r>
        <w:rPr>
          <w:color w:val="auto"/>
          <w:sz w:val="24"/>
          <w:szCs w:val="24"/>
        </w:rPr>
        <w:fldChar w:fldCharType="begin"/>
      </w:r>
      <w:r>
        <w:rPr>
          <w:color w:val="auto"/>
          <w:sz w:val="24"/>
          <w:szCs w:val="24"/>
        </w:rPr>
        <w:instrText xml:space="preserve"> PAGEREF _Toc18959 </w:instrText>
      </w:r>
      <w:r>
        <w:rPr>
          <w:color w:val="auto"/>
          <w:sz w:val="24"/>
          <w:szCs w:val="24"/>
        </w:rPr>
        <w:fldChar w:fldCharType="separate"/>
      </w:r>
      <w:r>
        <w:rPr>
          <w:color w:val="auto"/>
          <w:sz w:val="24"/>
          <w:szCs w:val="24"/>
        </w:rPr>
        <w:t>114</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6.1 评价依据</w:t>
      </w:r>
      <w:r>
        <w:rPr>
          <w:color w:val="auto"/>
          <w:sz w:val="24"/>
          <w:szCs w:val="24"/>
        </w:rPr>
        <w:tab/>
      </w:r>
      <w:r>
        <w:rPr>
          <w:color w:val="auto"/>
          <w:sz w:val="24"/>
          <w:szCs w:val="24"/>
        </w:rPr>
        <w:fldChar w:fldCharType="begin"/>
      </w:r>
      <w:r>
        <w:rPr>
          <w:color w:val="auto"/>
          <w:sz w:val="24"/>
          <w:szCs w:val="24"/>
        </w:rPr>
        <w:instrText xml:space="preserve"> PAGEREF _Toc5758 </w:instrText>
      </w:r>
      <w:r>
        <w:rPr>
          <w:color w:val="auto"/>
          <w:sz w:val="24"/>
          <w:szCs w:val="24"/>
        </w:rPr>
        <w:fldChar w:fldCharType="separate"/>
      </w:r>
      <w:r>
        <w:rPr>
          <w:color w:val="auto"/>
          <w:sz w:val="24"/>
          <w:szCs w:val="24"/>
        </w:rPr>
        <w:t>114</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6.2 评价的一般性原则</w:t>
      </w:r>
      <w:r>
        <w:rPr>
          <w:color w:val="auto"/>
          <w:sz w:val="24"/>
          <w:szCs w:val="24"/>
        </w:rPr>
        <w:tab/>
      </w:r>
      <w:r>
        <w:rPr>
          <w:color w:val="auto"/>
          <w:sz w:val="24"/>
          <w:szCs w:val="24"/>
        </w:rPr>
        <w:fldChar w:fldCharType="begin"/>
      </w:r>
      <w:r>
        <w:rPr>
          <w:color w:val="auto"/>
          <w:sz w:val="24"/>
          <w:szCs w:val="24"/>
        </w:rPr>
        <w:instrText xml:space="preserve"> PAGEREF _Toc23566 </w:instrText>
      </w:r>
      <w:r>
        <w:rPr>
          <w:color w:val="auto"/>
          <w:sz w:val="24"/>
          <w:szCs w:val="24"/>
        </w:rPr>
        <w:fldChar w:fldCharType="separate"/>
      </w:r>
      <w:r>
        <w:rPr>
          <w:color w:val="auto"/>
          <w:sz w:val="24"/>
          <w:szCs w:val="24"/>
        </w:rPr>
        <w:t>114</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6.3 风险调查</w:t>
      </w:r>
      <w:r>
        <w:rPr>
          <w:color w:val="auto"/>
          <w:sz w:val="24"/>
          <w:szCs w:val="24"/>
        </w:rPr>
        <w:tab/>
      </w:r>
      <w:r>
        <w:rPr>
          <w:color w:val="auto"/>
          <w:sz w:val="24"/>
          <w:szCs w:val="24"/>
        </w:rPr>
        <w:fldChar w:fldCharType="begin"/>
      </w:r>
      <w:r>
        <w:rPr>
          <w:color w:val="auto"/>
          <w:sz w:val="24"/>
          <w:szCs w:val="24"/>
        </w:rPr>
        <w:instrText xml:space="preserve"> PAGEREF _Toc31477 </w:instrText>
      </w:r>
      <w:r>
        <w:rPr>
          <w:color w:val="auto"/>
          <w:sz w:val="24"/>
          <w:szCs w:val="24"/>
        </w:rPr>
        <w:fldChar w:fldCharType="separate"/>
      </w:r>
      <w:r>
        <w:rPr>
          <w:color w:val="auto"/>
          <w:sz w:val="24"/>
          <w:szCs w:val="24"/>
        </w:rPr>
        <w:t>114</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6.3.1 项目涉及的危险物质的理化性质和危险特性</w:t>
      </w:r>
      <w:r>
        <w:rPr>
          <w:color w:val="auto"/>
          <w:sz w:val="24"/>
          <w:szCs w:val="24"/>
        </w:rPr>
        <w:tab/>
      </w:r>
      <w:r>
        <w:rPr>
          <w:color w:val="auto"/>
          <w:sz w:val="24"/>
          <w:szCs w:val="24"/>
        </w:rPr>
        <w:fldChar w:fldCharType="begin"/>
      </w:r>
      <w:r>
        <w:rPr>
          <w:color w:val="auto"/>
          <w:sz w:val="24"/>
          <w:szCs w:val="24"/>
        </w:rPr>
        <w:instrText xml:space="preserve"> PAGEREF _Toc16112 </w:instrText>
      </w:r>
      <w:r>
        <w:rPr>
          <w:color w:val="auto"/>
          <w:sz w:val="24"/>
          <w:szCs w:val="24"/>
        </w:rPr>
        <w:fldChar w:fldCharType="separate"/>
      </w:r>
      <w:r>
        <w:rPr>
          <w:color w:val="auto"/>
          <w:sz w:val="24"/>
          <w:szCs w:val="24"/>
        </w:rPr>
        <w:t>114</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6.3.2 危险物质及生产系统危险性（P）分级</w:t>
      </w:r>
      <w:r>
        <w:rPr>
          <w:color w:val="auto"/>
          <w:sz w:val="24"/>
          <w:szCs w:val="24"/>
        </w:rPr>
        <w:tab/>
      </w:r>
      <w:r>
        <w:rPr>
          <w:color w:val="auto"/>
          <w:sz w:val="24"/>
          <w:szCs w:val="24"/>
        </w:rPr>
        <w:fldChar w:fldCharType="begin"/>
      </w:r>
      <w:r>
        <w:rPr>
          <w:color w:val="auto"/>
          <w:sz w:val="24"/>
          <w:szCs w:val="24"/>
        </w:rPr>
        <w:instrText xml:space="preserve"> PAGEREF _Toc669 </w:instrText>
      </w:r>
      <w:r>
        <w:rPr>
          <w:color w:val="auto"/>
          <w:sz w:val="24"/>
          <w:szCs w:val="24"/>
        </w:rPr>
        <w:fldChar w:fldCharType="separate"/>
      </w:r>
      <w:r>
        <w:rPr>
          <w:color w:val="auto"/>
          <w:sz w:val="24"/>
          <w:szCs w:val="24"/>
        </w:rPr>
        <w:t>115</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6.3.3 评价等级</w:t>
      </w:r>
      <w:r>
        <w:rPr>
          <w:color w:val="auto"/>
          <w:sz w:val="24"/>
          <w:szCs w:val="24"/>
        </w:rPr>
        <w:tab/>
      </w:r>
      <w:r>
        <w:rPr>
          <w:color w:val="auto"/>
          <w:sz w:val="24"/>
          <w:szCs w:val="24"/>
        </w:rPr>
        <w:fldChar w:fldCharType="begin"/>
      </w:r>
      <w:r>
        <w:rPr>
          <w:color w:val="auto"/>
          <w:sz w:val="24"/>
          <w:szCs w:val="24"/>
        </w:rPr>
        <w:instrText xml:space="preserve"> PAGEREF _Toc29612 </w:instrText>
      </w:r>
      <w:r>
        <w:rPr>
          <w:color w:val="auto"/>
          <w:sz w:val="24"/>
          <w:szCs w:val="24"/>
        </w:rPr>
        <w:fldChar w:fldCharType="separate"/>
      </w:r>
      <w:r>
        <w:rPr>
          <w:color w:val="auto"/>
          <w:sz w:val="24"/>
          <w:szCs w:val="24"/>
        </w:rPr>
        <w:t>115</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6.3.4 环境敏感目标分布概况</w:t>
      </w:r>
      <w:r>
        <w:rPr>
          <w:color w:val="auto"/>
          <w:sz w:val="24"/>
          <w:szCs w:val="24"/>
        </w:rPr>
        <w:tab/>
      </w:r>
      <w:r>
        <w:rPr>
          <w:color w:val="auto"/>
          <w:sz w:val="24"/>
          <w:szCs w:val="24"/>
        </w:rPr>
        <w:fldChar w:fldCharType="begin"/>
      </w:r>
      <w:r>
        <w:rPr>
          <w:color w:val="auto"/>
          <w:sz w:val="24"/>
          <w:szCs w:val="24"/>
        </w:rPr>
        <w:instrText xml:space="preserve"> PAGEREF _Toc27501 </w:instrText>
      </w:r>
      <w:r>
        <w:rPr>
          <w:color w:val="auto"/>
          <w:sz w:val="24"/>
          <w:szCs w:val="24"/>
        </w:rPr>
        <w:fldChar w:fldCharType="separate"/>
      </w:r>
      <w:r>
        <w:rPr>
          <w:color w:val="auto"/>
          <w:sz w:val="24"/>
          <w:szCs w:val="24"/>
        </w:rPr>
        <w:t>116</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6.4 风险识别</w:t>
      </w:r>
      <w:r>
        <w:rPr>
          <w:color w:val="auto"/>
          <w:sz w:val="24"/>
          <w:szCs w:val="24"/>
        </w:rPr>
        <w:tab/>
      </w:r>
      <w:r>
        <w:rPr>
          <w:color w:val="auto"/>
          <w:sz w:val="24"/>
          <w:szCs w:val="24"/>
        </w:rPr>
        <w:fldChar w:fldCharType="begin"/>
      </w:r>
      <w:r>
        <w:rPr>
          <w:color w:val="auto"/>
          <w:sz w:val="24"/>
          <w:szCs w:val="24"/>
        </w:rPr>
        <w:instrText xml:space="preserve"> PAGEREF _Toc26063 </w:instrText>
      </w:r>
      <w:r>
        <w:rPr>
          <w:color w:val="auto"/>
          <w:sz w:val="24"/>
          <w:szCs w:val="24"/>
        </w:rPr>
        <w:fldChar w:fldCharType="separate"/>
      </w:r>
      <w:r>
        <w:rPr>
          <w:color w:val="auto"/>
          <w:sz w:val="24"/>
          <w:szCs w:val="24"/>
        </w:rPr>
        <w:t>117</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6.5 发生火灾事故的防范措施</w:t>
      </w:r>
      <w:r>
        <w:rPr>
          <w:color w:val="auto"/>
          <w:sz w:val="24"/>
          <w:szCs w:val="24"/>
        </w:rPr>
        <w:tab/>
      </w:r>
      <w:r>
        <w:rPr>
          <w:color w:val="auto"/>
          <w:sz w:val="24"/>
          <w:szCs w:val="24"/>
        </w:rPr>
        <w:fldChar w:fldCharType="begin"/>
      </w:r>
      <w:r>
        <w:rPr>
          <w:color w:val="auto"/>
          <w:sz w:val="24"/>
          <w:szCs w:val="24"/>
        </w:rPr>
        <w:instrText xml:space="preserve"> PAGEREF _Toc19046 </w:instrText>
      </w:r>
      <w:r>
        <w:rPr>
          <w:color w:val="auto"/>
          <w:sz w:val="24"/>
          <w:szCs w:val="24"/>
        </w:rPr>
        <w:fldChar w:fldCharType="separate"/>
      </w:r>
      <w:r>
        <w:rPr>
          <w:color w:val="auto"/>
          <w:sz w:val="24"/>
          <w:szCs w:val="24"/>
        </w:rPr>
        <w:t>117</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6.6 环境风险评价结论</w:t>
      </w:r>
      <w:r>
        <w:rPr>
          <w:color w:val="auto"/>
          <w:sz w:val="24"/>
          <w:szCs w:val="24"/>
        </w:rPr>
        <w:tab/>
      </w:r>
      <w:r>
        <w:rPr>
          <w:color w:val="auto"/>
          <w:sz w:val="24"/>
          <w:szCs w:val="24"/>
        </w:rPr>
        <w:fldChar w:fldCharType="begin"/>
      </w:r>
      <w:r>
        <w:rPr>
          <w:color w:val="auto"/>
          <w:sz w:val="24"/>
          <w:szCs w:val="24"/>
        </w:rPr>
        <w:instrText xml:space="preserve"> PAGEREF _Toc30555 </w:instrText>
      </w:r>
      <w:r>
        <w:rPr>
          <w:color w:val="auto"/>
          <w:sz w:val="24"/>
          <w:szCs w:val="24"/>
        </w:rPr>
        <w:fldChar w:fldCharType="separate"/>
      </w:r>
      <w:r>
        <w:rPr>
          <w:color w:val="auto"/>
          <w:sz w:val="24"/>
          <w:szCs w:val="24"/>
        </w:rPr>
        <w:t>118</w:t>
      </w:r>
      <w:r>
        <w:rPr>
          <w:color w:val="auto"/>
          <w:sz w:val="24"/>
          <w:szCs w:val="24"/>
        </w:rPr>
        <w:fldChar w:fldCharType="end"/>
      </w:r>
    </w:p>
    <w:p>
      <w:pPr>
        <w:pStyle w:val="15"/>
        <w:tabs>
          <w:tab w:val="right" w:leader="dot" w:pos="8306"/>
        </w:tabs>
        <w:rPr>
          <w:color w:val="auto"/>
          <w:sz w:val="24"/>
          <w:szCs w:val="24"/>
        </w:rPr>
      </w:pPr>
      <w:r>
        <w:rPr>
          <w:rFonts w:ascii="Times New Roman" w:hAnsi="Times New Roman" w:eastAsia="宋体" w:cs="Times New Roman"/>
          <w:bCs/>
          <w:color w:val="auto"/>
          <w:kern w:val="44"/>
          <w:sz w:val="24"/>
          <w:szCs w:val="24"/>
        </w:rPr>
        <w:t>7</w:t>
      </w:r>
      <w:r>
        <w:rPr>
          <w:rFonts w:hint="eastAsia" w:ascii="Times New Roman" w:hAnsi="Times New Roman" w:eastAsia="宋体" w:cs="Times New Roman"/>
          <w:bCs/>
          <w:color w:val="auto"/>
          <w:kern w:val="44"/>
          <w:sz w:val="24"/>
          <w:szCs w:val="24"/>
        </w:rPr>
        <w:t>环境保护措施及可行性分析</w:t>
      </w:r>
      <w:r>
        <w:rPr>
          <w:color w:val="auto"/>
          <w:sz w:val="24"/>
          <w:szCs w:val="24"/>
        </w:rPr>
        <w:tab/>
      </w:r>
      <w:r>
        <w:rPr>
          <w:color w:val="auto"/>
          <w:sz w:val="24"/>
          <w:szCs w:val="24"/>
        </w:rPr>
        <w:fldChar w:fldCharType="begin"/>
      </w:r>
      <w:r>
        <w:rPr>
          <w:color w:val="auto"/>
          <w:sz w:val="24"/>
          <w:szCs w:val="24"/>
        </w:rPr>
        <w:instrText xml:space="preserve"> PAGEREF _Toc7807 </w:instrText>
      </w:r>
      <w:r>
        <w:rPr>
          <w:color w:val="auto"/>
          <w:sz w:val="24"/>
          <w:szCs w:val="24"/>
        </w:rPr>
        <w:fldChar w:fldCharType="separate"/>
      </w:r>
      <w:r>
        <w:rPr>
          <w:color w:val="auto"/>
          <w:sz w:val="24"/>
          <w:szCs w:val="24"/>
        </w:rPr>
        <w:t>119</w:t>
      </w:r>
      <w:r>
        <w:rPr>
          <w:color w:val="auto"/>
          <w:sz w:val="24"/>
          <w:szCs w:val="24"/>
        </w:rPr>
        <w:fldChar w:fldCharType="end"/>
      </w:r>
    </w:p>
    <w:p>
      <w:pPr>
        <w:pStyle w:val="15"/>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.1施工期环境保护措施及可行性</w:t>
      </w:r>
      <w:r>
        <w:rPr>
          <w:color w:val="auto"/>
          <w:sz w:val="24"/>
          <w:szCs w:val="24"/>
        </w:rPr>
        <w:tab/>
      </w:r>
      <w:r>
        <w:rPr>
          <w:color w:val="auto"/>
          <w:sz w:val="24"/>
          <w:szCs w:val="24"/>
        </w:rPr>
        <w:fldChar w:fldCharType="begin"/>
      </w:r>
      <w:r>
        <w:rPr>
          <w:color w:val="auto"/>
          <w:sz w:val="24"/>
          <w:szCs w:val="24"/>
        </w:rPr>
        <w:instrText xml:space="preserve"> PAGEREF _Toc9340 </w:instrText>
      </w:r>
      <w:r>
        <w:rPr>
          <w:color w:val="auto"/>
          <w:sz w:val="24"/>
          <w:szCs w:val="24"/>
        </w:rPr>
        <w:fldChar w:fldCharType="separate"/>
      </w:r>
      <w:r>
        <w:rPr>
          <w:color w:val="auto"/>
          <w:sz w:val="24"/>
          <w:szCs w:val="24"/>
        </w:rPr>
        <w:t>119</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.1.1施工期废气污染防治措施及其可行性分析</w:t>
      </w:r>
      <w:r>
        <w:rPr>
          <w:color w:val="auto"/>
          <w:sz w:val="24"/>
          <w:szCs w:val="24"/>
        </w:rPr>
        <w:tab/>
      </w:r>
      <w:r>
        <w:rPr>
          <w:color w:val="auto"/>
          <w:sz w:val="24"/>
          <w:szCs w:val="24"/>
        </w:rPr>
        <w:fldChar w:fldCharType="begin"/>
      </w:r>
      <w:r>
        <w:rPr>
          <w:color w:val="auto"/>
          <w:sz w:val="24"/>
          <w:szCs w:val="24"/>
        </w:rPr>
        <w:instrText xml:space="preserve"> PAGEREF _Toc20475 </w:instrText>
      </w:r>
      <w:r>
        <w:rPr>
          <w:color w:val="auto"/>
          <w:sz w:val="24"/>
          <w:szCs w:val="24"/>
        </w:rPr>
        <w:fldChar w:fldCharType="separate"/>
      </w:r>
      <w:r>
        <w:rPr>
          <w:color w:val="auto"/>
          <w:sz w:val="24"/>
          <w:szCs w:val="24"/>
        </w:rPr>
        <w:t>119</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.1.2施工期废水污染防治措施及其可行性分析</w:t>
      </w:r>
      <w:r>
        <w:rPr>
          <w:color w:val="auto"/>
          <w:sz w:val="24"/>
          <w:szCs w:val="24"/>
        </w:rPr>
        <w:tab/>
      </w:r>
      <w:r>
        <w:rPr>
          <w:color w:val="auto"/>
          <w:sz w:val="24"/>
          <w:szCs w:val="24"/>
        </w:rPr>
        <w:fldChar w:fldCharType="begin"/>
      </w:r>
      <w:r>
        <w:rPr>
          <w:color w:val="auto"/>
          <w:sz w:val="24"/>
          <w:szCs w:val="24"/>
        </w:rPr>
        <w:instrText xml:space="preserve"> PAGEREF _Toc17929 </w:instrText>
      </w:r>
      <w:r>
        <w:rPr>
          <w:color w:val="auto"/>
          <w:sz w:val="24"/>
          <w:szCs w:val="24"/>
        </w:rPr>
        <w:fldChar w:fldCharType="separate"/>
      </w:r>
      <w:r>
        <w:rPr>
          <w:color w:val="auto"/>
          <w:sz w:val="24"/>
          <w:szCs w:val="24"/>
        </w:rPr>
        <w:t>120</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.1.3施工期地下水影响防治措施</w:t>
      </w:r>
      <w:r>
        <w:rPr>
          <w:color w:val="auto"/>
          <w:sz w:val="24"/>
          <w:szCs w:val="24"/>
        </w:rPr>
        <w:tab/>
      </w:r>
      <w:r>
        <w:rPr>
          <w:color w:val="auto"/>
          <w:sz w:val="24"/>
          <w:szCs w:val="24"/>
        </w:rPr>
        <w:fldChar w:fldCharType="begin"/>
      </w:r>
      <w:r>
        <w:rPr>
          <w:color w:val="auto"/>
          <w:sz w:val="24"/>
          <w:szCs w:val="24"/>
        </w:rPr>
        <w:instrText xml:space="preserve"> PAGEREF _Toc10099 </w:instrText>
      </w:r>
      <w:r>
        <w:rPr>
          <w:color w:val="auto"/>
          <w:sz w:val="24"/>
          <w:szCs w:val="24"/>
        </w:rPr>
        <w:fldChar w:fldCharType="separate"/>
      </w:r>
      <w:r>
        <w:rPr>
          <w:color w:val="auto"/>
          <w:sz w:val="24"/>
          <w:szCs w:val="24"/>
        </w:rPr>
        <w:t>121</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.1.4施工期噪声污染防治措施</w:t>
      </w:r>
      <w:r>
        <w:rPr>
          <w:color w:val="auto"/>
          <w:sz w:val="24"/>
          <w:szCs w:val="24"/>
        </w:rPr>
        <w:tab/>
      </w:r>
      <w:r>
        <w:rPr>
          <w:color w:val="auto"/>
          <w:sz w:val="24"/>
          <w:szCs w:val="24"/>
        </w:rPr>
        <w:fldChar w:fldCharType="begin"/>
      </w:r>
      <w:r>
        <w:rPr>
          <w:color w:val="auto"/>
          <w:sz w:val="24"/>
          <w:szCs w:val="24"/>
        </w:rPr>
        <w:instrText xml:space="preserve"> PAGEREF _Toc28906 </w:instrText>
      </w:r>
      <w:r>
        <w:rPr>
          <w:color w:val="auto"/>
          <w:sz w:val="24"/>
          <w:szCs w:val="24"/>
        </w:rPr>
        <w:fldChar w:fldCharType="separate"/>
      </w:r>
      <w:r>
        <w:rPr>
          <w:color w:val="auto"/>
          <w:sz w:val="24"/>
          <w:szCs w:val="24"/>
        </w:rPr>
        <w:t>121</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.1.5施工期固废污染防治措施</w:t>
      </w:r>
      <w:r>
        <w:rPr>
          <w:color w:val="auto"/>
          <w:sz w:val="24"/>
          <w:szCs w:val="24"/>
        </w:rPr>
        <w:tab/>
      </w:r>
      <w:r>
        <w:rPr>
          <w:color w:val="auto"/>
          <w:sz w:val="24"/>
          <w:szCs w:val="24"/>
        </w:rPr>
        <w:fldChar w:fldCharType="begin"/>
      </w:r>
      <w:r>
        <w:rPr>
          <w:color w:val="auto"/>
          <w:sz w:val="24"/>
          <w:szCs w:val="24"/>
        </w:rPr>
        <w:instrText xml:space="preserve"> PAGEREF _Toc25107 </w:instrText>
      </w:r>
      <w:r>
        <w:rPr>
          <w:color w:val="auto"/>
          <w:sz w:val="24"/>
          <w:szCs w:val="24"/>
        </w:rPr>
        <w:fldChar w:fldCharType="separate"/>
      </w:r>
      <w:r>
        <w:rPr>
          <w:color w:val="auto"/>
          <w:sz w:val="24"/>
          <w:szCs w:val="24"/>
        </w:rPr>
        <w:t>122</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.1.6生态影响治理措施</w:t>
      </w:r>
      <w:r>
        <w:rPr>
          <w:color w:val="auto"/>
          <w:sz w:val="24"/>
          <w:szCs w:val="24"/>
        </w:rPr>
        <w:tab/>
      </w:r>
      <w:r>
        <w:rPr>
          <w:color w:val="auto"/>
          <w:sz w:val="24"/>
          <w:szCs w:val="24"/>
        </w:rPr>
        <w:fldChar w:fldCharType="begin"/>
      </w:r>
      <w:r>
        <w:rPr>
          <w:color w:val="auto"/>
          <w:sz w:val="24"/>
          <w:szCs w:val="24"/>
        </w:rPr>
        <w:instrText xml:space="preserve"> PAGEREF _Toc8670 </w:instrText>
      </w:r>
      <w:r>
        <w:rPr>
          <w:color w:val="auto"/>
          <w:sz w:val="24"/>
          <w:szCs w:val="24"/>
        </w:rPr>
        <w:fldChar w:fldCharType="separate"/>
      </w:r>
      <w:r>
        <w:rPr>
          <w:color w:val="auto"/>
          <w:sz w:val="24"/>
          <w:szCs w:val="24"/>
        </w:rPr>
        <w:t>122</w:t>
      </w:r>
      <w:r>
        <w:rPr>
          <w:color w:val="auto"/>
          <w:sz w:val="24"/>
          <w:szCs w:val="24"/>
        </w:rPr>
        <w:fldChar w:fldCharType="end"/>
      </w:r>
    </w:p>
    <w:p>
      <w:pPr>
        <w:pStyle w:val="15"/>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.2运营期环境保护措施及其可行性论证</w:t>
      </w:r>
      <w:r>
        <w:rPr>
          <w:color w:val="auto"/>
          <w:sz w:val="24"/>
          <w:szCs w:val="24"/>
        </w:rPr>
        <w:tab/>
      </w:r>
      <w:r>
        <w:rPr>
          <w:color w:val="auto"/>
          <w:sz w:val="24"/>
          <w:szCs w:val="24"/>
        </w:rPr>
        <w:fldChar w:fldCharType="begin"/>
      </w:r>
      <w:r>
        <w:rPr>
          <w:color w:val="auto"/>
          <w:sz w:val="24"/>
          <w:szCs w:val="24"/>
        </w:rPr>
        <w:instrText xml:space="preserve"> PAGEREF _Toc29916 </w:instrText>
      </w:r>
      <w:r>
        <w:rPr>
          <w:color w:val="auto"/>
          <w:sz w:val="24"/>
          <w:szCs w:val="24"/>
        </w:rPr>
        <w:fldChar w:fldCharType="separate"/>
      </w:r>
      <w:r>
        <w:rPr>
          <w:color w:val="auto"/>
          <w:sz w:val="24"/>
          <w:szCs w:val="24"/>
        </w:rPr>
        <w:t>123</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.2.1运营期废气治理措施及其可行性分析</w:t>
      </w:r>
      <w:r>
        <w:rPr>
          <w:color w:val="auto"/>
          <w:sz w:val="24"/>
          <w:szCs w:val="24"/>
        </w:rPr>
        <w:tab/>
      </w:r>
      <w:r>
        <w:rPr>
          <w:color w:val="auto"/>
          <w:sz w:val="24"/>
          <w:szCs w:val="24"/>
        </w:rPr>
        <w:fldChar w:fldCharType="begin"/>
      </w:r>
      <w:r>
        <w:rPr>
          <w:color w:val="auto"/>
          <w:sz w:val="24"/>
          <w:szCs w:val="24"/>
        </w:rPr>
        <w:instrText xml:space="preserve"> PAGEREF _Toc8243 </w:instrText>
      </w:r>
      <w:r>
        <w:rPr>
          <w:color w:val="auto"/>
          <w:sz w:val="24"/>
          <w:szCs w:val="24"/>
        </w:rPr>
        <w:fldChar w:fldCharType="separate"/>
      </w:r>
      <w:r>
        <w:rPr>
          <w:color w:val="auto"/>
          <w:sz w:val="24"/>
          <w:szCs w:val="24"/>
        </w:rPr>
        <w:t>123</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.2.2运营期废水治理措施及其可行性分析</w:t>
      </w:r>
      <w:r>
        <w:rPr>
          <w:color w:val="auto"/>
          <w:sz w:val="24"/>
          <w:szCs w:val="24"/>
        </w:rPr>
        <w:tab/>
      </w:r>
      <w:r>
        <w:rPr>
          <w:color w:val="auto"/>
          <w:sz w:val="24"/>
          <w:szCs w:val="24"/>
        </w:rPr>
        <w:fldChar w:fldCharType="begin"/>
      </w:r>
      <w:r>
        <w:rPr>
          <w:color w:val="auto"/>
          <w:sz w:val="24"/>
          <w:szCs w:val="24"/>
        </w:rPr>
        <w:instrText xml:space="preserve"> PAGEREF _Toc24303 </w:instrText>
      </w:r>
      <w:r>
        <w:rPr>
          <w:color w:val="auto"/>
          <w:sz w:val="24"/>
          <w:szCs w:val="24"/>
        </w:rPr>
        <w:fldChar w:fldCharType="separate"/>
      </w:r>
      <w:r>
        <w:rPr>
          <w:color w:val="auto"/>
          <w:sz w:val="24"/>
          <w:szCs w:val="24"/>
        </w:rPr>
        <w:t>123</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.2.3运气噪声治理措施</w:t>
      </w:r>
      <w:r>
        <w:rPr>
          <w:color w:val="auto"/>
          <w:sz w:val="24"/>
          <w:szCs w:val="24"/>
        </w:rPr>
        <w:tab/>
      </w:r>
      <w:r>
        <w:rPr>
          <w:color w:val="auto"/>
          <w:sz w:val="24"/>
          <w:szCs w:val="24"/>
        </w:rPr>
        <w:fldChar w:fldCharType="begin"/>
      </w:r>
      <w:r>
        <w:rPr>
          <w:color w:val="auto"/>
          <w:sz w:val="24"/>
          <w:szCs w:val="24"/>
        </w:rPr>
        <w:instrText xml:space="preserve"> PAGEREF _Toc5991 </w:instrText>
      </w:r>
      <w:r>
        <w:rPr>
          <w:color w:val="auto"/>
          <w:sz w:val="24"/>
          <w:szCs w:val="24"/>
        </w:rPr>
        <w:fldChar w:fldCharType="separate"/>
      </w:r>
      <w:r>
        <w:rPr>
          <w:color w:val="auto"/>
          <w:sz w:val="24"/>
          <w:szCs w:val="24"/>
        </w:rPr>
        <w:t>125</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.2.4运营期固体废物处置措施及其可行性分析</w:t>
      </w:r>
      <w:r>
        <w:rPr>
          <w:color w:val="auto"/>
          <w:sz w:val="24"/>
          <w:szCs w:val="24"/>
        </w:rPr>
        <w:tab/>
      </w:r>
      <w:r>
        <w:rPr>
          <w:color w:val="auto"/>
          <w:sz w:val="24"/>
          <w:szCs w:val="24"/>
        </w:rPr>
        <w:fldChar w:fldCharType="begin"/>
      </w:r>
      <w:r>
        <w:rPr>
          <w:color w:val="auto"/>
          <w:sz w:val="24"/>
          <w:szCs w:val="24"/>
        </w:rPr>
        <w:instrText xml:space="preserve"> PAGEREF _Toc11048 </w:instrText>
      </w:r>
      <w:r>
        <w:rPr>
          <w:color w:val="auto"/>
          <w:sz w:val="24"/>
          <w:szCs w:val="24"/>
        </w:rPr>
        <w:fldChar w:fldCharType="separate"/>
      </w:r>
      <w:r>
        <w:rPr>
          <w:color w:val="auto"/>
          <w:sz w:val="24"/>
          <w:szCs w:val="24"/>
        </w:rPr>
        <w:t>125</w:t>
      </w:r>
      <w:r>
        <w:rPr>
          <w:color w:val="auto"/>
          <w:sz w:val="24"/>
          <w:szCs w:val="24"/>
        </w:rPr>
        <w:fldChar w:fldCharType="end"/>
      </w:r>
    </w:p>
    <w:p>
      <w:pPr>
        <w:pStyle w:val="10"/>
        <w:tabs>
          <w:tab w:val="right" w:leader="dot" w:pos="8306"/>
        </w:tabs>
        <w:rPr>
          <w:color w:val="auto"/>
          <w:sz w:val="24"/>
          <w:szCs w:val="24"/>
        </w:rPr>
      </w:pPr>
      <w:r>
        <w:rPr>
          <w:color w:val="auto"/>
          <w:sz w:val="24"/>
          <w:szCs w:val="24"/>
        </w:rPr>
        <w:t>7</w:t>
      </w:r>
      <w:r>
        <w:rPr>
          <w:rFonts w:hint="eastAsia"/>
          <w:color w:val="auto"/>
          <w:sz w:val="24"/>
          <w:szCs w:val="24"/>
        </w:rPr>
        <w:t>.2.5</w:t>
      </w:r>
      <w:r>
        <w:rPr>
          <w:color w:val="auto"/>
          <w:sz w:val="24"/>
          <w:szCs w:val="24"/>
        </w:rPr>
        <w:t>土壤治理措施可行性分析</w:t>
      </w:r>
      <w:r>
        <w:rPr>
          <w:color w:val="auto"/>
          <w:sz w:val="24"/>
          <w:szCs w:val="24"/>
        </w:rPr>
        <w:tab/>
      </w:r>
      <w:r>
        <w:rPr>
          <w:color w:val="auto"/>
          <w:sz w:val="24"/>
          <w:szCs w:val="24"/>
        </w:rPr>
        <w:fldChar w:fldCharType="begin"/>
      </w:r>
      <w:r>
        <w:rPr>
          <w:color w:val="auto"/>
          <w:sz w:val="24"/>
          <w:szCs w:val="24"/>
        </w:rPr>
        <w:instrText xml:space="preserve"> PAGEREF _Toc9947 </w:instrText>
      </w:r>
      <w:r>
        <w:rPr>
          <w:color w:val="auto"/>
          <w:sz w:val="24"/>
          <w:szCs w:val="24"/>
        </w:rPr>
        <w:fldChar w:fldCharType="separate"/>
      </w:r>
      <w:r>
        <w:rPr>
          <w:color w:val="auto"/>
          <w:sz w:val="24"/>
          <w:szCs w:val="24"/>
        </w:rPr>
        <w:t>126</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.2.6建议</w:t>
      </w:r>
      <w:r>
        <w:rPr>
          <w:color w:val="auto"/>
          <w:sz w:val="24"/>
          <w:szCs w:val="24"/>
        </w:rPr>
        <w:tab/>
      </w:r>
      <w:r>
        <w:rPr>
          <w:color w:val="auto"/>
          <w:sz w:val="24"/>
          <w:szCs w:val="24"/>
        </w:rPr>
        <w:fldChar w:fldCharType="begin"/>
      </w:r>
      <w:r>
        <w:rPr>
          <w:color w:val="auto"/>
          <w:sz w:val="24"/>
          <w:szCs w:val="24"/>
        </w:rPr>
        <w:instrText xml:space="preserve"> PAGEREF _Toc912 </w:instrText>
      </w:r>
      <w:r>
        <w:rPr>
          <w:color w:val="auto"/>
          <w:sz w:val="24"/>
          <w:szCs w:val="24"/>
        </w:rPr>
        <w:fldChar w:fldCharType="separate"/>
      </w:r>
      <w:r>
        <w:rPr>
          <w:color w:val="auto"/>
          <w:sz w:val="24"/>
          <w:szCs w:val="24"/>
        </w:rPr>
        <w:t>127</w:t>
      </w:r>
      <w:r>
        <w:rPr>
          <w:color w:val="auto"/>
          <w:sz w:val="24"/>
          <w:szCs w:val="24"/>
        </w:rPr>
        <w:fldChar w:fldCharType="end"/>
      </w:r>
    </w:p>
    <w:p>
      <w:pPr>
        <w:pStyle w:val="15"/>
        <w:tabs>
          <w:tab w:val="right" w:leader="dot" w:pos="8306"/>
        </w:tabs>
        <w:rPr>
          <w:color w:val="auto"/>
          <w:sz w:val="24"/>
          <w:szCs w:val="24"/>
        </w:rPr>
      </w:pPr>
      <w:r>
        <w:rPr>
          <w:color w:val="auto"/>
          <w:sz w:val="24"/>
          <w:szCs w:val="24"/>
        </w:rPr>
        <w:t>8环境经济损益分析</w:t>
      </w:r>
      <w:r>
        <w:rPr>
          <w:color w:val="auto"/>
          <w:sz w:val="24"/>
          <w:szCs w:val="24"/>
        </w:rPr>
        <w:tab/>
      </w:r>
      <w:r>
        <w:rPr>
          <w:color w:val="auto"/>
          <w:sz w:val="24"/>
          <w:szCs w:val="24"/>
        </w:rPr>
        <w:fldChar w:fldCharType="begin"/>
      </w:r>
      <w:r>
        <w:rPr>
          <w:color w:val="auto"/>
          <w:sz w:val="24"/>
          <w:szCs w:val="24"/>
        </w:rPr>
        <w:instrText xml:space="preserve"> PAGEREF _Toc24564 </w:instrText>
      </w:r>
      <w:r>
        <w:rPr>
          <w:color w:val="auto"/>
          <w:sz w:val="24"/>
          <w:szCs w:val="24"/>
        </w:rPr>
        <w:fldChar w:fldCharType="separate"/>
      </w:r>
      <w:r>
        <w:rPr>
          <w:color w:val="auto"/>
          <w:sz w:val="24"/>
          <w:szCs w:val="24"/>
        </w:rPr>
        <w:t>128</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8.1 分析的内容和方法</w:t>
      </w:r>
      <w:r>
        <w:rPr>
          <w:color w:val="auto"/>
          <w:sz w:val="24"/>
          <w:szCs w:val="24"/>
        </w:rPr>
        <w:tab/>
      </w:r>
      <w:r>
        <w:rPr>
          <w:color w:val="auto"/>
          <w:sz w:val="24"/>
          <w:szCs w:val="24"/>
        </w:rPr>
        <w:fldChar w:fldCharType="begin"/>
      </w:r>
      <w:r>
        <w:rPr>
          <w:color w:val="auto"/>
          <w:sz w:val="24"/>
          <w:szCs w:val="24"/>
        </w:rPr>
        <w:instrText xml:space="preserve"> PAGEREF _Toc3445 </w:instrText>
      </w:r>
      <w:r>
        <w:rPr>
          <w:color w:val="auto"/>
          <w:sz w:val="24"/>
          <w:szCs w:val="24"/>
        </w:rPr>
        <w:fldChar w:fldCharType="separate"/>
      </w:r>
      <w:r>
        <w:rPr>
          <w:color w:val="auto"/>
          <w:sz w:val="24"/>
          <w:szCs w:val="24"/>
        </w:rPr>
        <w:t>128</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8.1.1 分析内容</w:t>
      </w:r>
      <w:r>
        <w:rPr>
          <w:color w:val="auto"/>
          <w:sz w:val="24"/>
          <w:szCs w:val="24"/>
        </w:rPr>
        <w:tab/>
      </w:r>
      <w:r>
        <w:rPr>
          <w:color w:val="auto"/>
          <w:sz w:val="24"/>
          <w:szCs w:val="24"/>
        </w:rPr>
        <w:fldChar w:fldCharType="begin"/>
      </w:r>
      <w:r>
        <w:rPr>
          <w:color w:val="auto"/>
          <w:sz w:val="24"/>
          <w:szCs w:val="24"/>
        </w:rPr>
        <w:instrText xml:space="preserve"> PAGEREF _Toc15143 </w:instrText>
      </w:r>
      <w:r>
        <w:rPr>
          <w:color w:val="auto"/>
          <w:sz w:val="24"/>
          <w:szCs w:val="24"/>
        </w:rPr>
        <w:fldChar w:fldCharType="separate"/>
      </w:r>
      <w:r>
        <w:rPr>
          <w:color w:val="auto"/>
          <w:sz w:val="24"/>
          <w:szCs w:val="24"/>
        </w:rPr>
        <w:t>128</w:t>
      </w:r>
      <w:r>
        <w:rPr>
          <w:color w:val="auto"/>
          <w:sz w:val="24"/>
          <w:szCs w:val="24"/>
        </w:rPr>
        <w:fldChar w:fldCharType="end"/>
      </w:r>
    </w:p>
    <w:p>
      <w:pPr>
        <w:pStyle w:val="17"/>
        <w:tabs>
          <w:tab w:val="right" w:leader="dot" w:pos="8306"/>
        </w:tabs>
        <w:rPr>
          <w:color w:val="auto"/>
          <w:sz w:val="24"/>
          <w:szCs w:val="24"/>
        </w:rPr>
      </w:pPr>
      <w:r>
        <w:rPr>
          <w:rFonts w:ascii="Times New Roman" w:hAnsi="Times New Roman" w:eastAsia="宋体" w:cs="Times New Roman"/>
          <w:bCs/>
          <w:color w:val="auto"/>
          <w:sz w:val="24"/>
          <w:szCs w:val="24"/>
        </w:rPr>
        <w:t>8.1.2 分析方法</w:t>
      </w:r>
      <w:r>
        <w:rPr>
          <w:color w:val="auto"/>
          <w:sz w:val="24"/>
          <w:szCs w:val="24"/>
        </w:rPr>
        <w:tab/>
      </w:r>
      <w:r>
        <w:rPr>
          <w:color w:val="auto"/>
          <w:sz w:val="24"/>
          <w:szCs w:val="24"/>
        </w:rPr>
        <w:fldChar w:fldCharType="begin"/>
      </w:r>
      <w:r>
        <w:rPr>
          <w:color w:val="auto"/>
          <w:sz w:val="24"/>
          <w:szCs w:val="24"/>
        </w:rPr>
        <w:instrText xml:space="preserve"> PAGEREF _Toc17214 </w:instrText>
      </w:r>
      <w:r>
        <w:rPr>
          <w:color w:val="auto"/>
          <w:sz w:val="24"/>
          <w:szCs w:val="24"/>
        </w:rPr>
        <w:fldChar w:fldCharType="separate"/>
      </w:r>
      <w:r>
        <w:rPr>
          <w:color w:val="auto"/>
          <w:sz w:val="24"/>
          <w:szCs w:val="24"/>
        </w:rPr>
        <w:t>128</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8.2 环保投资估算</w:t>
      </w:r>
      <w:r>
        <w:rPr>
          <w:color w:val="auto"/>
          <w:sz w:val="24"/>
          <w:szCs w:val="24"/>
        </w:rPr>
        <w:tab/>
      </w:r>
      <w:r>
        <w:rPr>
          <w:color w:val="auto"/>
          <w:sz w:val="24"/>
          <w:szCs w:val="24"/>
        </w:rPr>
        <w:fldChar w:fldCharType="begin"/>
      </w:r>
      <w:r>
        <w:rPr>
          <w:color w:val="auto"/>
          <w:sz w:val="24"/>
          <w:szCs w:val="24"/>
        </w:rPr>
        <w:instrText xml:space="preserve"> PAGEREF _Toc26790 </w:instrText>
      </w:r>
      <w:r>
        <w:rPr>
          <w:color w:val="auto"/>
          <w:sz w:val="24"/>
          <w:szCs w:val="24"/>
        </w:rPr>
        <w:fldChar w:fldCharType="separate"/>
      </w:r>
      <w:r>
        <w:rPr>
          <w:color w:val="auto"/>
          <w:sz w:val="24"/>
          <w:szCs w:val="24"/>
        </w:rPr>
        <w:t>128</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8.3环保设施运行费用</w:t>
      </w:r>
      <w:r>
        <w:rPr>
          <w:color w:val="auto"/>
          <w:sz w:val="24"/>
          <w:szCs w:val="24"/>
        </w:rPr>
        <w:tab/>
      </w:r>
      <w:r>
        <w:rPr>
          <w:color w:val="auto"/>
          <w:sz w:val="24"/>
          <w:szCs w:val="24"/>
        </w:rPr>
        <w:fldChar w:fldCharType="begin"/>
      </w:r>
      <w:r>
        <w:rPr>
          <w:color w:val="auto"/>
          <w:sz w:val="24"/>
          <w:szCs w:val="24"/>
        </w:rPr>
        <w:instrText xml:space="preserve"> PAGEREF _Toc9171 </w:instrText>
      </w:r>
      <w:r>
        <w:rPr>
          <w:color w:val="auto"/>
          <w:sz w:val="24"/>
          <w:szCs w:val="24"/>
        </w:rPr>
        <w:fldChar w:fldCharType="separate"/>
      </w:r>
      <w:r>
        <w:rPr>
          <w:color w:val="auto"/>
          <w:sz w:val="24"/>
          <w:szCs w:val="24"/>
        </w:rPr>
        <w:t>129</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8.4 环境效益分析</w:t>
      </w:r>
      <w:r>
        <w:rPr>
          <w:color w:val="auto"/>
          <w:sz w:val="24"/>
          <w:szCs w:val="24"/>
        </w:rPr>
        <w:tab/>
      </w:r>
      <w:r>
        <w:rPr>
          <w:color w:val="auto"/>
          <w:sz w:val="24"/>
          <w:szCs w:val="24"/>
        </w:rPr>
        <w:fldChar w:fldCharType="begin"/>
      </w:r>
      <w:r>
        <w:rPr>
          <w:color w:val="auto"/>
          <w:sz w:val="24"/>
          <w:szCs w:val="24"/>
        </w:rPr>
        <w:instrText xml:space="preserve"> PAGEREF _Toc717 </w:instrText>
      </w:r>
      <w:r>
        <w:rPr>
          <w:color w:val="auto"/>
          <w:sz w:val="24"/>
          <w:szCs w:val="24"/>
        </w:rPr>
        <w:fldChar w:fldCharType="separate"/>
      </w:r>
      <w:r>
        <w:rPr>
          <w:color w:val="auto"/>
          <w:sz w:val="24"/>
          <w:szCs w:val="24"/>
        </w:rPr>
        <w:t>130</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8.4.1 污染防治措施</w:t>
      </w:r>
      <w:r>
        <w:rPr>
          <w:color w:val="auto"/>
          <w:sz w:val="24"/>
          <w:szCs w:val="24"/>
        </w:rPr>
        <w:tab/>
      </w:r>
      <w:r>
        <w:rPr>
          <w:color w:val="auto"/>
          <w:sz w:val="24"/>
          <w:szCs w:val="24"/>
        </w:rPr>
        <w:fldChar w:fldCharType="begin"/>
      </w:r>
      <w:r>
        <w:rPr>
          <w:color w:val="auto"/>
          <w:sz w:val="24"/>
          <w:szCs w:val="24"/>
        </w:rPr>
        <w:instrText xml:space="preserve"> PAGEREF _Toc15437 </w:instrText>
      </w:r>
      <w:r>
        <w:rPr>
          <w:color w:val="auto"/>
          <w:sz w:val="24"/>
          <w:szCs w:val="24"/>
        </w:rPr>
        <w:fldChar w:fldCharType="separate"/>
      </w:r>
      <w:r>
        <w:rPr>
          <w:color w:val="auto"/>
          <w:sz w:val="24"/>
          <w:szCs w:val="24"/>
        </w:rPr>
        <w:t>130</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8.4.2 污染防治措施经济效益分析</w:t>
      </w:r>
      <w:r>
        <w:rPr>
          <w:color w:val="auto"/>
          <w:sz w:val="24"/>
          <w:szCs w:val="24"/>
        </w:rPr>
        <w:tab/>
      </w:r>
      <w:r>
        <w:rPr>
          <w:color w:val="auto"/>
          <w:sz w:val="24"/>
          <w:szCs w:val="24"/>
        </w:rPr>
        <w:fldChar w:fldCharType="begin"/>
      </w:r>
      <w:r>
        <w:rPr>
          <w:color w:val="auto"/>
          <w:sz w:val="24"/>
          <w:szCs w:val="24"/>
        </w:rPr>
        <w:instrText xml:space="preserve"> PAGEREF _Toc13494 </w:instrText>
      </w:r>
      <w:r>
        <w:rPr>
          <w:color w:val="auto"/>
          <w:sz w:val="24"/>
          <w:szCs w:val="24"/>
        </w:rPr>
        <w:fldChar w:fldCharType="separate"/>
      </w:r>
      <w:r>
        <w:rPr>
          <w:color w:val="auto"/>
          <w:sz w:val="24"/>
          <w:szCs w:val="24"/>
        </w:rPr>
        <w:t>131</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8.5 社会效益</w:t>
      </w:r>
      <w:r>
        <w:rPr>
          <w:color w:val="auto"/>
          <w:sz w:val="24"/>
          <w:szCs w:val="24"/>
        </w:rPr>
        <w:tab/>
      </w:r>
      <w:r>
        <w:rPr>
          <w:color w:val="auto"/>
          <w:sz w:val="24"/>
          <w:szCs w:val="24"/>
        </w:rPr>
        <w:fldChar w:fldCharType="begin"/>
      </w:r>
      <w:r>
        <w:rPr>
          <w:color w:val="auto"/>
          <w:sz w:val="24"/>
          <w:szCs w:val="24"/>
        </w:rPr>
        <w:instrText xml:space="preserve"> PAGEREF _Toc9258 </w:instrText>
      </w:r>
      <w:r>
        <w:rPr>
          <w:color w:val="auto"/>
          <w:sz w:val="24"/>
          <w:szCs w:val="24"/>
        </w:rPr>
        <w:fldChar w:fldCharType="separate"/>
      </w:r>
      <w:r>
        <w:rPr>
          <w:color w:val="auto"/>
          <w:sz w:val="24"/>
          <w:szCs w:val="24"/>
        </w:rPr>
        <w:t>132</w:t>
      </w:r>
      <w:r>
        <w:rPr>
          <w:color w:val="auto"/>
          <w:sz w:val="24"/>
          <w:szCs w:val="24"/>
        </w:rPr>
        <w:fldChar w:fldCharType="end"/>
      </w:r>
    </w:p>
    <w:p>
      <w:pPr>
        <w:pStyle w:val="15"/>
        <w:tabs>
          <w:tab w:val="right" w:leader="dot" w:pos="8306"/>
        </w:tabs>
        <w:rPr>
          <w:color w:val="auto"/>
          <w:sz w:val="24"/>
          <w:szCs w:val="24"/>
        </w:rPr>
      </w:pPr>
      <w:r>
        <w:rPr>
          <w:color w:val="auto"/>
          <w:sz w:val="24"/>
          <w:szCs w:val="24"/>
        </w:rPr>
        <w:t>9 环境管理与监测计划</w:t>
      </w:r>
      <w:r>
        <w:rPr>
          <w:color w:val="auto"/>
          <w:sz w:val="24"/>
          <w:szCs w:val="24"/>
        </w:rPr>
        <w:tab/>
      </w:r>
      <w:r>
        <w:rPr>
          <w:color w:val="auto"/>
          <w:sz w:val="24"/>
          <w:szCs w:val="24"/>
        </w:rPr>
        <w:fldChar w:fldCharType="begin"/>
      </w:r>
      <w:r>
        <w:rPr>
          <w:color w:val="auto"/>
          <w:sz w:val="24"/>
          <w:szCs w:val="24"/>
        </w:rPr>
        <w:instrText xml:space="preserve"> PAGEREF _Toc13684 </w:instrText>
      </w:r>
      <w:r>
        <w:rPr>
          <w:color w:val="auto"/>
          <w:sz w:val="24"/>
          <w:szCs w:val="24"/>
        </w:rPr>
        <w:fldChar w:fldCharType="separate"/>
      </w:r>
      <w:r>
        <w:rPr>
          <w:color w:val="auto"/>
          <w:sz w:val="24"/>
          <w:szCs w:val="24"/>
        </w:rPr>
        <w:t>133</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9.1 项目污染物排放情况和企业信息公开</w:t>
      </w:r>
      <w:r>
        <w:rPr>
          <w:color w:val="auto"/>
          <w:sz w:val="24"/>
          <w:szCs w:val="24"/>
        </w:rPr>
        <w:tab/>
      </w:r>
      <w:r>
        <w:rPr>
          <w:color w:val="auto"/>
          <w:sz w:val="24"/>
          <w:szCs w:val="24"/>
        </w:rPr>
        <w:fldChar w:fldCharType="begin"/>
      </w:r>
      <w:r>
        <w:rPr>
          <w:color w:val="auto"/>
          <w:sz w:val="24"/>
          <w:szCs w:val="24"/>
        </w:rPr>
        <w:instrText xml:space="preserve"> PAGEREF _Toc26009 </w:instrText>
      </w:r>
      <w:r>
        <w:rPr>
          <w:color w:val="auto"/>
          <w:sz w:val="24"/>
          <w:szCs w:val="24"/>
        </w:rPr>
        <w:fldChar w:fldCharType="separate"/>
      </w:r>
      <w:r>
        <w:rPr>
          <w:color w:val="auto"/>
          <w:sz w:val="24"/>
          <w:szCs w:val="24"/>
        </w:rPr>
        <w:t>133</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9.1.1 项目污染物排放情况</w:t>
      </w:r>
      <w:r>
        <w:rPr>
          <w:color w:val="auto"/>
          <w:sz w:val="24"/>
          <w:szCs w:val="24"/>
        </w:rPr>
        <w:tab/>
      </w:r>
      <w:r>
        <w:rPr>
          <w:color w:val="auto"/>
          <w:sz w:val="24"/>
          <w:szCs w:val="24"/>
        </w:rPr>
        <w:fldChar w:fldCharType="begin"/>
      </w:r>
      <w:r>
        <w:rPr>
          <w:color w:val="auto"/>
          <w:sz w:val="24"/>
          <w:szCs w:val="24"/>
        </w:rPr>
        <w:instrText xml:space="preserve"> PAGEREF _Toc24653 </w:instrText>
      </w:r>
      <w:r>
        <w:rPr>
          <w:color w:val="auto"/>
          <w:sz w:val="24"/>
          <w:szCs w:val="24"/>
        </w:rPr>
        <w:fldChar w:fldCharType="separate"/>
      </w:r>
      <w:r>
        <w:rPr>
          <w:color w:val="auto"/>
          <w:sz w:val="24"/>
          <w:szCs w:val="24"/>
        </w:rPr>
        <w:t>133</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9.1.2 企业信息公开</w:t>
      </w:r>
      <w:r>
        <w:rPr>
          <w:color w:val="auto"/>
          <w:sz w:val="24"/>
          <w:szCs w:val="24"/>
        </w:rPr>
        <w:tab/>
      </w:r>
      <w:r>
        <w:rPr>
          <w:color w:val="auto"/>
          <w:sz w:val="24"/>
          <w:szCs w:val="24"/>
        </w:rPr>
        <w:fldChar w:fldCharType="begin"/>
      </w:r>
      <w:r>
        <w:rPr>
          <w:color w:val="auto"/>
          <w:sz w:val="24"/>
          <w:szCs w:val="24"/>
        </w:rPr>
        <w:instrText xml:space="preserve"> PAGEREF _Toc26934 </w:instrText>
      </w:r>
      <w:r>
        <w:rPr>
          <w:color w:val="auto"/>
          <w:sz w:val="24"/>
          <w:szCs w:val="24"/>
        </w:rPr>
        <w:fldChar w:fldCharType="separate"/>
      </w:r>
      <w:r>
        <w:rPr>
          <w:color w:val="auto"/>
          <w:sz w:val="24"/>
          <w:szCs w:val="24"/>
        </w:rPr>
        <w:t>134</w:t>
      </w:r>
      <w:r>
        <w:rPr>
          <w:color w:val="auto"/>
          <w:sz w:val="24"/>
          <w:szCs w:val="24"/>
        </w:rPr>
        <w:fldChar w:fldCharType="end"/>
      </w:r>
    </w:p>
    <w:p>
      <w:pPr>
        <w:pStyle w:val="10"/>
        <w:tabs>
          <w:tab w:val="right" w:leader="dot" w:pos="8306"/>
        </w:tabs>
        <w:rPr>
          <w:color w:val="auto"/>
          <w:sz w:val="24"/>
          <w:szCs w:val="24"/>
        </w:rPr>
      </w:pPr>
      <w:r>
        <w:rPr>
          <w:rFonts w:hint="eastAsia" w:ascii="Times New Roman" w:hAnsi="Times New Roman" w:eastAsia="宋体" w:cs="Times New Roman"/>
          <w:color w:val="auto"/>
          <w:sz w:val="24"/>
          <w:szCs w:val="24"/>
        </w:rPr>
        <w:t>9.1.3总量</w:t>
      </w:r>
      <w:r>
        <w:rPr>
          <w:rFonts w:ascii="Times New Roman" w:hAnsi="Times New Roman" w:eastAsia="宋体" w:cs="Times New Roman"/>
          <w:color w:val="auto"/>
          <w:sz w:val="24"/>
          <w:szCs w:val="24"/>
        </w:rPr>
        <w:t>控制建议</w:t>
      </w:r>
      <w:r>
        <w:rPr>
          <w:color w:val="auto"/>
          <w:sz w:val="24"/>
          <w:szCs w:val="24"/>
        </w:rPr>
        <w:tab/>
      </w:r>
      <w:r>
        <w:rPr>
          <w:color w:val="auto"/>
          <w:sz w:val="24"/>
          <w:szCs w:val="24"/>
        </w:rPr>
        <w:fldChar w:fldCharType="begin"/>
      </w:r>
      <w:r>
        <w:rPr>
          <w:color w:val="auto"/>
          <w:sz w:val="24"/>
          <w:szCs w:val="24"/>
        </w:rPr>
        <w:instrText xml:space="preserve"> PAGEREF _Toc21533 </w:instrText>
      </w:r>
      <w:r>
        <w:rPr>
          <w:color w:val="auto"/>
          <w:sz w:val="24"/>
          <w:szCs w:val="24"/>
        </w:rPr>
        <w:fldChar w:fldCharType="separate"/>
      </w:r>
      <w:r>
        <w:rPr>
          <w:color w:val="auto"/>
          <w:sz w:val="24"/>
          <w:szCs w:val="24"/>
        </w:rPr>
        <w:t>135</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9.2 环境管理</w:t>
      </w:r>
      <w:r>
        <w:rPr>
          <w:color w:val="auto"/>
          <w:sz w:val="24"/>
          <w:szCs w:val="24"/>
        </w:rPr>
        <w:tab/>
      </w:r>
      <w:r>
        <w:rPr>
          <w:color w:val="auto"/>
          <w:sz w:val="24"/>
          <w:szCs w:val="24"/>
        </w:rPr>
        <w:fldChar w:fldCharType="begin"/>
      </w:r>
      <w:r>
        <w:rPr>
          <w:color w:val="auto"/>
          <w:sz w:val="24"/>
          <w:szCs w:val="24"/>
        </w:rPr>
        <w:instrText xml:space="preserve"> PAGEREF _Toc28784 </w:instrText>
      </w:r>
      <w:r>
        <w:rPr>
          <w:color w:val="auto"/>
          <w:sz w:val="24"/>
          <w:szCs w:val="24"/>
        </w:rPr>
        <w:fldChar w:fldCharType="separate"/>
      </w:r>
      <w:r>
        <w:rPr>
          <w:color w:val="auto"/>
          <w:sz w:val="24"/>
          <w:szCs w:val="24"/>
        </w:rPr>
        <w:t>135</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9.2.1 环境管理职责</w:t>
      </w:r>
      <w:r>
        <w:rPr>
          <w:color w:val="auto"/>
          <w:sz w:val="24"/>
          <w:szCs w:val="24"/>
        </w:rPr>
        <w:tab/>
      </w:r>
      <w:r>
        <w:rPr>
          <w:color w:val="auto"/>
          <w:sz w:val="24"/>
          <w:szCs w:val="24"/>
        </w:rPr>
        <w:fldChar w:fldCharType="begin"/>
      </w:r>
      <w:r>
        <w:rPr>
          <w:color w:val="auto"/>
          <w:sz w:val="24"/>
          <w:szCs w:val="24"/>
        </w:rPr>
        <w:instrText xml:space="preserve"> PAGEREF _Toc31377 </w:instrText>
      </w:r>
      <w:r>
        <w:rPr>
          <w:color w:val="auto"/>
          <w:sz w:val="24"/>
          <w:szCs w:val="24"/>
        </w:rPr>
        <w:fldChar w:fldCharType="separate"/>
      </w:r>
      <w:r>
        <w:rPr>
          <w:color w:val="auto"/>
          <w:sz w:val="24"/>
          <w:szCs w:val="24"/>
        </w:rPr>
        <w:t>135</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9.2.2 环境管理制度</w:t>
      </w:r>
      <w:r>
        <w:rPr>
          <w:color w:val="auto"/>
          <w:sz w:val="24"/>
          <w:szCs w:val="24"/>
        </w:rPr>
        <w:tab/>
      </w:r>
      <w:r>
        <w:rPr>
          <w:color w:val="auto"/>
          <w:sz w:val="24"/>
          <w:szCs w:val="24"/>
        </w:rPr>
        <w:fldChar w:fldCharType="begin"/>
      </w:r>
      <w:r>
        <w:rPr>
          <w:color w:val="auto"/>
          <w:sz w:val="24"/>
          <w:szCs w:val="24"/>
        </w:rPr>
        <w:instrText xml:space="preserve"> PAGEREF _Toc7251 </w:instrText>
      </w:r>
      <w:r>
        <w:rPr>
          <w:color w:val="auto"/>
          <w:sz w:val="24"/>
          <w:szCs w:val="24"/>
        </w:rPr>
        <w:fldChar w:fldCharType="separate"/>
      </w:r>
      <w:r>
        <w:rPr>
          <w:color w:val="auto"/>
          <w:sz w:val="24"/>
          <w:szCs w:val="24"/>
        </w:rPr>
        <w:t>136</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9.2.3 运营期环境管理</w:t>
      </w:r>
      <w:r>
        <w:rPr>
          <w:color w:val="auto"/>
          <w:sz w:val="24"/>
          <w:szCs w:val="24"/>
        </w:rPr>
        <w:tab/>
      </w:r>
      <w:r>
        <w:rPr>
          <w:color w:val="auto"/>
          <w:sz w:val="24"/>
          <w:szCs w:val="24"/>
        </w:rPr>
        <w:fldChar w:fldCharType="begin"/>
      </w:r>
      <w:r>
        <w:rPr>
          <w:color w:val="auto"/>
          <w:sz w:val="24"/>
          <w:szCs w:val="24"/>
        </w:rPr>
        <w:instrText xml:space="preserve"> PAGEREF _Toc7756 </w:instrText>
      </w:r>
      <w:r>
        <w:rPr>
          <w:color w:val="auto"/>
          <w:sz w:val="24"/>
          <w:szCs w:val="24"/>
        </w:rPr>
        <w:fldChar w:fldCharType="separate"/>
      </w:r>
      <w:r>
        <w:rPr>
          <w:color w:val="auto"/>
          <w:sz w:val="24"/>
          <w:szCs w:val="24"/>
        </w:rPr>
        <w:t>136</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9.2.</w:t>
      </w:r>
      <w:r>
        <w:rPr>
          <w:rFonts w:hint="eastAsia" w:ascii="Times New Roman" w:hAnsi="Times New Roman" w:eastAsia="宋体" w:cs="Times New Roman"/>
          <w:color w:val="auto"/>
          <w:sz w:val="24"/>
          <w:szCs w:val="24"/>
        </w:rPr>
        <w:t>4</w:t>
      </w:r>
      <w:r>
        <w:rPr>
          <w:rFonts w:ascii="Times New Roman" w:hAnsi="Times New Roman" w:eastAsia="宋体" w:cs="Times New Roman"/>
          <w:color w:val="auto"/>
          <w:sz w:val="24"/>
          <w:szCs w:val="24"/>
        </w:rPr>
        <w:t xml:space="preserve"> 排污口规整</w:t>
      </w:r>
      <w:r>
        <w:rPr>
          <w:color w:val="auto"/>
          <w:sz w:val="24"/>
          <w:szCs w:val="24"/>
        </w:rPr>
        <w:tab/>
      </w:r>
      <w:r>
        <w:rPr>
          <w:color w:val="auto"/>
          <w:sz w:val="24"/>
          <w:szCs w:val="24"/>
        </w:rPr>
        <w:fldChar w:fldCharType="begin"/>
      </w:r>
      <w:r>
        <w:rPr>
          <w:color w:val="auto"/>
          <w:sz w:val="24"/>
          <w:szCs w:val="24"/>
        </w:rPr>
        <w:instrText xml:space="preserve"> PAGEREF _Toc11159 </w:instrText>
      </w:r>
      <w:r>
        <w:rPr>
          <w:color w:val="auto"/>
          <w:sz w:val="24"/>
          <w:szCs w:val="24"/>
        </w:rPr>
        <w:fldChar w:fldCharType="separate"/>
      </w:r>
      <w:r>
        <w:rPr>
          <w:color w:val="auto"/>
          <w:sz w:val="24"/>
          <w:szCs w:val="24"/>
        </w:rPr>
        <w:t>137</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9.2.</w:t>
      </w: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 xml:space="preserve"> 环境管理台账</w:t>
      </w:r>
      <w:r>
        <w:rPr>
          <w:color w:val="auto"/>
          <w:sz w:val="24"/>
          <w:szCs w:val="24"/>
        </w:rPr>
        <w:tab/>
      </w:r>
      <w:r>
        <w:rPr>
          <w:color w:val="auto"/>
          <w:sz w:val="24"/>
          <w:szCs w:val="24"/>
        </w:rPr>
        <w:fldChar w:fldCharType="begin"/>
      </w:r>
      <w:r>
        <w:rPr>
          <w:color w:val="auto"/>
          <w:sz w:val="24"/>
          <w:szCs w:val="24"/>
        </w:rPr>
        <w:instrText xml:space="preserve"> PAGEREF _Toc12095 </w:instrText>
      </w:r>
      <w:r>
        <w:rPr>
          <w:color w:val="auto"/>
          <w:sz w:val="24"/>
          <w:szCs w:val="24"/>
        </w:rPr>
        <w:fldChar w:fldCharType="separate"/>
      </w:r>
      <w:r>
        <w:rPr>
          <w:color w:val="auto"/>
          <w:sz w:val="24"/>
          <w:szCs w:val="24"/>
        </w:rPr>
        <w:t>138</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9.3 环境监测计划</w:t>
      </w:r>
      <w:r>
        <w:rPr>
          <w:color w:val="auto"/>
          <w:sz w:val="24"/>
          <w:szCs w:val="24"/>
        </w:rPr>
        <w:tab/>
      </w:r>
      <w:r>
        <w:rPr>
          <w:color w:val="auto"/>
          <w:sz w:val="24"/>
          <w:szCs w:val="24"/>
        </w:rPr>
        <w:fldChar w:fldCharType="begin"/>
      </w:r>
      <w:r>
        <w:rPr>
          <w:color w:val="auto"/>
          <w:sz w:val="24"/>
          <w:szCs w:val="24"/>
        </w:rPr>
        <w:instrText xml:space="preserve"> PAGEREF _Toc12828 </w:instrText>
      </w:r>
      <w:r>
        <w:rPr>
          <w:color w:val="auto"/>
          <w:sz w:val="24"/>
          <w:szCs w:val="24"/>
        </w:rPr>
        <w:fldChar w:fldCharType="separate"/>
      </w:r>
      <w:r>
        <w:rPr>
          <w:color w:val="auto"/>
          <w:sz w:val="24"/>
          <w:szCs w:val="24"/>
        </w:rPr>
        <w:t>138</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9.3.1 监测机构</w:t>
      </w:r>
      <w:r>
        <w:rPr>
          <w:color w:val="auto"/>
          <w:sz w:val="24"/>
          <w:szCs w:val="24"/>
        </w:rPr>
        <w:tab/>
      </w:r>
      <w:r>
        <w:rPr>
          <w:color w:val="auto"/>
          <w:sz w:val="24"/>
          <w:szCs w:val="24"/>
        </w:rPr>
        <w:fldChar w:fldCharType="begin"/>
      </w:r>
      <w:r>
        <w:rPr>
          <w:color w:val="auto"/>
          <w:sz w:val="24"/>
          <w:szCs w:val="24"/>
        </w:rPr>
        <w:instrText xml:space="preserve"> PAGEREF _Toc3769 </w:instrText>
      </w:r>
      <w:r>
        <w:rPr>
          <w:color w:val="auto"/>
          <w:sz w:val="24"/>
          <w:szCs w:val="24"/>
        </w:rPr>
        <w:fldChar w:fldCharType="separate"/>
      </w:r>
      <w:r>
        <w:rPr>
          <w:color w:val="auto"/>
          <w:sz w:val="24"/>
          <w:szCs w:val="24"/>
        </w:rPr>
        <w:t>139</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9.3.2 运营期大气污染源监测</w:t>
      </w:r>
      <w:r>
        <w:rPr>
          <w:color w:val="auto"/>
          <w:sz w:val="24"/>
          <w:szCs w:val="24"/>
        </w:rPr>
        <w:tab/>
      </w:r>
      <w:r>
        <w:rPr>
          <w:color w:val="auto"/>
          <w:sz w:val="24"/>
          <w:szCs w:val="24"/>
        </w:rPr>
        <w:fldChar w:fldCharType="begin"/>
      </w:r>
      <w:r>
        <w:rPr>
          <w:color w:val="auto"/>
          <w:sz w:val="24"/>
          <w:szCs w:val="24"/>
        </w:rPr>
        <w:instrText xml:space="preserve"> PAGEREF _Toc23860 </w:instrText>
      </w:r>
      <w:r>
        <w:rPr>
          <w:color w:val="auto"/>
          <w:sz w:val="24"/>
          <w:szCs w:val="24"/>
        </w:rPr>
        <w:fldChar w:fldCharType="separate"/>
      </w:r>
      <w:r>
        <w:rPr>
          <w:color w:val="auto"/>
          <w:sz w:val="24"/>
          <w:szCs w:val="24"/>
        </w:rPr>
        <w:t>139</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9.3.3 运营期噪声源监测</w:t>
      </w:r>
      <w:r>
        <w:rPr>
          <w:color w:val="auto"/>
          <w:sz w:val="24"/>
          <w:szCs w:val="24"/>
        </w:rPr>
        <w:tab/>
      </w:r>
      <w:r>
        <w:rPr>
          <w:color w:val="auto"/>
          <w:sz w:val="24"/>
          <w:szCs w:val="24"/>
        </w:rPr>
        <w:fldChar w:fldCharType="begin"/>
      </w:r>
      <w:r>
        <w:rPr>
          <w:color w:val="auto"/>
          <w:sz w:val="24"/>
          <w:szCs w:val="24"/>
        </w:rPr>
        <w:instrText xml:space="preserve"> PAGEREF _Toc18682 </w:instrText>
      </w:r>
      <w:r>
        <w:rPr>
          <w:color w:val="auto"/>
          <w:sz w:val="24"/>
          <w:szCs w:val="24"/>
        </w:rPr>
        <w:fldChar w:fldCharType="separate"/>
      </w:r>
      <w:r>
        <w:rPr>
          <w:color w:val="auto"/>
          <w:sz w:val="24"/>
          <w:szCs w:val="24"/>
        </w:rPr>
        <w:t>139</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9.3.4 地下水跟踪监测</w:t>
      </w:r>
      <w:r>
        <w:rPr>
          <w:color w:val="auto"/>
          <w:sz w:val="24"/>
          <w:szCs w:val="24"/>
        </w:rPr>
        <w:tab/>
      </w:r>
      <w:r>
        <w:rPr>
          <w:color w:val="auto"/>
          <w:sz w:val="24"/>
          <w:szCs w:val="24"/>
        </w:rPr>
        <w:fldChar w:fldCharType="begin"/>
      </w:r>
      <w:r>
        <w:rPr>
          <w:color w:val="auto"/>
          <w:sz w:val="24"/>
          <w:szCs w:val="24"/>
        </w:rPr>
        <w:instrText xml:space="preserve"> PAGEREF _Toc13174 </w:instrText>
      </w:r>
      <w:r>
        <w:rPr>
          <w:color w:val="auto"/>
          <w:sz w:val="24"/>
          <w:szCs w:val="24"/>
        </w:rPr>
        <w:fldChar w:fldCharType="separate"/>
      </w:r>
      <w:r>
        <w:rPr>
          <w:color w:val="auto"/>
          <w:sz w:val="24"/>
          <w:szCs w:val="24"/>
        </w:rPr>
        <w:t>139</w:t>
      </w:r>
      <w:r>
        <w:rPr>
          <w:color w:val="auto"/>
          <w:sz w:val="24"/>
          <w:szCs w:val="24"/>
        </w:rPr>
        <w:fldChar w:fldCharType="end"/>
      </w:r>
    </w:p>
    <w:p>
      <w:pPr>
        <w:pStyle w:val="10"/>
        <w:tabs>
          <w:tab w:val="right" w:leader="dot" w:pos="8306"/>
        </w:tabs>
        <w:rPr>
          <w:color w:val="auto"/>
          <w:sz w:val="24"/>
          <w:szCs w:val="24"/>
        </w:rPr>
      </w:pPr>
      <w:r>
        <w:rPr>
          <w:rFonts w:hint="eastAsia"/>
          <w:bCs/>
          <w:color w:val="auto"/>
          <w:kern w:val="24"/>
          <w:sz w:val="24"/>
          <w:szCs w:val="24"/>
        </w:rPr>
        <w:t>9.3.5 土壤环境跟踪监测计划</w:t>
      </w:r>
      <w:r>
        <w:rPr>
          <w:color w:val="auto"/>
          <w:sz w:val="24"/>
          <w:szCs w:val="24"/>
        </w:rPr>
        <w:tab/>
      </w:r>
      <w:r>
        <w:rPr>
          <w:color w:val="auto"/>
          <w:sz w:val="24"/>
          <w:szCs w:val="24"/>
        </w:rPr>
        <w:fldChar w:fldCharType="begin"/>
      </w:r>
      <w:r>
        <w:rPr>
          <w:color w:val="auto"/>
          <w:sz w:val="24"/>
          <w:szCs w:val="24"/>
        </w:rPr>
        <w:instrText xml:space="preserve"> PAGEREF _Toc4169 </w:instrText>
      </w:r>
      <w:r>
        <w:rPr>
          <w:color w:val="auto"/>
          <w:sz w:val="24"/>
          <w:szCs w:val="24"/>
        </w:rPr>
        <w:fldChar w:fldCharType="separate"/>
      </w:r>
      <w:r>
        <w:rPr>
          <w:color w:val="auto"/>
          <w:sz w:val="24"/>
          <w:szCs w:val="24"/>
        </w:rPr>
        <w:t>139</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9.3.</w:t>
      </w:r>
      <w:r>
        <w:rPr>
          <w:rFonts w:hint="eastAsia" w:ascii="Times New Roman" w:hAnsi="Times New Roman" w:eastAsia="宋体" w:cs="Times New Roman"/>
          <w:color w:val="auto"/>
          <w:sz w:val="24"/>
          <w:szCs w:val="24"/>
        </w:rPr>
        <w:t>6</w:t>
      </w:r>
      <w:r>
        <w:rPr>
          <w:rFonts w:ascii="Times New Roman" w:hAnsi="Times New Roman" w:eastAsia="宋体" w:cs="Times New Roman"/>
          <w:color w:val="auto"/>
          <w:sz w:val="24"/>
          <w:szCs w:val="24"/>
        </w:rPr>
        <w:t xml:space="preserve"> 监测数据的整理、审核及存档</w:t>
      </w:r>
      <w:r>
        <w:rPr>
          <w:color w:val="auto"/>
          <w:sz w:val="24"/>
          <w:szCs w:val="24"/>
        </w:rPr>
        <w:tab/>
      </w:r>
      <w:r>
        <w:rPr>
          <w:color w:val="auto"/>
          <w:sz w:val="24"/>
          <w:szCs w:val="24"/>
        </w:rPr>
        <w:fldChar w:fldCharType="begin"/>
      </w:r>
      <w:r>
        <w:rPr>
          <w:color w:val="auto"/>
          <w:sz w:val="24"/>
          <w:szCs w:val="24"/>
        </w:rPr>
        <w:instrText xml:space="preserve"> PAGEREF _Toc29675 </w:instrText>
      </w:r>
      <w:r>
        <w:rPr>
          <w:color w:val="auto"/>
          <w:sz w:val="24"/>
          <w:szCs w:val="24"/>
        </w:rPr>
        <w:fldChar w:fldCharType="separate"/>
      </w:r>
      <w:r>
        <w:rPr>
          <w:color w:val="auto"/>
          <w:sz w:val="24"/>
          <w:szCs w:val="24"/>
        </w:rPr>
        <w:t>140</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9.4 排污许可证申请</w:t>
      </w:r>
      <w:r>
        <w:rPr>
          <w:color w:val="auto"/>
          <w:sz w:val="24"/>
          <w:szCs w:val="24"/>
        </w:rPr>
        <w:tab/>
      </w:r>
      <w:r>
        <w:rPr>
          <w:color w:val="auto"/>
          <w:sz w:val="24"/>
          <w:szCs w:val="24"/>
        </w:rPr>
        <w:fldChar w:fldCharType="begin"/>
      </w:r>
      <w:r>
        <w:rPr>
          <w:color w:val="auto"/>
          <w:sz w:val="24"/>
          <w:szCs w:val="24"/>
        </w:rPr>
        <w:instrText xml:space="preserve"> PAGEREF _Toc11747 </w:instrText>
      </w:r>
      <w:r>
        <w:rPr>
          <w:color w:val="auto"/>
          <w:sz w:val="24"/>
          <w:szCs w:val="24"/>
        </w:rPr>
        <w:fldChar w:fldCharType="separate"/>
      </w:r>
      <w:r>
        <w:rPr>
          <w:color w:val="auto"/>
          <w:sz w:val="24"/>
          <w:szCs w:val="24"/>
        </w:rPr>
        <w:t>140</w:t>
      </w:r>
      <w:r>
        <w:rPr>
          <w:color w:val="auto"/>
          <w:sz w:val="24"/>
          <w:szCs w:val="24"/>
        </w:rPr>
        <w:fldChar w:fldCharType="end"/>
      </w:r>
    </w:p>
    <w:p>
      <w:pPr>
        <w:pStyle w:val="17"/>
        <w:tabs>
          <w:tab w:val="right" w:leader="dot" w:pos="8306"/>
        </w:tabs>
        <w:rPr>
          <w:color w:val="auto"/>
          <w:sz w:val="24"/>
          <w:szCs w:val="24"/>
        </w:rPr>
      </w:pPr>
      <w:r>
        <w:rPr>
          <w:rFonts w:hAnsi="Times New Roman"/>
          <w:color w:val="auto"/>
          <w:sz w:val="24"/>
          <w:szCs w:val="24"/>
        </w:rPr>
        <w:t>9.5 环保竣工验收</w:t>
      </w:r>
      <w:r>
        <w:rPr>
          <w:color w:val="auto"/>
          <w:sz w:val="24"/>
          <w:szCs w:val="24"/>
        </w:rPr>
        <w:tab/>
      </w:r>
      <w:r>
        <w:rPr>
          <w:color w:val="auto"/>
          <w:sz w:val="24"/>
          <w:szCs w:val="24"/>
        </w:rPr>
        <w:fldChar w:fldCharType="begin"/>
      </w:r>
      <w:r>
        <w:rPr>
          <w:color w:val="auto"/>
          <w:sz w:val="24"/>
          <w:szCs w:val="24"/>
        </w:rPr>
        <w:instrText xml:space="preserve"> PAGEREF _Toc6097 </w:instrText>
      </w:r>
      <w:r>
        <w:rPr>
          <w:color w:val="auto"/>
          <w:sz w:val="24"/>
          <w:szCs w:val="24"/>
        </w:rPr>
        <w:fldChar w:fldCharType="separate"/>
      </w:r>
      <w:r>
        <w:rPr>
          <w:color w:val="auto"/>
          <w:sz w:val="24"/>
          <w:szCs w:val="24"/>
        </w:rPr>
        <w:t>141</w:t>
      </w:r>
      <w:r>
        <w:rPr>
          <w:color w:val="auto"/>
          <w:sz w:val="24"/>
          <w:szCs w:val="24"/>
        </w:rPr>
        <w:fldChar w:fldCharType="end"/>
      </w:r>
    </w:p>
    <w:p>
      <w:pPr>
        <w:pStyle w:val="15"/>
        <w:tabs>
          <w:tab w:val="right" w:leader="dot" w:pos="8306"/>
        </w:tabs>
        <w:rPr>
          <w:color w:val="auto"/>
          <w:sz w:val="24"/>
          <w:szCs w:val="24"/>
        </w:rPr>
      </w:pPr>
      <w:r>
        <w:rPr>
          <w:rFonts w:ascii="Times New Roman" w:hAnsi="Times New Roman" w:eastAsia="宋体" w:cs="Times New Roman"/>
          <w:bCs/>
          <w:color w:val="auto"/>
          <w:kern w:val="44"/>
          <w:sz w:val="24"/>
          <w:szCs w:val="24"/>
        </w:rPr>
        <w:t>10</w:t>
      </w:r>
      <w:r>
        <w:rPr>
          <w:rFonts w:hint="eastAsia" w:ascii="Times New Roman" w:hAnsi="Times New Roman" w:eastAsia="宋体" w:cs="Times New Roman"/>
          <w:bCs/>
          <w:color w:val="auto"/>
          <w:kern w:val="44"/>
          <w:sz w:val="24"/>
          <w:szCs w:val="24"/>
        </w:rPr>
        <w:t>环境影响评价结论</w:t>
      </w:r>
      <w:r>
        <w:rPr>
          <w:color w:val="auto"/>
          <w:sz w:val="24"/>
          <w:szCs w:val="24"/>
        </w:rPr>
        <w:tab/>
      </w:r>
      <w:r>
        <w:rPr>
          <w:color w:val="auto"/>
          <w:sz w:val="24"/>
          <w:szCs w:val="24"/>
        </w:rPr>
        <w:fldChar w:fldCharType="begin"/>
      </w:r>
      <w:r>
        <w:rPr>
          <w:color w:val="auto"/>
          <w:sz w:val="24"/>
          <w:szCs w:val="24"/>
        </w:rPr>
        <w:instrText xml:space="preserve"> PAGEREF _Toc32572 </w:instrText>
      </w:r>
      <w:r>
        <w:rPr>
          <w:color w:val="auto"/>
          <w:sz w:val="24"/>
          <w:szCs w:val="24"/>
        </w:rPr>
        <w:fldChar w:fldCharType="separate"/>
      </w:r>
      <w:r>
        <w:rPr>
          <w:color w:val="auto"/>
          <w:sz w:val="24"/>
          <w:szCs w:val="24"/>
        </w:rPr>
        <w:t>143</w:t>
      </w:r>
      <w:r>
        <w:rPr>
          <w:color w:val="auto"/>
          <w:sz w:val="24"/>
          <w:szCs w:val="24"/>
        </w:rPr>
        <w:fldChar w:fldCharType="end"/>
      </w:r>
    </w:p>
    <w:p>
      <w:pPr>
        <w:pStyle w:val="15"/>
        <w:tabs>
          <w:tab w:val="right" w:leader="dot" w:pos="8306"/>
        </w:tabs>
        <w:rPr>
          <w:color w:val="auto"/>
          <w:sz w:val="24"/>
          <w:szCs w:val="24"/>
        </w:rPr>
      </w:pPr>
      <w:r>
        <w:rPr>
          <w:rFonts w:ascii="Times New Roman" w:hAnsi="Times New Roman" w:eastAsia="宋体" w:cs="Times New Roman"/>
          <w:bCs/>
          <w:color w:val="auto"/>
          <w:sz w:val="24"/>
          <w:szCs w:val="24"/>
        </w:rPr>
        <w:t>10</w:t>
      </w:r>
      <w:r>
        <w:rPr>
          <w:rFonts w:hint="eastAsia" w:ascii="Times New Roman" w:hAnsi="Times New Roman" w:eastAsia="宋体" w:cs="Times New Roman"/>
          <w:bCs/>
          <w:color w:val="auto"/>
          <w:sz w:val="24"/>
          <w:szCs w:val="24"/>
        </w:rPr>
        <w:t>.1项目概况结论</w:t>
      </w:r>
      <w:r>
        <w:rPr>
          <w:color w:val="auto"/>
          <w:sz w:val="24"/>
          <w:szCs w:val="24"/>
        </w:rPr>
        <w:tab/>
      </w:r>
      <w:r>
        <w:rPr>
          <w:color w:val="auto"/>
          <w:sz w:val="24"/>
          <w:szCs w:val="24"/>
        </w:rPr>
        <w:fldChar w:fldCharType="begin"/>
      </w:r>
      <w:r>
        <w:rPr>
          <w:color w:val="auto"/>
          <w:sz w:val="24"/>
          <w:szCs w:val="24"/>
        </w:rPr>
        <w:instrText xml:space="preserve"> PAGEREF _Toc21320 </w:instrText>
      </w:r>
      <w:r>
        <w:rPr>
          <w:color w:val="auto"/>
          <w:sz w:val="24"/>
          <w:szCs w:val="24"/>
        </w:rPr>
        <w:fldChar w:fldCharType="separate"/>
      </w:r>
      <w:r>
        <w:rPr>
          <w:color w:val="auto"/>
          <w:sz w:val="24"/>
          <w:szCs w:val="24"/>
        </w:rPr>
        <w:t>143</w:t>
      </w:r>
      <w:r>
        <w:rPr>
          <w:color w:val="auto"/>
          <w:sz w:val="24"/>
          <w:szCs w:val="24"/>
        </w:rPr>
        <w:fldChar w:fldCharType="end"/>
      </w:r>
    </w:p>
    <w:p>
      <w:pPr>
        <w:pStyle w:val="15"/>
        <w:tabs>
          <w:tab w:val="right" w:leader="dot" w:pos="8306"/>
        </w:tabs>
        <w:rPr>
          <w:color w:val="auto"/>
          <w:sz w:val="24"/>
          <w:szCs w:val="24"/>
        </w:rPr>
      </w:pPr>
      <w:r>
        <w:rPr>
          <w:rFonts w:hint="eastAsia" w:ascii="Times New Roman" w:hAnsi="Times New Roman" w:eastAsia="宋体" w:cs="Times New Roman"/>
          <w:bCs/>
          <w:color w:val="auto"/>
          <w:sz w:val="24"/>
          <w:szCs w:val="24"/>
        </w:rPr>
        <w:t>10.2评价</w:t>
      </w:r>
      <w:r>
        <w:rPr>
          <w:rFonts w:ascii="Times New Roman" w:hAnsi="Times New Roman" w:eastAsia="宋体" w:cs="Times New Roman"/>
          <w:bCs/>
          <w:color w:val="auto"/>
          <w:sz w:val="24"/>
          <w:szCs w:val="24"/>
        </w:rPr>
        <w:t>结论</w:t>
      </w:r>
      <w:r>
        <w:rPr>
          <w:color w:val="auto"/>
          <w:sz w:val="24"/>
          <w:szCs w:val="24"/>
        </w:rPr>
        <w:tab/>
      </w:r>
      <w:r>
        <w:rPr>
          <w:color w:val="auto"/>
          <w:sz w:val="24"/>
          <w:szCs w:val="24"/>
        </w:rPr>
        <w:fldChar w:fldCharType="begin"/>
      </w:r>
      <w:r>
        <w:rPr>
          <w:color w:val="auto"/>
          <w:sz w:val="24"/>
          <w:szCs w:val="24"/>
        </w:rPr>
        <w:instrText xml:space="preserve"> PAGEREF _Toc2665 </w:instrText>
      </w:r>
      <w:r>
        <w:rPr>
          <w:color w:val="auto"/>
          <w:sz w:val="24"/>
          <w:szCs w:val="24"/>
        </w:rPr>
        <w:fldChar w:fldCharType="separate"/>
      </w:r>
      <w:r>
        <w:rPr>
          <w:color w:val="auto"/>
          <w:sz w:val="24"/>
          <w:szCs w:val="24"/>
        </w:rPr>
        <w:t>143</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10.2.1环境质量现状</w:t>
      </w:r>
      <w:r>
        <w:rPr>
          <w:color w:val="auto"/>
          <w:sz w:val="24"/>
          <w:szCs w:val="24"/>
        </w:rPr>
        <w:tab/>
      </w:r>
      <w:r>
        <w:rPr>
          <w:color w:val="auto"/>
          <w:sz w:val="24"/>
          <w:szCs w:val="24"/>
        </w:rPr>
        <w:fldChar w:fldCharType="begin"/>
      </w:r>
      <w:r>
        <w:rPr>
          <w:color w:val="auto"/>
          <w:sz w:val="24"/>
          <w:szCs w:val="24"/>
        </w:rPr>
        <w:instrText xml:space="preserve"> PAGEREF _Toc5290 </w:instrText>
      </w:r>
      <w:r>
        <w:rPr>
          <w:color w:val="auto"/>
          <w:sz w:val="24"/>
          <w:szCs w:val="24"/>
        </w:rPr>
        <w:fldChar w:fldCharType="separate"/>
      </w:r>
      <w:r>
        <w:rPr>
          <w:color w:val="auto"/>
          <w:sz w:val="24"/>
          <w:szCs w:val="24"/>
        </w:rPr>
        <w:t>143</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10.2.2污染物排放情况结论</w:t>
      </w:r>
      <w:r>
        <w:rPr>
          <w:color w:val="auto"/>
          <w:sz w:val="24"/>
          <w:szCs w:val="24"/>
        </w:rPr>
        <w:tab/>
      </w:r>
      <w:r>
        <w:rPr>
          <w:color w:val="auto"/>
          <w:sz w:val="24"/>
          <w:szCs w:val="24"/>
        </w:rPr>
        <w:fldChar w:fldCharType="begin"/>
      </w:r>
      <w:r>
        <w:rPr>
          <w:color w:val="auto"/>
          <w:sz w:val="24"/>
          <w:szCs w:val="24"/>
        </w:rPr>
        <w:instrText xml:space="preserve"> PAGEREF _Toc19112 </w:instrText>
      </w:r>
      <w:r>
        <w:rPr>
          <w:color w:val="auto"/>
          <w:sz w:val="24"/>
          <w:szCs w:val="24"/>
        </w:rPr>
        <w:fldChar w:fldCharType="separate"/>
      </w:r>
      <w:r>
        <w:rPr>
          <w:color w:val="auto"/>
          <w:sz w:val="24"/>
          <w:szCs w:val="24"/>
        </w:rPr>
        <w:t>144</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10.2.3主要环境影响结论</w:t>
      </w:r>
      <w:r>
        <w:rPr>
          <w:color w:val="auto"/>
          <w:sz w:val="24"/>
          <w:szCs w:val="24"/>
        </w:rPr>
        <w:tab/>
      </w:r>
      <w:r>
        <w:rPr>
          <w:color w:val="auto"/>
          <w:sz w:val="24"/>
          <w:szCs w:val="24"/>
        </w:rPr>
        <w:fldChar w:fldCharType="begin"/>
      </w:r>
      <w:r>
        <w:rPr>
          <w:color w:val="auto"/>
          <w:sz w:val="24"/>
          <w:szCs w:val="24"/>
        </w:rPr>
        <w:instrText xml:space="preserve"> PAGEREF _Toc16221 </w:instrText>
      </w:r>
      <w:r>
        <w:rPr>
          <w:color w:val="auto"/>
          <w:sz w:val="24"/>
          <w:szCs w:val="24"/>
        </w:rPr>
        <w:fldChar w:fldCharType="separate"/>
      </w:r>
      <w:r>
        <w:rPr>
          <w:color w:val="auto"/>
          <w:sz w:val="24"/>
          <w:szCs w:val="24"/>
        </w:rPr>
        <w:t>144</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10.2.4环境经济损益</w:t>
      </w:r>
      <w:r>
        <w:rPr>
          <w:color w:val="auto"/>
          <w:sz w:val="24"/>
          <w:szCs w:val="24"/>
        </w:rPr>
        <w:tab/>
      </w:r>
      <w:r>
        <w:rPr>
          <w:color w:val="auto"/>
          <w:sz w:val="24"/>
          <w:szCs w:val="24"/>
        </w:rPr>
        <w:fldChar w:fldCharType="begin"/>
      </w:r>
      <w:r>
        <w:rPr>
          <w:color w:val="auto"/>
          <w:sz w:val="24"/>
          <w:szCs w:val="24"/>
        </w:rPr>
        <w:instrText xml:space="preserve"> PAGEREF _Toc7779 </w:instrText>
      </w:r>
      <w:r>
        <w:rPr>
          <w:color w:val="auto"/>
          <w:sz w:val="24"/>
          <w:szCs w:val="24"/>
        </w:rPr>
        <w:fldChar w:fldCharType="separate"/>
      </w:r>
      <w:r>
        <w:rPr>
          <w:color w:val="auto"/>
          <w:sz w:val="24"/>
          <w:szCs w:val="24"/>
        </w:rPr>
        <w:t>145</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10.2.5公众参与</w:t>
      </w:r>
      <w:r>
        <w:rPr>
          <w:color w:val="auto"/>
          <w:sz w:val="24"/>
          <w:szCs w:val="24"/>
        </w:rPr>
        <w:tab/>
      </w:r>
      <w:r>
        <w:rPr>
          <w:color w:val="auto"/>
          <w:sz w:val="24"/>
          <w:szCs w:val="24"/>
        </w:rPr>
        <w:fldChar w:fldCharType="begin"/>
      </w:r>
      <w:r>
        <w:rPr>
          <w:color w:val="auto"/>
          <w:sz w:val="24"/>
          <w:szCs w:val="24"/>
        </w:rPr>
        <w:instrText xml:space="preserve"> PAGEREF _Toc1620 </w:instrText>
      </w:r>
      <w:r>
        <w:rPr>
          <w:color w:val="auto"/>
          <w:sz w:val="24"/>
          <w:szCs w:val="24"/>
        </w:rPr>
        <w:fldChar w:fldCharType="separate"/>
      </w:r>
      <w:r>
        <w:rPr>
          <w:color w:val="auto"/>
          <w:sz w:val="24"/>
          <w:szCs w:val="24"/>
        </w:rPr>
        <w:t>145</w:t>
      </w:r>
      <w:r>
        <w:rPr>
          <w:color w:val="auto"/>
          <w:sz w:val="24"/>
          <w:szCs w:val="24"/>
        </w:rPr>
        <w:fldChar w:fldCharType="end"/>
      </w:r>
    </w:p>
    <w:p>
      <w:pPr>
        <w:pStyle w:val="10"/>
        <w:tabs>
          <w:tab w:val="right" w:leader="dot" w:pos="8306"/>
        </w:tabs>
        <w:rPr>
          <w:color w:val="auto"/>
          <w:sz w:val="24"/>
          <w:szCs w:val="24"/>
        </w:rPr>
      </w:pPr>
      <w:r>
        <w:rPr>
          <w:rFonts w:ascii="Times New Roman" w:hAnsi="Times New Roman" w:eastAsia="宋体" w:cs="Times New Roman"/>
          <w:color w:val="auto"/>
          <w:sz w:val="24"/>
          <w:szCs w:val="24"/>
        </w:rPr>
        <w:t>10.2.6评价总结论</w:t>
      </w:r>
      <w:r>
        <w:rPr>
          <w:color w:val="auto"/>
          <w:sz w:val="24"/>
          <w:szCs w:val="24"/>
        </w:rPr>
        <w:tab/>
      </w:r>
      <w:r>
        <w:rPr>
          <w:color w:val="auto"/>
          <w:sz w:val="24"/>
          <w:szCs w:val="24"/>
        </w:rPr>
        <w:fldChar w:fldCharType="begin"/>
      </w:r>
      <w:r>
        <w:rPr>
          <w:color w:val="auto"/>
          <w:sz w:val="24"/>
          <w:szCs w:val="24"/>
        </w:rPr>
        <w:instrText xml:space="preserve"> PAGEREF _Toc18982 </w:instrText>
      </w:r>
      <w:r>
        <w:rPr>
          <w:color w:val="auto"/>
          <w:sz w:val="24"/>
          <w:szCs w:val="24"/>
        </w:rPr>
        <w:fldChar w:fldCharType="separate"/>
      </w:r>
      <w:r>
        <w:rPr>
          <w:color w:val="auto"/>
          <w:sz w:val="24"/>
          <w:szCs w:val="24"/>
        </w:rPr>
        <w:t>145</w:t>
      </w:r>
      <w:r>
        <w:rPr>
          <w:color w:val="auto"/>
          <w:sz w:val="24"/>
          <w:szCs w:val="24"/>
        </w:rPr>
        <w:fldChar w:fldCharType="end"/>
      </w:r>
    </w:p>
    <w:p>
      <w:pPr>
        <w:rPr>
          <w:rFonts w:hint="eastAsia"/>
          <w:color w:val="auto"/>
          <w:sz w:val="24"/>
          <w:szCs w:val="24"/>
        </w:rPr>
      </w:pPr>
      <w:r>
        <w:rPr>
          <w:rFonts w:hint="eastAsia"/>
          <w:color w:val="auto"/>
          <w:sz w:val="24"/>
          <w:szCs w:val="24"/>
        </w:rPr>
        <w:fldChar w:fldCharType="end"/>
      </w:r>
    </w:p>
    <w:p>
      <w:pPr>
        <w:pStyle w:val="2"/>
        <w:rPr>
          <w:rFonts w:hint="eastAsia"/>
          <w:color w:val="auto"/>
          <w:sz w:val="24"/>
          <w:szCs w:val="24"/>
        </w:rPr>
      </w:pPr>
    </w:p>
    <w:p>
      <w:pPr>
        <w:pStyle w:val="3"/>
        <w:rPr>
          <w:rFonts w:hint="eastAsia"/>
          <w:b/>
          <w:bCs/>
          <w:color w:val="auto"/>
          <w:sz w:val="28"/>
          <w:szCs w:val="28"/>
          <w:lang w:val="en-US" w:eastAsia="zh-CN"/>
        </w:rPr>
      </w:pPr>
      <w:r>
        <w:rPr>
          <w:rFonts w:hint="eastAsia"/>
          <w:b/>
          <w:bCs/>
          <w:color w:val="auto"/>
          <w:sz w:val="28"/>
          <w:szCs w:val="28"/>
          <w:lang w:val="en-US" w:eastAsia="zh-CN"/>
        </w:rPr>
        <w:t>附表：</w:t>
      </w:r>
    </w:p>
    <w:p>
      <w:pPr>
        <w:pStyle w:val="3"/>
        <w:numPr>
          <w:ilvl w:val="0"/>
          <w:numId w:val="1"/>
        </w:numPr>
        <w:rPr>
          <w:rFonts w:hint="eastAsia"/>
          <w:b w:val="0"/>
          <w:bCs w:val="0"/>
          <w:color w:val="auto"/>
          <w:sz w:val="24"/>
          <w:szCs w:val="24"/>
          <w:lang w:val="en-US" w:eastAsia="zh-CN"/>
        </w:rPr>
      </w:pPr>
      <w:r>
        <w:rPr>
          <w:rFonts w:hint="eastAsia"/>
          <w:b w:val="0"/>
          <w:bCs w:val="0"/>
          <w:color w:val="auto"/>
          <w:sz w:val="24"/>
          <w:szCs w:val="24"/>
          <w:lang w:val="en-US" w:eastAsia="zh-CN"/>
        </w:rPr>
        <w:t>项目基础信息表</w:t>
      </w:r>
    </w:p>
    <w:p>
      <w:pPr>
        <w:pStyle w:val="3"/>
        <w:numPr>
          <w:ilvl w:val="0"/>
          <w:numId w:val="1"/>
        </w:numPr>
        <w:rPr>
          <w:rFonts w:hint="default"/>
          <w:b w:val="0"/>
          <w:bCs w:val="0"/>
          <w:color w:val="auto"/>
          <w:sz w:val="24"/>
          <w:szCs w:val="24"/>
          <w:lang w:val="en-US" w:eastAsia="zh-CN"/>
        </w:rPr>
      </w:pPr>
      <w:r>
        <w:rPr>
          <w:rFonts w:hint="eastAsia"/>
          <w:b w:val="0"/>
          <w:bCs w:val="0"/>
          <w:color w:val="auto"/>
          <w:sz w:val="24"/>
          <w:szCs w:val="24"/>
          <w:lang w:val="en-US" w:eastAsia="zh-CN"/>
        </w:rPr>
        <w:t>大气环境影响评价自查表</w:t>
      </w:r>
    </w:p>
    <w:p>
      <w:pPr>
        <w:pStyle w:val="3"/>
        <w:numPr>
          <w:ilvl w:val="0"/>
          <w:numId w:val="1"/>
        </w:numPr>
        <w:rPr>
          <w:rFonts w:hint="default"/>
          <w:b w:val="0"/>
          <w:bCs w:val="0"/>
          <w:color w:val="auto"/>
          <w:sz w:val="24"/>
          <w:szCs w:val="24"/>
          <w:lang w:val="en-US" w:eastAsia="zh-CN"/>
        </w:rPr>
      </w:pPr>
      <w:r>
        <w:rPr>
          <w:rFonts w:hint="eastAsia"/>
          <w:b w:val="0"/>
          <w:bCs w:val="0"/>
          <w:color w:val="auto"/>
          <w:sz w:val="24"/>
          <w:szCs w:val="24"/>
          <w:lang w:val="en-US" w:eastAsia="zh-CN"/>
        </w:rPr>
        <w:t>地表水环境影响评价自查表</w:t>
      </w:r>
    </w:p>
    <w:p>
      <w:pPr>
        <w:pStyle w:val="3"/>
        <w:numPr>
          <w:ilvl w:val="0"/>
          <w:numId w:val="1"/>
        </w:numPr>
        <w:rPr>
          <w:rFonts w:hint="eastAsia"/>
          <w:b w:val="0"/>
          <w:bCs w:val="0"/>
          <w:color w:val="auto"/>
          <w:sz w:val="24"/>
          <w:szCs w:val="24"/>
          <w:lang w:val="en-US" w:eastAsia="zh-CN"/>
        </w:rPr>
      </w:pPr>
      <w:r>
        <w:rPr>
          <w:rFonts w:hint="eastAsia"/>
          <w:b w:val="0"/>
          <w:bCs w:val="0"/>
          <w:color w:val="auto"/>
          <w:sz w:val="24"/>
          <w:szCs w:val="24"/>
          <w:lang w:val="en-US" w:eastAsia="zh-CN"/>
        </w:rPr>
        <w:t>土壤环境影响评价自查表</w:t>
      </w:r>
    </w:p>
    <w:p>
      <w:pPr>
        <w:pStyle w:val="3"/>
        <w:numPr>
          <w:ilvl w:val="0"/>
          <w:numId w:val="1"/>
        </w:numPr>
        <w:rPr>
          <w:rFonts w:hint="eastAsia"/>
          <w:b w:val="0"/>
          <w:bCs w:val="0"/>
          <w:color w:val="auto"/>
          <w:sz w:val="24"/>
          <w:szCs w:val="24"/>
          <w:lang w:val="en-US" w:eastAsia="zh-CN"/>
        </w:rPr>
      </w:pPr>
      <w:r>
        <w:rPr>
          <w:rFonts w:hint="eastAsia"/>
          <w:b w:val="0"/>
          <w:bCs w:val="0"/>
          <w:color w:val="auto"/>
          <w:sz w:val="24"/>
          <w:szCs w:val="24"/>
          <w:lang w:val="en-US" w:eastAsia="zh-CN"/>
        </w:rPr>
        <w:t>环境风险简单分析内容表</w:t>
      </w:r>
    </w:p>
    <w:p>
      <w:pPr>
        <w:pStyle w:val="3"/>
        <w:rPr>
          <w:rFonts w:hint="eastAsia"/>
          <w:b/>
          <w:bCs/>
          <w:color w:val="auto"/>
          <w:sz w:val="28"/>
          <w:szCs w:val="28"/>
          <w:lang w:val="en-US" w:eastAsia="zh-CN"/>
        </w:rPr>
      </w:pPr>
      <w:r>
        <w:rPr>
          <w:rFonts w:hint="eastAsia"/>
          <w:b/>
          <w:bCs/>
          <w:color w:val="auto"/>
          <w:sz w:val="28"/>
          <w:szCs w:val="28"/>
          <w:lang w:val="en-US" w:eastAsia="zh-CN"/>
        </w:rPr>
        <w:t>附件：</w:t>
      </w:r>
    </w:p>
    <w:p>
      <w:pPr>
        <w:pStyle w:val="3"/>
        <w:rPr>
          <w:rFonts w:hint="eastAsia"/>
          <w:color w:val="auto"/>
          <w:sz w:val="24"/>
          <w:szCs w:val="24"/>
          <w:lang w:val="en-US" w:eastAsia="zh-CN"/>
        </w:rPr>
      </w:pPr>
      <w:r>
        <w:rPr>
          <w:rFonts w:hint="eastAsia"/>
          <w:color w:val="auto"/>
          <w:sz w:val="24"/>
          <w:szCs w:val="24"/>
          <w:lang w:val="en-US" w:eastAsia="zh-CN"/>
        </w:rPr>
        <w:t>附件1 委托书</w:t>
      </w:r>
    </w:p>
    <w:p>
      <w:pPr>
        <w:pStyle w:val="3"/>
        <w:rPr>
          <w:rFonts w:hint="eastAsia"/>
          <w:color w:val="auto"/>
          <w:sz w:val="24"/>
          <w:szCs w:val="24"/>
          <w:lang w:val="en-US" w:eastAsia="zh-CN"/>
        </w:rPr>
      </w:pPr>
      <w:r>
        <w:rPr>
          <w:rFonts w:hint="eastAsia"/>
          <w:color w:val="auto"/>
          <w:sz w:val="24"/>
          <w:szCs w:val="24"/>
          <w:lang w:val="en-US" w:eastAsia="zh-CN"/>
        </w:rPr>
        <w:t>附件2 建设工程规划许可证</w:t>
      </w:r>
    </w:p>
    <w:p>
      <w:pPr>
        <w:pStyle w:val="3"/>
        <w:rPr>
          <w:rFonts w:hint="eastAsia"/>
          <w:color w:val="auto"/>
          <w:sz w:val="24"/>
          <w:szCs w:val="24"/>
          <w:lang w:val="en-US" w:eastAsia="zh-CN"/>
        </w:rPr>
      </w:pPr>
      <w:r>
        <w:rPr>
          <w:rFonts w:hint="eastAsia"/>
          <w:color w:val="auto"/>
          <w:sz w:val="24"/>
          <w:szCs w:val="24"/>
          <w:lang w:val="en-US" w:eastAsia="zh-CN"/>
        </w:rPr>
        <w:t>附件3 建设用地规划许可证</w:t>
      </w:r>
    </w:p>
    <w:p>
      <w:pPr>
        <w:pStyle w:val="3"/>
        <w:rPr>
          <w:rFonts w:hint="eastAsia"/>
          <w:color w:val="auto"/>
          <w:sz w:val="24"/>
          <w:szCs w:val="24"/>
          <w:lang w:val="en-US" w:eastAsia="zh-CN"/>
        </w:rPr>
      </w:pPr>
      <w:r>
        <w:rPr>
          <w:rFonts w:hint="eastAsia"/>
          <w:color w:val="auto"/>
          <w:sz w:val="24"/>
          <w:szCs w:val="24"/>
          <w:lang w:val="en-US" w:eastAsia="zh-CN"/>
        </w:rPr>
        <w:t>附件4 项目建设选址意见书</w:t>
      </w:r>
    </w:p>
    <w:p>
      <w:pPr>
        <w:pStyle w:val="3"/>
        <w:rPr>
          <w:rFonts w:hint="eastAsia" w:ascii="Times New Roman"/>
          <w:color w:val="auto"/>
          <w:sz w:val="24"/>
          <w:szCs w:val="28"/>
          <w:lang w:eastAsia="zh-CN"/>
        </w:rPr>
      </w:pPr>
      <w:r>
        <w:rPr>
          <w:rFonts w:hint="eastAsia"/>
          <w:color w:val="auto"/>
          <w:sz w:val="24"/>
          <w:szCs w:val="24"/>
          <w:lang w:val="en-US" w:eastAsia="zh-CN"/>
        </w:rPr>
        <w:t xml:space="preserve">附件5 </w:t>
      </w:r>
      <w:r>
        <w:rPr>
          <w:rFonts w:hint="eastAsia" w:ascii="Times New Roman" w:hAnsi="Times New Roman"/>
          <w:color w:val="auto"/>
          <w:sz w:val="24"/>
          <w:szCs w:val="28"/>
        </w:rPr>
        <w:t>《元谋工业园区总体规划修编（2018</w:t>
      </w:r>
      <w:r>
        <w:rPr>
          <w:rFonts w:ascii="Times New Roman" w:hAnsi="Times New Roman"/>
          <w:color w:val="auto"/>
          <w:sz w:val="24"/>
          <w:szCs w:val="28"/>
        </w:rPr>
        <w:t>-2025</w:t>
      </w:r>
      <w:r>
        <w:rPr>
          <w:rFonts w:hint="eastAsia" w:ascii="Times New Roman" w:hAnsi="Times New Roman"/>
          <w:color w:val="auto"/>
          <w:sz w:val="24"/>
          <w:szCs w:val="28"/>
        </w:rPr>
        <w:t>）环境影响报告书》</w:t>
      </w:r>
      <w:r>
        <w:rPr>
          <w:rFonts w:hint="eastAsia" w:ascii="Times New Roman"/>
          <w:color w:val="auto"/>
          <w:sz w:val="24"/>
          <w:szCs w:val="28"/>
          <w:lang w:eastAsia="zh-CN"/>
        </w:rPr>
        <w:t>审查意见</w:t>
      </w:r>
    </w:p>
    <w:p>
      <w:pPr>
        <w:pStyle w:val="3"/>
        <w:rPr>
          <w:rFonts w:hint="eastAsia" w:ascii="Times New Roman"/>
          <w:color w:val="auto"/>
          <w:sz w:val="24"/>
          <w:szCs w:val="28"/>
          <w:lang w:val="en-US" w:eastAsia="zh-CN"/>
        </w:rPr>
      </w:pPr>
      <w:r>
        <w:rPr>
          <w:rFonts w:hint="eastAsia" w:ascii="Times New Roman"/>
          <w:color w:val="auto"/>
          <w:sz w:val="24"/>
          <w:szCs w:val="28"/>
          <w:lang w:eastAsia="zh-CN"/>
        </w:rPr>
        <w:t>附件</w:t>
      </w:r>
      <w:r>
        <w:rPr>
          <w:rFonts w:hint="eastAsia" w:ascii="Times New Roman"/>
          <w:color w:val="auto"/>
          <w:sz w:val="24"/>
          <w:szCs w:val="28"/>
          <w:lang w:val="en-US" w:eastAsia="zh-CN"/>
        </w:rPr>
        <w:t>6  营业执照</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附件7  投资备案证</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附件8  工业园区规划环评现状监测报告</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附件9  标准确认函</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附件10 项目区土壤监测报告</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附件12 会议纪要</w:t>
      </w:r>
    </w:p>
    <w:p>
      <w:pPr>
        <w:pStyle w:val="3"/>
        <w:rPr>
          <w:rFonts w:hint="default" w:ascii="Times New Roman"/>
          <w:color w:val="auto"/>
          <w:sz w:val="24"/>
          <w:szCs w:val="28"/>
          <w:lang w:val="en-US" w:eastAsia="zh-CN"/>
        </w:rPr>
      </w:pPr>
      <w:r>
        <w:rPr>
          <w:rFonts w:hint="eastAsia" w:ascii="Times New Roman"/>
          <w:color w:val="auto"/>
          <w:sz w:val="24"/>
          <w:szCs w:val="28"/>
          <w:lang w:val="en-US" w:eastAsia="zh-CN"/>
        </w:rPr>
        <w:t>附件13 修改对照表</w:t>
      </w:r>
    </w:p>
    <w:p>
      <w:pPr>
        <w:pStyle w:val="3"/>
        <w:rPr>
          <w:rFonts w:hint="eastAsia"/>
          <w:b/>
          <w:bCs/>
          <w:color w:val="auto"/>
          <w:sz w:val="28"/>
          <w:szCs w:val="28"/>
          <w:lang w:val="en-US" w:eastAsia="zh-CN"/>
        </w:rPr>
      </w:pPr>
      <w:r>
        <w:rPr>
          <w:rFonts w:hint="eastAsia"/>
          <w:b/>
          <w:bCs/>
          <w:color w:val="auto"/>
          <w:sz w:val="28"/>
          <w:szCs w:val="28"/>
          <w:lang w:val="en-US" w:eastAsia="zh-CN"/>
        </w:rPr>
        <w:t>附图：</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附图1 项目地理位置图</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附图2 周边关系图</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附图3 评价范围图</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附图4 平面布置图</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附图5  区域水系图</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附图6 项目与工业园区关系图</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附图7 项目与楚雄州生态红线关系图</w:t>
      </w:r>
    </w:p>
    <w:p>
      <w:pPr>
        <w:pStyle w:val="3"/>
        <w:rPr>
          <w:rFonts w:hint="eastAsia" w:ascii="Times New Roman"/>
          <w:color w:val="auto"/>
          <w:sz w:val="24"/>
          <w:szCs w:val="28"/>
          <w:lang w:val="en-US" w:eastAsia="zh-CN"/>
        </w:rPr>
      </w:pPr>
      <w:r>
        <w:rPr>
          <w:rFonts w:hint="eastAsia" w:ascii="Times New Roman"/>
          <w:color w:val="auto"/>
          <w:sz w:val="24"/>
          <w:szCs w:val="28"/>
          <w:lang w:val="en-US" w:eastAsia="zh-CN"/>
        </w:rPr>
        <w:t>附图8 项目区地质剖面图</w:t>
      </w:r>
    </w:p>
    <w:p>
      <w:pPr>
        <w:pStyle w:val="3"/>
        <w:rPr>
          <w:rFonts w:hint="default" w:ascii="Times New Roman"/>
          <w:color w:val="auto"/>
          <w:sz w:val="24"/>
          <w:szCs w:val="28"/>
          <w:lang w:val="en-US" w:eastAsia="zh-CN"/>
        </w:rPr>
        <w:sectPr>
          <w:footerReference r:id="rId3" w:type="default"/>
          <w:pgSz w:w="11906" w:h="16838"/>
          <w:pgMar w:top="1440" w:right="1800" w:bottom="1440" w:left="1800" w:header="851" w:footer="992" w:gutter="0"/>
          <w:pgNumType w:fmt="upperRoman" w:start="1"/>
          <w:cols w:space="425" w:num="1"/>
          <w:docGrid w:type="lines" w:linePitch="326" w:charSpace="0"/>
        </w:sectPr>
      </w:pPr>
      <w:r>
        <w:rPr>
          <w:rFonts w:hint="eastAsia" w:ascii="Times New Roman"/>
          <w:color w:val="auto"/>
          <w:sz w:val="24"/>
          <w:szCs w:val="28"/>
          <w:lang w:val="en-US" w:eastAsia="zh-CN"/>
        </w:rPr>
        <w:t>附图9 区域水文地质图</w:t>
      </w:r>
    </w:p>
    <w:p>
      <w:pPr>
        <w:pStyle w:val="4"/>
        <w:ind w:firstLine="602"/>
        <w:rPr>
          <w:rFonts w:hint="eastAsia"/>
        </w:rPr>
        <w:sectPr>
          <w:footerReference r:id="rId4" w:type="default"/>
          <w:pgSz w:w="11906" w:h="16838"/>
          <w:pgMar w:top="1440" w:right="1800" w:bottom="1440" w:left="1800" w:header="851" w:footer="992" w:gutter="0"/>
          <w:pgNumType w:start="1"/>
          <w:cols w:space="425" w:num="1"/>
          <w:docGrid w:type="lines" w:linePitch="326" w:charSpace="0"/>
        </w:sectPr>
      </w:pPr>
      <w:bookmarkStart w:id="1" w:name="_Toc24974"/>
    </w:p>
    <w:p>
      <w:pPr>
        <w:pStyle w:val="4"/>
        <w:ind w:firstLine="602"/>
      </w:pPr>
      <w:r>
        <w:rPr>
          <w:rFonts w:hint="eastAsia"/>
        </w:rPr>
        <w:t>1概述</w:t>
      </w:r>
      <w:bookmarkEnd w:id="0"/>
      <w:bookmarkEnd w:id="1"/>
    </w:p>
    <w:p>
      <w:pPr>
        <w:pStyle w:val="5"/>
        <w:spacing w:before="0" w:after="0"/>
        <w:ind w:firstLine="562"/>
        <w:rPr>
          <w:rFonts w:hAnsi="Times New Roman"/>
          <w:sz w:val="24"/>
        </w:rPr>
      </w:pPr>
      <w:bookmarkStart w:id="2" w:name="_Toc24574"/>
      <w:bookmarkStart w:id="3" w:name="_Toc23843278"/>
      <w:bookmarkStart w:id="4" w:name="_Toc17954"/>
      <w:r>
        <w:rPr>
          <w:rFonts w:hint="eastAsia" w:hAnsi="Times New Roman"/>
          <w:szCs w:val="28"/>
        </w:rPr>
        <w:t>1.1</w:t>
      </w:r>
      <w:r>
        <w:rPr>
          <w:rFonts w:hint="eastAsia" w:hAnsi="宋体"/>
          <w:szCs w:val="28"/>
        </w:rPr>
        <w:t>建设项目的背景</w:t>
      </w:r>
      <w:bookmarkEnd w:id="2"/>
      <w:bookmarkEnd w:id="3"/>
      <w:bookmarkEnd w:id="4"/>
    </w:p>
    <w:p>
      <w:pPr>
        <w:adjustRightInd w:val="0"/>
        <w:snapToGrid w:val="0"/>
        <w:spacing w:line="360" w:lineRule="auto"/>
        <w:ind w:firstLine="480" w:firstLineChars="200"/>
        <w:rPr>
          <w:rFonts w:ascii="Times New Roman" w:hAnsi="Times New Roman" w:eastAsia="宋体" w:cs="Times New Roman"/>
          <w:color w:val="FF0000"/>
          <w:sz w:val="24"/>
          <w:szCs w:val="28"/>
        </w:rPr>
      </w:pPr>
      <w:r>
        <w:rPr>
          <w:rFonts w:hint="eastAsia" w:ascii="Times New Roman" w:hAnsi="宋体" w:eastAsia="宋体" w:cs="Times New Roman"/>
          <w:color w:val="FF0000"/>
          <w:sz w:val="24"/>
          <w:szCs w:val="28"/>
        </w:rPr>
        <w:t>造纸工业是与国民经济和人民生活密切相关的重要产业，也是重要的基础产业。在世界造纸产品的消费结构中，用于信息传递材料的约占</w:t>
      </w:r>
      <w:r>
        <w:rPr>
          <w:rFonts w:ascii="Times New Roman" w:hAnsi="Times New Roman" w:eastAsia="宋体" w:cs="Times New Roman"/>
          <w:color w:val="FF0000"/>
          <w:sz w:val="24"/>
          <w:szCs w:val="28"/>
        </w:rPr>
        <w:t>43%</w:t>
      </w:r>
      <w:r>
        <w:rPr>
          <w:rFonts w:hint="eastAsia" w:ascii="Times New Roman" w:hAnsi="宋体" w:eastAsia="宋体" w:cs="Times New Roman"/>
          <w:color w:val="FF0000"/>
          <w:sz w:val="24"/>
          <w:szCs w:val="28"/>
        </w:rPr>
        <w:t>，用于包装材料的约占</w:t>
      </w:r>
      <w:r>
        <w:rPr>
          <w:rFonts w:ascii="Times New Roman" w:hAnsi="Times New Roman" w:eastAsia="宋体" w:cs="Times New Roman"/>
          <w:color w:val="FF0000"/>
          <w:sz w:val="24"/>
          <w:szCs w:val="28"/>
        </w:rPr>
        <w:t>35%</w:t>
      </w:r>
      <w:r>
        <w:rPr>
          <w:rFonts w:hint="eastAsia" w:ascii="Times New Roman" w:hAnsi="宋体" w:eastAsia="宋体" w:cs="Times New Roman"/>
          <w:color w:val="FF0000"/>
          <w:sz w:val="24"/>
          <w:szCs w:val="28"/>
        </w:rPr>
        <w:t>，用于工农业生产的约占</w:t>
      </w:r>
      <w:r>
        <w:rPr>
          <w:rFonts w:ascii="Times New Roman" w:hAnsi="Times New Roman" w:eastAsia="宋体" w:cs="Times New Roman"/>
          <w:color w:val="FF0000"/>
          <w:sz w:val="24"/>
          <w:szCs w:val="28"/>
        </w:rPr>
        <w:t>15%</w:t>
      </w:r>
      <w:r>
        <w:rPr>
          <w:rFonts w:hint="eastAsia" w:ascii="Times New Roman" w:hAnsi="宋体" w:eastAsia="宋体" w:cs="Times New Roman"/>
          <w:color w:val="FF0000"/>
          <w:sz w:val="24"/>
          <w:szCs w:val="28"/>
        </w:rPr>
        <w:t>，用于生活消费的只占</w:t>
      </w:r>
      <w:r>
        <w:rPr>
          <w:rFonts w:hint="eastAsia" w:ascii="Times New Roman" w:hAnsi="Times New Roman" w:eastAsia="宋体" w:cs="Times New Roman"/>
          <w:color w:val="FF0000"/>
          <w:sz w:val="24"/>
          <w:szCs w:val="28"/>
        </w:rPr>
        <w:t>7%</w:t>
      </w:r>
      <w:r>
        <w:rPr>
          <w:rFonts w:hint="eastAsia" w:ascii="Times New Roman" w:hAnsi="宋体" w:eastAsia="宋体" w:cs="Times New Roman"/>
          <w:color w:val="FF0000"/>
          <w:sz w:val="24"/>
          <w:szCs w:val="28"/>
        </w:rPr>
        <w:t>左右。可见造纸工业的产品主要是承担信息传递材料的功能，随着人们生活和文化水平的提高以及社会信息化趋势的发展，造纸工业在国民经济和人民生活中的地位会越来越重要。</w:t>
      </w:r>
    </w:p>
    <w:p>
      <w:pPr>
        <w:adjustRightInd w:val="0"/>
        <w:snapToGrid w:val="0"/>
        <w:spacing w:line="360" w:lineRule="auto"/>
        <w:ind w:firstLine="480" w:firstLineChars="200"/>
        <w:rPr>
          <w:rFonts w:ascii="Times New Roman" w:hAnsi="宋体" w:eastAsia="宋体" w:cs="Times New Roman"/>
          <w:color w:val="FF0000"/>
          <w:sz w:val="24"/>
          <w:szCs w:val="28"/>
        </w:rPr>
      </w:pPr>
      <w:r>
        <w:rPr>
          <w:rFonts w:hint="eastAsia" w:ascii="Times New Roman" w:hAnsi="宋体" w:eastAsia="宋体" w:cs="Times New Roman"/>
          <w:color w:val="FF0000"/>
          <w:sz w:val="24"/>
          <w:szCs w:val="28"/>
        </w:rPr>
        <w:t>本项目的产品为石粉复合果蔬纸，国外也称合成纸，是以石粉、废纸和淀粉为主要原料。随着石粉造纸产能的不断扩大，其产品将逐渐成为纸产品家族新的成员，它不仅环保，而且具有比重轻、强度大、抗撕裂、印刷性好、遮光、抗紫外线、经济耐用等特点。石粉纸在国外已经有着</w:t>
      </w:r>
      <w:r>
        <w:rPr>
          <w:rFonts w:ascii="Times New Roman" w:hAnsi="Times New Roman" w:eastAsia="宋体" w:cs="Times New Roman"/>
          <w:color w:val="FF0000"/>
          <w:sz w:val="24"/>
          <w:szCs w:val="28"/>
        </w:rPr>
        <w:t>30</w:t>
      </w:r>
      <w:r>
        <w:rPr>
          <w:rFonts w:hint="eastAsia" w:ascii="Times New Roman" w:hAnsi="宋体" w:eastAsia="宋体" w:cs="Times New Roman"/>
          <w:color w:val="FF0000"/>
          <w:sz w:val="24"/>
          <w:szCs w:val="28"/>
        </w:rPr>
        <w:t>多年的发展历史，但真正走入纸品市场的时间还不到</w:t>
      </w:r>
      <w:r>
        <w:rPr>
          <w:rFonts w:ascii="Times New Roman" w:hAnsi="Times New Roman" w:eastAsia="宋体" w:cs="Times New Roman"/>
          <w:color w:val="FF0000"/>
          <w:sz w:val="24"/>
          <w:szCs w:val="28"/>
        </w:rPr>
        <w:t>10</w:t>
      </w:r>
      <w:r>
        <w:rPr>
          <w:rFonts w:hint="eastAsia" w:ascii="Times New Roman" w:hAnsi="宋体" w:eastAsia="宋体" w:cs="Times New Roman"/>
          <w:color w:val="FF0000"/>
          <w:sz w:val="24"/>
          <w:szCs w:val="28"/>
        </w:rPr>
        <w:t>年。但他们的石粉含量普遍只有</w:t>
      </w:r>
      <w:r>
        <w:rPr>
          <w:rFonts w:ascii="Times New Roman" w:hAnsi="Times New Roman" w:eastAsia="宋体" w:cs="Times New Roman"/>
          <w:color w:val="FF0000"/>
          <w:sz w:val="24"/>
          <w:szCs w:val="28"/>
        </w:rPr>
        <w:t>50%</w:t>
      </w:r>
      <w:r>
        <w:rPr>
          <w:rFonts w:hint="eastAsia" w:ascii="Times New Roman" w:hAnsi="宋体" w:eastAsia="宋体" w:cs="Times New Roman"/>
          <w:color w:val="FF0000"/>
          <w:sz w:val="24"/>
          <w:szCs w:val="28"/>
        </w:rPr>
        <w:t>，上限是</w:t>
      </w:r>
      <w:r>
        <w:rPr>
          <w:rFonts w:ascii="Times New Roman" w:hAnsi="Times New Roman" w:eastAsia="宋体" w:cs="Times New Roman"/>
          <w:color w:val="FF0000"/>
          <w:sz w:val="24"/>
          <w:szCs w:val="28"/>
        </w:rPr>
        <w:t>60%</w:t>
      </w:r>
      <w:r>
        <w:rPr>
          <w:rFonts w:hint="eastAsia" w:ascii="Times New Roman" w:hAnsi="宋体" w:eastAsia="宋体" w:cs="Times New Roman"/>
          <w:color w:val="FF0000"/>
          <w:sz w:val="24"/>
          <w:szCs w:val="28"/>
        </w:rPr>
        <w:t>，不能称之为石粉纸。只有石粉含量达到或者超过</w:t>
      </w:r>
      <w:r>
        <w:rPr>
          <w:rFonts w:ascii="Times New Roman" w:hAnsi="Times New Roman" w:eastAsia="宋体" w:cs="Times New Roman"/>
          <w:color w:val="FF0000"/>
          <w:sz w:val="24"/>
          <w:szCs w:val="28"/>
        </w:rPr>
        <w:t>80%</w:t>
      </w:r>
      <w:r>
        <w:rPr>
          <w:rFonts w:hint="eastAsia" w:ascii="Times New Roman" w:hAnsi="宋体" w:eastAsia="宋体" w:cs="Times New Roman"/>
          <w:color w:val="FF0000"/>
          <w:sz w:val="24"/>
          <w:szCs w:val="28"/>
        </w:rPr>
        <w:t>，合成纸才能称之为石粉纸。在传统木浆纸的制造过程中，须加入强酸、强碱及漂白剂等以去除木浆中的杂质并进行漂白，因工艺原因会造成排放污染。即使使用废纸加工，也会因回收后需要添加水搅拌成浆，为去除回收纸张的颜色，必须经脱墨洗涤并漂白后才能加工，过程复杂而且会产生污染废水。石粉造纸因无需加入酸、碱或漂白剂，因而不会造成酸、碱等污染，少量废水主要的排放物有</w:t>
      </w:r>
      <w:r>
        <w:rPr>
          <w:rFonts w:ascii="Times New Roman" w:hAnsi="Times New Roman" w:eastAsia="宋体" w:cs="Times New Roman"/>
          <w:color w:val="FF0000"/>
          <w:sz w:val="24"/>
          <w:szCs w:val="28"/>
        </w:rPr>
        <w:t>CO</w:t>
      </w:r>
      <w:r>
        <w:rPr>
          <w:rFonts w:ascii="Times New Roman" w:hAnsi="Times New Roman" w:eastAsia="宋体" w:cs="Times New Roman"/>
          <w:color w:val="FF0000"/>
          <w:sz w:val="24"/>
          <w:szCs w:val="28"/>
          <w:vertAlign w:val="subscript"/>
        </w:rPr>
        <w:t>2</w:t>
      </w:r>
      <w:r>
        <w:rPr>
          <w:rFonts w:hint="eastAsia" w:ascii="Times New Roman" w:hAnsi="宋体" w:eastAsia="宋体" w:cs="Times New Roman"/>
          <w:color w:val="FF0000"/>
          <w:sz w:val="24"/>
          <w:szCs w:val="28"/>
        </w:rPr>
        <w:t>、</w:t>
      </w:r>
      <w:r>
        <w:rPr>
          <w:rFonts w:ascii="Times New Roman" w:hAnsi="Times New Roman" w:eastAsia="宋体" w:cs="Times New Roman"/>
          <w:color w:val="FF0000"/>
          <w:sz w:val="24"/>
          <w:szCs w:val="28"/>
        </w:rPr>
        <w:t>SO</w:t>
      </w:r>
      <w:r>
        <w:rPr>
          <w:rFonts w:ascii="Times New Roman" w:hAnsi="Times New Roman" w:eastAsia="宋体" w:cs="Times New Roman"/>
          <w:color w:val="FF0000"/>
          <w:sz w:val="24"/>
          <w:szCs w:val="28"/>
          <w:vertAlign w:val="subscript"/>
        </w:rPr>
        <w:t>2</w:t>
      </w:r>
      <w:r>
        <w:rPr>
          <w:rFonts w:hint="eastAsia" w:ascii="Times New Roman" w:hAnsi="宋体" w:eastAsia="宋体" w:cs="Times New Roman"/>
          <w:color w:val="FF0000"/>
          <w:sz w:val="24"/>
          <w:szCs w:val="28"/>
        </w:rPr>
        <w:t>、</w:t>
      </w:r>
      <w:r>
        <w:rPr>
          <w:rFonts w:ascii="Times New Roman" w:hAnsi="Times New Roman" w:eastAsia="宋体" w:cs="Times New Roman"/>
          <w:color w:val="FF0000"/>
          <w:sz w:val="24"/>
          <w:szCs w:val="28"/>
        </w:rPr>
        <w:t>NO</w:t>
      </w:r>
      <w:r>
        <w:rPr>
          <w:rFonts w:ascii="Times New Roman" w:hAnsi="Times New Roman" w:eastAsia="宋体" w:cs="Times New Roman"/>
          <w:color w:val="FF0000"/>
          <w:sz w:val="24"/>
          <w:szCs w:val="28"/>
          <w:vertAlign w:val="subscript"/>
        </w:rPr>
        <w:t>X</w:t>
      </w:r>
      <w:r>
        <w:rPr>
          <w:rFonts w:hint="eastAsia" w:ascii="Times New Roman" w:hAnsi="宋体" w:eastAsia="宋体" w:cs="Times New Roman"/>
          <w:color w:val="FF0000"/>
          <w:sz w:val="24"/>
          <w:szCs w:val="28"/>
        </w:rPr>
        <w:t>和</w:t>
      </w:r>
      <w:r>
        <w:rPr>
          <w:rFonts w:ascii="Times New Roman" w:hAnsi="Times New Roman" w:eastAsia="宋体" w:cs="Times New Roman"/>
          <w:color w:val="FF0000"/>
          <w:sz w:val="24"/>
          <w:szCs w:val="28"/>
        </w:rPr>
        <w:t>COD</w:t>
      </w:r>
      <w:r>
        <w:rPr>
          <w:rFonts w:hint="eastAsia" w:ascii="Times New Roman" w:hAnsi="宋体" w:eastAsia="宋体" w:cs="Times New Roman"/>
          <w:color w:val="FF0000"/>
          <w:sz w:val="24"/>
          <w:szCs w:val="28"/>
        </w:rPr>
        <w:t>，它们的排放量比木浆造纸，</w:t>
      </w:r>
      <w:r>
        <w:rPr>
          <w:rFonts w:ascii="Times New Roman" w:hAnsi="Times New Roman" w:eastAsia="宋体" w:cs="Times New Roman"/>
          <w:color w:val="FF0000"/>
          <w:sz w:val="24"/>
          <w:szCs w:val="28"/>
        </w:rPr>
        <w:t>100%</w:t>
      </w:r>
      <w:r>
        <w:rPr>
          <w:rFonts w:hint="eastAsia" w:ascii="Times New Roman" w:hAnsi="宋体" w:eastAsia="宋体" w:cs="Times New Roman"/>
          <w:color w:val="FF0000"/>
          <w:sz w:val="24"/>
          <w:szCs w:val="28"/>
        </w:rPr>
        <w:t>新木浆，分别低</w:t>
      </w:r>
      <w:r>
        <w:rPr>
          <w:rFonts w:ascii="Times New Roman" w:hAnsi="Times New Roman" w:eastAsia="宋体" w:cs="Times New Roman"/>
          <w:color w:val="FF0000"/>
          <w:sz w:val="24"/>
          <w:szCs w:val="28"/>
        </w:rPr>
        <w:t>54.3%</w:t>
      </w:r>
      <w:r>
        <w:rPr>
          <w:rFonts w:hint="eastAsia" w:ascii="Times New Roman" w:hAnsi="宋体" w:eastAsia="宋体" w:cs="Times New Roman"/>
          <w:color w:val="FF0000"/>
          <w:sz w:val="24"/>
          <w:szCs w:val="28"/>
        </w:rPr>
        <w:t>、</w:t>
      </w:r>
      <w:r>
        <w:rPr>
          <w:rFonts w:ascii="Times New Roman" w:hAnsi="Times New Roman" w:eastAsia="宋体" w:cs="Times New Roman"/>
          <w:color w:val="FF0000"/>
          <w:sz w:val="24"/>
          <w:szCs w:val="28"/>
        </w:rPr>
        <w:t>87.8%</w:t>
      </w:r>
      <w:r>
        <w:rPr>
          <w:rFonts w:hint="eastAsia" w:ascii="Times New Roman" w:hAnsi="宋体" w:eastAsia="宋体" w:cs="Times New Roman"/>
          <w:color w:val="FF0000"/>
          <w:sz w:val="24"/>
          <w:szCs w:val="28"/>
        </w:rPr>
        <w:t>、</w:t>
      </w:r>
      <w:r>
        <w:rPr>
          <w:rFonts w:ascii="Times New Roman" w:hAnsi="Times New Roman" w:eastAsia="宋体" w:cs="Times New Roman"/>
          <w:color w:val="FF0000"/>
          <w:sz w:val="24"/>
          <w:szCs w:val="28"/>
        </w:rPr>
        <w:t>89.1%</w:t>
      </w:r>
      <w:r>
        <w:rPr>
          <w:rFonts w:hint="eastAsia" w:ascii="Times New Roman" w:hAnsi="宋体" w:eastAsia="宋体" w:cs="Times New Roman"/>
          <w:color w:val="FF0000"/>
          <w:sz w:val="24"/>
          <w:szCs w:val="28"/>
        </w:rPr>
        <w:t>和</w:t>
      </w:r>
      <w:r>
        <w:rPr>
          <w:rFonts w:ascii="Times New Roman" w:hAnsi="Times New Roman" w:eastAsia="宋体" w:cs="Times New Roman"/>
          <w:color w:val="FF0000"/>
          <w:sz w:val="24"/>
          <w:szCs w:val="28"/>
        </w:rPr>
        <w:t>99.7%</w:t>
      </w:r>
      <w:r>
        <w:rPr>
          <w:rFonts w:hint="eastAsia" w:ascii="Times New Roman" w:hAnsi="宋体" w:eastAsia="宋体" w:cs="Times New Roman"/>
          <w:color w:val="FF0000"/>
          <w:sz w:val="24"/>
          <w:szCs w:val="28"/>
        </w:rPr>
        <w:t>。因此，从减少污染的角度出发，鼓励和发展石粉造纸十分必要。</w:t>
      </w:r>
    </w:p>
    <w:p>
      <w:pPr>
        <w:adjustRightInd w:val="0"/>
        <w:snapToGrid w:val="0"/>
        <w:spacing w:line="360" w:lineRule="auto"/>
        <w:ind w:firstLine="480" w:firstLineChars="200"/>
        <w:rPr>
          <w:rFonts w:ascii="Times New Roman" w:hAnsi="宋体" w:eastAsia="宋体" w:cs="Times New Roman"/>
          <w:color w:val="FF0000"/>
          <w:sz w:val="24"/>
          <w:szCs w:val="28"/>
        </w:rPr>
      </w:pPr>
      <w:r>
        <w:rPr>
          <w:rFonts w:hint="eastAsia" w:ascii="Times New Roman" w:hAnsi="宋体" w:eastAsia="宋体" w:cs="Times New Roman"/>
          <w:color w:val="FF0000"/>
          <w:sz w:val="24"/>
          <w:szCs w:val="28"/>
        </w:rPr>
        <w:t>2018年12月</w:t>
      </w:r>
      <w:r>
        <w:rPr>
          <w:rFonts w:hint="eastAsia" w:ascii="Times New Roman" w:hAnsi="Times New Roman"/>
          <w:color w:val="FF0000"/>
          <w:sz w:val="24"/>
          <w:szCs w:val="24"/>
        </w:rPr>
        <w:t>元谋县佳明包装有限责任公司</w:t>
      </w:r>
      <w:r>
        <w:rPr>
          <w:rFonts w:hint="eastAsia" w:ascii="Times New Roman" w:hAnsi="宋体" w:eastAsia="宋体" w:cs="Times New Roman"/>
          <w:color w:val="FF0000"/>
          <w:sz w:val="24"/>
          <w:szCs w:val="28"/>
        </w:rPr>
        <w:t>决定在</w:t>
      </w:r>
      <w:r>
        <w:rPr>
          <w:rFonts w:hint="eastAsia" w:ascii="Times New Roman" w:hAnsi="Times New Roman"/>
          <w:color w:val="FF0000"/>
          <w:sz w:val="24"/>
          <w:szCs w:val="24"/>
        </w:rPr>
        <w:t>元谋县工业园区金雷片区</w:t>
      </w:r>
      <w:r>
        <w:rPr>
          <w:rFonts w:hint="eastAsia" w:ascii="Times New Roman" w:hAnsi="宋体" w:eastAsia="宋体" w:cs="Times New Roman"/>
          <w:color w:val="FF0000"/>
          <w:sz w:val="24"/>
          <w:szCs w:val="28"/>
        </w:rPr>
        <w:t>建设</w:t>
      </w:r>
      <w:r>
        <w:rPr>
          <w:rFonts w:hint="eastAsia" w:ascii="Times New Roman" w:hAnsi="Times New Roman"/>
          <w:color w:val="FF0000"/>
          <w:sz w:val="24"/>
          <w:szCs w:val="24"/>
        </w:rPr>
        <w:t>新建10万吨/年环保新材料石粉复合果蔬包装纸生产线项目</w:t>
      </w:r>
      <w:r>
        <w:rPr>
          <w:rFonts w:hint="eastAsia" w:ascii="Times New Roman" w:hAnsi="宋体" w:eastAsia="宋体" w:cs="Times New Roman"/>
          <w:color w:val="FF0000"/>
          <w:sz w:val="24"/>
          <w:szCs w:val="28"/>
        </w:rPr>
        <w:t>。项目于2018年12月27日取得元谋县发展和改革局的投资项目备案证，项目代码：2018-532328-22-03-016884。</w:t>
      </w:r>
    </w:p>
    <w:p>
      <w:pPr>
        <w:adjustRightInd w:val="0"/>
        <w:snapToGrid w:val="0"/>
        <w:spacing w:line="360" w:lineRule="auto"/>
        <w:ind w:firstLine="480" w:firstLineChars="200"/>
        <w:rPr>
          <w:rFonts w:ascii="Times New Roman" w:hAnsi="宋体" w:eastAsia="宋体" w:cs="Times New Roman"/>
          <w:sz w:val="24"/>
          <w:szCs w:val="28"/>
        </w:rPr>
      </w:pPr>
    </w:p>
    <w:p>
      <w:pPr>
        <w:pStyle w:val="5"/>
        <w:ind w:firstLine="562"/>
        <w:rPr>
          <w:rFonts w:hAnsi="Times New Roman"/>
        </w:rPr>
      </w:pPr>
      <w:bookmarkStart w:id="5" w:name="_Toc14982"/>
      <w:bookmarkStart w:id="6" w:name="_Toc23843285"/>
      <w:bookmarkStart w:id="7" w:name="_Toc18467"/>
      <w:r>
        <w:rPr>
          <w:rFonts w:hint="eastAsia" w:hAnsi="Times New Roman"/>
        </w:rPr>
        <w:t>1.2建设项目环境影响评价过程</w:t>
      </w:r>
      <w:bookmarkEnd w:id="5"/>
      <w:bookmarkEnd w:id="6"/>
      <w:bookmarkEnd w:id="7"/>
    </w:p>
    <w:p>
      <w:pPr>
        <w:numPr>
          <w:ilvl w:val="0"/>
          <w:numId w:val="2"/>
        </w:numPr>
        <w:adjustRightInd w:val="0"/>
        <w:snapToGrid w:val="0"/>
        <w:spacing w:line="360" w:lineRule="auto"/>
        <w:ind w:firstLine="480" w:firstLineChars="200"/>
        <w:rPr>
          <w:rFonts w:ascii="Times New Roman" w:hAnsi="Times New Roman"/>
          <w:color w:val="FF0000"/>
          <w:sz w:val="24"/>
          <w:szCs w:val="28"/>
        </w:rPr>
      </w:pPr>
      <w:r>
        <w:rPr>
          <w:rFonts w:hint="eastAsia" w:ascii="Times New Roman" w:hAnsi="Times New Roman"/>
          <w:color w:val="FF0000"/>
          <w:sz w:val="24"/>
          <w:szCs w:val="28"/>
        </w:rPr>
        <w:t>根据《中华人民共和国环境保护法》（2015年1月1日起施行）、《中华人民共和国环境影响评价法》（中华人民共和国主席令（第四十八号），2016年9月1日起施行）、《建设项目环境保护条例》（国令第682号，2017年10月1日起施行）、《云南省环境保护条例（2004修正）》（2004年6月29日施行）、《建设项目环境影响评价分类管理名录》（2018年4月28日修订稿）的有关规定，本项目应执行环境影响评价制度，对照《建设项目环境影响评价分类管理名录》（2018年4月28日修订稿），以纸浆、溶解浆、纤维浆为原料；造纸（含废纸造纸）行业应编制报告书，本项目属于以石粉（方解石粉）为主要原料，辅料以纸浆或者回收的废纸和淀粉的造纸业，应编制环境影响报告书。</w:t>
      </w:r>
    </w:p>
    <w:p>
      <w:pPr>
        <w:numPr>
          <w:ilvl w:val="0"/>
          <w:numId w:val="2"/>
        </w:numPr>
        <w:adjustRightInd w:val="0"/>
        <w:snapToGrid w:val="0"/>
        <w:spacing w:line="360" w:lineRule="auto"/>
        <w:ind w:firstLine="480" w:firstLineChars="200"/>
        <w:rPr>
          <w:rFonts w:ascii="Times New Roman" w:hAnsi="Times New Roman"/>
          <w:color w:val="FF0000"/>
          <w:sz w:val="24"/>
          <w:szCs w:val="28"/>
        </w:rPr>
      </w:pPr>
      <w:r>
        <w:rPr>
          <w:rFonts w:hint="eastAsia" w:ascii="Times New Roman" w:hAnsi="Times New Roman"/>
          <w:color w:val="FF0000"/>
          <w:sz w:val="24"/>
          <w:szCs w:val="28"/>
        </w:rPr>
        <w:t>2019年</w:t>
      </w:r>
      <w:r>
        <w:rPr>
          <w:rFonts w:ascii="Times New Roman" w:hAnsi="Times New Roman"/>
          <w:color w:val="FF0000"/>
          <w:sz w:val="24"/>
          <w:szCs w:val="28"/>
        </w:rPr>
        <w:t>03</w:t>
      </w:r>
      <w:r>
        <w:rPr>
          <w:rFonts w:hint="eastAsia" w:ascii="Times New Roman" w:hAnsi="Times New Roman"/>
          <w:color w:val="FF0000"/>
          <w:sz w:val="24"/>
          <w:szCs w:val="28"/>
        </w:rPr>
        <w:t>月</w:t>
      </w:r>
      <w:r>
        <w:rPr>
          <w:rFonts w:ascii="Times New Roman" w:hAnsi="Times New Roman"/>
          <w:color w:val="FF0000"/>
          <w:sz w:val="24"/>
          <w:szCs w:val="28"/>
        </w:rPr>
        <w:t>05</w:t>
      </w:r>
      <w:r>
        <w:rPr>
          <w:rFonts w:hint="eastAsia" w:ascii="Times New Roman" w:hAnsi="Times New Roman"/>
          <w:color w:val="FF0000"/>
          <w:sz w:val="24"/>
          <w:szCs w:val="28"/>
        </w:rPr>
        <w:t>日受元谋县佳明包装有限责任公司委托（委托书见附件1），云南涔</w:t>
      </w:r>
      <w:r>
        <w:rPr>
          <w:rFonts w:ascii="Times New Roman" w:hAnsi="Times New Roman"/>
          <w:color w:val="FF0000"/>
          <w:sz w:val="24"/>
          <w:szCs w:val="28"/>
        </w:rPr>
        <w:t>霖环保科技有限公司</w:t>
      </w:r>
      <w:r>
        <w:rPr>
          <w:rFonts w:hint="eastAsia" w:ascii="Times New Roman" w:hAnsi="Times New Roman"/>
          <w:color w:val="FF0000"/>
          <w:sz w:val="24"/>
          <w:szCs w:val="28"/>
        </w:rPr>
        <w:t>（以下简称“评价单位”）承担本项目的环境影响评价工作。</w:t>
      </w:r>
    </w:p>
    <w:p>
      <w:pPr>
        <w:numPr>
          <w:ilvl w:val="0"/>
          <w:numId w:val="2"/>
        </w:numPr>
        <w:adjustRightInd w:val="0"/>
        <w:snapToGrid w:val="0"/>
        <w:spacing w:line="360" w:lineRule="auto"/>
        <w:ind w:firstLine="480" w:firstLineChars="200"/>
        <w:rPr>
          <w:rFonts w:ascii="Times New Roman" w:hAnsi="Times New Roman"/>
          <w:color w:val="FF0000"/>
          <w:sz w:val="24"/>
          <w:szCs w:val="28"/>
        </w:rPr>
      </w:pPr>
      <w:r>
        <w:rPr>
          <w:rFonts w:hint="eastAsia" w:ascii="Times New Roman" w:hAnsi="Times New Roman"/>
          <w:color w:val="FF0000"/>
          <w:sz w:val="24"/>
          <w:szCs w:val="28"/>
        </w:rPr>
        <w:t>2019年</w:t>
      </w:r>
      <w:r>
        <w:rPr>
          <w:rFonts w:ascii="Times New Roman" w:hAnsi="Times New Roman"/>
          <w:color w:val="FF0000"/>
          <w:sz w:val="24"/>
          <w:szCs w:val="28"/>
        </w:rPr>
        <w:t>03</w:t>
      </w:r>
      <w:r>
        <w:rPr>
          <w:rFonts w:hint="eastAsia" w:ascii="Times New Roman" w:hAnsi="Times New Roman"/>
          <w:color w:val="FF0000"/>
          <w:sz w:val="24"/>
          <w:szCs w:val="28"/>
        </w:rPr>
        <w:t>月06日评价单位到元谋县工业园区金雷片区进行实地踏勘调研和资料收集工作，随后收集并研究了国家和云南省关于造纸行业的有关政策及相关法律、法规文件，初步确立项目符合国家产业政策。</w:t>
      </w:r>
    </w:p>
    <w:p>
      <w:pPr>
        <w:numPr>
          <w:ilvl w:val="0"/>
          <w:numId w:val="2"/>
        </w:numPr>
        <w:adjustRightInd w:val="0"/>
        <w:snapToGrid w:val="0"/>
        <w:spacing w:line="360" w:lineRule="auto"/>
        <w:ind w:firstLine="480" w:firstLineChars="200"/>
        <w:rPr>
          <w:rFonts w:ascii="Times New Roman" w:hAnsi="Times New Roman"/>
          <w:color w:val="FF0000"/>
          <w:sz w:val="24"/>
          <w:szCs w:val="28"/>
        </w:rPr>
      </w:pPr>
      <w:r>
        <w:rPr>
          <w:rFonts w:hint="eastAsia" w:ascii="Times New Roman" w:hAnsi="Times New Roman"/>
          <w:color w:val="FF0000"/>
          <w:sz w:val="24"/>
          <w:szCs w:val="28"/>
        </w:rPr>
        <w:t>2019年</w:t>
      </w:r>
      <w:r>
        <w:rPr>
          <w:rFonts w:ascii="Times New Roman" w:hAnsi="Times New Roman"/>
          <w:color w:val="FF0000"/>
          <w:sz w:val="24"/>
          <w:szCs w:val="28"/>
        </w:rPr>
        <w:t>03</w:t>
      </w:r>
      <w:r>
        <w:rPr>
          <w:rFonts w:hint="eastAsia" w:ascii="Times New Roman" w:hAnsi="Times New Roman"/>
          <w:color w:val="FF0000"/>
          <w:sz w:val="24"/>
          <w:szCs w:val="28"/>
        </w:rPr>
        <w:t>月</w:t>
      </w:r>
      <w:r>
        <w:rPr>
          <w:rFonts w:ascii="Times New Roman" w:hAnsi="Times New Roman"/>
          <w:color w:val="FF0000"/>
          <w:sz w:val="24"/>
          <w:szCs w:val="28"/>
        </w:rPr>
        <w:t>08</w:t>
      </w:r>
      <w:r>
        <w:rPr>
          <w:rFonts w:hint="eastAsia" w:ascii="Times New Roman" w:hAnsi="Times New Roman"/>
          <w:color w:val="FF0000"/>
          <w:sz w:val="24"/>
          <w:szCs w:val="28"/>
        </w:rPr>
        <w:t>日</w:t>
      </w:r>
      <w:r>
        <w:rPr>
          <w:rFonts w:ascii="Times New Roman" w:hAnsi="Times New Roman" w:eastAsia="宋体" w:cs="Times New Roman"/>
          <w:color w:val="FF0000"/>
          <w:sz w:val="24"/>
          <w:szCs w:val="24"/>
        </w:rPr>
        <w:t>在百度贴吧元谋吧网站上进行了</w:t>
      </w:r>
      <w:r>
        <w:rPr>
          <w:rFonts w:hint="eastAsia" w:ascii="Times New Roman" w:hAnsi="Times New Roman" w:eastAsia="宋体" w:cs="Times New Roman"/>
          <w:color w:val="FF0000"/>
          <w:sz w:val="24"/>
          <w:szCs w:val="24"/>
        </w:rPr>
        <w:t>新建年产10万吨</w:t>
      </w:r>
      <w:r>
        <w:rPr>
          <w:rFonts w:hint="eastAsia" w:ascii="Times New Roman" w:hAnsi="Times New Roman" w:eastAsia="宋体" w:cs="Times New Roman"/>
          <w:color w:val="FF0000"/>
          <w:sz w:val="24"/>
          <w:szCs w:val="24"/>
          <w:lang w:eastAsia="zh-CN"/>
        </w:rPr>
        <w:t>环保</w:t>
      </w:r>
      <w:r>
        <w:rPr>
          <w:rFonts w:hint="eastAsia" w:ascii="Times New Roman" w:hAnsi="Times New Roman" w:eastAsia="宋体" w:cs="Times New Roman"/>
          <w:color w:val="FF0000"/>
          <w:sz w:val="24"/>
          <w:szCs w:val="24"/>
        </w:rPr>
        <w:t>新材料石粉复合果蔬包装纸生产线项目</w:t>
      </w:r>
      <w:r>
        <w:rPr>
          <w:rFonts w:ascii="Times New Roman" w:hAnsi="Times New Roman" w:eastAsia="宋体" w:cs="Times New Roman"/>
          <w:color w:val="FF0000"/>
          <w:sz w:val="24"/>
          <w:szCs w:val="24"/>
        </w:rPr>
        <w:t>环境影响评价第一次网络公示。</w:t>
      </w:r>
    </w:p>
    <w:p>
      <w:pPr>
        <w:numPr>
          <w:ilvl w:val="0"/>
          <w:numId w:val="2"/>
        </w:numPr>
        <w:adjustRightInd w:val="0"/>
        <w:snapToGrid w:val="0"/>
        <w:spacing w:line="360" w:lineRule="auto"/>
        <w:ind w:firstLine="480" w:firstLineChars="200"/>
        <w:rPr>
          <w:rFonts w:ascii="Times New Roman" w:hAnsi="Times New Roman" w:cs="Times New Roman"/>
          <w:b/>
        </w:rPr>
      </w:pPr>
      <w:r>
        <w:rPr>
          <w:rFonts w:hint="eastAsia" w:ascii="Times New Roman" w:hAnsi="Times New Roman"/>
          <w:color w:val="FF0000"/>
          <w:sz w:val="24"/>
          <w:szCs w:val="28"/>
        </w:rPr>
        <w:t>在该项目环境影响报告书（征求意见稿）编制完成后报送环境保护行政主管部门审批前，建设单位</w:t>
      </w:r>
      <w:r>
        <w:rPr>
          <w:rFonts w:ascii="Times New Roman" w:hAnsi="Times New Roman"/>
          <w:color w:val="FF0000"/>
          <w:sz w:val="24"/>
          <w:szCs w:val="28"/>
        </w:rPr>
        <w:t>委托了楚雄日报进行环境影响评价信息公示，楚雄日报于</w:t>
      </w:r>
      <w:r>
        <w:rPr>
          <w:rFonts w:hint="eastAsia" w:ascii="Times New Roman" w:hAnsi="Times New Roman"/>
          <w:color w:val="FF0000"/>
          <w:sz w:val="24"/>
          <w:szCs w:val="28"/>
        </w:rPr>
        <w:t>2019年03月1</w:t>
      </w:r>
      <w:r>
        <w:rPr>
          <w:rFonts w:hint="eastAsia" w:ascii="Times New Roman" w:hAnsi="Times New Roman"/>
          <w:color w:val="FF0000"/>
          <w:sz w:val="24"/>
          <w:szCs w:val="28"/>
          <w:lang w:val="en-US" w:eastAsia="zh-CN"/>
        </w:rPr>
        <w:t>9</w:t>
      </w:r>
      <w:r>
        <w:rPr>
          <w:rFonts w:hint="eastAsia" w:ascii="Times New Roman" w:hAnsi="Times New Roman"/>
          <w:color w:val="FF0000"/>
          <w:sz w:val="24"/>
          <w:szCs w:val="28"/>
        </w:rPr>
        <w:t>日</w:t>
      </w:r>
      <w:r>
        <w:rPr>
          <w:rFonts w:hint="eastAsia" w:ascii="Times New Roman" w:hAnsi="Times New Roman"/>
          <w:color w:val="FF0000"/>
          <w:sz w:val="24"/>
          <w:szCs w:val="28"/>
          <w:lang w:val="en-US" w:eastAsia="zh-CN"/>
        </w:rPr>
        <w:t>、23日</w:t>
      </w:r>
      <w:r>
        <w:rPr>
          <w:rFonts w:hint="eastAsia" w:ascii="Times New Roman" w:hAnsi="Times New Roman"/>
          <w:color w:val="FF0000"/>
          <w:sz w:val="24"/>
          <w:szCs w:val="28"/>
        </w:rPr>
        <w:t>发布了</w:t>
      </w:r>
      <w:r>
        <w:rPr>
          <w:rFonts w:ascii="Times New Roman" w:hAnsi="Times New Roman"/>
          <w:color w:val="FF0000"/>
          <w:sz w:val="24"/>
          <w:szCs w:val="28"/>
        </w:rPr>
        <w:t>公示内容。</w:t>
      </w:r>
      <w:r>
        <w:rPr>
          <w:rFonts w:hint="eastAsia" w:ascii="Times New Roman" w:hAnsi="Times New Roman"/>
          <w:color w:val="FF0000"/>
          <w:sz w:val="24"/>
          <w:szCs w:val="28"/>
        </w:rPr>
        <w:t>公示期间未收到任何反馈意见。</w:t>
      </w:r>
    </w:p>
    <w:p>
      <w:pPr>
        <w:numPr>
          <w:ilvl w:val="0"/>
          <w:numId w:val="2"/>
        </w:numPr>
        <w:adjustRightInd w:val="0"/>
        <w:snapToGrid w:val="0"/>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8"/>
        </w:rPr>
        <w:t>2019年</w:t>
      </w:r>
      <w:r>
        <w:rPr>
          <w:rFonts w:ascii="Times New Roman" w:hAnsi="Times New Roman"/>
          <w:color w:val="FF0000"/>
          <w:sz w:val="24"/>
          <w:szCs w:val="28"/>
        </w:rPr>
        <w:t>10</w:t>
      </w:r>
      <w:r>
        <w:rPr>
          <w:rFonts w:hint="eastAsia" w:ascii="Times New Roman" w:hAnsi="Times New Roman"/>
          <w:color w:val="FF0000"/>
          <w:sz w:val="24"/>
          <w:szCs w:val="28"/>
        </w:rPr>
        <w:t>月</w:t>
      </w:r>
      <w:r>
        <w:rPr>
          <w:rFonts w:ascii="Times New Roman" w:hAnsi="Times New Roman"/>
          <w:color w:val="FF0000"/>
          <w:sz w:val="24"/>
          <w:szCs w:val="28"/>
        </w:rPr>
        <w:t>20</w:t>
      </w:r>
      <w:r>
        <w:rPr>
          <w:rFonts w:hint="eastAsia" w:ascii="Times New Roman" w:hAnsi="Times New Roman"/>
          <w:color w:val="FF0000"/>
          <w:sz w:val="24"/>
          <w:szCs w:val="28"/>
        </w:rPr>
        <w:t>日编制完成了《元谋县佳明包装有限责任公司新建10万吨环保新材料石粉复合果蔬包装生产线项目环境影响报告书》（送审稿），</w:t>
      </w:r>
      <w:r>
        <w:rPr>
          <w:rFonts w:ascii="Times New Roman" w:hAnsi="Times New Roman" w:cs="Times New Roman"/>
          <w:kern w:val="1"/>
          <w:sz w:val="24"/>
          <w:szCs w:val="24"/>
        </w:rPr>
        <w:t>于</w:t>
      </w:r>
      <w:r>
        <w:rPr>
          <w:rFonts w:ascii="Times New Roman" w:hAnsi="Times New Roman" w:cs="Times New Roman"/>
          <w:color w:val="FF0000"/>
          <w:kern w:val="1"/>
          <w:sz w:val="24"/>
          <w:szCs w:val="24"/>
        </w:rPr>
        <w:t>2020年1月</w:t>
      </w:r>
      <w:r>
        <w:rPr>
          <w:rFonts w:hint="eastAsia" w:ascii="Times New Roman" w:hAnsi="Times New Roman" w:cs="Times New Roman"/>
          <w:color w:val="FF0000"/>
          <w:kern w:val="1"/>
          <w:sz w:val="24"/>
          <w:szCs w:val="24"/>
        </w:rPr>
        <w:t>16</w:t>
      </w:r>
      <w:r>
        <w:rPr>
          <w:rFonts w:ascii="Times New Roman" w:hAnsi="Times New Roman" w:cs="Times New Roman"/>
          <w:color w:val="FF0000"/>
          <w:kern w:val="1"/>
          <w:sz w:val="24"/>
          <w:szCs w:val="24"/>
        </w:rPr>
        <w:t>日通过由楚雄彝族自治州生态环境</w:t>
      </w:r>
      <w:r>
        <w:rPr>
          <w:rFonts w:hint="eastAsia" w:ascii="Times New Roman" w:hAnsi="Times New Roman" w:cs="Times New Roman"/>
          <w:color w:val="FF0000"/>
          <w:kern w:val="1"/>
          <w:sz w:val="24"/>
          <w:szCs w:val="24"/>
        </w:rPr>
        <w:t>技术服务</w:t>
      </w:r>
      <w:r>
        <w:rPr>
          <w:rFonts w:ascii="Times New Roman" w:hAnsi="Times New Roman" w:cs="Times New Roman"/>
          <w:color w:val="FF0000"/>
          <w:kern w:val="1"/>
          <w:sz w:val="24"/>
          <w:szCs w:val="24"/>
        </w:rPr>
        <w:t>中心组织评审，在听取专家和与会人员意见后，</w:t>
      </w:r>
      <w:r>
        <w:rPr>
          <w:rFonts w:hint="eastAsia" w:ascii="Times New Roman" w:hAnsi="Times New Roman" w:cs="Times New Roman"/>
          <w:color w:val="FF0000"/>
          <w:kern w:val="1"/>
          <w:sz w:val="24"/>
          <w:szCs w:val="24"/>
        </w:rPr>
        <w:t>于2020年3月3日对项目区土壤环境质量现状进行补充监测并</w:t>
      </w:r>
      <w:r>
        <w:rPr>
          <w:rFonts w:ascii="Times New Roman" w:hAnsi="Times New Roman" w:cs="Times New Roman"/>
          <w:color w:val="FF0000"/>
          <w:kern w:val="1"/>
          <w:sz w:val="24"/>
          <w:szCs w:val="24"/>
        </w:rPr>
        <w:t>修改编制了《</w:t>
      </w:r>
      <w:r>
        <w:rPr>
          <w:rFonts w:hint="eastAsia" w:ascii="Times New Roman" w:hAnsi="Times New Roman"/>
          <w:color w:val="FF0000"/>
          <w:sz w:val="24"/>
          <w:szCs w:val="24"/>
        </w:rPr>
        <w:t>元谋县佳明包装有限责任公司新建10万吨环保新材料石粉复合果蔬包装生产线项目环境影响报告书</w:t>
      </w:r>
      <w:r>
        <w:rPr>
          <w:rFonts w:ascii="Times New Roman" w:hAnsi="Times New Roman" w:cs="Times New Roman"/>
          <w:color w:val="FF0000"/>
          <w:kern w:val="1"/>
          <w:sz w:val="24"/>
          <w:szCs w:val="24"/>
        </w:rPr>
        <w:t>》（报批稿）。</w:t>
      </w:r>
    </w:p>
    <w:p>
      <w:pPr>
        <w:pStyle w:val="5"/>
        <w:ind w:firstLine="562"/>
        <w:rPr>
          <w:rFonts w:hAnsi="Times New Roman"/>
        </w:rPr>
      </w:pPr>
      <w:bookmarkStart w:id="8" w:name="_Toc11738"/>
      <w:bookmarkStart w:id="9" w:name="_Toc23843286"/>
      <w:bookmarkStart w:id="10" w:name="_Toc13158"/>
      <w:r>
        <w:rPr>
          <w:rFonts w:hint="eastAsia" w:hAnsi="Times New Roman"/>
        </w:rPr>
        <w:t>1.3分析判定相关情况</w:t>
      </w:r>
      <w:bookmarkEnd w:id="8"/>
      <w:bookmarkEnd w:id="9"/>
      <w:bookmarkEnd w:id="10"/>
    </w:p>
    <w:p>
      <w:pPr>
        <w:pStyle w:val="6"/>
        <w:spacing w:line="360" w:lineRule="auto"/>
        <w:ind w:firstLine="482"/>
        <w:rPr>
          <w:rFonts w:ascii="Times New Roman" w:hAnsi="Times New Roman"/>
          <w:color w:val="FF0000"/>
          <w:sz w:val="28"/>
          <w:szCs w:val="28"/>
        </w:rPr>
      </w:pPr>
      <w:bookmarkStart w:id="11" w:name="_Toc23843287"/>
      <w:bookmarkStart w:id="12" w:name="_Toc5752"/>
      <w:bookmarkStart w:id="13" w:name="_Toc32198"/>
      <w:r>
        <w:rPr>
          <w:rFonts w:hint="eastAsia" w:ascii="Times New Roman" w:hAnsi="Times New Roman"/>
          <w:color w:val="FF0000"/>
          <w:sz w:val="28"/>
          <w:szCs w:val="28"/>
        </w:rPr>
        <w:t>1.3.1</w:t>
      </w:r>
      <w:bookmarkEnd w:id="11"/>
      <w:r>
        <w:rPr>
          <w:rFonts w:hint="eastAsia" w:ascii="Times New Roman" w:hAnsi="Times New Roman"/>
          <w:color w:val="FF0000"/>
          <w:sz w:val="28"/>
          <w:szCs w:val="28"/>
        </w:rPr>
        <w:t>产业</w:t>
      </w:r>
      <w:r>
        <w:rPr>
          <w:rFonts w:ascii="Times New Roman" w:hAnsi="Times New Roman"/>
          <w:color w:val="FF0000"/>
          <w:sz w:val="28"/>
          <w:szCs w:val="28"/>
        </w:rPr>
        <w:t>政策</w:t>
      </w:r>
      <w:r>
        <w:rPr>
          <w:rFonts w:hint="eastAsia" w:ascii="Times New Roman" w:hAnsi="Times New Roman"/>
          <w:color w:val="FF0000"/>
          <w:sz w:val="28"/>
          <w:szCs w:val="28"/>
        </w:rPr>
        <w:t>相符</w:t>
      </w:r>
      <w:r>
        <w:rPr>
          <w:rFonts w:ascii="Times New Roman" w:hAnsi="Times New Roman"/>
          <w:color w:val="FF0000"/>
          <w:sz w:val="28"/>
          <w:szCs w:val="28"/>
        </w:rPr>
        <w:t>性分析</w:t>
      </w:r>
      <w:bookmarkEnd w:id="12"/>
      <w:bookmarkEnd w:id="13"/>
    </w:p>
    <w:p>
      <w:pPr>
        <w:adjustRightInd w:val="0"/>
        <w:snapToGrid w:val="0"/>
        <w:spacing w:line="360" w:lineRule="auto"/>
        <w:ind w:firstLine="480" w:firstLineChars="200"/>
        <w:rPr>
          <w:rFonts w:ascii="Times New Roman" w:hAnsi="Times New Roman"/>
          <w:color w:val="FF0000"/>
          <w:sz w:val="24"/>
          <w:szCs w:val="28"/>
        </w:rPr>
      </w:pPr>
      <w:r>
        <w:rPr>
          <w:rFonts w:hint="eastAsia" w:ascii="Times New Roman" w:hAnsi="Times New Roman"/>
          <w:color w:val="FF0000"/>
          <w:sz w:val="24"/>
          <w:szCs w:val="28"/>
        </w:rPr>
        <w:t>根据中华人民共和国国家发展和改革委员会令第21号《产业结构调整指导目录（201</w:t>
      </w:r>
      <w:r>
        <w:rPr>
          <w:rFonts w:ascii="Times New Roman" w:hAnsi="Times New Roman"/>
          <w:color w:val="FF0000"/>
          <w:sz w:val="24"/>
          <w:szCs w:val="28"/>
        </w:rPr>
        <w:t>9</w:t>
      </w:r>
      <w:r>
        <w:rPr>
          <w:rFonts w:hint="eastAsia" w:ascii="Times New Roman" w:hAnsi="Times New Roman"/>
          <w:color w:val="FF0000"/>
          <w:sz w:val="24"/>
          <w:szCs w:val="28"/>
        </w:rPr>
        <w:t>年本）》和《云南省工业产业结构调整指导目录（2006年本）》，本项目属于“鼓励类”十九，</w:t>
      </w:r>
      <w:r>
        <w:rPr>
          <w:rFonts w:asciiTheme="minorEastAsia" w:hAnsiTheme="minorEastAsia"/>
          <w:color w:val="FF0000"/>
          <w:sz w:val="24"/>
          <w:szCs w:val="28"/>
        </w:rPr>
        <w:t>“</w:t>
      </w:r>
      <w:r>
        <w:rPr>
          <w:rFonts w:hint="eastAsia" w:asciiTheme="minorEastAsia" w:hAnsiTheme="minorEastAsia"/>
          <w:color w:val="FF0000"/>
          <w:sz w:val="24"/>
          <w:szCs w:val="28"/>
        </w:rPr>
        <w:t>轻工</w:t>
      </w:r>
      <w:r>
        <w:rPr>
          <w:rFonts w:asciiTheme="minorEastAsia" w:hAnsiTheme="minorEastAsia"/>
          <w:color w:val="FF0000"/>
          <w:sz w:val="24"/>
          <w:szCs w:val="28"/>
        </w:rPr>
        <w:t>”</w:t>
      </w:r>
      <w:r>
        <w:rPr>
          <w:rFonts w:hint="eastAsia" w:ascii="Times New Roman" w:hAnsi="Times New Roman"/>
          <w:color w:val="FF0000"/>
          <w:sz w:val="24"/>
          <w:szCs w:val="28"/>
        </w:rPr>
        <w:t>中1项采用清洁</w:t>
      </w:r>
      <w:r>
        <w:rPr>
          <w:rFonts w:ascii="Times New Roman" w:hAnsi="Times New Roman"/>
          <w:color w:val="FF0000"/>
          <w:sz w:val="24"/>
          <w:szCs w:val="28"/>
        </w:rPr>
        <w:t>生产工艺、以非木纤维为原料、当条</w:t>
      </w:r>
      <w:r>
        <w:rPr>
          <w:rFonts w:hint="eastAsia" w:ascii="Times New Roman" w:hAnsi="Times New Roman"/>
          <w:color w:val="FF0000"/>
          <w:sz w:val="24"/>
          <w:szCs w:val="28"/>
        </w:rPr>
        <w:t>10万</w:t>
      </w:r>
      <w:r>
        <w:rPr>
          <w:rFonts w:ascii="Times New Roman" w:hAnsi="Times New Roman"/>
          <w:color w:val="FF0000"/>
          <w:sz w:val="24"/>
          <w:szCs w:val="28"/>
        </w:rPr>
        <w:t>吨</w:t>
      </w:r>
      <w:r>
        <w:rPr>
          <w:rFonts w:hint="eastAsia" w:ascii="Times New Roman" w:hAnsi="Times New Roman"/>
          <w:color w:val="FF0000"/>
          <w:sz w:val="24"/>
          <w:szCs w:val="28"/>
        </w:rPr>
        <w:t>/年</w:t>
      </w:r>
      <w:r>
        <w:rPr>
          <w:rFonts w:ascii="Times New Roman" w:hAnsi="Times New Roman"/>
          <w:color w:val="FF0000"/>
          <w:sz w:val="24"/>
          <w:szCs w:val="28"/>
        </w:rPr>
        <w:t>及以上的</w:t>
      </w:r>
      <w:r>
        <w:rPr>
          <w:rFonts w:hint="eastAsia" w:ascii="Times New Roman" w:hAnsi="Times New Roman"/>
          <w:color w:val="FF0000"/>
          <w:sz w:val="24"/>
          <w:szCs w:val="28"/>
        </w:rPr>
        <w:t>纸浆</w:t>
      </w:r>
      <w:r>
        <w:rPr>
          <w:rFonts w:ascii="Times New Roman" w:hAnsi="Times New Roman"/>
          <w:color w:val="FF0000"/>
          <w:sz w:val="24"/>
          <w:szCs w:val="28"/>
        </w:rPr>
        <w:t>生产线建设</w:t>
      </w:r>
      <w:r>
        <w:rPr>
          <w:rFonts w:hint="eastAsia" w:ascii="Times New Roman" w:hAnsi="Times New Roman"/>
          <w:color w:val="FF0000"/>
          <w:sz w:val="24"/>
          <w:szCs w:val="28"/>
        </w:rPr>
        <w:t>。</w:t>
      </w:r>
    </w:p>
    <w:p>
      <w:pPr>
        <w:adjustRightInd w:val="0"/>
        <w:snapToGrid w:val="0"/>
        <w:spacing w:line="360" w:lineRule="auto"/>
        <w:ind w:firstLine="480" w:firstLineChars="200"/>
        <w:rPr>
          <w:rFonts w:ascii="Times New Roman" w:hAnsi="Times New Roman" w:eastAsia="宋体"/>
          <w:color w:val="FF0000"/>
          <w:sz w:val="24"/>
          <w:szCs w:val="28"/>
        </w:rPr>
      </w:pPr>
      <w:r>
        <w:rPr>
          <w:rFonts w:hint="eastAsia" w:ascii="Times New Roman" w:hAnsi="Times New Roman"/>
          <w:color w:val="FF0000"/>
          <w:sz w:val="24"/>
          <w:szCs w:val="28"/>
        </w:rPr>
        <w:t>项目</w:t>
      </w:r>
      <w:r>
        <w:rPr>
          <w:rFonts w:hint="eastAsia" w:ascii="Times New Roman" w:hAnsi="宋体" w:eastAsia="宋体" w:cs="Times New Roman"/>
          <w:color w:val="FF0000"/>
          <w:sz w:val="24"/>
          <w:szCs w:val="28"/>
        </w:rPr>
        <w:t>产品为石粉复合果蔬纸，无需加入酸、碱或漂白剂，因而不会造成酸、碱等污染，少量废水主要的排放物有</w:t>
      </w:r>
      <w:r>
        <w:rPr>
          <w:rFonts w:ascii="Times New Roman" w:hAnsi="Times New Roman" w:eastAsia="宋体" w:cs="Times New Roman"/>
          <w:color w:val="FF0000"/>
          <w:sz w:val="24"/>
          <w:szCs w:val="28"/>
        </w:rPr>
        <w:t>CO</w:t>
      </w:r>
      <w:r>
        <w:rPr>
          <w:rFonts w:ascii="Times New Roman" w:hAnsi="Times New Roman" w:eastAsia="宋体" w:cs="Times New Roman"/>
          <w:color w:val="FF0000"/>
          <w:sz w:val="24"/>
          <w:szCs w:val="28"/>
          <w:vertAlign w:val="subscript"/>
        </w:rPr>
        <w:t>2</w:t>
      </w:r>
      <w:r>
        <w:rPr>
          <w:rFonts w:hint="eastAsia" w:ascii="Times New Roman" w:hAnsi="宋体" w:eastAsia="宋体" w:cs="Times New Roman"/>
          <w:color w:val="FF0000"/>
          <w:sz w:val="24"/>
          <w:szCs w:val="28"/>
        </w:rPr>
        <w:t>、</w:t>
      </w:r>
      <w:r>
        <w:rPr>
          <w:rFonts w:ascii="Times New Roman" w:hAnsi="Times New Roman" w:eastAsia="宋体" w:cs="Times New Roman"/>
          <w:color w:val="FF0000"/>
          <w:sz w:val="24"/>
          <w:szCs w:val="28"/>
        </w:rPr>
        <w:t>SO</w:t>
      </w:r>
      <w:r>
        <w:rPr>
          <w:rFonts w:ascii="Times New Roman" w:hAnsi="Times New Roman" w:eastAsia="宋体" w:cs="Times New Roman"/>
          <w:color w:val="FF0000"/>
          <w:sz w:val="24"/>
          <w:szCs w:val="28"/>
          <w:vertAlign w:val="subscript"/>
        </w:rPr>
        <w:t>2</w:t>
      </w:r>
      <w:r>
        <w:rPr>
          <w:rFonts w:hint="eastAsia" w:ascii="Times New Roman" w:hAnsi="宋体" w:eastAsia="宋体" w:cs="Times New Roman"/>
          <w:color w:val="FF0000"/>
          <w:sz w:val="24"/>
          <w:szCs w:val="28"/>
        </w:rPr>
        <w:t>、</w:t>
      </w:r>
      <w:r>
        <w:rPr>
          <w:rFonts w:ascii="Times New Roman" w:hAnsi="Times New Roman" w:eastAsia="宋体" w:cs="Times New Roman"/>
          <w:color w:val="FF0000"/>
          <w:sz w:val="24"/>
          <w:szCs w:val="28"/>
        </w:rPr>
        <w:t>NO</w:t>
      </w:r>
      <w:r>
        <w:rPr>
          <w:rFonts w:ascii="Times New Roman" w:hAnsi="Times New Roman" w:eastAsia="宋体" w:cs="Times New Roman"/>
          <w:color w:val="FF0000"/>
          <w:sz w:val="24"/>
          <w:szCs w:val="28"/>
          <w:vertAlign w:val="subscript"/>
        </w:rPr>
        <w:t>X</w:t>
      </w:r>
      <w:r>
        <w:rPr>
          <w:rFonts w:hint="eastAsia" w:ascii="Times New Roman" w:hAnsi="宋体" w:eastAsia="宋体" w:cs="Times New Roman"/>
          <w:color w:val="FF0000"/>
          <w:sz w:val="24"/>
          <w:szCs w:val="28"/>
        </w:rPr>
        <w:t>和</w:t>
      </w:r>
      <w:r>
        <w:rPr>
          <w:rFonts w:ascii="Times New Roman" w:hAnsi="Times New Roman" w:eastAsia="宋体" w:cs="Times New Roman"/>
          <w:color w:val="FF0000"/>
          <w:sz w:val="24"/>
          <w:szCs w:val="28"/>
        </w:rPr>
        <w:t>COD</w:t>
      </w:r>
      <w:r>
        <w:rPr>
          <w:rFonts w:hint="eastAsia" w:ascii="Times New Roman" w:hAnsi="宋体" w:eastAsia="宋体" w:cs="Times New Roman"/>
          <w:color w:val="FF0000"/>
          <w:sz w:val="24"/>
          <w:szCs w:val="28"/>
        </w:rPr>
        <w:t>，它们的排放量比木浆造纸，</w:t>
      </w:r>
      <w:r>
        <w:rPr>
          <w:rFonts w:ascii="Times New Roman" w:hAnsi="Times New Roman" w:eastAsia="宋体" w:cs="Times New Roman"/>
          <w:color w:val="FF0000"/>
          <w:sz w:val="24"/>
          <w:szCs w:val="28"/>
        </w:rPr>
        <w:t>100%</w:t>
      </w:r>
      <w:r>
        <w:rPr>
          <w:rFonts w:hint="eastAsia" w:ascii="Times New Roman" w:hAnsi="宋体" w:eastAsia="宋体" w:cs="Times New Roman"/>
          <w:color w:val="FF0000"/>
          <w:sz w:val="24"/>
          <w:szCs w:val="28"/>
        </w:rPr>
        <w:t>新木浆，分别低</w:t>
      </w:r>
      <w:r>
        <w:rPr>
          <w:rFonts w:ascii="Times New Roman" w:hAnsi="Times New Roman" w:eastAsia="宋体" w:cs="Times New Roman"/>
          <w:color w:val="FF0000"/>
          <w:sz w:val="24"/>
          <w:szCs w:val="28"/>
        </w:rPr>
        <w:t>54.3%</w:t>
      </w:r>
      <w:r>
        <w:rPr>
          <w:rFonts w:hint="eastAsia" w:ascii="Times New Roman" w:hAnsi="宋体" w:eastAsia="宋体" w:cs="Times New Roman"/>
          <w:color w:val="FF0000"/>
          <w:sz w:val="24"/>
          <w:szCs w:val="28"/>
        </w:rPr>
        <w:t>、</w:t>
      </w:r>
      <w:r>
        <w:rPr>
          <w:rFonts w:ascii="Times New Roman" w:hAnsi="Times New Roman" w:eastAsia="宋体" w:cs="Times New Roman"/>
          <w:color w:val="FF0000"/>
          <w:sz w:val="24"/>
          <w:szCs w:val="28"/>
        </w:rPr>
        <w:t>87.8%</w:t>
      </w:r>
      <w:r>
        <w:rPr>
          <w:rFonts w:hint="eastAsia" w:ascii="Times New Roman" w:hAnsi="宋体" w:eastAsia="宋体" w:cs="Times New Roman"/>
          <w:color w:val="FF0000"/>
          <w:sz w:val="24"/>
          <w:szCs w:val="28"/>
        </w:rPr>
        <w:t>、</w:t>
      </w:r>
      <w:r>
        <w:rPr>
          <w:rFonts w:ascii="Times New Roman" w:hAnsi="Times New Roman" w:eastAsia="宋体" w:cs="Times New Roman"/>
          <w:color w:val="FF0000"/>
          <w:sz w:val="24"/>
          <w:szCs w:val="28"/>
        </w:rPr>
        <w:t>89.1%</w:t>
      </w:r>
      <w:r>
        <w:rPr>
          <w:rFonts w:hint="eastAsia" w:ascii="Times New Roman" w:hAnsi="宋体" w:eastAsia="宋体" w:cs="Times New Roman"/>
          <w:color w:val="FF0000"/>
          <w:sz w:val="24"/>
          <w:szCs w:val="28"/>
        </w:rPr>
        <w:t>和</w:t>
      </w:r>
      <w:r>
        <w:rPr>
          <w:rFonts w:ascii="Times New Roman" w:hAnsi="Times New Roman" w:eastAsia="宋体" w:cs="Times New Roman"/>
          <w:color w:val="FF0000"/>
          <w:sz w:val="24"/>
          <w:szCs w:val="28"/>
        </w:rPr>
        <w:t>99.7%</w:t>
      </w:r>
      <w:r>
        <w:rPr>
          <w:rFonts w:hint="eastAsia" w:ascii="Times New Roman" w:hAnsi="宋体" w:eastAsia="宋体" w:cs="Times New Roman"/>
          <w:color w:val="FF0000"/>
          <w:sz w:val="24"/>
          <w:szCs w:val="28"/>
        </w:rPr>
        <w:t>。符合</w:t>
      </w:r>
      <w:r>
        <w:rPr>
          <w:rFonts w:hint="eastAsia" w:ascii="宋体" w:hAnsi="宋体"/>
          <w:color w:val="FF0000"/>
          <w:sz w:val="24"/>
        </w:rPr>
        <w:t>《造纸产业发展政策》</w:t>
      </w:r>
      <w:r>
        <w:rPr>
          <w:rFonts w:hint="eastAsia"/>
          <w:color w:val="FF0000"/>
          <w:sz w:val="24"/>
        </w:rPr>
        <w:t>（</w:t>
      </w:r>
      <w:r>
        <w:rPr>
          <w:rFonts w:hint="eastAsia" w:ascii="宋体" w:hAnsi="宋体"/>
          <w:color w:val="FF0000"/>
          <w:sz w:val="24"/>
        </w:rPr>
        <w:t>2007年第71号</w:t>
      </w:r>
      <w:r>
        <w:rPr>
          <w:rFonts w:hint="eastAsia"/>
          <w:color w:val="FF0000"/>
          <w:sz w:val="24"/>
        </w:rPr>
        <w:t>）。</w:t>
      </w:r>
    </w:p>
    <w:p>
      <w:pPr>
        <w:adjustRightInd w:val="0"/>
        <w:snapToGrid w:val="0"/>
        <w:spacing w:line="360" w:lineRule="auto"/>
        <w:ind w:firstLine="480" w:firstLineChars="200"/>
        <w:rPr>
          <w:rFonts w:hint="eastAsia" w:ascii="Times New Roman" w:hAnsi="Times New Roman" w:eastAsiaTheme="minorEastAsia"/>
          <w:color w:val="FF0000"/>
          <w:sz w:val="24"/>
          <w:szCs w:val="28"/>
          <w:lang w:eastAsia="zh-CN"/>
        </w:rPr>
      </w:pPr>
      <w:r>
        <w:rPr>
          <w:rFonts w:hint="eastAsia" w:ascii="Times New Roman" w:hAnsi="Times New Roman"/>
          <w:color w:val="FF0000"/>
          <w:sz w:val="24"/>
          <w:szCs w:val="28"/>
        </w:rPr>
        <w:t>本项目已于2018年12月27日获得元谋县发展和改革局建设项目备案文件，备案编号：5323282018120447</w:t>
      </w:r>
      <w:r>
        <w:rPr>
          <w:rFonts w:hint="eastAsia" w:ascii="Times New Roman" w:hAnsi="Times New Roman"/>
          <w:color w:val="FF0000"/>
          <w:sz w:val="24"/>
          <w:szCs w:val="28"/>
          <w:lang w:eastAsia="zh-CN"/>
        </w:rPr>
        <w:t>。</w:t>
      </w:r>
    </w:p>
    <w:p>
      <w:pPr>
        <w:pStyle w:val="6"/>
        <w:spacing w:line="360" w:lineRule="auto"/>
        <w:ind w:firstLine="482"/>
        <w:rPr>
          <w:rFonts w:ascii="Times New Roman" w:hAnsi="Times New Roman"/>
          <w:color w:val="FF0000"/>
          <w:sz w:val="28"/>
          <w:szCs w:val="28"/>
        </w:rPr>
      </w:pPr>
      <w:bookmarkStart w:id="14" w:name="_Toc23843288"/>
      <w:bookmarkStart w:id="15" w:name="_Toc21661"/>
      <w:bookmarkStart w:id="16" w:name="_Toc14392"/>
      <w:r>
        <w:rPr>
          <w:rFonts w:hint="eastAsia" w:ascii="Times New Roman" w:hAnsi="Times New Roman"/>
          <w:color w:val="FF0000"/>
          <w:sz w:val="28"/>
          <w:szCs w:val="28"/>
        </w:rPr>
        <w:t>1.3.2与相关规划判定情况</w:t>
      </w:r>
      <w:bookmarkEnd w:id="14"/>
      <w:bookmarkEnd w:id="15"/>
      <w:bookmarkEnd w:id="16"/>
    </w:p>
    <w:p>
      <w:pPr>
        <w:adjustRightInd w:val="0"/>
        <w:snapToGrid w:val="0"/>
        <w:spacing w:line="360" w:lineRule="auto"/>
        <w:ind w:firstLine="480" w:firstLineChars="200"/>
        <w:rPr>
          <w:rFonts w:ascii="Times New Roman" w:hAnsi="Times New Roman"/>
          <w:color w:val="FF0000"/>
          <w:sz w:val="24"/>
          <w:szCs w:val="28"/>
        </w:rPr>
      </w:pPr>
      <w:r>
        <w:rPr>
          <w:rFonts w:hint="eastAsia" w:ascii="Times New Roman" w:hAnsi="Times New Roman"/>
          <w:color w:val="FF0000"/>
          <w:sz w:val="24"/>
          <w:szCs w:val="28"/>
        </w:rPr>
        <w:t>《元谋工业园区总体规划修编（2018</w:t>
      </w:r>
      <w:r>
        <w:rPr>
          <w:rFonts w:ascii="Times New Roman" w:hAnsi="Times New Roman"/>
          <w:color w:val="FF0000"/>
          <w:sz w:val="24"/>
          <w:szCs w:val="28"/>
        </w:rPr>
        <w:t>-2025</w:t>
      </w:r>
      <w:r>
        <w:rPr>
          <w:rFonts w:hint="eastAsia" w:ascii="Times New Roman" w:hAnsi="Times New Roman"/>
          <w:color w:val="FF0000"/>
          <w:sz w:val="24"/>
          <w:szCs w:val="28"/>
        </w:rPr>
        <w:t>）环境影响报告书》于20</w:t>
      </w:r>
      <w:r>
        <w:rPr>
          <w:rFonts w:ascii="Times New Roman" w:hAnsi="Times New Roman"/>
          <w:color w:val="FF0000"/>
          <w:sz w:val="24"/>
          <w:szCs w:val="28"/>
        </w:rPr>
        <w:t>19</w:t>
      </w:r>
      <w:r>
        <w:rPr>
          <w:rFonts w:hint="eastAsia" w:ascii="Times New Roman" w:hAnsi="Times New Roman"/>
          <w:color w:val="FF0000"/>
          <w:sz w:val="24"/>
          <w:szCs w:val="28"/>
        </w:rPr>
        <w:t>年</w:t>
      </w:r>
      <w:r>
        <w:rPr>
          <w:rFonts w:ascii="Times New Roman" w:hAnsi="Times New Roman"/>
          <w:color w:val="FF0000"/>
          <w:sz w:val="24"/>
          <w:szCs w:val="28"/>
        </w:rPr>
        <w:t>10</w:t>
      </w:r>
      <w:r>
        <w:rPr>
          <w:rFonts w:hint="eastAsia" w:ascii="Times New Roman" w:hAnsi="Times New Roman"/>
          <w:color w:val="FF0000"/>
          <w:sz w:val="24"/>
          <w:szCs w:val="28"/>
        </w:rPr>
        <w:t>月</w:t>
      </w:r>
      <w:r>
        <w:rPr>
          <w:rFonts w:ascii="Times New Roman" w:hAnsi="Times New Roman"/>
          <w:color w:val="FF0000"/>
          <w:sz w:val="24"/>
          <w:szCs w:val="28"/>
        </w:rPr>
        <w:t>17</w:t>
      </w:r>
      <w:r>
        <w:rPr>
          <w:rFonts w:hint="eastAsia" w:ascii="Times New Roman" w:hAnsi="Times New Roman"/>
          <w:color w:val="FF0000"/>
          <w:sz w:val="24"/>
          <w:szCs w:val="28"/>
        </w:rPr>
        <w:t>日通过楚雄州环境保护局的审查并取得了&lt;楚雄州环境保护局关于提交《元谋工业园区总体规划修编</w:t>
      </w:r>
      <w:r>
        <w:rPr>
          <w:rFonts w:ascii="Times New Roman" w:hAnsi="Times New Roman"/>
          <w:color w:val="FF0000"/>
          <w:sz w:val="24"/>
          <w:szCs w:val="28"/>
        </w:rPr>
        <w:t>（</w:t>
      </w:r>
      <w:r>
        <w:rPr>
          <w:rFonts w:hint="eastAsia" w:ascii="Times New Roman" w:hAnsi="Times New Roman"/>
          <w:color w:val="FF0000"/>
          <w:sz w:val="24"/>
          <w:szCs w:val="28"/>
        </w:rPr>
        <w:t>2018</w:t>
      </w:r>
      <w:r>
        <w:rPr>
          <w:rFonts w:ascii="Times New Roman" w:hAnsi="Times New Roman"/>
          <w:color w:val="FF0000"/>
          <w:sz w:val="24"/>
          <w:szCs w:val="28"/>
        </w:rPr>
        <w:t>-2025）</w:t>
      </w:r>
      <w:r>
        <w:rPr>
          <w:rFonts w:hint="eastAsia" w:ascii="Times New Roman" w:hAnsi="Times New Roman"/>
          <w:color w:val="FF0000"/>
          <w:sz w:val="24"/>
          <w:szCs w:val="28"/>
        </w:rPr>
        <w:t>环境影响报告书》审查意见的函&gt;。元谋工业园区总体规划为新桥</w:t>
      </w:r>
      <w:r>
        <w:rPr>
          <w:rFonts w:ascii="Times New Roman" w:hAnsi="Times New Roman"/>
          <w:color w:val="FF0000"/>
          <w:sz w:val="24"/>
          <w:szCs w:val="28"/>
        </w:rPr>
        <w:t>片区、金雷片区</w:t>
      </w:r>
      <w:r>
        <w:rPr>
          <w:rFonts w:hint="eastAsia" w:ascii="Times New Roman" w:hAnsi="Times New Roman"/>
          <w:color w:val="FF0000"/>
          <w:sz w:val="24"/>
          <w:szCs w:val="28"/>
        </w:rPr>
        <w:t>2个片区，本项目位于金雷片区，该片区产业功能定位为</w:t>
      </w:r>
      <w:r>
        <w:rPr>
          <w:rFonts w:ascii="Times New Roman" w:hAnsi="Times New Roman"/>
          <w:color w:val="FF0000"/>
          <w:sz w:val="24"/>
          <w:szCs w:val="28"/>
        </w:rPr>
        <w:t>工业聚集区，重点发展特色食品制造、轻工制造产业和装备制造产业</w:t>
      </w:r>
      <w:r>
        <w:rPr>
          <w:rFonts w:hint="eastAsia" w:ascii="Times New Roman" w:hAnsi="Times New Roman"/>
          <w:color w:val="FF0000"/>
          <w:sz w:val="24"/>
          <w:szCs w:val="28"/>
        </w:rPr>
        <w:t>，本项目经园区</w:t>
      </w:r>
      <w:r>
        <w:rPr>
          <w:rFonts w:ascii="Times New Roman" w:hAnsi="Times New Roman"/>
          <w:color w:val="FF0000"/>
          <w:sz w:val="24"/>
          <w:szCs w:val="28"/>
        </w:rPr>
        <w:t>管委会考察后同意入驻，符合园区准入条件</w:t>
      </w:r>
      <w:r>
        <w:rPr>
          <w:rFonts w:hint="eastAsia" w:ascii="Times New Roman" w:hAnsi="Times New Roman"/>
          <w:color w:val="FF0000"/>
          <w:sz w:val="24"/>
          <w:szCs w:val="28"/>
        </w:rPr>
        <w:t>。</w:t>
      </w:r>
    </w:p>
    <w:p>
      <w:pPr>
        <w:adjustRightInd w:val="0"/>
        <w:snapToGrid w:val="0"/>
        <w:spacing w:line="360" w:lineRule="auto"/>
        <w:ind w:firstLine="480" w:firstLineChars="200"/>
        <w:rPr>
          <w:rFonts w:ascii="Times New Roman" w:hAnsi="Times New Roman"/>
          <w:color w:val="FF0000"/>
          <w:sz w:val="24"/>
          <w:szCs w:val="28"/>
        </w:rPr>
      </w:pPr>
      <w:r>
        <w:rPr>
          <w:rFonts w:hint="eastAsia" w:ascii="Times New Roman" w:hAnsi="Times New Roman"/>
          <w:color w:val="FF0000"/>
          <w:sz w:val="24"/>
          <w:szCs w:val="28"/>
        </w:rPr>
        <w:t>根据</w:t>
      </w:r>
      <w:r>
        <w:rPr>
          <w:rFonts w:ascii="Times New Roman" w:hAnsi="Times New Roman"/>
          <w:color w:val="FF0000"/>
          <w:sz w:val="24"/>
          <w:szCs w:val="28"/>
        </w:rPr>
        <w:t>《</w:t>
      </w:r>
      <w:r>
        <w:rPr>
          <w:rFonts w:hint="eastAsia" w:ascii="Times New Roman" w:hAnsi="Times New Roman"/>
          <w:color w:val="FF0000"/>
          <w:sz w:val="24"/>
          <w:szCs w:val="28"/>
        </w:rPr>
        <w:t>元谋工业</w:t>
      </w:r>
      <w:r>
        <w:rPr>
          <w:rFonts w:ascii="Times New Roman" w:hAnsi="Times New Roman"/>
          <w:color w:val="FF0000"/>
          <w:sz w:val="24"/>
          <w:szCs w:val="28"/>
        </w:rPr>
        <w:t>园区中体规划修编（</w:t>
      </w:r>
      <w:r>
        <w:rPr>
          <w:rFonts w:hint="eastAsia" w:ascii="Times New Roman" w:hAnsi="Times New Roman"/>
          <w:color w:val="FF0000"/>
          <w:sz w:val="24"/>
          <w:szCs w:val="28"/>
        </w:rPr>
        <w:t>2018</w:t>
      </w:r>
      <w:r>
        <w:rPr>
          <w:rFonts w:ascii="Times New Roman" w:hAnsi="Times New Roman"/>
          <w:color w:val="FF0000"/>
          <w:sz w:val="24"/>
          <w:szCs w:val="28"/>
        </w:rPr>
        <w:t>-2025）</w:t>
      </w:r>
      <w:r>
        <w:rPr>
          <w:rFonts w:hint="eastAsia" w:ascii="Times New Roman" w:hAnsi="Times New Roman"/>
          <w:color w:val="FF0000"/>
          <w:sz w:val="24"/>
          <w:szCs w:val="28"/>
        </w:rPr>
        <w:t>环境</w:t>
      </w:r>
      <w:r>
        <w:rPr>
          <w:rFonts w:ascii="Times New Roman" w:hAnsi="Times New Roman"/>
          <w:color w:val="FF0000"/>
          <w:sz w:val="24"/>
          <w:szCs w:val="28"/>
        </w:rPr>
        <w:t>影响报告书》</w:t>
      </w:r>
      <w:r>
        <w:rPr>
          <w:rFonts w:hint="eastAsia" w:ascii="Times New Roman" w:hAnsi="Times New Roman"/>
          <w:color w:val="FF0000"/>
          <w:sz w:val="24"/>
          <w:szCs w:val="28"/>
        </w:rPr>
        <w:t>及其</w:t>
      </w:r>
      <w:r>
        <w:rPr>
          <w:rFonts w:ascii="Times New Roman" w:hAnsi="Times New Roman"/>
          <w:color w:val="FF0000"/>
          <w:sz w:val="24"/>
          <w:szCs w:val="28"/>
        </w:rPr>
        <w:t>审查意见，符合性判定分析如下。</w:t>
      </w:r>
    </w:p>
    <w:p>
      <w:pPr>
        <w:adjustRightInd w:val="0"/>
        <w:snapToGrid w:val="0"/>
        <w:spacing w:line="360" w:lineRule="auto"/>
        <w:ind w:firstLine="480" w:firstLineChars="200"/>
        <w:rPr>
          <w:rFonts w:ascii="Times New Roman" w:hAnsi="Times New Roman"/>
          <w:color w:val="FF0000"/>
          <w:sz w:val="24"/>
          <w:szCs w:val="28"/>
        </w:rPr>
      </w:pPr>
      <w:r>
        <w:rPr>
          <w:rFonts w:hint="eastAsia" w:ascii="Times New Roman" w:hAnsi="Times New Roman"/>
          <w:color w:val="FF0000"/>
          <w:sz w:val="24"/>
          <w:szCs w:val="28"/>
        </w:rPr>
        <w:t>表1.3</w:t>
      </w:r>
      <w:r>
        <w:rPr>
          <w:rFonts w:ascii="Times New Roman" w:hAnsi="Times New Roman"/>
          <w:color w:val="FF0000"/>
          <w:sz w:val="24"/>
          <w:szCs w:val="28"/>
        </w:rPr>
        <w:t xml:space="preserve">-1   </w:t>
      </w:r>
      <w:r>
        <w:rPr>
          <w:rFonts w:hint="eastAsia" w:ascii="Times New Roman" w:hAnsi="Times New Roman"/>
          <w:color w:val="FF0000"/>
          <w:sz w:val="24"/>
          <w:szCs w:val="28"/>
        </w:rPr>
        <w:t>项目</w:t>
      </w:r>
      <w:r>
        <w:rPr>
          <w:rFonts w:ascii="Times New Roman" w:hAnsi="Times New Roman"/>
          <w:color w:val="FF0000"/>
          <w:sz w:val="24"/>
          <w:szCs w:val="28"/>
        </w:rPr>
        <w:t>与规划环评及审查意见相关内容</w:t>
      </w:r>
      <w:r>
        <w:rPr>
          <w:rFonts w:hint="eastAsia" w:ascii="Times New Roman" w:hAnsi="Times New Roman"/>
          <w:color w:val="FF0000"/>
          <w:sz w:val="24"/>
          <w:szCs w:val="28"/>
        </w:rPr>
        <w:t>的</w:t>
      </w:r>
      <w:r>
        <w:rPr>
          <w:rFonts w:ascii="Times New Roman" w:hAnsi="Times New Roman"/>
          <w:color w:val="FF0000"/>
          <w:sz w:val="24"/>
          <w:szCs w:val="28"/>
        </w:rPr>
        <w:t>符合性判定一览表</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543"/>
        <w:gridCol w:w="3261"/>
        <w:gridCol w:w="1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240" w:lineRule="atLeast"/>
              <w:jc w:val="center"/>
              <w:rPr>
                <w:rFonts w:ascii="Times New Roman" w:hAnsi="Times New Roman"/>
                <w:b/>
                <w:color w:val="FF0000"/>
              </w:rPr>
            </w:pPr>
            <w:r>
              <w:rPr>
                <w:rFonts w:hint="eastAsia" w:ascii="Times New Roman" w:hAnsi="Times New Roman"/>
                <w:b/>
                <w:color w:val="FF0000"/>
              </w:rPr>
              <w:t>序号</w:t>
            </w:r>
          </w:p>
        </w:tc>
        <w:tc>
          <w:tcPr>
            <w:tcW w:w="3543" w:type="dxa"/>
            <w:vAlign w:val="center"/>
          </w:tcPr>
          <w:p>
            <w:pPr>
              <w:spacing w:line="240" w:lineRule="atLeast"/>
              <w:jc w:val="center"/>
              <w:rPr>
                <w:rFonts w:ascii="Times New Roman" w:hAnsi="Times New Roman"/>
                <w:b/>
                <w:color w:val="FF0000"/>
              </w:rPr>
            </w:pPr>
            <w:r>
              <w:rPr>
                <w:rFonts w:hint="eastAsia" w:ascii="Times New Roman" w:hAnsi="Times New Roman"/>
                <w:b/>
                <w:color w:val="FF0000"/>
              </w:rPr>
              <w:t>规划环评及审查意见相关内容</w:t>
            </w:r>
          </w:p>
        </w:tc>
        <w:tc>
          <w:tcPr>
            <w:tcW w:w="3261" w:type="dxa"/>
            <w:vAlign w:val="center"/>
          </w:tcPr>
          <w:p>
            <w:pPr>
              <w:spacing w:line="240" w:lineRule="atLeast"/>
              <w:jc w:val="center"/>
              <w:rPr>
                <w:rFonts w:ascii="Times New Roman" w:hAnsi="Times New Roman"/>
                <w:b/>
                <w:color w:val="FF0000"/>
              </w:rPr>
            </w:pPr>
            <w:r>
              <w:rPr>
                <w:rFonts w:hint="eastAsia" w:ascii="Times New Roman" w:hAnsi="Times New Roman"/>
                <w:b/>
                <w:color w:val="FF0000"/>
              </w:rPr>
              <w:t>本项目情况</w:t>
            </w:r>
          </w:p>
        </w:tc>
        <w:tc>
          <w:tcPr>
            <w:tcW w:w="1184" w:type="dxa"/>
            <w:vAlign w:val="center"/>
          </w:tcPr>
          <w:p>
            <w:pPr>
              <w:spacing w:line="240" w:lineRule="atLeast"/>
              <w:jc w:val="center"/>
              <w:rPr>
                <w:rFonts w:ascii="Times New Roman" w:hAnsi="Times New Roman"/>
                <w:b/>
                <w:color w:val="FF0000"/>
              </w:rPr>
            </w:pPr>
            <w:r>
              <w:rPr>
                <w:rFonts w:hint="eastAsia" w:ascii="Times New Roman" w:hAnsi="Times New Roman"/>
                <w:b/>
                <w:color w:val="FF0000"/>
              </w:rPr>
              <w:t>符合性判定结果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240" w:lineRule="atLeast"/>
              <w:jc w:val="center"/>
              <w:rPr>
                <w:rFonts w:ascii="Times New Roman" w:hAnsi="Times New Roman"/>
                <w:color w:val="FF0000"/>
              </w:rPr>
            </w:pPr>
            <w:r>
              <w:rPr>
                <w:rFonts w:hint="eastAsia" w:ascii="Times New Roman" w:hAnsi="Times New Roman"/>
                <w:color w:val="FF0000"/>
              </w:rPr>
              <w:t>1</w:t>
            </w:r>
          </w:p>
        </w:tc>
        <w:tc>
          <w:tcPr>
            <w:tcW w:w="3543" w:type="dxa"/>
            <w:vAlign w:val="center"/>
          </w:tcPr>
          <w:p>
            <w:pPr>
              <w:spacing w:line="240" w:lineRule="atLeast"/>
              <w:rPr>
                <w:rFonts w:ascii="Times New Roman" w:hAnsi="Times New Roman"/>
                <w:color w:val="FF0000"/>
              </w:rPr>
            </w:pPr>
            <w:r>
              <w:rPr>
                <w:rFonts w:hint="eastAsia" w:ascii="Times New Roman" w:hAnsi="Times New Roman"/>
                <w:color w:val="FF0000"/>
              </w:rPr>
              <w:t>园区建设中必须严格实施“雨污分流”，确保园区内生产、生活废水经污水处理厂处理达标后方可外排。</w:t>
            </w:r>
          </w:p>
          <w:p>
            <w:pPr>
              <w:spacing w:line="240" w:lineRule="atLeast"/>
              <w:rPr>
                <w:rFonts w:ascii="Times New Roman" w:hAnsi="Times New Roman"/>
                <w:color w:val="FF0000"/>
              </w:rPr>
            </w:pPr>
            <w:r>
              <w:rPr>
                <w:rFonts w:hint="eastAsia" w:ascii="Times New Roman" w:hAnsi="Times New Roman"/>
                <w:color w:val="FF0000"/>
              </w:rPr>
              <w:t>企业含第一类污染物的废水必须在车间排口处理达GB8978-1996《污水综合排放标准》表1标准后可外排。其余工业废水经各个企业自建的废水处理站处理达到《污水综合排放标准》（GB8978-1996）中相应标准后再排入当地地表水体。</w:t>
            </w:r>
          </w:p>
        </w:tc>
        <w:tc>
          <w:tcPr>
            <w:tcW w:w="3261" w:type="dxa"/>
            <w:vAlign w:val="center"/>
          </w:tcPr>
          <w:p>
            <w:pPr>
              <w:spacing w:line="240" w:lineRule="atLeast"/>
              <w:jc w:val="left"/>
              <w:rPr>
                <w:rFonts w:ascii="Times New Roman" w:hAnsi="Times New Roman"/>
                <w:color w:val="FF0000"/>
              </w:rPr>
            </w:pPr>
            <w:r>
              <w:rPr>
                <w:rFonts w:hint="eastAsia" w:ascii="Times New Roman" w:hAnsi="Times New Roman"/>
                <w:color w:val="FF0000"/>
              </w:rPr>
              <w:t>本项目将严格采取雨污分流处理，生活区食堂废水经隔油池（2m</w:t>
            </w:r>
            <w:r>
              <w:rPr>
                <w:rFonts w:hint="eastAsia" w:ascii="Times New Roman" w:hAnsi="Times New Roman"/>
                <w:color w:val="FF0000"/>
                <w:vertAlign w:val="superscript"/>
              </w:rPr>
              <w:t>3</w:t>
            </w:r>
            <w:r>
              <w:rPr>
                <w:rFonts w:hint="eastAsia" w:ascii="Times New Roman" w:hAnsi="Times New Roman"/>
                <w:color w:val="FF0000"/>
              </w:rPr>
              <w:t>）处理后同其他生活污水进入化粪池（5m</w:t>
            </w:r>
            <w:r>
              <w:rPr>
                <w:rFonts w:hint="eastAsia" w:ascii="Times New Roman" w:hAnsi="Times New Roman"/>
                <w:color w:val="FF0000"/>
                <w:vertAlign w:val="superscript"/>
              </w:rPr>
              <w:t>3</w:t>
            </w:r>
            <w:r>
              <w:rPr>
                <w:rFonts w:hint="eastAsia" w:ascii="Times New Roman" w:hAnsi="Times New Roman"/>
                <w:color w:val="FF0000"/>
              </w:rPr>
              <w:t>）处理后，通过自建的污水处理设施（处理规模6m</w:t>
            </w:r>
            <w:r>
              <w:rPr>
                <w:rFonts w:hint="eastAsia" w:ascii="Times New Roman" w:hAnsi="Times New Roman"/>
                <w:color w:val="FF0000"/>
                <w:vertAlign w:val="superscript"/>
              </w:rPr>
              <w:t>3</w:t>
            </w:r>
            <w:r>
              <w:rPr>
                <w:rFonts w:hint="eastAsia" w:ascii="Times New Roman" w:hAnsi="Times New Roman"/>
                <w:color w:val="FF0000"/>
              </w:rPr>
              <w:t>/d）处理达标后晴天回用于绿化，雨天回用于生产。</w:t>
            </w:r>
          </w:p>
          <w:p>
            <w:pPr>
              <w:spacing w:line="240" w:lineRule="atLeast"/>
              <w:jc w:val="left"/>
              <w:rPr>
                <w:rFonts w:ascii="Times New Roman" w:hAnsi="Times New Roman"/>
                <w:color w:val="FF0000"/>
              </w:rPr>
            </w:pPr>
            <w:r>
              <w:rPr>
                <w:rFonts w:hint="eastAsia" w:ascii="Times New Roman" w:hAnsi="Times New Roman"/>
                <w:color w:val="FF0000"/>
              </w:rPr>
              <w:t>生产废水：项目造纸废水经循环水池收集后循环使用；水膜除尘废水经循环沉淀池处理后回用，不外排。</w:t>
            </w:r>
          </w:p>
        </w:tc>
        <w:tc>
          <w:tcPr>
            <w:tcW w:w="1184" w:type="dxa"/>
            <w:vAlign w:val="center"/>
          </w:tcPr>
          <w:p>
            <w:pPr>
              <w:spacing w:line="240" w:lineRule="atLeast"/>
              <w:jc w:val="center"/>
              <w:rPr>
                <w:rFonts w:ascii="Times New Roman" w:hAnsi="Times New Roman"/>
                <w:color w:val="FF0000"/>
              </w:rPr>
            </w:pPr>
            <w:r>
              <w:rPr>
                <w:rFonts w:hint="eastAsia" w:ascii="Times New Roman" w:hAnsi="Times New Roman"/>
                <w:color w:val="FF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240" w:lineRule="atLeast"/>
              <w:jc w:val="center"/>
              <w:rPr>
                <w:rFonts w:ascii="Times New Roman" w:hAnsi="Times New Roman"/>
                <w:color w:val="FF0000"/>
              </w:rPr>
            </w:pPr>
            <w:r>
              <w:rPr>
                <w:rFonts w:hint="eastAsia" w:ascii="Times New Roman" w:hAnsi="Times New Roman"/>
                <w:color w:val="FF0000"/>
              </w:rPr>
              <w:t>2</w:t>
            </w:r>
          </w:p>
        </w:tc>
        <w:tc>
          <w:tcPr>
            <w:tcW w:w="3543" w:type="dxa"/>
            <w:vAlign w:val="center"/>
          </w:tcPr>
          <w:p>
            <w:pPr>
              <w:spacing w:line="240" w:lineRule="atLeast"/>
              <w:rPr>
                <w:rFonts w:ascii="Times New Roman" w:hAnsi="Times New Roman"/>
                <w:color w:val="FF0000"/>
              </w:rPr>
            </w:pPr>
            <w:r>
              <w:rPr>
                <w:rFonts w:hint="eastAsia" w:ascii="Times New Roman" w:hAnsi="Times New Roman"/>
                <w:color w:val="FF0000"/>
              </w:rPr>
              <w:t>严格控制现存企业及入住企业的二氧化硫、二氧化氮和粉尘的排放量，园区燃料应尽量提高清洁燃料的使用率，锅炉应按国家相关规定安装脱硫除尘设施，排放的各种气型污染物必须符合相应的排放标准和总量排放要求</w:t>
            </w:r>
          </w:p>
        </w:tc>
        <w:tc>
          <w:tcPr>
            <w:tcW w:w="3261" w:type="dxa"/>
            <w:vAlign w:val="center"/>
          </w:tcPr>
          <w:p>
            <w:pPr>
              <w:spacing w:line="240" w:lineRule="atLeast"/>
              <w:jc w:val="left"/>
              <w:rPr>
                <w:rFonts w:ascii="Times New Roman" w:hAnsi="Times New Roman"/>
                <w:color w:val="FF0000"/>
                <w:szCs w:val="21"/>
              </w:rPr>
            </w:pPr>
            <w:r>
              <w:rPr>
                <w:rFonts w:hint="eastAsia" w:ascii="Times New Roman" w:hAnsi="Times New Roman"/>
                <w:color w:val="FF0000"/>
                <w:szCs w:val="21"/>
              </w:rPr>
              <w:t>本项目使用燃生物质燃料的锅炉（DZL10-1、25AII），锅炉烟气通过水膜除尘器（除尘效率为87%）除尘最后达到《锅炉大气污染物排放标准》（GB13271-2014）中表2燃煤锅炉排放标准后通过高度为</w:t>
            </w:r>
            <w:r>
              <w:rPr>
                <w:rFonts w:ascii="Times New Roman" w:hAnsi="Times New Roman"/>
                <w:color w:val="FF0000"/>
                <w:szCs w:val="21"/>
              </w:rPr>
              <w:t>40</w:t>
            </w:r>
            <w:r>
              <w:rPr>
                <w:rFonts w:hint="eastAsia" w:ascii="Times New Roman" w:hAnsi="Times New Roman"/>
                <w:color w:val="FF0000"/>
                <w:szCs w:val="21"/>
              </w:rPr>
              <w:t>m的排气筒排放</w:t>
            </w:r>
          </w:p>
        </w:tc>
        <w:tc>
          <w:tcPr>
            <w:tcW w:w="1184" w:type="dxa"/>
            <w:vAlign w:val="center"/>
          </w:tcPr>
          <w:p>
            <w:pPr>
              <w:spacing w:line="240" w:lineRule="atLeast"/>
              <w:jc w:val="center"/>
              <w:rPr>
                <w:rFonts w:ascii="Times New Roman" w:hAnsi="Times New Roman"/>
                <w:color w:val="FF0000"/>
              </w:rPr>
            </w:pPr>
            <w:r>
              <w:rPr>
                <w:rFonts w:hint="eastAsia" w:ascii="Times New Roman" w:hAnsi="Times New Roman"/>
                <w:color w:val="FF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240" w:lineRule="atLeast"/>
              <w:jc w:val="center"/>
              <w:rPr>
                <w:rFonts w:ascii="Times New Roman" w:hAnsi="Times New Roman"/>
                <w:color w:val="FF0000"/>
              </w:rPr>
            </w:pPr>
            <w:r>
              <w:rPr>
                <w:rFonts w:hint="eastAsia" w:ascii="Times New Roman" w:hAnsi="Times New Roman"/>
                <w:color w:val="FF0000"/>
              </w:rPr>
              <w:t>3</w:t>
            </w:r>
          </w:p>
        </w:tc>
        <w:tc>
          <w:tcPr>
            <w:tcW w:w="3543" w:type="dxa"/>
            <w:vAlign w:val="center"/>
          </w:tcPr>
          <w:p>
            <w:pPr>
              <w:spacing w:line="240" w:lineRule="atLeast"/>
              <w:rPr>
                <w:rFonts w:ascii="Times New Roman" w:hAnsi="Times New Roman"/>
                <w:color w:val="FF0000"/>
              </w:rPr>
            </w:pPr>
            <w:r>
              <w:rPr>
                <w:rFonts w:hint="eastAsia" w:ascii="Times New Roman" w:hAnsi="Times New Roman"/>
                <w:color w:val="FF0000"/>
              </w:rPr>
              <w:t>园区内企业应按照噪声源情况，采取合适的噪声污染防治措施，产噪较大的设备应布置于远离厂界的地方，园区入驻企业应注意预留厂界环境噪声达标排放防护距离，以减轻对厂界外声环境敏感目标的影响。</w:t>
            </w:r>
          </w:p>
        </w:tc>
        <w:tc>
          <w:tcPr>
            <w:tcW w:w="3261" w:type="dxa"/>
            <w:vAlign w:val="center"/>
          </w:tcPr>
          <w:p>
            <w:pPr>
              <w:spacing w:line="240" w:lineRule="atLeast"/>
              <w:jc w:val="left"/>
              <w:rPr>
                <w:rFonts w:ascii="Times New Roman" w:hAnsi="Times New Roman"/>
                <w:color w:val="FF0000"/>
              </w:rPr>
            </w:pPr>
            <w:r>
              <w:rPr>
                <w:rFonts w:hint="eastAsia" w:ascii="Times New Roman" w:hAnsi="Times New Roman"/>
                <w:color w:val="FF0000"/>
              </w:rPr>
              <w:t>项目场地较大，项目通过采取设备置于室内，安装减震垫、距离衰减，绿化隔音等措施处理后，厂界噪声排放满足《工业企业厂界环境噪声排放标准》（GB12348-2008）的3类标准</w:t>
            </w:r>
          </w:p>
        </w:tc>
        <w:tc>
          <w:tcPr>
            <w:tcW w:w="1184" w:type="dxa"/>
            <w:vAlign w:val="center"/>
          </w:tcPr>
          <w:p>
            <w:pPr>
              <w:spacing w:line="240" w:lineRule="atLeast"/>
              <w:jc w:val="center"/>
              <w:rPr>
                <w:rFonts w:ascii="Times New Roman" w:hAnsi="Times New Roman"/>
                <w:color w:val="FF0000"/>
              </w:rPr>
            </w:pPr>
            <w:r>
              <w:rPr>
                <w:rFonts w:hint="eastAsia" w:ascii="Times New Roman" w:hAnsi="Times New Roman"/>
                <w:color w:val="FF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240" w:lineRule="atLeast"/>
              <w:jc w:val="center"/>
              <w:rPr>
                <w:rFonts w:ascii="Times New Roman" w:hAnsi="Times New Roman"/>
                <w:color w:val="FF0000"/>
              </w:rPr>
            </w:pPr>
            <w:r>
              <w:rPr>
                <w:rFonts w:hint="eastAsia" w:ascii="Times New Roman" w:hAnsi="Times New Roman"/>
                <w:color w:val="FF0000"/>
              </w:rPr>
              <w:t>4</w:t>
            </w:r>
          </w:p>
        </w:tc>
        <w:tc>
          <w:tcPr>
            <w:tcW w:w="3543" w:type="dxa"/>
            <w:vAlign w:val="center"/>
          </w:tcPr>
          <w:p>
            <w:pPr>
              <w:spacing w:line="240" w:lineRule="atLeast"/>
              <w:rPr>
                <w:rFonts w:ascii="Times New Roman" w:hAnsi="Times New Roman"/>
                <w:color w:val="FF0000"/>
              </w:rPr>
            </w:pPr>
            <w:r>
              <w:rPr>
                <w:rFonts w:hint="eastAsia" w:ascii="Times New Roman" w:hAnsi="Times New Roman"/>
                <w:color w:val="FF0000"/>
              </w:rPr>
              <w:t>对工业固体废物中可回收利用的进行充分综合利用，立足于在园区内加以消化。尽量做到无害化、减量化、资源化、效益化目标。规范建设一般工业固体废物处置场，对于设计危险废物的企业，必须按照《危险废物污染防治技术政策》、《危险废物填埋污染控制标准》（GB18598）和《危险废物贮存污染控制标准》（GJ3J8597）等法规标准的规定进行危废处置。防止其对土壤和地下水的污染。危险废物的临时存贮、运输和最终的全过程管理必须符合国家有关规定</w:t>
            </w:r>
          </w:p>
        </w:tc>
        <w:tc>
          <w:tcPr>
            <w:tcW w:w="3261" w:type="dxa"/>
            <w:vAlign w:val="center"/>
          </w:tcPr>
          <w:p>
            <w:pPr>
              <w:spacing w:line="240" w:lineRule="atLeast"/>
              <w:jc w:val="left"/>
              <w:rPr>
                <w:rFonts w:ascii="Times New Roman" w:hAnsi="Times New Roman"/>
                <w:color w:val="FF0000"/>
              </w:rPr>
            </w:pPr>
            <w:r>
              <w:rPr>
                <w:rFonts w:hint="eastAsia" w:ascii="Times New Roman" w:hAnsi="Times New Roman"/>
                <w:color w:val="FF0000"/>
              </w:rPr>
              <w:t>本项目一般工业固废、生活垃圾处置率为100%</w:t>
            </w:r>
          </w:p>
        </w:tc>
        <w:tc>
          <w:tcPr>
            <w:tcW w:w="1184" w:type="dxa"/>
            <w:vAlign w:val="center"/>
          </w:tcPr>
          <w:p>
            <w:pPr>
              <w:spacing w:line="240" w:lineRule="atLeast"/>
              <w:jc w:val="center"/>
              <w:rPr>
                <w:rFonts w:ascii="Times New Roman" w:hAnsi="Times New Roman"/>
                <w:color w:val="FF0000"/>
              </w:rPr>
            </w:pPr>
            <w:r>
              <w:rPr>
                <w:rFonts w:hint="eastAsia" w:ascii="Times New Roman" w:hAnsi="Times New Roman"/>
                <w:color w:val="FF0000"/>
              </w:rPr>
              <w:t>符合</w:t>
            </w:r>
          </w:p>
        </w:tc>
      </w:tr>
    </w:tbl>
    <w:p>
      <w:pPr>
        <w:adjustRightInd w:val="0"/>
        <w:snapToGrid w:val="0"/>
        <w:spacing w:line="360" w:lineRule="auto"/>
        <w:ind w:firstLine="480" w:firstLineChars="200"/>
        <w:rPr>
          <w:rFonts w:ascii="Times New Roman" w:hAnsi="Times New Roman"/>
          <w:color w:val="FF0000"/>
          <w:sz w:val="24"/>
          <w:szCs w:val="28"/>
        </w:rPr>
      </w:pPr>
    </w:p>
    <w:p>
      <w:pPr>
        <w:pStyle w:val="6"/>
        <w:spacing w:line="360" w:lineRule="auto"/>
        <w:ind w:firstLine="482"/>
        <w:rPr>
          <w:rFonts w:ascii="Times New Roman" w:hAnsi="Times New Roman"/>
          <w:color w:val="FF0000"/>
          <w:sz w:val="28"/>
          <w:szCs w:val="28"/>
        </w:rPr>
      </w:pPr>
      <w:bookmarkStart w:id="17" w:name="_Toc23843289"/>
      <w:bookmarkStart w:id="18" w:name="_Toc8785"/>
      <w:bookmarkStart w:id="19" w:name="_Toc21110"/>
      <w:r>
        <w:rPr>
          <w:rFonts w:hint="eastAsia" w:ascii="Times New Roman" w:hAnsi="Times New Roman"/>
          <w:color w:val="FF0000"/>
          <w:sz w:val="28"/>
          <w:szCs w:val="28"/>
        </w:rPr>
        <w:t>1.3.3与相关</w:t>
      </w:r>
      <w:r>
        <w:rPr>
          <w:rFonts w:ascii="Times New Roman" w:hAnsi="Times New Roman"/>
          <w:color w:val="FF0000"/>
          <w:sz w:val="28"/>
          <w:szCs w:val="28"/>
        </w:rPr>
        <w:t>规划符合性分析</w:t>
      </w:r>
      <w:bookmarkEnd w:id="17"/>
      <w:bookmarkEnd w:id="18"/>
      <w:bookmarkEnd w:id="19"/>
    </w:p>
    <w:p>
      <w:pPr>
        <w:adjustRightInd w:val="0"/>
        <w:snapToGrid w:val="0"/>
        <w:spacing w:line="360" w:lineRule="auto"/>
        <w:ind w:firstLine="480" w:firstLineChars="200"/>
        <w:rPr>
          <w:rFonts w:ascii="Times New Roman" w:hAnsi="Times New Roman"/>
          <w:color w:val="FF0000"/>
          <w:sz w:val="24"/>
          <w:szCs w:val="28"/>
        </w:rPr>
      </w:pPr>
      <w:r>
        <w:rPr>
          <w:rFonts w:hint="eastAsia" w:ascii="Times New Roman" w:hAnsi="Times New Roman"/>
          <w:color w:val="FF0000"/>
          <w:sz w:val="24"/>
          <w:szCs w:val="28"/>
        </w:rPr>
        <w:t>项目</w:t>
      </w:r>
      <w:r>
        <w:rPr>
          <w:rFonts w:ascii="Times New Roman" w:hAnsi="Times New Roman"/>
          <w:color w:val="FF0000"/>
          <w:sz w:val="24"/>
          <w:szCs w:val="28"/>
        </w:rPr>
        <w:t>建设地点位于元谋县工业园区金雷片区，属于元谋县工业园区内。根据《</w:t>
      </w:r>
      <w:r>
        <w:rPr>
          <w:rFonts w:hint="eastAsia" w:ascii="Times New Roman" w:hAnsi="Times New Roman"/>
          <w:color w:val="FF0000"/>
          <w:sz w:val="24"/>
          <w:szCs w:val="28"/>
        </w:rPr>
        <w:t>元谋</w:t>
      </w:r>
      <w:r>
        <w:rPr>
          <w:rFonts w:ascii="Times New Roman" w:hAnsi="Times New Roman"/>
          <w:color w:val="FF0000"/>
          <w:sz w:val="24"/>
          <w:szCs w:val="28"/>
        </w:rPr>
        <w:t>工业园区总体</w:t>
      </w:r>
      <w:r>
        <w:rPr>
          <w:rFonts w:hint="eastAsia" w:ascii="Times New Roman" w:hAnsi="Times New Roman"/>
          <w:color w:val="FF0000"/>
          <w:sz w:val="24"/>
          <w:szCs w:val="28"/>
        </w:rPr>
        <w:t>规划</w:t>
      </w:r>
      <w:r>
        <w:rPr>
          <w:rFonts w:ascii="Times New Roman" w:hAnsi="Times New Roman"/>
          <w:color w:val="FF0000"/>
          <w:sz w:val="24"/>
          <w:szCs w:val="28"/>
        </w:rPr>
        <w:t>修编（</w:t>
      </w:r>
      <w:r>
        <w:rPr>
          <w:rFonts w:hint="eastAsia" w:ascii="Times New Roman" w:hAnsi="Times New Roman"/>
          <w:color w:val="FF0000"/>
          <w:sz w:val="24"/>
          <w:szCs w:val="28"/>
        </w:rPr>
        <w:t>2</w:t>
      </w:r>
      <w:r>
        <w:rPr>
          <w:rFonts w:ascii="Times New Roman" w:hAnsi="Times New Roman"/>
          <w:color w:val="FF0000"/>
          <w:sz w:val="24"/>
          <w:szCs w:val="28"/>
        </w:rPr>
        <w:t>018-2025）</w:t>
      </w:r>
      <w:r>
        <w:rPr>
          <w:rFonts w:hint="eastAsia" w:ascii="Times New Roman" w:hAnsi="Times New Roman"/>
          <w:color w:val="FF0000"/>
          <w:sz w:val="24"/>
          <w:szCs w:val="28"/>
        </w:rPr>
        <w:t>环境</w:t>
      </w:r>
      <w:r>
        <w:rPr>
          <w:rFonts w:ascii="Times New Roman" w:hAnsi="Times New Roman"/>
          <w:color w:val="FF0000"/>
          <w:sz w:val="24"/>
          <w:szCs w:val="28"/>
        </w:rPr>
        <w:t>影响报告书》</w:t>
      </w:r>
      <w:r>
        <w:rPr>
          <w:rFonts w:hint="eastAsia" w:ascii="Times New Roman" w:hAnsi="Times New Roman"/>
          <w:color w:val="FF0000"/>
          <w:sz w:val="24"/>
          <w:szCs w:val="28"/>
        </w:rPr>
        <w:t>中</w:t>
      </w:r>
      <w:r>
        <w:rPr>
          <w:rFonts w:ascii="Times New Roman" w:hAnsi="Times New Roman"/>
          <w:color w:val="FF0000"/>
          <w:sz w:val="24"/>
          <w:szCs w:val="28"/>
        </w:rPr>
        <w:t>，金雷片区主要承担</w:t>
      </w:r>
      <w:r>
        <w:rPr>
          <w:rFonts w:hint="eastAsia" w:ascii="Times New Roman" w:hAnsi="Times New Roman"/>
          <w:color w:val="FF0000"/>
          <w:sz w:val="24"/>
          <w:szCs w:val="28"/>
        </w:rPr>
        <w:t>三</w:t>
      </w:r>
      <w:r>
        <w:rPr>
          <w:rFonts w:ascii="Times New Roman" w:hAnsi="Times New Roman"/>
          <w:color w:val="FF0000"/>
          <w:sz w:val="24"/>
          <w:szCs w:val="28"/>
        </w:rPr>
        <w:t>个类型的工业用地，分别是</w:t>
      </w:r>
      <w:r>
        <w:rPr>
          <w:rFonts w:hint="eastAsia" w:ascii="Times New Roman" w:hAnsi="Times New Roman"/>
          <w:color w:val="FF0000"/>
          <w:sz w:val="24"/>
          <w:szCs w:val="28"/>
        </w:rPr>
        <w:t>特色</w:t>
      </w:r>
      <w:r>
        <w:rPr>
          <w:rFonts w:ascii="Times New Roman" w:hAnsi="Times New Roman"/>
          <w:color w:val="FF0000"/>
          <w:sz w:val="24"/>
          <w:szCs w:val="28"/>
        </w:rPr>
        <w:t>食品制造业、轻工制造业、装备制造产业</w:t>
      </w:r>
      <w:r>
        <w:rPr>
          <w:rFonts w:hint="eastAsia" w:ascii="Times New Roman" w:hAnsi="Times New Roman"/>
          <w:color w:val="FF0000"/>
          <w:sz w:val="24"/>
          <w:szCs w:val="28"/>
        </w:rPr>
        <w:t>。</w:t>
      </w:r>
      <w:r>
        <w:rPr>
          <w:rFonts w:ascii="Times New Roman" w:hAnsi="Times New Roman"/>
          <w:color w:val="FF0000"/>
          <w:sz w:val="24"/>
          <w:szCs w:val="28"/>
        </w:rPr>
        <w:t>项目</w:t>
      </w:r>
      <w:r>
        <w:rPr>
          <w:rFonts w:hint="eastAsia" w:ascii="Times New Roman" w:hAnsi="Times New Roman"/>
          <w:color w:val="FF0000"/>
          <w:sz w:val="24"/>
          <w:szCs w:val="28"/>
        </w:rPr>
        <w:t>属于</w:t>
      </w:r>
      <w:r>
        <w:rPr>
          <w:rFonts w:ascii="Times New Roman" w:hAnsi="Times New Roman"/>
          <w:color w:val="FF0000"/>
          <w:sz w:val="24"/>
          <w:szCs w:val="28"/>
        </w:rPr>
        <w:t>轻工类，所以项目的建设与元谋县的工业规划不冲突。</w:t>
      </w:r>
    </w:p>
    <w:p>
      <w:pPr>
        <w:pStyle w:val="6"/>
        <w:spacing w:line="360" w:lineRule="auto"/>
        <w:ind w:firstLine="482"/>
        <w:rPr>
          <w:rFonts w:ascii="Times New Roman" w:hAnsi="Times New Roman"/>
          <w:sz w:val="28"/>
          <w:szCs w:val="28"/>
        </w:rPr>
      </w:pPr>
      <w:bookmarkStart w:id="20" w:name="_Toc9790"/>
      <w:bookmarkStart w:id="21" w:name="_Toc3698"/>
      <w:r>
        <w:rPr>
          <w:rFonts w:hint="eastAsia" w:ascii="Times New Roman" w:hAnsi="Times New Roman"/>
          <w:sz w:val="28"/>
          <w:szCs w:val="28"/>
        </w:rPr>
        <w:t>1.3.</w:t>
      </w:r>
      <w:r>
        <w:rPr>
          <w:rFonts w:ascii="Times New Roman" w:hAnsi="Times New Roman"/>
          <w:sz w:val="28"/>
          <w:szCs w:val="28"/>
        </w:rPr>
        <w:t>4</w:t>
      </w:r>
      <w:r>
        <w:rPr>
          <w:rFonts w:hint="eastAsia" w:ascii="Times New Roman" w:hAnsi="Times New Roman"/>
          <w:sz w:val="28"/>
          <w:szCs w:val="28"/>
        </w:rPr>
        <w:t>“三线</w:t>
      </w:r>
      <w:r>
        <w:rPr>
          <w:rFonts w:ascii="Times New Roman" w:hAnsi="Times New Roman"/>
          <w:sz w:val="28"/>
          <w:szCs w:val="28"/>
        </w:rPr>
        <w:t>一单</w:t>
      </w:r>
      <w:r>
        <w:rPr>
          <w:rFonts w:hint="eastAsia" w:ascii="Times New Roman" w:hAnsi="Times New Roman"/>
          <w:sz w:val="28"/>
          <w:szCs w:val="28"/>
        </w:rPr>
        <w:t>”符合性</w:t>
      </w:r>
      <w:r>
        <w:rPr>
          <w:rFonts w:ascii="Times New Roman" w:hAnsi="Times New Roman"/>
          <w:sz w:val="28"/>
          <w:szCs w:val="28"/>
        </w:rPr>
        <w:t>分析</w:t>
      </w:r>
      <w:bookmarkEnd w:id="20"/>
      <w:bookmarkEnd w:id="21"/>
    </w:p>
    <w:p>
      <w:pPr>
        <w:adjustRightInd w:val="0"/>
        <w:snapToGrid w:val="0"/>
        <w:spacing w:line="360" w:lineRule="auto"/>
        <w:ind w:firstLine="480" w:firstLineChars="200"/>
        <w:jc w:val="center"/>
        <w:rPr>
          <w:rFonts w:ascii="Times New Roman" w:hAnsi="Times New Roman"/>
          <w:sz w:val="24"/>
          <w:szCs w:val="28"/>
        </w:rPr>
      </w:pPr>
      <w:r>
        <w:rPr>
          <w:rFonts w:hint="eastAsia" w:ascii="Times New Roman" w:hAnsi="Times New Roman"/>
          <w:sz w:val="24"/>
          <w:szCs w:val="28"/>
        </w:rPr>
        <w:t>表1.3</w:t>
      </w:r>
      <w:r>
        <w:rPr>
          <w:rFonts w:ascii="Times New Roman" w:hAnsi="Times New Roman"/>
          <w:sz w:val="24"/>
          <w:szCs w:val="28"/>
        </w:rPr>
        <w:t>-</w:t>
      </w:r>
      <w:r>
        <w:rPr>
          <w:rFonts w:ascii="Times New Roman" w:hAnsi="Times New Roman"/>
          <w:color w:val="FF0000"/>
          <w:sz w:val="24"/>
          <w:szCs w:val="28"/>
        </w:rPr>
        <w:t>2</w:t>
      </w:r>
      <w:r>
        <w:rPr>
          <w:rFonts w:ascii="Times New Roman" w:hAnsi="Times New Roman"/>
          <w:sz w:val="24"/>
          <w:szCs w:val="28"/>
        </w:rPr>
        <w:t xml:space="preserve">   </w:t>
      </w:r>
      <w:r>
        <w:rPr>
          <w:rFonts w:hint="eastAsia" w:ascii="Times New Roman" w:hAnsi="Times New Roman"/>
          <w:sz w:val="24"/>
          <w:szCs w:val="28"/>
        </w:rPr>
        <w:t>项目</w:t>
      </w:r>
      <w:r>
        <w:rPr>
          <w:rFonts w:ascii="Times New Roman" w:hAnsi="Times New Roman"/>
          <w:sz w:val="24"/>
          <w:szCs w:val="28"/>
        </w:rPr>
        <w:t>与“</w:t>
      </w:r>
      <w:r>
        <w:rPr>
          <w:rFonts w:hint="eastAsia" w:ascii="Times New Roman" w:hAnsi="Times New Roman"/>
          <w:sz w:val="24"/>
          <w:szCs w:val="28"/>
        </w:rPr>
        <w:t>三线</w:t>
      </w:r>
      <w:r>
        <w:rPr>
          <w:rFonts w:ascii="Times New Roman" w:hAnsi="Times New Roman"/>
          <w:sz w:val="24"/>
          <w:szCs w:val="28"/>
        </w:rPr>
        <w:t>一单”</w:t>
      </w:r>
      <w:r>
        <w:rPr>
          <w:rFonts w:hint="eastAsia" w:ascii="Times New Roman" w:hAnsi="Times New Roman"/>
          <w:sz w:val="24"/>
          <w:szCs w:val="28"/>
        </w:rPr>
        <w:t>符合性</w:t>
      </w:r>
      <w:r>
        <w:rPr>
          <w:rFonts w:ascii="Times New Roman" w:hAnsi="Times New Roman"/>
          <w:sz w:val="24"/>
          <w:szCs w:val="28"/>
        </w:rPr>
        <w:t>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tabs>
                <w:tab w:val="center" w:pos="0"/>
                <w:tab w:val="left" w:pos="1470"/>
              </w:tabs>
              <w:jc w:val="center"/>
              <w:rPr>
                <w:rFonts w:ascii="Times New Roman" w:hAnsi="Times New Roman"/>
                <w:b/>
                <w:color w:val="000000"/>
              </w:rPr>
            </w:pPr>
            <w:r>
              <w:rPr>
                <w:rFonts w:ascii="Times New Roman" w:hAnsi="Times New Roman"/>
                <w:b/>
                <w:color w:val="000000"/>
              </w:rPr>
              <w:t>内容</w:t>
            </w:r>
          </w:p>
        </w:tc>
        <w:tc>
          <w:tcPr>
            <w:tcW w:w="7874" w:type="dxa"/>
            <w:vAlign w:val="center"/>
          </w:tcPr>
          <w:p>
            <w:pPr>
              <w:jc w:val="center"/>
              <w:rPr>
                <w:rFonts w:ascii="Times New Roman" w:hAnsi="Times New Roman"/>
                <w:b/>
                <w:color w:val="000000"/>
              </w:rPr>
            </w:pPr>
            <w:r>
              <w:rPr>
                <w:rFonts w:ascii="Times New Roman" w:hAnsi="Times New Roman"/>
                <w:b/>
                <w:color w:val="000000"/>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ascii="Times New Roman" w:hAnsi="Times New Roman"/>
                <w:color w:val="000000"/>
              </w:rPr>
            </w:pPr>
            <w:r>
              <w:rPr>
                <w:rFonts w:ascii="Times New Roman" w:hAnsi="Times New Roman"/>
                <w:color w:val="000000"/>
              </w:rPr>
              <w:t>生态保护红线</w:t>
            </w:r>
          </w:p>
        </w:tc>
        <w:tc>
          <w:tcPr>
            <w:tcW w:w="7874" w:type="dxa"/>
            <w:vAlign w:val="center"/>
          </w:tcPr>
          <w:p>
            <w:pPr>
              <w:jc w:val="center"/>
              <w:rPr>
                <w:rFonts w:ascii="Times New Roman" w:hAnsi="Times New Roman"/>
                <w:color w:val="000000"/>
              </w:rPr>
            </w:pPr>
            <w:r>
              <w:rPr>
                <w:rFonts w:ascii="Times New Roman" w:hAnsi="Times New Roman"/>
                <w:color w:val="FF0000"/>
              </w:rPr>
              <w:t>项目位于</w:t>
            </w:r>
            <w:r>
              <w:rPr>
                <w:rFonts w:ascii="Times New Roman" w:hAnsi="Times New Roman"/>
                <w:bCs/>
                <w:color w:val="FF0000"/>
                <w:kern w:val="0"/>
              </w:rPr>
              <w:t>元谋县黄瓜园镇小雷宰工业园区</w:t>
            </w:r>
            <w:r>
              <w:rPr>
                <w:rFonts w:ascii="Times New Roman" w:hAnsi="Times New Roman"/>
                <w:color w:val="FF0000"/>
              </w:rPr>
              <w:t>，周围无城市集中式饮用水水源地保护区和农村集中饮用水水源地、珍稀濒危、特有和极小种群等物种分布的栖息地等生态保护目标，不属于云南省人民政府《关于发布云南省生态保护红线的通知》（云政发〔2018〕32号）中红线区域</w:t>
            </w:r>
            <w:r>
              <w:rPr>
                <w:rFonts w:hint="eastAsia" w:ascii="Times New Roman" w:hAnsi="Times New Roman"/>
                <w:color w:val="FF0000"/>
              </w:rPr>
              <w:t>，见附图7项目与楚雄州生态红线关系图</w:t>
            </w:r>
            <w:r>
              <w:rPr>
                <w:rFonts w:ascii="Times New Roman" w:hAnsi="Times New Roman"/>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ascii="Times New Roman" w:hAnsi="Times New Roman"/>
                <w:color w:val="000000"/>
              </w:rPr>
            </w:pPr>
            <w:r>
              <w:rPr>
                <w:rFonts w:ascii="Times New Roman" w:hAnsi="Times New Roman"/>
                <w:color w:val="000000"/>
              </w:rPr>
              <w:t>资源利用上线</w:t>
            </w:r>
          </w:p>
        </w:tc>
        <w:tc>
          <w:tcPr>
            <w:tcW w:w="7874" w:type="dxa"/>
            <w:vAlign w:val="center"/>
          </w:tcPr>
          <w:p>
            <w:pPr>
              <w:jc w:val="center"/>
              <w:rPr>
                <w:rFonts w:ascii="Times New Roman" w:hAnsi="Times New Roman"/>
                <w:color w:val="000000"/>
              </w:rPr>
            </w:pPr>
            <w:r>
              <w:rPr>
                <w:rFonts w:ascii="Times New Roman" w:hAnsi="Times New Roman"/>
                <w:color w:val="000000"/>
              </w:rPr>
              <w:t>项目生产过程中需要消耗一定的水、电和生物质燃料。单位产品综合耗能</w:t>
            </w:r>
            <w:r>
              <w:rPr>
                <w:rFonts w:hint="eastAsia" w:ascii="Times New Roman" w:hAnsi="Times New Roman"/>
                <w:color w:val="000000"/>
              </w:rPr>
              <w:t>低于</w:t>
            </w:r>
            <w:r>
              <w:rPr>
                <w:rFonts w:ascii="Times New Roman" w:hAnsi="Times New Roman"/>
                <w:color w:val="000000"/>
              </w:rPr>
              <w:t>造纸行业单位产品综合耗能</w:t>
            </w:r>
            <w:r>
              <w:rPr>
                <w:rFonts w:hint="eastAsia" w:ascii="Times New Roman" w:hAnsi="Times New Roman"/>
                <w:color w:val="000000"/>
              </w:rPr>
              <w:t>要求，</w:t>
            </w:r>
            <w:r>
              <w:rPr>
                <w:rFonts w:ascii="Times New Roman" w:hAnsi="Times New Roman"/>
                <w:color w:val="000000"/>
              </w:rPr>
              <w:t>符合资源利用上线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ascii="Times New Roman" w:hAnsi="Times New Roman"/>
                <w:color w:val="000000"/>
              </w:rPr>
            </w:pPr>
            <w:r>
              <w:rPr>
                <w:rFonts w:ascii="Times New Roman" w:hAnsi="Times New Roman"/>
                <w:color w:val="000000"/>
              </w:rPr>
              <w:t>环境质量底线</w:t>
            </w:r>
          </w:p>
        </w:tc>
        <w:tc>
          <w:tcPr>
            <w:tcW w:w="7874" w:type="dxa"/>
            <w:vAlign w:val="center"/>
          </w:tcPr>
          <w:p>
            <w:pPr>
              <w:spacing w:line="240" w:lineRule="atLeast"/>
              <w:jc w:val="left"/>
              <w:rPr>
                <w:rFonts w:ascii="Times New Roman" w:hAnsi="Times New Roman"/>
                <w:color w:val="000000"/>
              </w:rPr>
            </w:pPr>
            <w:r>
              <w:rPr>
                <w:rFonts w:ascii="Times New Roman" w:hAnsi="Times New Roman"/>
                <w:color w:val="FF0000"/>
              </w:rPr>
              <w:t>根据引用数据可知，项目附近地表水、地下水、环境空气质量能够满足相应标准要求。项目废气采取措施能够做到达标排放，对周围环境影响较小；</w:t>
            </w:r>
            <w:r>
              <w:rPr>
                <w:rFonts w:hint="eastAsia" w:ascii="Times New Roman" w:hAnsi="Times New Roman"/>
                <w:color w:val="FF0000"/>
              </w:rPr>
              <w:t>项目生活污水经污水处理设施处理达标后晴天回用于绿化，雨天回用于生产；造纸废水经循环水池收集后循环使用；水膜除尘废水经循环沉淀池处理后回用，</w:t>
            </w:r>
            <w:r>
              <w:rPr>
                <w:rFonts w:ascii="Times New Roman" w:hAnsi="Times New Roman"/>
                <w:color w:val="FF0000"/>
              </w:rPr>
              <w:t>不外排，对周围水环境影响较小；项目噪声采取措施后做到达标排放，对周围声环境影响较小。符合环境质量底线要求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ascii="Times New Roman" w:hAnsi="Times New Roman"/>
                <w:color w:val="000000"/>
              </w:rPr>
            </w:pPr>
            <w:r>
              <w:rPr>
                <w:rFonts w:ascii="Times New Roman" w:hAnsi="Times New Roman"/>
                <w:color w:val="000000"/>
              </w:rPr>
              <w:t>负面清单</w:t>
            </w:r>
          </w:p>
        </w:tc>
        <w:tc>
          <w:tcPr>
            <w:tcW w:w="7874" w:type="dxa"/>
            <w:vAlign w:val="center"/>
          </w:tcPr>
          <w:p>
            <w:pPr>
              <w:jc w:val="center"/>
              <w:rPr>
                <w:rFonts w:ascii="Times New Roman" w:hAnsi="Times New Roman"/>
                <w:color w:val="000000"/>
              </w:rPr>
            </w:pPr>
            <w:r>
              <w:rPr>
                <w:rFonts w:ascii="Times New Roman" w:hAnsi="Times New Roman"/>
                <w:color w:val="000000"/>
              </w:rPr>
              <w:t>（1）项目属于</w:t>
            </w:r>
            <w:r>
              <w:rPr>
                <w:rFonts w:hint="eastAsia" w:ascii="Times New Roman" w:hAnsi="Times New Roman"/>
                <w:color w:val="000000"/>
              </w:rPr>
              <w:t>废纸</w:t>
            </w:r>
            <w:r>
              <w:rPr>
                <w:rFonts w:ascii="Times New Roman" w:hAnsi="Times New Roman"/>
                <w:color w:val="000000"/>
              </w:rPr>
              <w:t>造纸项目，对照《产业结构调整指导目录（2019年本）》，项目属于“鼓励类”，</w:t>
            </w:r>
            <w:r>
              <w:rPr>
                <w:rFonts w:asciiTheme="minorEastAsia" w:hAnsiTheme="minorEastAsia"/>
                <w:color w:val="000000"/>
              </w:rPr>
              <w:t>“</w:t>
            </w:r>
            <w:r>
              <w:rPr>
                <w:rFonts w:hint="eastAsia" w:asciiTheme="minorEastAsia" w:hAnsiTheme="minorEastAsia"/>
                <w:color w:val="000000"/>
              </w:rPr>
              <w:t>轻工</w:t>
            </w:r>
            <w:r>
              <w:rPr>
                <w:rFonts w:asciiTheme="minorEastAsia" w:hAnsiTheme="minorEastAsia"/>
                <w:color w:val="000000"/>
              </w:rPr>
              <w:t>”</w:t>
            </w:r>
            <w:r>
              <w:rPr>
                <w:rFonts w:ascii="Times New Roman" w:hAnsi="Times New Roman"/>
                <w:color w:val="000000"/>
              </w:rPr>
              <w:t>中的</w:t>
            </w:r>
            <w:r>
              <w:rPr>
                <w:rFonts w:asciiTheme="minorEastAsia" w:hAnsiTheme="minorEastAsia"/>
                <w:color w:val="000000"/>
              </w:rPr>
              <w:t>“</w:t>
            </w:r>
            <w:r>
              <w:rPr>
                <w:rFonts w:hint="eastAsia" w:ascii="Times New Roman" w:hAnsi="Times New Roman"/>
                <w:szCs w:val="28"/>
              </w:rPr>
              <w:t>采用清洁</w:t>
            </w:r>
            <w:r>
              <w:rPr>
                <w:rFonts w:ascii="Times New Roman" w:hAnsi="Times New Roman"/>
                <w:szCs w:val="28"/>
              </w:rPr>
              <w:t>生产工艺、以非木纤维为原料、当条</w:t>
            </w:r>
            <w:r>
              <w:rPr>
                <w:rFonts w:hint="eastAsia" w:ascii="Times New Roman" w:hAnsi="Times New Roman"/>
                <w:szCs w:val="28"/>
              </w:rPr>
              <w:t>10万</w:t>
            </w:r>
            <w:r>
              <w:rPr>
                <w:rFonts w:ascii="Times New Roman" w:hAnsi="Times New Roman"/>
                <w:szCs w:val="28"/>
              </w:rPr>
              <w:t>吨</w:t>
            </w:r>
            <w:r>
              <w:rPr>
                <w:rFonts w:hint="eastAsia" w:ascii="Times New Roman" w:hAnsi="Times New Roman"/>
                <w:szCs w:val="28"/>
              </w:rPr>
              <w:t>/年</w:t>
            </w:r>
            <w:r>
              <w:rPr>
                <w:rFonts w:ascii="Times New Roman" w:hAnsi="Times New Roman"/>
                <w:szCs w:val="28"/>
              </w:rPr>
              <w:t>及以上的</w:t>
            </w:r>
            <w:r>
              <w:rPr>
                <w:rFonts w:hint="eastAsia" w:ascii="Times New Roman" w:hAnsi="Times New Roman"/>
                <w:szCs w:val="28"/>
              </w:rPr>
              <w:t>纸浆</w:t>
            </w:r>
            <w:r>
              <w:rPr>
                <w:rFonts w:ascii="Times New Roman" w:hAnsi="Times New Roman"/>
                <w:szCs w:val="28"/>
              </w:rPr>
              <w:t>生产线建设</w:t>
            </w:r>
            <w:r>
              <w:rPr>
                <w:rFonts w:asciiTheme="minorEastAsia" w:hAnsiTheme="minorEastAsia"/>
                <w:color w:val="000000"/>
              </w:rPr>
              <w:t>”</w:t>
            </w:r>
            <w:r>
              <w:rPr>
                <w:rFonts w:ascii="Times New Roman" w:hAnsi="Times New Roman"/>
                <w:color w:val="000000"/>
              </w:rPr>
              <w:t>。</w:t>
            </w:r>
          </w:p>
        </w:tc>
      </w:tr>
    </w:tbl>
    <w:p>
      <w:pPr>
        <w:adjustRightInd w:val="0"/>
        <w:snapToGrid w:val="0"/>
        <w:spacing w:line="360" w:lineRule="auto"/>
        <w:ind w:firstLine="480" w:firstLineChars="200"/>
        <w:rPr>
          <w:rFonts w:ascii="Times New Roman" w:hAnsi="Times New Roman"/>
          <w:sz w:val="24"/>
          <w:szCs w:val="28"/>
        </w:rPr>
      </w:pPr>
    </w:p>
    <w:p>
      <w:pPr>
        <w:pStyle w:val="6"/>
        <w:spacing w:line="360" w:lineRule="auto"/>
        <w:ind w:firstLine="482"/>
        <w:rPr>
          <w:rFonts w:ascii="Times New Roman" w:hAnsi="Times New Roman"/>
          <w:sz w:val="28"/>
          <w:szCs w:val="28"/>
        </w:rPr>
      </w:pPr>
      <w:bookmarkStart w:id="22" w:name="_Toc780"/>
      <w:bookmarkStart w:id="23" w:name="_Toc17416"/>
      <w:r>
        <w:rPr>
          <w:rFonts w:hint="eastAsia" w:ascii="Times New Roman" w:hAnsi="Times New Roman"/>
          <w:sz w:val="28"/>
          <w:szCs w:val="28"/>
        </w:rPr>
        <w:t>1.3.</w:t>
      </w:r>
      <w:r>
        <w:rPr>
          <w:rFonts w:ascii="Times New Roman" w:hAnsi="Times New Roman"/>
          <w:sz w:val="28"/>
          <w:szCs w:val="28"/>
        </w:rPr>
        <w:t>5</w:t>
      </w:r>
      <w:r>
        <w:rPr>
          <w:rFonts w:hint="eastAsia" w:ascii="Times New Roman" w:hAnsi="Times New Roman"/>
          <w:sz w:val="28"/>
          <w:szCs w:val="28"/>
        </w:rPr>
        <w:t>云南省</w:t>
      </w:r>
      <w:r>
        <w:rPr>
          <w:rFonts w:ascii="Times New Roman" w:hAnsi="Times New Roman"/>
          <w:sz w:val="28"/>
          <w:szCs w:val="28"/>
        </w:rPr>
        <w:t>主体功能区规划符合性分析</w:t>
      </w:r>
      <w:bookmarkEnd w:id="22"/>
      <w:bookmarkEnd w:id="23"/>
    </w:p>
    <w:p>
      <w:pPr>
        <w:adjustRightInd w:val="0"/>
        <w:snapToGrid w:val="0"/>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元谋县属于云南省主体功能区规划中限制开发区域名录中表1农产品主产区，不应该或不适宜进行大规模、高强度工业化和城镇化开发的农产品主产区。项目不属于大规模、高强度的工业化开发，是进行</w:t>
      </w:r>
      <w:r>
        <w:rPr>
          <w:rFonts w:hint="eastAsia" w:ascii="Times New Roman" w:hAnsi="Times New Roman"/>
          <w:color w:val="FF0000"/>
          <w:sz w:val="24"/>
          <w:szCs w:val="24"/>
        </w:rPr>
        <w:t>废纸</w:t>
      </w:r>
      <w:r>
        <w:rPr>
          <w:rFonts w:ascii="Times New Roman" w:hAnsi="Times New Roman"/>
          <w:color w:val="FF0000"/>
          <w:sz w:val="24"/>
          <w:szCs w:val="24"/>
        </w:rPr>
        <w:t>造纸项目</w:t>
      </w:r>
      <w:r>
        <w:rPr>
          <w:rFonts w:hint="eastAsia" w:ascii="Times New Roman" w:hAnsi="Times New Roman"/>
          <w:color w:val="FF0000"/>
          <w:sz w:val="24"/>
          <w:szCs w:val="24"/>
        </w:rPr>
        <w:t>，并为农产品提供包装用纸</w:t>
      </w:r>
      <w:r>
        <w:rPr>
          <w:rFonts w:ascii="Times New Roman" w:hAnsi="Times New Roman"/>
          <w:color w:val="FF0000"/>
          <w:sz w:val="24"/>
          <w:szCs w:val="24"/>
        </w:rPr>
        <w:t>。所以</w:t>
      </w:r>
      <w:r>
        <w:rPr>
          <w:rFonts w:hint="eastAsia" w:ascii="Times New Roman" w:hAnsi="Times New Roman"/>
          <w:color w:val="FF0000"/>
          <w:sz w:val="24"/>
          <w:szCs w:val="24"/>
        </w:rPr>
        <w:t>项目</w:t>
      </w:r>
      <w:r>
        <w:rPr>
          <w:rFonts w:ascii="Times New Roman" w:hAnsi="Times New Roman"/>
          <w:color w:val="FF0000"/>
          <w:sz w:val="24"/>
          <w:szCs w:val="24"/>
        </w:rPr>
        <w:t>符合云南省主体功能区划要求</w:t>
      </w:r>
      <w:r>
        <w:rPr>
          <w:rFonts w:hint="eastAsia" w:ascii="Times New Roman" w:hAnsi="Times New Roman"/>
          <w:color w:val="FF0000"/>
          <w:sz w:val="24"/>
          <w:szCs w:val="24"/>
        </w:rPr>
        <w:t>。</w:t>
      </w:r>
    </w:p>
    <w:p>
      <w:pPr>
        <w:pStyle w:val="6"/>
        <w:spacing w:line="360" w:lineRule="auto"/>
        <w:ind w:firstLine="482"/>
        <w:rPr>
          <w:rFonts w:ascii="Times New Roman" w:hAnsi="Times New Roman"/>
          <w:sz w:val="28"/>
          <w:szCs w:val="28"/>
        </w:rPr>
      </w:pPr>
      <w:bookmarkStart w:id="24" w:name="_Toc25548"/>
      <w:bookmarkStart w:id="25" w:name="_Toc2450"/>
      <w:r>
        <w:rPr>
          <w:rFonts w:hint="eastAsia" w:ascii="Times New Roman" w:hAnsi="Times New Roman"/>
          <w:sz w:val="28"/>
          <w:szCs w:val="28"/>
        </w:rPr>
        <w:t>1.3.</w:t>
      </w:r>
      <w:r>
        <w:rPr>
          <w:rFonts w:ascii="Times New Roman" w:hAnsi="Times New Roman"/>
          <w:sz w:val="28"/>
          <w:szCs w:val="28"/>
        </w:rPr>
        <w:t>6</w:t>
      </w:r>
      <w:r>
        <w:rPr>
          <w:rFonts w:hint="eastAsia" w:ascii="Times New Roman" w:hAnsi="Times New Roman"/>
          <w:sz w:val="28"/>
          <w:szCs w:val="28"/>
        </w:rPr>
        <w:t>“水十条”、“气十条”、“土十条”符合性</w:t>
      </w:r>
      <w:r>
        <w:rPr>
          <w:rFonts w:ascii="Times New Roman" w:hAnsi="Times New Roman"/>
          <w:sz w:val="28"/>
          <w:szCs w:val="28"/>
        </w:rPr>
        <w:t>分析</w:t>
      </w:r>
      <w:bookmarkEnd w:id="24"/>
      <w:bookmarkEnd w:id="25"/>
    </w:p>
    <w:p>
      <w:pPr>
        <w:adjustRightInd w:val="0"/>
        <w:snapToGrid w:val="0"/>
        <w:spacing w:line="360" w:lineRule="auto"/>
        <w:ind w:firstLine="480" w:firstLineChars="200"/>
        <w:rPr>
          <w:rFonts w:ascii="Times New Roman" w:hAnsi="Times New Roman"/>
          <w:sz w:val="24"/>
          <w:szCs w:val="28"/>
        </w:rPr>
      </w:pPr>
      <w:r>
        <w:rPr>
          <w:rFonts w:hint="eastAsia" w:ascii="Times New Roman" w:hAnsi="Times New Roman"/>
          <w:sz w:val="24"/>
          <w:szCs w:val="28"/>
        </w:rPr>
        <w:t>（1）“水十条”符合性</w:t>
      </w:r>
      <w:r>
        <w:rPr>
          <w:rFonts w:ascii="Times New Roman" w:hAnsi="Times New Roman"/>
          <w:sz w:val="24"/>
          <w:szCs w:val="28"/>
        </w:rPr>
        <w:t>分析</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对应国务院《水污染防治行动计划》“水十条”（国发[2015]17号）要求，选取其中相关内容与项目进行对比分析，详见表1.3-3。</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表1.3</w:t>
      </w:r>
      <w:r>
        <w:rPr>
          <w:rFonts w:ascii="Times New Roman" w:hAnsi="Times New Roman"/>
          <w:b/>
          <w:color w:val="000000"/>
          <w:sz w:val="24"/>
          <w:szCs w:val="24"/>
        </w:rPr>
        <w:t xml:space="preserve">-3   </w:t>
      </w:r>
      <w:r>
        <w:rPr>
          <w:rFonts w:asciiTheme="minorEastAsia" w:hAnsiTheme="minorEastAsia"/>
          <w:b/>
          <w:color w:val="000000"/>
          <w:sz w:val="24"/>
          <w:szCs w:val="24"/>
        </w:rPr>
        <w:t>“</w:t>
      </w:r>
      <w:r>
        <w:rPr>
          <w:rFonts w:hint="eastAsia" w:asciiTheme="minorEastAsia" w:hAnsiTheme="minorEastAsia"/>
          <w:b/>
          <w:color w:val="000000"/>
          <w:sz w:val="24"/>
          <w:szCs w:val="24"/>
        </w:rPr>
        <w:t>水十条</w:t>
      </w:r>
      <w:r>
        <w:rPr>
          <w:rFonts w:asciiTheme="minorEastAsia" w:hAnsiTheme="minorEastAsia"/>
          <w:b/>
          <w:color w:val="000000"/>
          <w:sz w:val="24"/>
          <w:szCs w:val="24"/>
        </w:rPr>
        <w:t>”</w:t>
      </w:r>
      <w:r>
        <w:rPr>
          <w:rFonts w:hint="eastAsia" w:ascii="Times New Roman" w:hAnsi="Times New Roman"/>
          <w:b/>
          <w:color w:val="000000"/>
          <w:sz w:val="24"/>
          <w:szCs w:val="24"/>
        </w:rPr>
        <w:t>符合性</w:t>
      </w:r>
      <w:r>
        <w:rPr>
          <w:rFonts w:ascii="Times New Roman" w:hAnsi="Times New Roman"/>
          <w:b/>
          <w:color w:val="000000"/>
          <w:sz w:val="24"/>
          <w:szCs w:val="24"/>
        </w:rPr>
        <w:t>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402"/>
        <w:gridCol w:w="411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17" w:type="dxa"/>
            <w:vAlign w:val="center"/>
          </w:tcPr>
          <w:p>
            <w:pPr>
              <w:jc w:val="center"/>
              <w:rPr>
                <w:rFonts w:ascii="Times New Roman" w:hAnsi="Times New Roman"/>
                <w:b/>
                <w:color w:val="000000"/>
              </w:rPr>
            </w:pPr>
            <w:r>
              <w:rPr>
                <w:rFonts w:ascii="Times New Roman" w:hAnsi="Times New Roman"/>
                <w:b/>
                <w:color w:val="000000"/>
              </w:rPr>
              <w:t>序号</w:t>
            </w:r>
          </w:p>
        </w:tc>
        <w:tc>
          <w:tcPr>
            <w:tcW w:w="3402" w:type="dxa"/>
            <w:vAlign w:val="center"/>
          </w:tcPr>
          <w:p>
            <w:pPr>
              <w:jc w:val="center"/>
              <w:rPr>
                <w:rFonts w:ascii="Times New Roman" w:hAnsi="Times New Roman"/>
                <w:b/>
                <w:color w:val="000000"/>
              </w:rPr>
            </w:pPr>
            <w:r>
              <w:rPr>
                <w:rFonts w:ascii="Times New Roman" w:hAnsi="Times New Roman"/>
                <w:b/>
                <w:color w:val="000000"/>
              </w:rPr>
              <w:t>“水十条”要求内容</w:t>
            </w:r>
          </w:p>
        </w:tc>
        <w:tc>
          <w:tcPr>
            <w:tcW w:w="4111" w:type="dxa"/>
            <w:vAlign w:val="center"/>
          </w:tcPr>
          <w:p>
            <w:pPr>
              <w:jc w:val="center"/>
              <w:rPr>
                <w:rFonts w:ascii="Times New Roman" w:hAnsi="Times New Roman"/>
                <w:b/>
                <w:color w:val="000000"/>
              </w:rPr>
            </w:pPr>
            <w:r>
              <w:rPr>
                <w:rFonts w:ascii="Times New Roman" w:hAnsi="Times New Roman"/>
                <w:b/>
                <w:color w:val="000000"/>
              </w:rPr>
              <w:t>项目情况</w:t>
            </w:r>
          </w:p>
        </w:tc>
        <w:tc>
          <w:tcPr>
            <w:tcW w:w="850" w:type="dxa"/>
            <w:vAlign w:val="center"/>
          </w:tcPr>
          <w:p>
            <w:pPr>
              <w:jc w:val="center"/>
              <w:rPr>
                <w:rFonts w:ascii="Times New Roman" w:hAnsi="Times New Roman"/>
                <w:b/>
                <w:color w:val="000000"/>
              </w:rPr>
            </w:pPr>
            <w:r>
              <w:rPr>
                <w:rFonts w:ascii="Times New Roman" w:hAnsi="Times New Roman"/>
                <w:b/>
                <w:color w:val="000000"/>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第一条</w:t>
            </w:r>
          </w:p>
        </w:tc>
        <w:tc>
          <w:tcPr>
            <w:tcW w:w="3402" w:type="dxa"/>
            <w:vAlign w:val="center"/>
          </w:tcPr>
          <w:p>
            <w:pPr>
              <w:jc w:val="center"/>
              <w:rPr>
                <w:rFonts w:ascii="Times New Roman" w:hAnsi="Times New Roman"/>
                <w:color w:val="000000"/>
              </w:rPr>
            </w:pPr>
            <w:r>
              <w:rPr>
                <w:rFonts w:ascii="Times New Roman" w:hAnsi="Times New Roman"/>
                <w:color w:val="000000"/>
              </w:rPr>
              <w:t>全面控制污染物排放</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（一）狠抓工业污染防治</w:t>
            </w:r>
          </w:p>
        </w:tc>
        <w:tc>
          <w:tcPr>
            <w:tcW w:w="4111" w:type="dxa"/>
            <w:vMerge w:val="restart"/>
            <w:vAlign w:val="center"/>
          </w:tcPr>
          <w:p>
            <w:pPr>
              <w:jc w:val="center"/>
              <w:rPr>
                <w:rFonts w:ascii="Times New Roman" w:hAnsi="Times New Roman"/>
                <w:color w:val="000000"/>
              </w:rPr>
            </w:pPr>
            <w:r>
              <w:rPr>
                <w:rFonts w:ascii="Times New Roman" w:hAnsi="Times New Roman"/>
                <w:color w:val="000000" w:themeColor="text1"/>
                <w14:textFill>
                  <w14:solidFill>
                    <w14:schemeClr w14:val="tx1"/>
                  </w14:solidFill>
                </w14:textFill>
              </w:rPr>
              <w:t>项目不属于“十小”“十大重点行业”</w:t>
            </w: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（二）强化城镇生活污染治理</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（三）推进农业农村生活污染治理</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（四）加强船舶港口污染控制</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17" w:type="dxa"/>
            <w:vMerge w:val="restart"/>
            <w:vAlign w:val="center"/>
          </w:tcPr>
          <w:p>
            <w:pPr>
              <w:jc w:val="center"/>
              <w:rPr>
                <w:rFonts w:ascii="Times New Roman" w:hAnsi="Times New Roman"/>
                <w:color w:val="000000"/>
              </w:rPr>
            </w:pPr>
            <w:r>
              <w:rPr>
                <w:rFonts w:ascii="Times New Roman" w:hAnsi="Times New Roman"/>
                <w:color w:val="000000"/>
              </w:rPr>
              <w:t>第二条</w:t>
            </w:r>
          </w:p>
        </w:tc>
        <w:tc>
          <w:tcPr>
            <w:tcW w:w="3402" w:type="dxa"/>
            <w:vAlign w:val="center"/>
          </w:tcPr>
          <w:p>
            <w:pPr>
              <w:jc w:val="center"/>
              <w:rPr>
                <w:rFonts w:ascii="Times New Roman" w:hAnsi="Times New Roman"/>
                <w:color w:val="000000"/>
              </w:rPr>
            </w:pPr>
            <w:r>
              <w:rPr>
                <w:rFonts w:ascii="Times New Roman" w:hAnsi="Times New Roman"/>
                <w:color w:val="000000"/>
              </w:rPr>
              <w:t>推动经济结构转型升级</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（五）调整产业结构</w:t>
            </w:r>
          </w:p>
        </w:tc>
        <w:tc>
          <w:tcPr>
            <w:tcW w:w="4111" w:type="dxa"/>
            <w:vMerge w:val="restart"/>
            <w:vAlign w:val="center"/>
          </w:tcPr>
          <w:p>
            <w:pPr>
              <w:jc w:val="center"/>
              <w:rPr>
                <w:rFonts w:ascii="Times New Roman" w:hAnsi="Times New Roman"/>
                <w:color w:val="000000"/>
              </w:rPr>
            </w:pPr>
            <w:r>
              <w:rPr>
                <w:rFonts w:ascii="Times New Roman" w:hAnsi="Times New Roman"/>
                <w:color w:val="000000"/>
                <w:szCs w:val="21"/>
              </w:rPr>
              <w:t>项目属于“鼓励类”</w:t>
            </w:r>
            <w:r>
              <w:rPr>
                <w:rFonts w:hint="eastAsia" w:ascii="Times New Roman" w:hAnsi="Times New Roman"/>
                <w:color w:val="000000"/>
                <w:szCs w:val="21"/>
              </w:rPr>
              <w:t>一</w:t>
            </w:r>
            <w:r>
              <w:rPr>
                <w:rFonts w:ascii="Times New Roman" w:hAnsi="Times New Roman"/>
                <w:color w:val="000000"/>
                <w:szCs w:val="21"/>
              </w:rPr>
              <w:t>，“</w:t>
            </w:r>
            <w:r>
              <w:rPr>
                <w:rFonts w:hint="eastAsia" w:ascii="Times New Roman" w:hAnsi="Times New Roman"/>
                <w:color w:val="000000"/>
                <w:szCs w:val="21"/>
              </w:rPr>
              <w:t>轻工</w:t>
            </w:r>
            <w:r>
              <w:rPr>
                <w:rFonts w:ascii="Times New Roman" w:hAnsi="Times New Roman"/>
                <w:color w:val="000000"/>
                <w:szCs w:val="21"/>
              </w:rPr>
              <w:t>”中1项“</w:t>
            </w:r>
            <w:r>
              <w:rPr>
                <w:rFonts w:hint="eastAsia" w:ascii="Times New Roman" w:hAnsi="Times New Roman"/>
                <w:szCs w:val="21"/>
              </w:rPr>
              <w:t>采用清洁</w:t>
            </w:r>
            <w:r>
              <w:rPr>
                <w:rFonts w:ascii="Times New Roman" w:hAnsi="Times New Roman"/>
                <w:szCs w:val="21"/>
              </w:rPr>
              <w:t>生产工艺、以非木纤维为原料、当条</w:t>
            </w:r>
            <w:r>
              <w:rPr>
                <w:rFonts w:hint="eastAsia" w:ascii="Times New Roman" w:hAnsi="Times New Roman"/>
                <w:szCs w:val="21"/>
              </w:rPr>
              <w:t>10万</w:t>
            </w:r>
            <w:r>
              <w:rPr>
                <w:rFonts w:ascii="Times New Roman" w:hAnsi="Times New Roman"/>
                <w:szCs w:val="21"/>
              </w:rPr>
              <w:t>吨</w:t>
            </w:r>
            <w:r>
              <w:rPr>
                <w:rFonts w:hint="eastAsia" w:ascii="Times New Roman" w:hAnsi="Times New Roman"/>
                <w:szCs w:val="21"/>
              </w:rPr>
              <w:t>/年</w:t>
            </w:r>
            <w:r>
              <w:rPr>
                <w:rFonts w:ascii="Times New Roman" w:hAnsi="Times New Roman"/>
                <w:szCs w:val="21"/>
              </w:rPr>
              <w:t>及以上的</w:t>
            </w:r>
            <w:r>
              <w:rPr>
                <w:rFonts w:hint="eastAsia" w:ascii="Times New Roman" w:hAnsi="Times New Roman"/>
                <w:szCs w:val="21"/>
              </w:rPr>
              <w:t>纸浆</w:t>
            </w:r>
            <w:r>
              <w:rPr>
                <w:rFonts w:ascii="Times New Roman" w:hAnsi="Times New Roman"/>
                <w:szCs w:val="21"/>
              </w:rPr>
              <w:t>生产线建设</w:t>
            </w:r>
            <w:r>
              <w:rPr>
                <w:rFonts w:ascii="Times New Roman" w:hAnsi="Times New Roman"/>
                <w:color w:val="000000"/>
                <w:szCs w:val="21"/>
              </w:rPr>
              <w:t>”</w:t>
            </w: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（六）优化空间布局</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（七）推进循环发展</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第三条</w:t>
            </w:r>
          </w:p>
        </w:tc>
        <w:tc>
          <w:tcPr>
            <w:tcW w:w="3402" w:type="dxa"/>
            <w:vAlign w:val="center"/>
          </w:tcPr>
          <w:p>
            <w:pPr>
              <w:jc w:val="center"/>
              <w:rPr>
                <w:rFonts w:ascii="Times New Roman" w:hAnsi="Times New Roman"/>
                <w:color w:val="000000"/>
              </w:rPr>
            </w:pPr>
            <w:r>
              <w:rPr>
                <w:rFonts w:ascii="Times New Roman" w:hAnsi="Times New Roman"/>
                <w:color w:val="000000"/>
              </w:rPr>
              <w:t>着力节约保护水资源</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（八）控制用水总量</w:t>
            </w:r>
          </w:p>
        </w:tc>
        <w:tc>
          <w:tcPr>
            <w:tcW w:w="4111" w:type="dxa"/>
            <w:vMerge w:val="restart"/>
            <w:vAlign w:val="center"/>
          </w:tcPr>
          <w:p>
            <w:pPr>
              <w:jc w:val="center"/>
              <w:rPr>
                <w:rFonts w:ascii="Times New Roman" w:hAnsi="Times New Roman"/>
                <w:color w:val="000000"/>
              </w:rPr>
            </w:pPr>
            <w:r>
              <w:rPr>
                <w:rFonts w:hint="eastAsia" w:ascii="Times New Roman" w:hAnsi="Times New Roman"/>
                <w:color w:val="FF0000"/>
              </w:rPr>
              <w:t>项目生活污水经污水处理设施处理达标后晴天回用于绿化，雨天回用于生产；造纸废水经循环水池收集后循环使用；水膜除尘废水经循环沉淀池处理后回用，</w:t>
            </w:r>
            <w:r>
              <w:rPr>
                <w:rFonts w:ascii="Times New Roman" w:hAnsi="Times New Roman"/>
                <w:color w:val="FF0000"/>
              </w:rPr>
              <w:t>不外排</w:t>
            </w:r>
            <w:r>
              <w:rPr>
                <w:rFonts w:hint="eastAsia" w:ascii="Times New Roman" w:hAnsi="Times New Roman"/>
                <w:color w:val="FF0000"/>
              </w:rPr>
              <w:t>。</w:t>
            </w: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（九）提高用水效率</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（十）科学保护水资源</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第四条</w:t>
            </w:r>
          </w:p>
        </w:tc>
        <w:tc>
          <w:tcPr>
            <w:tcW w:w="3402" w:type="dxa"/>
            <w:vAlign w:val="center"/>
          </w:tcPr>
          <w:p>
            <w:pPr>
              <w:jc w:val="center"/>
              <w:rPr>
                <w:rFonts w:ascii="Times New Roman" w:hAnsi="Times New Roman"/>
                <w:color w:val="000000"/>
              </w:rPr>
            </w:pPr>
            <w:r>
              <w:rPr>
                <w:rFonts w:ascii="Times New Roman" w:hAnsi="Times New Roman"/>
                <w:color w:val="000000"/>
              </w:rPr>
              <w:t>强化科技支撑</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（十一）推广示范适用技术</w:t>
            </w:r>
          </w:p>
        </w:tc>
        <w:tc>
          <w:tcPr>
            <w:tcW w:w="4111"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（十二）攻关研发前瞻技术</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（十三）大力发展环保产业</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第五条</w:t>
            </w:r>
          </w:p>
        </w:tc>
        <w:tc>
          <w:tcPr>
            <w:tcW w:w="3402" w:type="dxa"/>
            <w:vAlign w:val="center"/>
          </w:tcPr>
          <w:p>
            <w:pPr>
              <w:jc w:val="center"/>
              <w:rPr>
                <w:rFonts w:ascii="Times New Roman" w:hAnsi="Times New Roman"/>
                <w:color w:val="000000"/>
              </w:rPr>
            </w:pPr>
            <w:r>
              <w:rPr>
                <w:rFonts w:ascii="Times New Roman" w:hAnsi="Times New Roman"/>
                <w:color w:val="000000"/>
              </w:rPr>
              <w:t>充分发挥市场机制作用</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（十四）理顺价格税费</w:t>
            </w:r>
          </w:p>
        </w:tc>
        <w:tc>
          <w:tcPr>
            <w:tcW w:w="4111"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（十五）促进多元融资</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（十六）建立激励机制</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第六条</w:t>
            </w:r>
          </w:p>
        </w:tc>
        <w:tc>
          <w:tcPr>
            <w:tcW w:w="3402" w:type="dxa"/>
            <w:vAlign w:val="center"/>
          </w:tcPr>
          <w:p>
            <w:pPr>
              <w:jc w:val="center"/>
              <w:rPr>
                <w:rFonts w:ascii="Times New Roman" w:hAnsi="Times New Roman"/>
                <w:color w:val="000000"/>
              </w:rPr>
            </w:pPr>
            <w:r>
              <w:rPr>
                <w:rFonts w:ascii="Times New Roman" w:hAnsi="Times New Roman"/>
                <w:color w:val="000000"/>
              </w:rPr>
              <w:t>严格环境执法监管</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（十七）完善法规标准</w:t>
            </w:r>
          </w:p>
        </w:tc>
        <w:tc>
          <w:tcPr>
            <w:tcW w:w="4111"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（十八）加大执法力度</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（十九）提升监管水平</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第七条</w:t>
            </w:r>
          </w:p>
        </w:tc>
        <w:tc>
          <w:tcPr>
            <w:tcW w:w="3402" w:type="dxa"/>
            <w:vAlign w:val="center"/>
          </w:tcPr>
          <w:p>
            <w:pPr>
              <w:jc w:val="center"/>
              <w:rPr>
                <w:rFonts w:ascii="Times New Roman" w:hAnsi="Times New Roman"/>
                <w:color w:val="000000"/>
              </w:rPr>
            </w:pPr>
            <w:r>
              <w:rPr>
                <w:rFonts w:ascii="Times New Roman" w:hAnsi="Times New Roman"/>
                <w:color w:val="000000"/>
              </w:rPr>
              <w:t>切实加强水环境管理</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（二十）强化环境质量目标管理</w:t>
            </w:r>
          </w:p>
        </w:tc>
        <w:tc>
          <w:tcPr>
            <w:tcW w:w="4111"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（二十一）深化污染物排放总量控制</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（二十二）严格环境风险控制</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（二十三）全面推行排污许可</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第八条</w:t>
            </w:r>
          </w:p>
        </w:tc>
        <w:tc>
          <w:tcPr>
            <w:tcW w:w="3402" w:type="dxa"/>
            <w:vAlign w:val="center"/>
          </w:tcPr>
          <w:p>
            <w:pPr>
              <w:jc w:val="center"/>
              <w:rPr>
                <w:rFonts w:ascii="Times New Roman" w:hAnsi="Times New Roman"/>
                <w:color w:val="000000"/>
              </w:rPr>
            </w:pPr>
            <w:r>
              <w:rPr>
                <w:rFonts w:ascii="Times New Roman" w:hAnsi="Times New Roman"/>
                <w:color w:val="000000"/>
              </w:rPr>
              <w:t>全面保障水生态环境安全</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（二十四）保障饮用水水源安全</w:t>
            </w:r>
          </w:p>
        </w:tc>
        <w:tc>
          <w:tcPr>
            <w:tcW w:w="4111"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（二十五）深化重点流域污染防治</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（二十六）加强近岸海域环境保护</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（二十七）整治城市黑臭水体</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（二十八）保护水和湿地生态系统</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第九条</w:t>
            </w:r>
          </w:p>
        </w:tc>
        <w:tc>
          <w:tcPr>
            <w:tcW w:w="3402" w:type="dxa"/>
            <w:vAlign w:val="center"/>
          </w:tcPr>
          <w:p>
            <w:pPr>
              <w:jc w:val="center"/>
              <w:rPr>
                <w:rFonts w:ascii="Times New Roman" w:hAnsi="Times New Roman"/>
                <w:color w:val="000000"/>
              </w:rPr>
            </w:pPr>
            <w:r>
              <w:rPr>
                <w:rFonts w:ascii="Times New Roman" w:hAnsi="Times New Roman"/>
                <w:color w:val="000000"/>
              </w:rPr>
              <w:t>明确和落实各方责任</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（二十九）强化地方政府水环境保护责任</w:t>
            </w:r>
          </w:p>
        </w:tc>
        <w:tc>
          <w:tcPr>
            <w:tcW w:w="4111" w:type="dxa"/>
            <w:vMerge w:val="restart"/>
            <w:vAlign w:val="center"/>
          </w:tcPr>
          <w:p>
            <w:pPr>
              <w:jc w:val="center"/>
              <w:rPr>
                <w:rFonts w:ascii="Times New Roman" w:hAnsi="Times New Roman"/>
                <w:color w:val="000000"/>
              </w:rPr>
            </w:pPr>
            <w:r>
              <w:rPr>
                <w:rFonts w:ascii="Times New Roman" w:hAnsi="Times New Roman"/>
                <w:color w:val="000000"/>
              </w:rPr>
              <w:t>建设单位设有兼职人员负责环保设施的运行和管理，保证污染物长期稳定的达标排放</w:t>
            </w: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（三十）加强部门协调联动</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（三十一）落实排污单位主体责任</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（三十二）严格目标任务考核</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第十条</w:t>
            </w:r>
          </w:p>
        </w:tc>
        <w:tc>
          <w:tcPr>
            <w:tcW w:w="3402" w:type="dxa"/>
            <w:vAlign w:val="center"/>
          </w:tcPr>
          <w:p>
            <w:pPr>
              <w:jc w:val="center"/>
              <w:rPr>
                <w:rFonts w:ascii="Times New Roman" w:hAnsi="Times New Roman"/>
                <w:color w:val="000000"/>
              </w:rPr>
            </w:pPr>
            <w:r>
              <w:rPr>
                <w:rFonts w:ascii="Times New Roman" w:hAnsi="Times New Roman"/>
                <w:color w:val="000000"/>
              </w:rPr>
              <w:t>强化公众参与和社会监督</w:t>
            </w:r>
          </w:p>
        </w:tc>
        <w:tc>
          <w:tcPr>
            <w:tcW w:w="4111" w:type="dxa"/>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（三十三）依法公开环境信息</w:t>
            </w:r>
          </w:p>
        </w:tc>
        <w:tc>
          <w:tcPr>
            <w:tcW w:w="4111" w:type="dxa"/>
            <w:vMerge w:val="restart"/>
            <w:vAlign w:val="center"/>
          </w:tcPr>
          <w:p>
            <w:pPr>
              <w:jc w:val="center"/>
              <w:rPr>
                <w:rFonts w:ascii="Times New Roman" w:hAnsi="Times New Roman"/>
                <w:color w:val="000000"/>
              </w:rPr>
            </w:pPr>
            <w:r>
              <w:rPr>
                <w:rFonts w:ascii="Times New Roman" w:hAnsi="Times New Roman"/>
                <w:color w:val="000000"/>
              </w:rPr>
              <w:t>建设单位将进行环境信息公开</w:t>
            </w: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（三十四）加强社会监督</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3402" w:type="dxa"/>
            <w:vAlign w:val="center"/>
          </w:tcPr>
          <w:p>
            <w:pPr>
              <w:jc w:val="center"/>
              <w:rPr>
                <w:rFonts w:ascii="Times New Roman" w:hAnsi="Times New Roman"/>
                <w:color w:val="000000"/>
              </w:rPr>
            </w:pPr>
            <w:r>
              <w:rPr>
                <w:rFonts w:ascii="Times New Roman" w:hAnsi="Times New Roman"/>
                <w:color w:val="000000"/>
              </w:rPr>
              <w:t>（三十五）构建全民行动格局</w:t>
            </w:r>
          </w:p>
        </w:tc>
        <w:tc>
          <w:tcPr>
            <w:tcW w:w="4111"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w:t>
            </w:r>
          </w:p>
        </w:tc>
      </w:tr>
    </w:tbl>
    <w:p>
      <w:pPr>
        <w:adjustRightInd w:val="0"/>
        <w:snapToGrid w:val="0"/>
        <w:spacing w:line="360" w:lineRule="auto"/>
        <w:ind w:firstLine="480" w:firstLineChars="200"/>
        <w:rPr>
          <w:rFonts w:ascii="Times New Roman" w:hAnsi="Times New Roman"/>
          <w:sz w:val="24"/>
          <w:szCs w:val="28"/>
        </w:rPr>
      </w:pPr>
    </w:p>
    <w:p>
      <w:pPr>
        <w:spacing w:line="360" w:lineRule="auto"/>
        <w:ind w:firstLine="480" w:firstLineChars="200"/>
        <w:rPr>
          <w:rFonts w:ascii="Times New Roman" w:hAnsi="Times New Roman"/>
          <w:sz w:val="24"/>
        </w:rPr>
      </w:pPr>
      <w:r>
        <w:rPr>
          <w:rFonts w:hint="eastAsia" w:ascii="Times New Roman" w:hAnsi="Times New Roman"/>
          <w:sz w:val="24"/>
        </w:rPr>
        <w:t>综上</w:t>
      </w:r>
      <w:r>
        <w:rPr>
          <w:rFonts w:ascii="Times New Roman" w:hAnsi="Times New Roman"/>
          <w:sz w:val="24"/>
        </w:rPr>
        <w:t>所述，项目符合《</w:t>
      </w:r>
      <w:r>
        <w:rPr>
          <w:rFonts w:hint="eastAsia" w:ascii="Times New Roman" w:hAnsi="Times New Roman"/>
          <w:sz w:val="24"/>
        </w:rPr>
        <w:t>水污染</w:t>
      </w:r>
      <w:r>
        <w:rPr>
          <w:rFonts w:ascii="Times New Roman" w:hAnsi="Times New Roman"/>
          <w:sz w:val="24"/>
        </w:rPr>
        <w:t>防治行动》</w:t>
      </w:r>
      <w:r>
        <w:rPr>
          <w:rFonts w:hint="eastAsia" w:ascii="Times New Roman" w:hAnsi="Times New Roman"/>
          <w:sz w:val="24"/>
        </w:rPr>
        <w:t>“水十条”要求</w:t>
      </w:r>
      <w:r>
        <w:rPr>
          <w:rFonts w:ascii="Times New Roman" w:hAnsi="Times New Roman"/>
          <w:sz w:val="24"/>
        </w:rPr>
        <w:t>。</w:t>
      </w:r>
    </w:p>
    <w:p>
      <w:pPr>
        <w:spacing w:line="360" w:lineRule="auto"/>
        <w:ind w:firstLine="480" w:firstLineChars="200"/>
        <w:rPr>
          <w:rFonts w:ascii="Times New Roman" w:hAnsi="Times New Roman"/>
          <w:sz w:val="24"/>
        </w:rPr>
      </w:pPr>
      <w:r>
        <w:rPr>
          <w:rFonts w:hint="eastAsia" w:ascii="Times New Roman" w:hAnsi="Times New Roman"/>
          <w:sz w:val="24"/>
        </w:rPr>
        <w:t>（2）“气十条”符合性</w:t>
      </w:r>
      <w:r>
        <w:rPr>
          <w:rFonts w:ascii="Times New Roman" w:hAnsi="Times New Roman"/>
          <w:sz w:val="24"/>
        </w:rPr>
        <w:t>分析</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对应《大气污染防治行动计划》“气十条”（国发[2013]37号）要求，选取其中相关内容与项目进行对比分析，详见表1.3-4。</w:t>
      </w:r>
    </w:p>
    <w:p>
      <w:pPr>
        <w:spacing w:line="360" w:lineRule="auto"/>
        <w:ind w:firstLine="482" w:firstLineChars="200"/>
        <w:jc w:val="center"/>
        <w:rPr>
          <w:rFonts w:ascii="Times New Roman" w:hAnsi="Times New Roman"/>
          <w:b/>
          <w:color w:val="000000"/>
          <w:sz w:val="24"/>
          <w:szCs w:val="24"/>
        </w:rPr>
      </w:pPr>
      <w:r>
        <w:rPr>
          <w:rFonts w:ascii="Times New Roman" w:hAnsi="Times New Roman"/>
          <w:b/>
          <w:color w:val="000000"/>
          <w:sz w:val="24"/>
          <w:szCs w:val="24"/>
        </w:rPr>
        <w:t>表1.3-4  “气十条”符合性分析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678"/>
        <w:gridCol w:w="283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Times New Roman" w:hAnsi="Times New Roman"/>
                <w:b/>
                <w:color w:val="000000"/>
              </w:rPr>
            </w:pPr>
            <w:r>
              <w:rPr>
                <w:rFonts w:ascii="Times New Roman" w:hAnsi="Times New Roman"/>
                <w:b/>
                <w:color w:val="000000"/>
              </w:rPr>
              <w:t>序号</w:t>
            </w:r>
          </w:p>
        </w:tc>
        <w:tc>
          <w:tcPr>
            <w:tcW w:w="4678" w:type="dxa"/>
            <w:vAlign w:val="center"/>
          </w:tcPr>
          <w:p>
            <w:pPr>
              <w:jc w:val="center"/>
              <w:rPr>
                <w:rFonts w:ascii="Times New Roman" w:hAnsi="Times New Roman"/>
                <w:b/>
                <w:color w:val="000000"/>
              </w:rPr>
            </w:pPr>
            <w:r>
              <w:rPr>
                <w:rFonts w:ascii="Times New Roman" w:hAnsi="Times New Roman"/>
                <w:b/>
                <w:color w:val="000000"/>
              </w:rPr>
              <w:t>“气十条”要求内容</w:t>
            </w:r>
          </w:p>
        </w:tc>
        <w:tc>
          <w:tcPr>
            <w:tcW w:w="2835" w:type="dxa"/>
            <w:vAlign w:val="center"/>
          </w:tcPr>
          <w:p>
            <w:pPr>
              <w:jc w:val="center"/>
              <w:rPr>
                <w:rFonts w:ascii="Times New Roman" w:hAnsi="Times New Roman"/>
                <w:b/>
                <w:color w:val="000000"/>
              </w:rPr>
            </w:pPr>
            <w:r>
              <w:rPr>
                <w:rFonts w:ascii="Times New Roman" w:hAnsi="Times New Roman"/>
                <w:b/>
                <w:color w:val="000000"/>
              </w:rPr>
              <w:t>项目情况</w:t>
            </w:r>
          </w:p>
        </w:tc>
        <w:tc>
          <w:tcPr>
            <w:tcW w:w="850" w:type="dxa"/>
            <w:vAlign w:val="center"/>
          </w:tcPr>
          <w:p>
            <w:pPr>
              <w:jc w:val="center"/>
              <w:rPr>
                <w:rFonts w:ascii="Times New Roman" w:hAnsi="Times New Roman"/>
                <w:b/>
                <w:color w:val="000000"/>
              </w:rPr>
            </w:pPr>
            <w:r>
              <w:rPr>
                <w:rFonts w:ascii="Times New Roman" w:hAnsi="Times New Roman"/>
                <w:b/>
                <w:color w:val="000000"/>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第一条</w:t>
            </w:r>
          </w:p>
        </w:tc>
        <w:tc>
          <w:tcPr>
            <w:tcW w:w="4678" w:type="dxa"/>
          </w:tcPr>
          <w:p>
            <w:pPr>
              <w:jc w:val="center"/>
              <w:rPr>
                <w:rFonts w:ascii="Times New Roman" w:hAnsi="Times New Roman"/>
                <w:color w:val="000000"/>
              </w:rPr>
            </w:pPr>
            <w:r>
              <w:rPr>
                <w:rFonts w:ascii="Times New Roman" w:hAnsi="Times New Roman"/>
                <w:color w:val="000000"/>
              </w:rPr>
              <w:t>加大综合治理力度，减少多污染物排放</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vAlign w:val="center"/>
          </w:tcPr>
          <w:p>
            <w:pPr>
              <w:rPr>
                <w:rFonts w:ascii="Times New Roman" w:hAnsi="Times New Roman"/>
                <w:color w:val="000000"/>
              </w:rPr>
            </w:pPr>
            <w:r>
              <w:rPr>
                <w:rFonts w:ascii="Times New Roman" w:hAnsi="Times New Roman"/>
                <w:color w:val="000000"/>
              </w:rPr>
              <w:t>（一）加强工业企业大气污染综合治理</w:t>
            </w:r>
          </w:p>
        </w:tc>
        <w:tc>
          <w:tcPr>
            <w:tcW w:w="2835" w:type="dxa"/>
            <w:vMerge w:val="restart"/>
            <w:vAlign w:val="center"/>
          </w:tcPr>
          <w:p>
            <w:pPr>
              <w:ind w:firstLine="420" w:firstLineChars="200"/>
              <w:rPr>
                <w:rFonts w:ascii="Times New Roman" w:hAnsi="Times New Roman"/>
                <w:color w:val="000000"/>
              </w:rPr>
            </w:pPr>
            <w:r>
              <w:rPr>
                <w:rFonts w:hint="eastAsia" w:ascii="Times New Roman" w:hAnsi="Times New Roman"/>
                <w:color w:val="FF0000"/>
                <w:szCs w:val="21"/>
              </w:rPr>
              <w:t>本项目使用燃生物质燃料的锅炉（DZL10-1、25AII），锅炉烟气经水膜除尘器（除尘效率为87%）除尘最后通过高度为</w:t>
            </w:r>
            <w:r>
              <w:rPr>
                <w:rFonts w:ascii="Times New Roman" w:hAnsi="Times New Roman"/>
                <w:color w:val="FF0000"/>
                <w:szCs w:val="21"/>
              </w:rPr>
              <w:t>40</w:t>
            </w:r>
            <w:r>
              <w:rPr>
                <w:rFonts w:hint="eastAsia" w:ascii="Times New Roman" w:hAnsi="Times New Roman"/>
                <w:color w:val="FF0000"/>
                <w:szCs w:val="21"/>
              </w:rPr>
              <w:t>m的排气筒排放。</w:t>
            </w: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（二）深化面源污染治理</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vAlign w:val="center"/>
          </w:tcPr>
          <w:p>
            <w:pPr>
              <w:rPr>
                <w:rFonts w:ascii="Times New Roman" w:hAnsi="Times New Roman"/>
                <w:color w:val="000000"/>
              </w:rPr>
            </w:pPr>
            <w:r>
              <w:rPr>
                <w:rFonts w:ascii="Times New Roman" w:hAnsi="Times New Roman"/>
                <w:color w:val="000000"/>
              </w:rPr>
              <w:t>（三）强化移动源污染防治。加强城市交通管理。</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17" w:type="dxa"/>
            <w:vMerge w:val="restart"/>
            <w:vAlign w:val="center"/>
          </w:tcPr>
          <w:p>
            <w:pPr>
              <w:jc w:val="center"/>
              <w:rPr>
                <w:rFonts w:ascii="Times New Roman" w:hAnsi="Times New Roman"/>
                <w:color w:val="000000"/>
              </w:rPr>
            </w:pPr>
            <w:r>
              <w:rPr>
                <w:rFonts w:ascii="Times New Roman" w:hAnsi="Times New Roman"/>
                <w:color w:val="000000"/>
              </w:rPr>
              <w:t>第二条</w:t>
            </w:r>
          </w:p>
        </w:tc>
        <w:tc>
          <w:tcPr>
            <w:tcW w:w="4678" w:type="dxa"/>
          </w:tcPr>
          <w:p>
            <w:pPr>
              <w:jc w:val="center"/>
              <w:rPr>
                <w:rFonts w:ascii="Times New Roman" w:hAnsi="Times New Roman"/>
                <w:color w:val="000000"/>
              </w:rPr>
            </w:pPr>
            <w:r>
              <w:rPr>
                <w:rFonts w:ascii="Times New Roman" w:hAnsi="Times New Roman"/>
                <w:color w:val="000000"/>
              </w:rPr>
              <w:t>调整优化产业结构，推动产业转型升级</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（四）严控“两高”行业新增产能</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项目属于“鼓励类”</w:t>
            </w:r>
            <w:r>
              <w:rPr>
                <w:rFonts w:hint="eastAsia" w:ascii="Times New Roman" w:hAnsi="Times New Roman"/>
                <w:color w:val="000000"/>
              </w:rPr>
              <w:t>一</w:t>
            </w:r>
            <w:r>
              <w:rPr>
                <w:rFonts w:ascii="Times New Roman" w:hAnsi="Times New Roman"/>
                <w:color w:val="000000"/>
              </w:rPr>
              <w:t>，“</w:t>
            </w:r>
            <w:r>
              <w:rPr>
                <w:rFonts w:hint="eastAsia" w:ascii="Times New Roman" w:hAnsi="Times New Roman"/>
                <w:color w:val="000000"/>
              </w:rPr>
              <w:t>轻工</w:t>
            </w:r>
            <w:r>
              <w:rPr>
                <w:rFonts w:ascii="Times New Roman" w:hAnsi="Times New Roman"/>
                <w:color w:val="000000"/>
              </w:rPr>
              <w:t>”中1项“</w:t>
            </w:r>
            <w:r>
              <w:rPr>
                <w:rFonts w:hint="eastAsia" w:ascii="Times New Roman" w:hAnsi="Times New Roman"/>
                <w:szCs w:val="21"/>
              </w:rPr>
              <w:t>采用清洁</w:t>
            </w:r>
            <w:r>
              <w:rPr>
                <w:rFonts w:ascii="Times New Roman" w:hAnsi="Times New Roman"/>
                <w:szCs w:val="21"/>
              </w:rPr>
              <w:t>生产工艺、以非木纤维为原料、当条</w:t>
            </w:r>
            <w:r>
              <w:rPr>
                <w:rFonts w:hint="eastAsia" w:ascii="Times New Roman" w:hAnsi="Times New Roman"/>
                <w:szCs w:val="21"/>
              </w:rPr>
              <w:t>10万</w:t>
            </w:r>
            <w:r>
              <w:rPr>
                <w:rFonts w:ascii="Times New Roman" w:hAnsi="Times New Roman"/>
                <w:szCs w:val="21"/>
              </w:rPr>
              <w:t>吨</w:t>
            </w:r>
            <w:r>
              <w:rPr>
                <w:rFonts w:hint="eastAsia" w:ascii="Times New Roman" w:hAnsi="Times New Roman"/>
                <w:szCs w:val="21"/>
              </w:rPr>
              <w:t>/年</w:t>
            </w:r>
            <w:r>
              <w:rPr>
                <w:rFonts w:ascii="Times New Roman" w:hAnsi="Times New Roman"/>
                <w:szCs w:val="21"/>
              </w:rPr>
              <w:t>及以上的</w:t>
            </w:r>
            <w:r>
              <w:rPr>
                <w:rFonts w:hint="eastAsia" w:ascii="Times New Roman" w:hAnsi="Times New Roman"/>
                <w:szCs w:val="21"/>
              </w:rPr>
              <w:t>纸浆</w:t>
            </w:r>
            <w:r>
              <w:rPr>
                <w:rFonts w:ascii="Times New Roman" w:hAnsi="Times New Roman"/>
                <w:szCs w:val="21"/>
              </w:rPr>
              <w:t>生产线建设</w:t>
            </w:r>
            <w:r>
              <w:rPr>
                <w:rFonts w:ascii="Times New Roman" w:hAnsi="Times New Roman"/>
                <w:color w:val="000000"/>
              </w:rPr>
              <w:t>”</w:t>
            </w: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（五）加快淘汰落后产能</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（六）压缩过剩产能</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（七）坚决停建产能严重过剩行业违规在建项目</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第三条</w:t>
            </w:r>
          </w:p>
        </w:tc>
        <w:tc>
          <w:tcPr>
            <w:tcW w:w="4678" w:type="dxa"/>
          </w:tcPr>
          <w:p>
            <w:pPr>
              <w:jc w:val="center"/>
              <w:rPr>
                <w:rFonts w:ascii="Times New Roman" w:hAnsi="Times New Roman"/>
                <w:color w:val="000000"/>
              </w:rPr>
            </w:pPr>
            <w:r>
              <w:rPr>
                <w:rFonts w:ascii="Times New Roman" w:hAnsi="Times New Roman"/>
                <w:color w:val="000000"/>
              </w:rPr>
              <w:t>加快企业技术改造，提高科技创新能力</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（八）强化科技研发和推广</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（九）全面推行清洁生产</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（十）大力发展循环经济</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（十一）大力培育节能环保产业</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第四条</w:t>
            </w:r>
          </w:p>
        </w:tc>
        <w:tc>
          <w:tcPr>
            <w:tcW w:w="4678" w:type="dxa"/>
          </w:tcPr>
          <w:p>
            <w:pPr>
              <w:jc w:val="center"/>
              <w:rPr>
                <w:rFonts w:ascii="Times New Roman" w:hAnsi="Times New Roman"/>
                <w:color w:val="000000"/>
              </w:rPr>
            </w:pPr>
            <w:r>
              <w:rPr>
                <w:rFonts w:ascii="Times New Roman" w:hAnsi="Times New Roman"/>
                <w:color w:val="000000"/>
              </w:rPr>
              <w:t>加快调整能源结构，增加清洁能源供应</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（十二）控制煤炭消费总量</w:t>
            </w:r>
          </w:p>
        </w:tc>
        <w:tc>
          <w:tcPr>
            <w:tcW w:w="2835" w:type="dxa"/>
            <w:vMerge w:val="restart"/>
            <w:vAlign w:val="center"/>
          </w:tcPr>
          <w:p>
            <w:pPr>
              <w:jc w:val="center"/>
              <w:rPr>
                <w:rFonts w:ascii="Times New Roman" w:hAnsi="Times New Roman"/>
                <w:color w:val="000000"/>
              </w:rPr>
            </w:pPr>
            <w:r>
              <w:rPr>
                <w:rFonts w:ascii="Times New Roman" w:hAnsi="Times New Roman"/>
                <w:color w:val="000000" w:themeColor="text1"/>
                <w14:textFill>
                  <w14:solidFill>
                    <w14:schemeClr w14:val="tx1"/>
                  </w14:solidFill>
                </w14:textFill>
              </w:rPr>
              <w:t>项目使用</w:t>
            </w:r>
            <w:r>
              <w:rPr>
                <w:rFonts w:hint="eastAsia" w:ascii="Times New Roman" w:hAnsi="Times New Roman"/>
                <w:color w:val="000000" w:themeColor="text1"/>
                <w14:textFill>
                  <w14:solidFill>
                    <w14:schemeClr w14:val="tx1"/>
                  </w14:solidFill>
                </w14:textFill>
              </w:rPr>
              <w:t>生物质</w:t>
            </w:r>
            <w:r>
              <w:rPr>
                <w:rFonts w:ascii="Times New Roman" w:hAnsi="Times New Roman"/>
                <w:color w:val="000000" w:themeColor="text1"/>
                <w14:textFill>
                  <w14:solidFill>
                    <w14:schemeClr w14:val="tx1"/>
                  </w14:solidFill>
                </w14:textFill>
              </w:rPr>
              <w:t>燃料，属于清洁能源</w:t>
            </w: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（十三）加快清洁能源替代利用</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（十四）推进煤炭清洁利用</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（十五）提高能源使用效率</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第五条</w:t>
            </w:r>
          </w:p>
        </w:tc>
        <w:tc>
          <w:tcPr>
            <w:tcW w:w="4678" w:type="dxa"/>
          </w:tcPr>
          <w:p>
            <w:pPr>
              <w:jc w:val="center"/>
              <w:rPr>
                <w:rFonts w:ascii="Times New Roman" w:hAnsi="Times New Roman"/>
                <w:color w:val="000000"/>
              </w:rPr>
            </w:pPr>
            <w:r>
              <w:rPr>
                <w:rFonts w:ascii="Times New Roman" w:hAnsi="Times New Roman"/>
                <w:color w:val="000000"/>
              </w:rPr>
              <w:t>严格节能环保准入，优化产业空间布置</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（十六）调整产业布局</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项目符合云南省主体功能区规划要求，采取环保措施后项目废气能够做到达标排放，废水不外排</w:t>
            </w: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（十七）强化节能环保指标约束</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vAlign w:val="center"/>
          </w:tcPr>
          <w:p>
            <w:pPr>
              <w:jc w:val="left"/>
              <w:rPr>
                <w:rFonts w:ascii="Times New Roman" w:hAnsi="Times New Roman"/>
                <w:color w:val="000000"/>
              </w:rPr>
            </w:pPr>
            <w:r>
              <w:rPr>
                <w:rFonts w:ascii="Times New Roman" w:hAnsi="Times New Roman"/>
                <w:color w:val="000000"/>
              </w:rPr>
              <w:t>（十八）优化空间格局</w:t>
            </w:r>
          </w:p>
        </w:tc>
        <w:tc>
          <w:tcPr>
            <w:tcW w:w="2835" w:type="dxa"/>
            <w:vMerge w:val="continue"/>
            <w:vAlign w:val="center"/>
          </w:tcPr>
          <w:p>
            <w:pPr>
              <w:jc w:val="center"/>
              <w:rPr>
                <w:rFonts w:ascii="Times New Roman" w:hAnsi="Times New Roman"/>
                <w:color w:val="000000"/>
              </w:rPr>
            </w:pPr>
          </w:p>
        </w:tc>
        <w:tc>
          <w:tcPr>
            <w:tcW w:w="850" w:type="dxa"/>
            <w:vAlign w:val="center"/>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第六条</w:t>
            </w:r>
          </w:p>
        </w:tc>
        <w:tc>
          <w:tcPr>
            <w:tcW w:w="4678" w:type="dxa"/>
          </w:tcPr>
          <w:p>
            <w:pPr>
              <w:jc w:val="center"/>
              <w:rPr>
                <w:rFonts w:ascii="Times New Roman" w:hAnsi="Times New Roman"/>
                <w:color w:val="000000"/>
              </w:rPr>
            </w:pPr>
            <w:r>
              <w:rPr>
                <w:rFonts w:ascii="Times New Roman" w:hAnsi="Times New Roman"/>
                <w:color w:val="000000"/>
              </w:rPr>
              <w:t>发挥市场机制作用，完善环境经济政策</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（十九）发挥市场机制调节作用</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（二十）完善价格税收政策</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（二十一）拓宽投融资渠道</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第七条</w:t>
            </w:r>
          </w:p>
        </w:tc>
        <w:tc>
          <w:tcPr>
            <w:tcW w:w="4678" w:type="dxa"/>
          </w:tcPr>
          <w:p>
            <w:pPr>
              <w:jc w:val="center"/>
              <w:rPr>
                <w:rFonts w:ascii="Times New Roman" w:hAnsi="Times New Roman"/>
                <w:color w:val="000000"/>
              </w:rPr>
            </w:pPr>
            <w:r>
              <w:rPr>
                <w:rFonts w:ascii="Times New Roman" w:hAnsi="Times New Roman"/>
                <w:color w:val="000000"/>
              </w:rPr>
              <w:t>健全法律法规体系，严格依法监督管理</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（二十二）完善法律法规标准</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建设单位建立了完善的环保管理制度并落实执行，将实行企业环保信息公开</w:t>
            </w: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（二十三）提高环境监管能力</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（二十四）加大环保执法力度</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（二十五）实行环境信息公开</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第八条</w:t>
            </w:r>
          </w:p>
        </w:tc>
        <w:tc>
          <w:tcPr>
            <w:tcW w:w="4678" w:type="dxa"/>
          </w:tcPr>
          <w:p>
            <w:pPr>
              <w:jc w:val="center"/>
              <w:rPr>
                <w:rFonts w:ascii="Times New Roman" w:hAnsi="Times New Roman"/>
                <w:color w:val="000000"/>
              </w:rPr>
            </w:pPr>
            <w:r>
              <w:rPr>
                <w:rFonts w:ascii="Times New Roman" w:hAnsi="Times New Roman"/>
                <w:color w:val="000000"/>
              </w:rPr>
              <w:t>建立区域协作机制，统筹区域环境治理</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（二十六）建立区域协作机制</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（二十七）分解目标任务</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（二十八）实行严格责任追究</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第九条</w:t>
            </w:r>
          </w:p>
        </w:tc>
        <w:tc>
          <w:tcPr>
            <w:tcW w:w="4678" w:type="dxa"/>
          </w:tcPr>
          <w:p>
            <w:pPr>
              <w:jc w:val="center"/>
              <w:rPr>
                <w:rFonts w:ascii="Times New Roman" w:hAnsi="Times New Roman"/>
                <w:color w:val="000000"/>
              </w:rPr>
            </w:pPr>
            <w:r>
              <w:rPr>
                <w:rFonts w:ascii="Times New Roman" w:hAnsi="Times New Roman"/>
                <w:color w:val="000000"/>
              </w:rPr>
              <w:t>建立监测预警应急体系，妥善应对重污染天气</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（二十九）建立监测预警应急体系</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建设单位将积极响应重污染天气应急措施</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（三十）制定完善应急预案</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（三十一）及时采取应急措施</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第十条</w:t>
            </w:r>
          </w:p>
        </w:tc>
        <w:tc>
          <w:tcPr>
            <w:tcW w:w="4678" w:type="dxa"/>
          </w:tcPr>
          <w:p>
            <w:pPr>
              <w:jc w:val="center"/>
              <w:rPr>
                <w:rFonts w:ascii="Times New Roman" w:hAnsi="Times New Roman"/>
                <w:color w:val="000000"/>
              </w:rPr>
            </w:pPr>
            <w:r>
              <w:rPr>
                <w:rFonts w:ascii="Times New Roman" w:hAnsi="Times New Roman"/>
                <w:color w:val="000000"/>
              </w:rPr>
              <w:t>明确政府企业和社会的责任，动员全民参与环境保护</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jc w:val="left"/>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（三十二）明确地方政府统领责任</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项目制定了环境管理制度，明确建设单位责任</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jc w:val="left"/>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（三十三）加强部门协调联动</w:t>
            </w:r>
          </w:p>
        </w:tc>
        <w:tc>
          <w:tcPr>
            <w:tcW w:w="2835" w:type="dxa"/>
            <w:vMerge w:val="continue"/>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jc w:val="left"/>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（三十四）强化企业施治</w:t>
            </w:r>
          </w:p>
        </w:tc>
        <w:tc>
          <w:tcPr>
            <w:tcW w:w="2835" w:type="dxa"/>
            <w:vMerge w:val="continue"/>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jc w:val="left"/>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（三十五）广泛动员社会参与</w:t>
            </w:r>
          </w:p>
        </w:tc>
        <w:tc>
          <w:tcPr>
            <w:tcW w:w="2835" w:type="dxa"/>
            <w:vMerge w:val="continue"/>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bl>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r>
        <w:rPr>
          <w:rFonts w:hint="eastAsia" w:ascii="Times New Roman" w:hAnsi="Times New Roman"/>
          <w:sz w:val="24"/>
        </w:rPr>
        <w:t>综上</w:t>
      </w:r>
      <w:r>
        <w:rPr>
          <w:rFonts w:ascii="Times New Roman" w:hAnsi="Times New Roman"/>
          <w:sz w:val="24"/>
        </w:rPr>
        <w:t>所述，项目符合《</w:t>
      </w:r>
      <w:r>
        <w:rPr>
          <w:rFonts w:hint="eastAsia" w:ascii="Times New Roman" w:hAnsi="Times New Roman"/>
          <w:sz w:val="24"/>
        </w:rPr>
        <w:t>大气</w:t>
      </w:r>
      <w:r>
        <w:rPr>
          <w:rFonts w:ascii="Times New Roman" w:hAnsi="Times New Roman"/>
          <w:sz w:val="24"/>
        </w:rPr>
        <w:t>污染防治行动</w:t>
      </w:r>
      <w:r>
        <w:rPr>
          <w:rFonts w:hint="eastAsia" w:ascii="Times New Roman" w:hAnsi="Times New Roman"/>
          <w:sz w:val="24"/>
        </w:rPr>
        <w:t>计划</w:t>
      </w:r>
      <w:r>
        <w:rPr>
          <w:rFonts w:ascii="Times New Roman" w:hAnsi="Times New Roman"/>
          <w:sz w:val="24"/>
        </w:rPr>
        <w:t>》</w:t>
      </w:r>
      <w:r>
        <w:rPr>
          <w:rFonts w:hint="eastAsia" w:ascii="Times New Roman" w:hAnsi="Times New Roman"/>
          <w:sz w:val="24"/>
        </w:rPr>
        <w:t>“气十条”要求</w:t>
      </w:r>
      <w:r>
        <w:rPr>
          <w:rFonts w:ascii="Times New Roman" w:hAnsi="Times New Roman"/>
          <w:sz w:val="24"/>
        </w:rPr>
        <w:t>。</w:t>
      </w:r>
    </w:p>
    <w:p>
      <w:pPr>
        <w:spacing w:line="360" w:lineRule="auto"/>
        <w:ind w:firstLine="480" w:firstLineChars="200"/>
        <w:rPr>
          <w:rFonts w:ascii="Times New Roman" w:hAnsi="Times New Roman"/>
          <w:sz w:val="24"/>
        </w:rPr>
      </w:pPr>
      <w:r>
        <w:rPr>
          <w:rFonts w:hint="eastAsia" w:ascii="Times New Roman" w:hAnsi="Times New Roman"/>
          <w:sz w:val="24"/>
        </w:rPr>
        <w:t>（3）“土十条”符合性</w:t>
      </w:r>
      <w:r>
        <w:rPr>
          <w:rFonts w:ascii="Times New Roman" w:hAnsi="Times New Roman"/>
          <w:sz w:val="24"/>
        </w:rPr>
        <w:t>分析</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对应国务院《土壤污染防治行动计划》“土十条”（（国发[2016]31号））要求，选取其中相关内容与项目进行对比分析，详见表1.3-5。</w:t>
      </w:r>
    </w:p>
    <w:p>
      <w:pPr>
        <w:spacing w:line="360" w:lineRule="auto"/>
        <w:ind w:firstLine="482" w:firstLineChars="200"/>
        <w:jc w:val="center"/>
        <w:rPr>
          <w:rFonts w:ascii="Times New Roman" w:hAnsi="Times New Roman"/>
          <w:b/>
          <w:color w:val="000000"/>
          <w:sz w:val="24"/>
          <w:szCs w:val="24"/>
        </w:rPr>
      </w:pPr>
      <w:r>
        <w:rPr>
          <w:rFonts w:ascii="Times New Roman" w:hAnsi="Times New Roman"/>
          <w:b/>
          <w:color w:val="000000"/>
          <w:sz w:val="24"/>
          <w:szCs w:val="24"/>
        </w:rPr>
        <w:t>表1.3-5  “土十条”符合性分析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678"/>
        <w:gridCol w:w="283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Times New Roman" w:hAnsi="Times New Roman"/>
                <w:b/>
                <w:color w:val="000000"/>
              </w:rPr>
            </w:pPr>
            <w:r>
              <w:rPr>
                <w:rFonts w:ascii="Times New Roman" w:hAnsi="Times New Roman"/>
                <w:b/>
                <w:color w:val="000000"/>
              </w:rPr>
              <w:t>序号</w:t>
            </w:r>
          </w:p>
        </w:tc>
        <w:tc>
          <w:tcPr>
            <w:tcW w:w="4678" w:type="dxa"/>
            <w:vAlign w:val="center"/>
          </w:tcPr>
          <w:p>
            <w:pPr>
              <w:jc w:val="center"/>
              <w:rPr>
                <w:rFonts w:ascii="Times New Roman" w:hAnsi="Times New Roman"/>
                <w:b/>
                <w:color w:val="000000"/>
              </w:rPr>
            </w:pPr>
            <w:r>
              <w:rPr>
                <w:rFonts w:ascii="Times New Roman" w:hAnsi="Times New Roman"/>
                <w:b/>
                <w:color w:val="000000"/>
              </w:rPr>
              <w:t>“土十条”要求内容</w:t>
            </w:r>
          </w:p>
        </w:tc>
        <w:tc>
          <w:tcPr>
            <w:tcW w:w="2835" w:type="dxa"/>
            <w:vAlign w:val="center"/>
          </w:tcPr>
          <w:p>
            <w:pPr>
              <w:jc w:val="center"/>
              <w:rPr>
                <w:rFonts w:ascii="Times New Roman" w:hAnsi="Times New Roman"/>
                <w:b/>
                <w:color w:val="000000"/>
              </w:rPr>
            </w:pPr>
            <w:r>
              <w:rPr>
                <w:rFonts w:ascii="Times New Roman" w:hAnsi="Times New Roman"/>
                <w:b/>
                <w:color w:val="000000"/>
              </w:rPr>
              <w:t>项目情况</w:t>
            </w:r>
          </w:p>
        </w:tc>
        <w:tc>
          <w:tcPr>
            <w:tcW w:w="850" w:type="dxa"/>
            <w:vAlign w:val="center"/>
          </w:tcPr>
          <w:p>
            <w:pPr>
              <w:jc w:val="center"/>
              <w:rPr>
                <w:rFonts w:ascii="Times New Roman" w:hAnsi="Times New Roman"/>
                <w:b/>
                <w:color w:val="000000"/>
              </w:rPr>
            </w:pPr>
            <w:r>
              <w:rPr>
                <w:rFonts w:ascii="Times New Roman" w:hAnsi="Times New Roman"/>
                <w:b/>
                <w:color w:val="000000"/>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第一条</w:t>
            </w:r>
          </w:p>
        </w:tc>
        <w:tc>
          <w:tcPr>
            <w:tcW w:w="4678" w:type="dxa"/>
          </w:tcPr>
          <w:p>
            <w:pPr>
              <w:jc w:val="center"/>
              <w:rPr>
                <w:rFonts w:ascii="Times New Roman" w:hAnsi="Times New Roman"/>
                <w:color w:val="000000"/>
              </w:rPr>
            </w:pPr>
            <w:r>
              <w:rPr>
                <w:rFonts w:ascii="Times New Roman" w:hAnsi="Times New Roman"/>
                <w:color w:val="000000"/>
              </w:rPr>
              <w:t>开展土壤污染调查，掌握土壤环境质量状况</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vAlign w:val="center"/>
          </w:tcPr>
          <w:p>
            <w:pPr>
              <w:rPr>
                <w:rFonts w:ascii="Times New Roman" w:hAnsi="Times New Roman"/>
                <w:color w:val="000000"/>
              </w:rPr>
            </w:pPr>
            <w:r>
              <w:rPr>
                <w:rFonts w:ascii="Times New Roman" w:hAnsi="Times New Roman"/>
                <w:color w:val="000000"/>
              </w:rPr>
              <w:t>（一）深入开展土壤环境质量调查</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（二）建设土壤环境质量监测网络</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vAlign w:val="center"/>
          </w:tcPr>
          <w:p>
            <w:pPr>
              <w:rPr>
                <w:rFonts w:ascii="Times New Roman" w:hAnsi="Times New Roman"/>
                <w:color w:val="000000"/>
              </w:rPr>
            </w:pPr>
            <w:r>
              <w:rPr>
                <w:rFonts w:ascii="Times New Roman" w:hAnsi="Times New Roman"/>
                <w:color w:val="000000"/>
              </w:rPr>
              <w:t>（三）提升土壤环境信息化管理水平</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17" w:type="dxa"/>
            <w:vMerge w:val="restart"/>
            <w:vAlign w:val="center"/>
          </w:tcPr>
          <w:p>
            <w:pPr>
              <w:jc w:val="center"/>
              <w:rPr>
                <w:rFonts w:ascii="Times New Roman" w:hAnsi="Times New Roman"/>
                <w:color w:val="000000"/>
              </w:rPr>
            </w:pPr>
            <w:r>
              <w:rPr>
                <w:rFonts w:ascii="Times New Roman" w:hAnsi="Times New Roman"/>
                <w:color w:val="000000"/>
              </w:rPr>
              <w:t>第二条</w:t>
            </w:r>
          </w:p>
        </w:tc>
        <w:tc>
          <w:tcPr>
            <w:tcW w:w="4678" w:type="dxa"/>
          </w:tcPr>
          <w:p>
            <w:pPr>
              <w:jc w:val="center"/>
              <w:rPr>
                <w:rFonts w:ascii="Times New Roman" w:hAnsi="Times New Roman"/>
                <w:color w:val="000000"/>
              </w:rPr>
            </w:pPr>
            <w:r>
              <w:rPr>
                <w:rFonts w:ascii="Times New Roman" w:hAnsi="Times New Roman"/>
                <w:color w:val="000000"/>
              </w:rPr>
              <w:t>推进土壤污染防治立法，建立健全法规标准体系</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（四）加快推进立法进程</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（五）系统构建标准体系</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（六）全面强化监管执法</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第三条</w:t>
            </w:r>
          </w:p>
        </w:tc>
        <w:tc>
          <w:tcPr>
            <w:tcW w:w="4678" w:type="dxa"/>
          </w:tcPr>
          <w:p>
            <w:pPr>
              <w:jc w:val="center"/>
              <w:rPr>
                <w:rFonts w:ascii="Times New Roman" w:hAnsi="Times New Roman"/>
                <w:color w:val="000000"/>
              </w:rPr>
            </w:pPr>
            <w:r>
              <w:rPr>
                <w:rFonts w:ascii="Times New Roman" w:hAnsi="Times New Roman"/>
                <w:color w:val="000000"/>
              </w:rPr>
              <w:t>实施农用地分类管理，保障农业生产环境安全</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（七）划定农用地土壤环境质量类别</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项目位于</w:t>
            </w:r>
            <w:r>
              <w:rPr>
                <w:rFonts w:ascii="Times New Roman" w:hAnsi="Times New Roman"/>
                <w:bCs/>
                <w:color w:val="000000"/>
                <w:kern w:val="0"/>
              </w:rPr>
              <w:t>元谋</w:t>
            </w:r>
            <w:r>
              <w:rPr>
                <w:rFonts w:hint="eastAsia" w:ascii="Times New Roman" w:hAnsi="Times New Roman"/>
                <w:bCs/>
                <w:color w:val="000000"/>
                <w:kern w:val="0"/>
              </w:rPr>
              <w:t>工业</w:t>
            </w:r>
            <w:r>
              <w:rPr>
                <w:rFonts w:ascii="Times New Roman" w:hAnsi="Times New Roman"/>
                <w:bCs/>
                <w:color w:val="000000"/>
                <w:kern w:val="0"/>
              </w:rPr>
              <w:t>园区金雷片区</w:t>
            </w:r>
            <w:r>
              <w:rPr>
                <w:rFonts w:ascii="Times New Roman" w:hAnsi="Times New Roman"/>
                <w:color w:val="000000"/>
              </w:rPr>
              <w:t>，不属于基本农田，符合土地利用规划。</w:t>
            </w: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（八）切实加大保护力度</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（九）着力推进安全利用</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（十）全面落实严格管控</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vAlign w:val="center"/>
          </w:tcPr>
          <w:p>
            <w:pPr>
              <w:rPr>
                <w:rFonts w:ascii="Times New Roman" w:hAnsi="Times New Roman"/>
                <w:color w:val="000000"/>
              </w:rPr>
            </w:pPr>
            <w:r>
              <w:rPr>
                <w:rFonts w:ascii="Times New Roman" w:hAnsi="Times New Roman"/>
                <w:color w:val="000000"/>
              </w:rPr>
              <w:t>（十一）加强林地草地园地土壤环境管理</w:t>
            </w:r>
          </w:p>
        </w:tc>
        <w:tc>
          <w:tcPr>
            <w:tcW w:w="2835" w:type="dxa"/>
            <w:vMerge w:val="continue"/>
            <w:vAlign w:val="center"/>
          </w:tcPr>
          <w:p>
            <w:pPr>
              <w:jc w:val="center"/>
              <w:rPr>
                <w:rFonts w:ascii="Times New Roman" w:hAnsi="Times New Roman"/>
                <w:color w:val="000000"/>
              </w:rPr>
            </w:pPr>
          </w:p>
        </w:tc>
        <w:tc>
          <w:tcPr>
            <w:tcW w:w="850" w:type="dxa"/>
            <w:vAlign w:val="center"/>
          </w:tcPr>
          <w:p>
            <w:pP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第四条</w:t>
            </w:r>
          </w:p>
        </w:tc>
        <w:tc>
          <w:tcPr>
            <w:tcW w:w="4678" w:type="dxa"/>
          </w:tcPr>
          <w:p>
            <w:pPr>
              <w:jc w:val="center"/>
              <w:rPr>
                <w:rFonts w:ascii="Times New Roman" w:hAnsi="Times New Roman"/>
                <w:color w:val="000000"/>
              </w:rPr>
            </w:pPr>
            <w:r>
              <w:rPr>
                <w:rFonts w:ascii="Times New Roman" w:hAnsi="Times New Roman"/>
                <w:color w:val="000000"/>
              </w:rPr>
              <w:t>实施建设用地准入管理，防范人居环境风险</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（十二）明确管理要求</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项目位于</w:t>
            </w:r>
            <w:r>
              <w:rPr>
                <w:rFonts w:ascii="Times New Roman" w:hAnsi="Times New Roman"/>
                <w:bCs/>
                <w:color w:val="000000"/>
                <w:kern w:val="0"/>
              </w:rPr>
              <w:t>元谋</w:t>
            </w:r>
            <w:r>
              <w:rPr>
                <w:rFonts w:hint="eastAsia" w:ascii="Times New Roman" w:hAnsi="Times New Roman"/>
                <w:bCs/>
                <w:color w:val="000000"/>
                <w:kern w:val="0"/>
              </w:rPr>
              <w:t>工业</w:t>
            </w:r>
            <w:r>
              <w:rPr>
                <w:rFonts w:ascii="Times New Roman" w:hAnsi="Times New Roman"/>
                <w:bCs/>
                <w:color w:val="000000"/>
                <w:kern w:val="0"/>
              </w:rPr>
              <w:t>园区金雷片区</w:t>
            </w:r>
            <w:r>
              <w:rPr>
                <w:rFonts w:ascii="Times New Roman" w:hAnsi="Times New Roman"/>
                <w:color w:val="000000"/>
              </w:rPr>
              <w:t>，项目用地为建设用地。</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（十三）落实监管责任</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（十四）严格用地准入</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第五条</w:t>
            </w:r>
          </w:p>
        </w:tc>
        <w:tc>
          <w:tcPr>
            <w:tcW w:w="4678" w:type="dxa"/>
          </w:tcPr>
          <w:p>
            <w:pPr>
              <w:jc w:val="center"/>
              <w:rPr>
                <w:rFonts w:ascii="Times New Roman" w:hAnsi="Times New Roman"/>
                <w:color w:val="000000"/>
              </w:rPr>
            </w:pPr>
            <w:r>
              <w:rPr>
                <w:rFonts w:ascii="Times New Roman" w:hAnsi="Times New Roman"/>
                <w:color w:val="000000"/>
              </w:rPr>
              <w:t>强化未污染土壤保护，严控新增土壤污染</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（十五）加强未利用地环境管理</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项目废水不外排，固废均得到妥善处理，废气做到达标排放</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（十六）防范建设用地新增污染</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（十七）强化空间布局管控</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第六条</w:t>
            </w:r>
          </w:p>
        </w:tc>
        <w:tc>
          <w:tcPr>
            <w:tcW w:w="4678" w:type="dxa"/>
          </w:tcPr>
          <w:p>
            <w:pPr>
              <w:jc w:val="center"/>
              <w:rPr>
                <w:rFonts w:ascii="Times New Roman" w:hAnsi="Times New Roman"/>
                <w:color w:val="000000"/>
              </w:rPr>
            </w:pPr>
            <w:r>
              <w:rPr>
                <w:rFonts w:ascii="Times New Roman" w:hAnsi="Times New Roman"/>
                <w:color w:val="000000"/>
              </w:rPr>
              <w:t>加强污染源监管，做好土壤污染预防工作</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（十八）严控工矿污染</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项目原料、固体废物的堆存场所，采取了防扬散、防流失、防渗漏等设施</w:t>
            </w: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（十九）控制农业污染</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（二十）减少生活污染</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第七条</w:t>
            </w:r>
          </w:p>
        </w:tc>
        <w:tc>
          <w:tcPr>
            <w:tcW w:w="4678" w:type="dxa"/>
          </w:tcPr>
          <w:p>
            <w:pPr>
              <w:jc w:val="center"/>
              <w:rPr>
                <w:rFonts w:ascii="Times New Roman" w:hAnsi="Times New Roman"/>
                <w:color w:val="000000"/>
              </w:rPr>
            </w:pPr>
            <w:r>
              <w:rPr>
                <w:rFonts w:ascii="Times New Roman" w:hAnsi="Times New Roman"/>
                <w:color w:val="000000"/>
              </w:rPr>
              <w:t>开展污染治理与修复，改善区域土壤环境质量</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（二十一）明确治理与修复主体</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（二十二）制定治理与修复规划</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（二十三）有序开展治理与修复</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（二十四）监督目标任务落实</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第八条</w:t>
            </w:r>
          </w:p>
        </w:tc>
        <w:tc>
          <w:tcPr>
            <w:tcW w:w="4678" w:type="dxa"/>
          </w:tcPr>
          <w:p>
            <w:pPr>
              <w:jc w:val="center"/>
              <w:rPr>
                <w:rFonts w:ascii="Times New Roman" w:hAnsi="Times New Roman"/>
                <w:color w:val="000000"/>
              </w:rPr>
            </w:pPr>
            <w:r>
              <w:rPr>
                <w:rFonts w:ascii="Times New Roman" w:hAnsi="Times New Roman"/>
                <w:color w:val="000000"/>
              </w:rPr>
              <w:t>加大科技研发力度，推动环境保护产业发展</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（二十五）加强土壤污染防治研究</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（二十六）加大适用技术推广力度</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（二十七）推动治理与修复产业发展</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第九条</w:t>
            </w:r>
          </w:p>
        </w:tc>
        <w:tc>
          <w:tcPr>
            <w:tcW w:w="4678" w:type="dxa"/>
          </w:tcPr>
          <w:p>
            <w:pPr>
              <w:jc w:val="center"/>
              <w:rPr>
                <w:rFonts w:ascii="Times New Roman" w:hAnsi="Times New Roman"/>
                <w:color w:val="000000"/>
              </w:rPr>
            </w:pPr>
            <w:r>
              <w:rPr>
                <w:rFonts w:ascii="Times New Roman" w:hAnsi="Times New Roman"/>
                <w:color w:val="000000"/>
              </w:rPr>
              <w:t>发挥政府主导作用，构建土壤环境治理体系</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（二十八）强化政府主导</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项目不涉及</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（二十九）发挥市场作用</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（三十）加强社会监督</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jc w:val="center"/>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（三十一）开展宣传教育</w:t>
            </w:r>
          </w:p>
        </w:tc>
        <w:tc>
          <w:tcPr>
            <w:tcW w:w="2835" w:type="dxa"/>
            <w:vMerge w:val="continue"/>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jc w:val="center"/>
              <w:rPr>
                <w:rFonts w:ascii="Times New Roman" w:hAnsi="Times New Roman"/>
                <w:color w:val="000000"/>
              </w:rPr>
            </w:pPr>
            <w:r>
              <w:rPr>
                <w:rFonts w:ascii="Times New Roman" w:hAnsi="Times New Roman"/>
                <w:color w:val="000000"/>
              </w:rPr>
              <w:t>第十条</w:t>
            </w:r>
          </w:p>
        </w:tc>
        <w:tc>
          <w:tcPr>
            <w:tcW w:w="4678" w:type="dxa"/>
          </w:tcPr>
          <w:p>
            <w:pPr>
              <w:jc w:val="center"/>
              <w:rPr>
                <w:rFonts w:ascii="Times New Roman" w:hAnsi="Times New Roman"/>
                <w:color w:val="000000"/>
              </w:rPr>
            </w:pPr>
            <w:r>
              <w:rPr>
                <w:rFonts w:ascii="Times New Roman" w:hAnsi="Times New Roman"/>
                <w:color w:val="000000"/>
              </w:rPr>
              <w:t>加强目标考核，严格责任追究</w:t>
            </w:r>
          </w:p>
        </w:tc>
        <w:tc>
          <w:tcPr>
            <w:tcW w:w="2835" w:type="dxa"/>
            <w:vAlign w:val="center"/>
          </w:tcPr>
          <w:p>
            <w:pPr>
              <w:jc w:val="center"/>
              <w:rPr>
                <w:rFonts w:ascii="Times New Roman" w:hAnsi="Times New Roman"/>
                <w:color w:val="000000"/>
              </w:rPr>
            </w:pPr>
          </w:p>
        </w:tc>
        <w:tc>
          <w:tcPr>
            <w:tcW w:w="850" w:type="dxa"/>
          </w:tcPr>
          <w:p>
            <w:pPr>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jc w:val="left"/>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（三十二）明确地方政府主体责任</w:t>
            </w:r>
          </w:p>
        </w:tc>
        <w:tc>
          <w:tcPr>
            <w:tcW w:w="2835" w:type="dxa"/>
            <w:vMerge w:val="restart"/>
            <w:vAlign w:val="center"/>
          </w:tcPr>
          <w:p>
            <w:pPr>
              <w:jc w:val="center"/>
              <w:rPr>
                <w:rFonts w:ascii="Times New Roman" w:hAnsi="Times New Roman"/>
                <w:color w:val="000000"/>
              </w:rPr>
            </w:pPr>
            <w:r>
              <w:rPr>
                <w:rFonts w:ascii="Times New Roman" w:hAnsi="Times New Roman"/>
                <w:color w:val="000000"/>
              </w:rPr>
              <w:t>项目制定了环境管理制度，明确建设单位责任</w:t>
            </w: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jc w:val="left"/>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（三十三）加强部门协调联动</w:t>
            </w:r>
          </w:p>
        </w:tc>
        <w:tc>
          <w:tcPr>
            <w:tcW w:w="2835" w:type="dxa"/>
            <w:vMerge w:val="continue"/>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jc w:val="left"/>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（三十四）落实企业责任</w:t>
            </w:r>
          </w:p>
        </w:tc>
        <w:tc>
          <w:tcPr>
            <w:tcW w:w="2835" w:type="dxa"/>
            <w:vMerge w:val="continue"/>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jc w:val="left"/>
              <w:rPr>
                <w:rFonts w:ascii="Times New Roman" w:hAnsi="Times New Roman"/>
                <w:color w:val="000000"/>
              </w:rPr>
            </w:pPr>
          </w:p>
        </w:tc>
        <w:tc>
          <w:tcPr>
            <w:tcW w:w="4678" w:type="dxa"/>
          </w:tcPr>
          <w:p>
            <w:pPr>
              <w:jc w:val="left"/>
              <w:rPr>
                <w:rFonts w:ascii="Times New Roman" w:hAnsi="Times New Roman"/>
                <w:color w:val="000000"/>
              </w:rPr>
            </w:pPr>
            <w:r>
              <w:rPr>
                <w:rFonts w:ascii="Times New Roman" w:hAnsi="Times New Roman"/>
                <w:color w:val="000000"/>
              </w:rPr>
              <w:t>（三十五）严格评估考核</w:t>
            </w:r>
          </w:p>
        </w:tc>
        <w:tc>
          <w:tcPr>
            <w:tcW w:w="2835" w:type="dxa"/>
            <w:vMerge w:val="continue"/>
          </w:tcPr>
          <w:p>
            <w:pPr>
              <w:jc w:val="center"/>
              <w:rPr>
                <w:rFonts w:ascii="Times New Roman" w:hAnsi="Times New Roman"/>
                <w:color w:val="000000"/>
              </w:rPr>
            </w:pPr>
          </w:p>
        </w:tc>
        <w:tc>
          <w:tcPr>
            <w:tcW w:w="850" w:type="dxa"/>
          </w:tcPr>
          <w:p>
            <w:pPr>
              <w:jc w:val="center"/>
              <w:rPr>
                <w:rFonts w:ascii="Times New Roman" w:hAnsi="Times New Roman"/>
                <w:color w:val="000000"/>
              </w:rPr>
            </w:pPr>
            <w:r>
              <w:rPr>
                <w:rFonts w:ascii="Times New Roman" w:hAnsi="Times New Roman"/>
                <w:color w:val="000000"/>
              </w:rPr>
              <w:t>/</w:t>
            </w:r>
          </w:p>
        </w:tc>
      </w:tr>
    </w:tbl>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r>
        <w:rPr>
          <w:rFonts w:hint="eastAsia" w:ascii="Times New Roman" w:hAnsi="Times New Roman"/>
          <w:sz w:val="24"/>
        </w:rPr>
        <w:t>综上</w:t>
      </w:r>
      <w:r>
        <w:rPr>
          <w:rFonts w:ascii="Times New Roman" w:hAnsi="Times New Roman"/>
          <w:sz w:val="24"/>
        </w:rPr>
        <w:t>所述，项目符合《</w:t>
      </w:r>
      <w:r>
        <w:rPr>
          <w:rFonts w:hint="eastAsia" w:ascii="Times New Roman" w:hAnsi="Times New Roman"/>
          <w:sz w:val="24"/>
        </w:rPr>
        <w:t>土壤</w:t>
      </w:r>
      <w:r>
        <w:rPr>
          <w:rFonts w:ascii="Times New Roman" w:hAnsi="Times New Roman"/>
          <w:sz w:val="24"/>
        </w:rPr>
        <w:t>污染防治行动计划》</w:t>
      </w:r>
      <w:r>
        <w:rPr>
          <w:rFonts w:hint="eastAsia" w:ascii="Times New Roman" w:hAnsi="Times New Roman"/>
          <w:sz w:val="24"/>
        </w:rPr>
        <w:t>“土十条”要求</w:t>
      </w:r>
      <w:r>
        <w:rPr>
          <w:rFonts w:ascii="Times New Roman" w:hAnsi="Times New Roman"/>
          <w:sz w:val="24"/>
        </w:rPr>
        <w:t>。</w:t>
      </w:r>
    </w:p>
    <w:p>
      <w:pPr>
        <w:pStyle w:val="5"/>
        <w:ind w:firstLine="562"/>
        <w:rPr>
          <w:rFonts w:hAnsi="Times New Roman"/>
        </w:rPr>
      </w:pPr>
      <w:bookmarkStart w:id="26" w:name="_Toc2367"/>
      <w:bookmarkStart w:id="27" w:name="_Toc23873"/>
      <w:r>
        <w:rPr>
          <w:rFonts w:hAnsi="Times New Roman"/>
        </w:rPr>
        <w:t>1.4</w:t>
      </w:r>
      <w:r>
        <w:rPr>
          <w:rFonts w:hint="eastAsia" w:hAnsi="Times New Roman"/>
        </w:rPr>
        <w:t>项目</w:t>
      </w:r>
      <w:r>
        <w:rPr>
          <w:rFonts w:hAnsi="Times New Roman"/>
        </w:rPr>
        <w:t>主要关注的环境问题</w:t>
      </w:r>
      <w:bookmarkEnd w:id="26"/>
      <w:bookmarkEnd w:id="27"/>
    </w:p>
    <w:p>
      <w:pPr>
        <w:spacing w:line="360" w:lineRule="auto"/>
        <w:ind w:firstLine="480" w:firstLineChars="200"/>
        <w:rPr>
          <w:rFonts w:ascii="Times New Roman" w:hAnsi="Times New Roman"/>
          <w:sz w:val="24"/>
        </w:rPr>
      </w:pPr>
      <w:r>
        <w:rPr>
          <w:rFonts w:hint="eastAsia" w:ascii="Times New Roman" w:hAnsi="Times New Roman"/>
          <w:sz w:val="24"/>
        </w:rPr>
        <w:t>根据本项目特点、工程分析和现场调查的结果，本项目需关注的主要环境问题如下：</w:t>
      </w:r>
    </w:p>
    <w:p>
      <w:pPr>
        <w:spacing w:line="360" w:lineRule="auto"/>
        <w:ind w:firstLine="480" w:firstLineChars="200"/>
        <w:rPr>
          <w:rFonts w:ascii="Times New Roman" w:hAnsi="Times New Roman"/>
          <w:sz w:val="24"/>
        </w:rPr>
      </w:pPr>
      <w:bookmarkStart w:id="28" w:name="_Toc31293"/>
      <w:r>
        <w:rPr>
          <w:rFonts w:hint="eastAsia" w:ascii="Times New Roman" w:hAnsi="Times New Roman"/>
          <w:sz w:val="24"/>
        </w:rPr>
        <w:t>1、施工期</w:t>
      </w:r>
      <w:bookmarkEnd w:id="28"/>
    </w:p>
    <w:p>
      <w:pPr>
        <w:spacing w:line="360" w:lineRule="auto"/>
        <w:ind w:firstLine="480" w:firstLineChars="200"/>
        <w:rPr>
          <w:rFonts w:ascii="Times New Roman" w:hAnsi="Times New Roman"/>
          <w:sz w:val="24"/>
        </w:rPr>
      </w:pPr>
      <w:r>
        <w:rPr>
          <w:rFonts w:hint="eastAsia" w:ascii="Times New Roman" w:hAnsi="Times New Roman"/>
          <w:sz w:val="24"/>
        </w:rPr>
        <w:t>项目工程施工期主要以短期不利影响为主，主要是对施工废气、施工废水、施工噪声、施工固体废物对项目周边环境敏感地的影响。主要关注以下几个反面的问题及影响：</w:t>
      </w:r>
    </w:p>
    <w:p>
      <w:pPr>
        <w:spacing w:line="360" w:lineRule="auto"/>
        <w:ind w:firstLine="480" w:firstLineChars="200"/>
        <w:rPr>
          <w:rFonts w:ascii="Times New Roman" w:hAnsi="Times New Roman"/>
          <w:sz w:val="24"/>
        </w:rPr>
      </w:pPr>
      <w:r>
        <w:rPr>
          <w:rFonts w:hint="eastAsia" w:ascii="Times New Roman" w:hAnsi="Times New Roman"/>
          <w:sz w:val="24"/>
        </w:rPr>
        <w:t>（1）施工期废气的产生和防治情况，对周边环境保护目标的影响程度和范围，对区域环境空气质量的影响；</w:t>
      </w:r>
    </w:p>
    <w:p>
      <w:pPr>
        <w:spacing w:line="360" w:lineRule="auto"/>
        <w:ind w:firstLine="480" w:firstLineChars="200"/>
        <w:rPr>
          <w:rFonts w:ascii="Times New Roman" w:hAnsi="Times New Roman"/>
          <w:sz w:val="24"/>
        </w:rPr>
      </w:pPr>
      <w:r>
        <w:rPr>
          <w:rFonts w:hint="eastAsia" w:ascii="Times New Roman" w:hAnsi="Times New Roman"/>
          <w:sz w:val="24"/>
        </w:rPr>
        <w:t>（2）施工期废水的产生和治理情况；</w:t>
      </w:r>
    </w:p>
    <w:p>
      <w:pPr>
        <w:spacing w:line="360" w:lineRule="auto"/>
        <w:ind w:firstLine="480" w:firstLineChars="200"/>
        <w:rPr>
          <w:rFonts w:ascii="Times New Roman" w:hAnsi="Times New Roman"/>
          <w:sz w:val="24"/>
        </w:rPr>
      </w:pPr>
      <w:r>
        <w:rPr>
          <w:rFonts w:hint="eastAsia" w:ascii="Times New Roman" w:hAnsi="Times New Roman"/>
          <w:sz w:val="24"/>
        </w:rPr>
        <w:t>（3）施工期噪声的产生和排放情况，其影响范围和程度、对当地声环境质量的影响；</w:t>
      </w:r>
    </w:p>
    <w:p>
      <w:pPr>
        <w:spacing w:line="360" w:lineRule="auto"/>
        <w:ind w:firstLine="480" w:firstLineChars="200"/>
        <w:rPr>
          <w:rFonts w:ascii="Times New Roman" w:hAnsi="Times New Roman"/>
          <w:sz w:val="24"/>
        </w:rPr>
      </w:pPr>
      <w:r>
        <w:rPr>
          <w:rFonts w:hint="eastAsia" w:ascii="Times New Roman" w:hAnsi="Times New Roman"/>
          <w:sz w:val="24"/>
        </w:rPr>
        <w:t>（4）施工期固体废物的产生和处置情况，重点关注其是否能够得到合理妥善的处置；</w:t>
      </w:r>
    </w:p>
    <w:p>
      <w:pPr>
        <w:spacing w:line="360" w:lineRule="auto"/>
        <w:ind w:firstLine="480" w:firstLineChars="200"/>
        <w:rPr>
          <w:rFonts w:ascii="Times New Roman" w:hAnsi="Times New Roman"/>
          <w:sz w:val="24"/>
        </w:rPr>
      </w:pPr>
      <w:r>
        <w:rPr>
          <w:rFonts w:hint="eastAsia" w:ascii="Times New Roman" w:hAnsi="Times New Roman"/>
          <w:sz w:val="24"/>
        </w:rPr>
        <w:t>（5）施工期水土流失防治</w:t>
      </w:r>
    </w:p>
    <w:p>
      <w:pPr>
        <w:spacing w:line="360" w:lineRule="auto"/>
        <w:ind w:firstLine="480" w:firstLineChars="200"/>
        <w:rPr>
          <w:rFonts w:ascii="Times New Roman" w:hAnsi="Times New Roman"/>
          <w:sz w:val="24"/>
        </w:rPr>
      </w:pPr>
      <w:bookmarkStart w:id="29" w:name="_Toc6641"/>
      <w:r>
        <w:rPr>
          <w:rFonts w:hint="eastAsia" w:ascii="Times New Roman" w:hAnsi="Times New Roman"/>
          <w:sz w:val="24"/>
        </w:rPr>
        <w:t>2、运营期</w:t>
      </w:r>
      <w:bookmarkEnd w:id="29"/>
    </w:p>
    <w:p>
      <w:pPr>
        <w:spacing w:line="360" w:lineRule="auto"/>
        <w:ind w:firstLine="480" w:firstLineChars="200"/>
        <w:rPr>
          <w:rFonts w:ascii="Times New Roman" w:hAnsi="Times New Roman"/>
          <w:sz w:val="24"/>
        </w:rPr>
      </w:pPr>
      <w:r>
        <w:rPr>
          <w:rFonts w:hint="eastAsia" w:ascii="Times New Roman" w:hAnsi="Times New Roman"/>
          <w:sz w:val="24"/>
        </w:rPr>
        <w:t>运营期主要分析项目运行对环境产生的不利影响，并提出减缓措施，评价环境可行性。主要关注以下几个方面的问题及影响：</w:t>
      </w:r>
    </w:p>
    <w:p>
      <w:pPr>
        <w:spacing w:line="360" w:lineRule="auto"/>
        <w:ind w:firstLine="480" w:firstLineChars="200"/>
        <w:rPr>
          <w:rFonts w:ascii="Times New Roman" w:hAnsi="Times New Roman"/>
          <w:sz w:val="24"/>
        </w:rPr>
      </w:pPr>
      <w:r>
        <w:rPr>
          <w:rFonts w:hint="eastAsia" w:ascii="Times New Roman" w:hAnsi="Times New Roman"/>
          <w:sz w:val="24"/>
        </w:rPr>
        <w:t>（1）大气环境</w:t>
      </w:r>
    </w:p>
    <w:p>
      <w:pPr>
        <w:spacing w:line="360" w:lineRule="auto"/>
        <w:ind w:firstLine="480" w:firstLineChars="200"/>
        <w:rPr>
          <w:rFonts w:ascii="Times New Roman" w:hAnsi="Times New Roman"/>
          <w:sz w:val="24"/>
        </w:rPr>
      </w:pPr>
      <w:r>
        <w:rPr>
          <w:rFonts w:hint="eastAsia" w:ascii="Times New Roman" w:hAnsi="Times New Roman"/>
          <w:sz w:val="24"/>
        </w:rPr>
        <w:t>重点关注生产废气处置措施。废气达标排放可行性，对区域大气环境及敏感目标的影响程度和范围；</w:t>
      </w:r>
    </w:p>
    <w:p>
      <w:pPr>
        <w:spacing w:line="360" w:lineRule="auto"/>
        <w:ind w:firstLine="480" w:firstLineChars="200"/>
        <w:rPr>
          <w:rFonts w:ascii="Times New Roman" w:hAnsi="Times New Roman"/>
          <w:sz w:val="24"/>
        </w:rPr>
      </w:pPr>
      <w:r>
        <w:rPr>
          <w:rFonts w:hint="eastAsia" w:ascii="Times New Roman" w:hAnsi="Times New Roman"/>
          <w:sz w:val="24"/>
        </w:rPr>
        <w:t>（2）水环境</w:t>
      </w:r>
    </w:p>
    <w:p>
      <w:pPr>
        <w:spacing w:line="360" w:lineRule="auto"/>
        <w:ind w:firstLine="480" w:firstLineChars="200"/>
        <w:rPr>
          <w:rFonts w:ascii="Times New Roman" w:hAnsi="Times New Roman"/>
          <w:sz w:val="24"/>
        </w:rPr>
      </w:pPr>
      <w:r>
        <w:rPr>
          <w:rFonts w:hint="eastAsia" w:ascii="Times New Roman" w:hAnsi="Times New Roman"/>
          <w:sz w:val="24"/>
        </w:rPr>
        <w:t>生产废水、生活污水的处置措施可行性，分析和评价对周边地表水体及地下水的影响；</w:t>
      </w:r>
    </w:p>
    <w:p>
      <w:pPr>
        <w:spacing w:line="360" w:lineRule="auto"/>
        <w:ind w:firstLine="480" w:firstLineChars="200"/>
        <w:rPr>
          <w:rFonts w:ascii="Times New Roman" w:hAnsi="Times New Roman"/>
          <w:sz w:val="24"/>
        </w:rPr>
      </w:pPr>
      <w:r>
        <w:rPr>
          <w:rFonts w:hint="eastAsia" w:ascii="Times New Roman" w:hAnsi="Times New Roman"/>
          <w:sz w:val="24"/>
        </w:rPr>
        <w:t>（3）声环境</w:t>
      </w:r>
    </w:p>
    <w:p>
      <w:pPr>
        <w:spacing w:line="360" w:lineRule="auto"/>
        <w:ind w:firstLine="480" w:firstLineChars="200"/>
        <w:rPr>
          <w:rFonts w:ascii="Times New Roman" w:hAnsi="Times New Roman"/>
          <w:sz w:val="24"/>
        </w:rPr>
      </w:pPr>
      <w:r>
        <w:rPr>
          <w:rFonts w:hint="eastAsia" w:ascii="Times New Roman" w:hAnsi="Times New Roman"/>
          <w:sz w:val="24"/>
        </w:rPr>
        <w:t>主要关注机械设备噪声防治、噪声排放情况，重点关注厂界噪声排放达标情况和对周边敏感点的影响</w:t>
      </w:r>
    </w:p>
    <w:p>
      <w:pPr>
        <w:spacing w:line="360" w:lineRule="auto"/>
        <w:ind w:firstLine="480" w:firstLineChars="200"/>
        <w:rPr>
          <w:rFonts w:ascii="Times New Roman" w:hAnsi="Times New Roman"/>
          <w:sz w:val="24"/>
        </w:rPr>
      </w:pPr>
      <w:r>
        <w:rPr>
          <w:rFonts w:hint="eastAsia" w:ascii="Times New Roman" w:hAnsi="Times New Roman"/>
          <w:sz w:val="24"/>
        </w:rPr>
        <w:t>（4）固体废物</w:t>
      </w:r>
    </w:p>
    <w:p>
      <w:pPr>
        <w:spacing w:line="360" w:lineRule="auto"/>
        <w:ind w:firstLine="480" w:firstLineChars="200"/>
        <w:rPr>
          <w:rFonts w:ascii="Times New Roman" w:hAnsi="Times New Roman"/>
          <w:sz w:val="24"/>
        </w:rPr>
      </w:pPr>
      <w:r>
        <w:rPr>
          <w:rFonts w:hint="eastAsia" w:ascii="Times New Roman" w:hAnsi="Times New Roman"/>
          <w:sz w:val="24"/>
        </w:rPr>
        <w:t>重点关注工业固废和生活垃圾的临时贮存和最终处置的合理性；</w:t>
      </w:r>
    </w:p>
    <w:p>
      <w:pPr>
        <w:spacing w:line="360" w:lineRule="auto"/>
        <w:ind w:firstLine="480" w:firstLineChars="200"/>
        <w:rPr>
          <w:rFonts w:ascii="Times New Roman" w:hAnsi="Times New Roman"/>
          <w:sz w:val="24"/>
        </w:rPr>
      </w:pPr>
      <w:r>
        <w:rPr>
          <w:rFonts w:hint="eastAsia" w:ascii="Times New Roman" w:hAnsi="Times New Roman"/>
          <w:sz w:val="24"/>
        </w:rPr>
        <w:t>（5）环境风险</w:t>
      </w:r>
    </w:p>
    <w:p>
      <w:pPr>
        <w:spacing w:line="360" w:lineRule="auto"/>
        <w:ind w:firstLine="480" w:firstLineChars="200"/>
        <w:rPr>
          <w:rFonts w:ascii="Times New Roman" w:hAnsi="Times New Roman"/>
          <w:sz w:val="24"/>
        </w:rPr>
      </w:pPr>
      <w:r>
        <w:rPr>
          <w:rFonts w:hint="eastAsia" w:ascii="Times New Roman" w:hAnsi="Times New Roman"/>
          <w:sz w:val="24"/>
        </w:rPr>
        <w:t>重点关注项目的环境风险是否可接受，风险防范措施是否符合要求。</w:t>
      </w:r>
    </w:p>
    <w:p>
      <w:pPr>
        <w:pStyle w:val="5"/>
        <w:ind w:firstLine="562"/>
        <w:rPr>
          <w:rFonts w:hAnsi="Times New Roman"/>
        </w:rPr>
      </w:pPr>
      <w:bookmarkStart w:id="30" w:name="_Toc24250"/>
      <w:bookmarkStart w:id="31" w:name="_Toc23843291"/>
      <w:bookmarkStart w:id="32" w:name="_Toc12224"/>
      <w:r>
        <w:rPr>
          <w:rFonts w:hint="eastAsia" w:hAnsi="Times New Roman"/>
        </w:rPr>
        <w:t>1.5环境影响评价的主要结论</w:t>
      </w:r>
      <w:bookmarkEnd w:id="30"/>
      <w:bookmarkEnd w:id="31"/>
      <w:bookmarkEnd w:id="32"/>
    </w:p>
    <w:p>
      <w:pPr>
        <w:spacing w:line="360" w:lineRule="auto"/>
        <w:ind w:firstLine="480" w:firstLineChars="200"/>
        <w:rPr>
          <w:rFonts w:ascii="Times New Roman" w:hAnsi="Times New Roman"/>
          <w:sz w:val="24"/>
        </w:rPr>
      </w:pPr>
      <w:r>
        <w:rPr>
          <w:rFonts w:hint="eastAsia" w:ascii="Times New Roman" w:hAnsi="Times New Roman"/>
          <w:sz w:val="24"/>
        </w:rPr>
        <w:t>本项目位于元谋县工业园区金雷片区，总用地面积为23333.5m</w:t>
      </w:r>
      <w:r>
        <w:rPr>
          <w:rFonts w:hint="eastAsia" w:ascii="Times New Roman" w:hAnsi="Times New Roman"/>
          <w:sz w:val="24"/>
          <w:vertAlign w:val="superscript"/>
        </w:rPr>
        <w:t>2</w:t>
      </w:r>
      <w:r>
        <w:rPr>
          <w:rFonts w:hint="eastAsia" w:ascii="Times New Roman" w:hAnsi="Times New Roman"/>
          <w:sz w:val="24"/>
        </w:rPr>
        <w:t>，建筑占地面积为</w:t>
      </w:r>
      <w:r>
        <w:rPr>
          <w:rFonts w:ascii="Times New Roman" w:hAnsi="Times New Roman"/>
          <w:sz w:val="24"/>
        </w:rPr>
        <w:t>8065.66</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，总建筑面积为</w:t>
      </w:r>
      <w:r>
        <w:rPr>
          <w:rFonts w:ascii="Times New Roman" w:hAnsi="Times New Roman"/>
          <w:sz w:val="24"/>
        </w:rPr>
        <w:t>9780.16</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，包括新建生产车间（含</w:t>
      </w:r>
      <w:r>
        <w:rPr>
          <w:rFonts w:ascii="Times New Roman" w:hAnsi="Times New Roman"/>
          <w:sz w:val="24"/>
        </w:rPr>
        <w:t>成品仓库</w:t>
      </w:r>
      <w:r>
        <w:rPr>
          <w:rFonts w:hint="eastAsia" w:ascii="Times New Roman" w:hAnsi="Times New Roman"/>
          <w:sz w:val="24"/>
        </w:rPr>
        <w:t>）7000m</w:t>
      </w:r>
      <w:r>
        <w:rPr>
          <w:rFonts w:hint="eastAsia" w:ascii="Times New Roman" w:hAnsi="Times New Roman"/>
          <w:sz w:val="24"/>
          <w:vertAlign w:val="superscript"/>
        </w:rPr>
        <w:t>2</w:t>
      </w:r>
      <w:r>
        <w:rPr>
          <w:rFonts w:hint="eastAsia" w:ascii="Times New Roman" w:hAnsi="Times New Roman"/>
          <w:sz w:val="24"/>
        </w:rPr>
        <w:t>、原料仓库192m</w:t>
      </w:r>
      <w:r>
        <w:rPr>
          <w:rFonts w:hint="eastAsia" w:ascii="Times New Roman" w:hAnsi="Times New Roman"/>
          <w:sz w:val="24"/>
          <w:vertAlign w:val="superscript"/>
        </w:rPr>
        <w:t>2</w:t>
      </w:r>
      <w:r>
        <w:rPr>
          <w:rFonts w:hint="eastAsia" w:ascii="Times New Roman" w:hAnsi="Times New Roman"/>
          <w:sz w:val="24"/>
        </w:rPr>
        <w:t>、研发中心</w:t>
      </w:r>
      <w:r>
        <w:rPr>
          <w:rFonts w:ascii="Times New Roman" w:hAnsi="Times New Roman"/>
          <w:sz w:val="24"/>
        </w:rPr>
        <w:t>144.02</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、水泵房</w:t>
      </w:r>
      <w:r>
        <w:rPr>
          <w:rFonts w:ascii="Times New Roman" w:hAnsi="Times New Roman"/>
          <w:sz w:val="24"/>
        </w:rPr>
        <w:t>配电室14.25</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、锅炉房</w:t>
      </w:r>
      <w:r>
        <w:rPr>
          <w:rFonts w:ascii="Times New Roman" w:hAnsi="Times New Roman"/>
          <w:sz w:val="24"/>
        </w:rPr>
        <w:t>120</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、职工宿舍及食堂</w:t>
      </w:r>
      <w:r>
        <w:rPr>
          <w:rFonts w:ascii="Times New Roman" w:hAnsi="Times New Roman"/>
          <w:sz w:val="24"/>
        </w:rPr>
        <w:t>285.61</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、办公楼</w:t>
      </w:r>
      <w:r>
        <w:rPr>
          <w:rFonts w:ascii="Times New Roman" w:hAnsi="Times New Roman"/>
          <w:sz w:val="24"/>
        </w:rPr>
        <w:t>224.42</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、值班室</w:t>
      </w:r>
      <w:r>
        <w:rPr>
          <w:rFonts w:ascii="Times New Roman" w:hAnsi="Times New Roman"/>
          <w:sz w:val="24"/>
        </w:rPr>
        <w:t>23.96m</w:t>
      </w:r>
      <w:r>
        <w:rPr>
          <w:rFonts w:ascii="Times New Roman" w:hAnsi="Times New Roman"/>
          <w:sz w:val="24"/>
          <w:vertAlign w:val="superscript"/>
        </w:rPr>
        <w:t>2</w:t>
      </w:r>
      <w:r>
        <w:rPr>
          <w:rFonts w:hint="eastAsia" w:ascii="Times New Roman" w:hAnsi="Times New Roman"/>
          <w:sz w:val="24"/>
        </w:rPr>
        <w:t>、公厕61.40</w:t>
      </w:r>
      <w:r>
        <w:rPr>
          <w:rFonts w:ascii="Times New Roman" w:hAnsi="Times New Roman"/>
          <w:sz w:val="24"/>
        </w:rPr>
        <w:t>m</w:t>
      </w:r>
      <w:r>
        <w:rPr>
          <w:rFonts w:ascii="Times New Roman" w:hAnsi="Times New Roman"/>
          <w:sz w:val="24"/>
          <w:vertAlign w:val="superscript"/>
        </w:rPr>
        <w:t>2</w:t>
      </w:r>
      <w:r>
        <w:rPr>
          <w:rFonts w:hint="eastAsia" w:ascii="Times New Roman" w:hAnsi="Times New Roman"/>
          <w:sz w:val="24"/>
        </w:rPr>
        <w:t>、食堂位于</w:t>
      </w:r>
      <w:r>
        <w:rPr>
          <w:rFonts w:ascii="Times New Roman" w:hAnsi="Times New Roman"/>
          <w:sz w:val="24"/>
        </w:rPr>
        <w:t>宿舍楼一楼</w:t>
      </w:r>
      <w:r>
        <w:rPr>
          <w:rFonts w:hint="eastAsia" w:ascii="Times New Roman" w:hAnsi="Times New Roman"/>
          <w:sz w:val="24"/>
        </w:rPr>
        <w:t>，并建设环保、消防、节能、道路、绿化等辅助设施。项目主要建设内容为新建年生产10万吨石粉复合纸生产线一条。</w:t>
      </w:r>
    </w:p>
    <w:p>
      <w:pPr>
        <w:spacing w:line="360" w:lineRule="auto"/>
        <w:ind w:firstLine="480" w:firstLineChars="200"/>
        <w:rPr>
          <w:rFonts w:ascii="Times New Roman" w:hAnsi="Times New Roman"/>
          <w:sz w:val="24"/>
        </w:rPr>
      </w:pPr>
      <w:r>
        <w:rPr>
          <w:rFonts w:hint="eastAsia" w:ascii="Times New Roman" w:hAnsi="Times New Roman"/>
          <w:sz w:val="24"/>
        </w:rPr>
        <w:t>运营期产生的废气、废水、固废、噪声采取污染物治理措施可行、可靠，经过对污染物进行防治后对外环境的影响可接受；通过对产生的污染治理，不会改变当地自然环境质量功能；项目采用了比较传统的污染物治理措施，对废物进行综合利用，节约了能源，满足清洁生产要求。</w:t>
      </w:r>
    </w:p>
    <w:p>
      <w:pPr>
        <w:spacing w:line="360" w:lineRule="auto"/>
        <w:ind w:firstLine="480" w:firstLineChars="200"/>
        <w:rPr>
          <w:rFonts w:ascii="Times New Roman" w:hAnsi="Times New Roman"/>
          <w:sz w:val="24"/>
        </w:rPr>
      </w:pPr>
      <w:r>
        <w:rPr>
          <w:rFonts w:hint="eastAsia" w:ascii="Times New Roman" w:hAnsi="Times New Roman"/>
          <w:sz w:val="24"/>
        </w:rPr>
        <w:t>只要建设单位能够认真落实本环评报告中提出的各种治理措施和建议，从环境保护的角度分析，本项目的建设是可行的。</w:t>
      </w:r>
    </w:p>
    <w:p>
      <w:pPr>
        <w:spacing w:line="360" w:lineRule="auto"/>
        <w:ind w:firstLine="480" w:firstLineChars="200"/>
        <w:rPr>
          <w:rFonts w:ascii="Times New Roman" w:hAnsi="Times New Roman"/>
          <w:sz w:val="24"/>
        </w:rPr>
      </w:pPr>
      <w:r>
        <w:rPr>
          <w:rFonts w:hint="eastAsia" w:ascii="Times New Roman" w:hAnsi="Times New Roman"/>
          <w:sz w:val="24"/>
        </w:rPr>
        <w:t>通过对“元谋县佳明包装有限责任公司新建10万吨/年环保新材料石粉复合果蔬包装纸生产线项目”的工程分析及影响分析，评价认为本项目建设与国家现行产业政策不冲突，选址合理、平面布局基本合理，与工业园区产业功能定位、规划环评及审查批复的相关要求相符合，符合环境保护相关政策和法规。</w:t>
      </w:r>
    </w:p>
    <w:p>
      <w:pPr>
        <w:widowControl/>
        <w:jc w:val="left"/>
        <w:rPr>
          <w:rFonts w:ascii="Times New Roman" w:hAnsi="Times New Roman"/>
          <w:sz w:val="24"/>
        </w:rPr>
      </w:pPr>
      <w:r>
        <w:rPr>
          <w:rFonts w:ascii="Times New Roman" w:hAnsi="Times New Roman"/>
          <w:sz w:val="24"/>
        </w:rPr>
        <w:br w:type="page"/>
      </w:r>
    </w:p>
    <w:p>
      <w:pPr>
        <w:pStyle w:val="4"/>
        <w:ind w:firstLine="602"/>
      </w:pPr>
      <w:bookmarkStart w:id="33" w:name="_Toc28896"/>
      <w:bookmarkStart w:id="34" w:name="_Toc23843292"/>
      <w:bookmarkStart w:id="35" w:name="_Toc24655"/>
      <w:r>
        <w:rPr>
          <w:rFonts w:hint="eastAsia"/>
        </w:rPr>
        <w:t>2.总则</w:t>
      </w:r>
      <w:bookmarkEnd w:id="33"/>
      <w:bookmarkEnd w:id="34"/>
      <w:bookmarkEnd w:id="35"/>
    </w:p>
    <w:p>
      <w:pPr>
        <w:pStyle w:val="5"/>
        <w:ind w:firstLine="562"/>
        <w:rPr>
          <w:rFonts w:hAnsi="Times New Roman"/>
          <w:color w:val="FF0000"/>
          <w:szCs w:val="28"/>
        </w:rPr>
      </w:pPr>
      <w:bookmarkStart w:id="36" w:name="_Toc29789"/>
      <w:bookmarkStart w:id="37" w:name="_Toc23843293"/>
      <w:bookmarkStart w:id="38" w:name="_Toc25714"/>
      <w:r>
        <w:rPr>
          <w:rFonts w:hint="eastAsia" w:hAnsi="Times New Roman"/>
          <w:color w:val="FF0000"/>
          <w:szCs w:val="28"/>
        </w:rPr>
        <w:t>2.1编制依据</w:t>
      </w:r>
      <w:bookmarkEnd w:id="36"/>
      <w:bookmarkEnd w:id="37"/>
      <w:bookmarkEnd w:id="38"/>
    </w:p>
    <w:p>
      <w:pPr>
        <w:pStyle w:val="6"/>
        <w:spacing w:line="360" w:lineRule="auto"/>
        <w:ind w:firstLine="482"/>
        <w:rPr>
          <w:rFonts w:ascii="Times New Roman" w:hAnsi="Times New Roman"/>
          <w:color w:val="FF0000"/>
          <w:sz w:val="28"/>
          <w:szCs w:val="28"/>
        </w:rPr>
      </w:pPr>
      <w:bookmarkStart w:id="39" w:name="_Toc23843294"/>
      <w:bookmarkStart w:id="40" w:name="_Toc11464"/>
      <w:r>
        <w:rPr>
          <w:rFonts w:hint="eastAsia" w:ascii="Times New Roman" w:hAnsi="Times New Roman"/>
          <w:color w:val="FF0000"/>
          <w:sz w:val="28"/>
          <w:szCs w:val="28"/>
        </w:rPr>
        <w:t>2.1.1国家环境保护法律、法规和有关文件</w:t>
      </w:r>
      <w:bookmarkEnd w:id="39"/>
      <w:bookmarkEnd w:id="40"/>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（1）《中华人民共和国环境保护法》，2015年1月1日实施；</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（2）《中华人民共和国环境影响评价法》，201</w:t>
      </w:r>
      <w:r>
        <w:rPr>
          <w:rFonts w:ascii="Times New Roman" w:hAnsi="Times New Roman"/>
          <w:color w:val="FF0000"/>
          <w:sz w:val="24"/>
        </w:rPr>
        <w:t>8</w:t>
      </w:r>
      <w:r>
        <w:rPr>
          <w:rFonts w:hint="eastAsia" w:ascii="Times New Roman" w:hAnsi="Times New Roman"/>
          <w:color w:val="FF0000"/>
          <w:sz w:val="24"/>
        </w:rPr>
        <w:t>年</w:t>
      </w:r>
      <w:r>
        <w:rPr>
          <w:rFonts w:ascii="Times New Roman" w:hAnsi="Times New Roman"/>
          <w:color w:val="FF0000"/>
          <w:sz w:val="24"/>
        </w:rPr>
        <w:t>12</w:t>
      </w:r>
      <w:r>
        <w:rPr>
          <w:rFonts w:hint="eastAsia" w:ascii="Times New Roman" w:hAnsi="Times New Roman"/>
          <w:color w:val="FF0000"/>
          <w:sz w:val="24"/>
        </w:rPr>
        <w:t>月</w:t>
      </w:r>
      <w:r>
        <w:rPr>
          <w:rFonts w:ascii="Times New Roman" w:hAnsi="Times New Roman"/>
          <w:color w:val="FF0000"/>
          <w:sz w:val="24"/>
        </w:rPr>
        <w:t>29</w:t>
      </w:r>
      <w:r>
        <w:rPr>
          <w:rFonts w:hint="eastAsia" w:ascii="Times New Roman" w:hAnsi="Times New Roman"/>
          <w:color w:val="FF0000"/>
          <w:sz w:val="24"/>
        </w:rPr>
        <w:t>日；</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（3）《中华人民共和国水污染防治法》，2018年1月1日实施；</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（4）《中华人民共和国大气污染防治法》，2016年1月1日实施；</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（5）《中华人民共和国环境噪声污染防治法》，</w:t>
      </w:r>
      <w:r>
        <w:rPr>
          <w:rFonts w:ascii="Times New Roman" w:hAnsi="Times New Roman"/>
          <w:color w:val="FF0000"/>
          <w:sz w:val="24"/>
        </w:rPr>
        <w:t>2018</w:t>
      </w:r>
      <w:r>
        <w:rPr>
          <w:rFonts w:hint="eastAsia" w:ascii="Times New Roman" w:hAnsi="Times New Roman"/>
          <w:color w:val="FF0000"/>
          <w:sz w:val="24"/>
        </w:rPr>
        <w:t>年</w:t>
      </w:r>
      <w:r>
        <w:rPr>
          <w:rFonts w:ascii="Times New Roman" w:hAnsi="Times New Roman"/>
          <w:color w:val="FF0000"/>
          <w:sz w:val="24"/>
        </w:rPr>
        <w:t>12</w:t>
      </w:r>
      <w:r>
        <w:rPr>
          <w:rFonts w:hint="eastAsia" w:ascii="Times New Roman" w:hAnsi="Times New Roman"/>
          <w:color w:val="FF0000"/>
          <w:sz w:val="24"/>
        </w:rPr>
        <w:t>月</w:t>
      </w:r>
      <w:r>
        <w:rPr>
          <w:rFonts w:ascii="Times New Roman" w:hAnsi="Times New Roman"/>
          <w:color w:val="FF0000"/>
          <w:sz w:val="24"/>
        </w:rPr>
        <w:t>29</w:t>
      </w:r>
      <w:r>
        <w:rPr>
          <w:rFonts w:hint="eastAsia" w:ascii="Times New Roman" w:hAnsi="Times New Roman"/>
          <w:color w:val="FF0000"/>
          <w:sz w:val="24"/>
        </w:rPr>
        <w:t>日；</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（6）《中华人民共和国固体废物污染环境防治法》，2016年1</w:t>
      </w:r>
      <w:r>
        <w:rPr>
          <w:rFonts w:ascii="Times New Roman" w:hAnsi="Times New Roman"/>
          <w:color w:val="FF0000"/>
          <w:sz w:val="24"/>
        </w:rPr>
        <w:t>1</w:t>
      </w:r>
      <w:r>
        <w:rPr>
          <w:rFonts w:hint="eastAsia" w:ascii="Times New Roman" w:hAnsi="Times New Roman"/>
          <w:color w:val="FF0000"/>
          <w:sz w:val="24"/>
        </w:rPr>
        <w:t>月7日；</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（7）《中华人民共和国水法》，2016年7月修订；</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（8）《中华人民共和国水土保持法》，2011年3月；</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（9）《中华人民共和国土地管理法》，2004年8月28日实施；</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（10）《中华人民共和国土壤污染防治法》，2019年1月1日实施；</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（11）《中华人民共和国清洁生产促进法》，2012年7月1日；</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（12）《中华人民共和国安全生产法》，2014年8月修订；</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（13）《中华人民共和国水污染防治法实施细则》，2006年6月；</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（14）《环境影响评价公众参与暂行办法》。（2018年）；</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（15）《建设项目环境影响评价分类管理名录》及修改单，2018年4月28日，生态环境部令第1号；</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（16）《建设项目环境保护管理条例》，2017年7月中华人民共和国国务院令第682号；</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（17）《产业结构调整指导目录（201</w:t>
      </w:r>
      <w:r>
        <w:rPr>
          <w:rFonts w:ascii="Times New Roman" w:hAnsi="Times New Roman"/>
          <w:color w:val="FF0000"/>
          <w:sz w:val="24"/>
        </w:rPr>
        <w:t>9</w:t>
      </w:r>
      <w:r>
        <w:rPr>
          <w:rFonts w:hint="eastAsia" w:ascii="Times New Roman" w:hAnsi="Times New Roman"/>
          <w:color w:val="FF0000"/>
          <w:sz w:val="24"/>
        </w:rPr>
        <w:t>年本）》，</w:t>
      </w:r>
      <w:r>
        <w:rPr>
          <w:rFonts w:ascii="Times New Roman" w:hAnsi="Times New Roman"/>
          <w:color w:val="FF0000"/>
          <w:sz w:val="24"/>
        </w:rPr>
        <w:t>2020</w:t>
      </w:r>
      <w:r>
        <w:rPr>
          <w:rFonts w:hint="eastAsia" w:ascii="Times New Roman" w:hAnsi="Times New Roman"/>
          <w:color w:val="FF0000"/>
          <w:sz w:val="24"/>
        </w:rPr>
        <w:t>年1月1日实施；</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（18）《关于加强环保审批从严控制新开工项目的通知》，（环办函[2006]394号）2006年7月6日，国家环境保护总局办公厅；</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（19）《关于进一步规范环境影响评价工作的通知》，环发[2002]88号；</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（20）《关于进一步加强环境影响评价管理防范环境风险的通知》，环发[2012]77号；</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（21）中华人民共和国国家发展和改革委员会公告2007年第71号《造纸产业发展政策》；</w:t>
      </w:r>
    </w:p>
    <w:p>
      <w:pPr>
        <w:spacing w:line="360" w:lineRule="auto"/>
        <w:ind w:firstLine="480" w:firstLineChars="200"/>
        <w:rPr>
          <w:rFonts w:ascii="Times New Roman" w:hAnsi="Times New Roman"/>
          <w:color w:val="FF0000"/>
          <w:sz w:val="24"/>
        </w:rPr>
      </w:pPr>
      <w:r>
        <w:rPr>
          <w:rFonts w:hint="eastAsia" w:ascii="Times New Roman" w:hAnsi="Times New Roman"/>
          <w:color w:val="FF0000"/>
          <w:sz w:val="24"/>
        </w:rPr>
        <w:t>（22）中华人民共和国国家发展和改革委员会2015年第9号《制浆造纸行业清洁生产评价指标体系》。</w:t>
      </w:r>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（23）</w:t>
      </w:r>
      <w:r>
        <w:rPr>
          <w:rFonts w:ascii="Times New Roman" w:hAnsi="Times New Roman"/>
          <w:color w:val="FF0000"/>
          <w:sz w:val="24"/>
          <w:szCs w:val="24"/>
        </w:rPr>
        <w:t>《大气污染防治行动计划》（简称《大气十条》），2013年9月发行；</w:t>
      </w:r>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（24）</w:t>
      </w:r>
      <w:r>
        <w:rPr>
          <w:rFonts w:ascii="Times New Roman" w:hAnsi="Times New Roman"/>
          <w:color w:val="FF0000"/>
          <w:sz w:val="24"/>
          <w:szCs w:val="24"/>
        </w:rPr>
        <w:t>《水污染防治行动计划》（简称《水十条》），2015年4月发行；</w:t>
      </w:r>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（25）</w:t>
      </w:r>
      <w:r>
        <w:rPr>
          <w:rFonts w:ascii="Times New Roman" w:hAnsi="Times New Roman"/>
          <w:color w:val="FF0000"/>
          <w:sz w:val="24"/>
          <w:szCs w:val="24"/>
        </w:rPr>
        <w:t>《土壤污染防治行动计划》（简称《土十条》），2016年5月发行；</w:t>
      </w:r>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（26）</w:t>
      </w:r>
      <w:r>
        <w:rPr>
          <w:rFonts w:ascii="Times New Roman" w:hAnsi="Times New Roman"/>
          <w:color w:val="FF0000"/>
          <w:sz w:val="24"/>
          <w:szCs w:val="24"/>
        </w:rPr>
        <w:t>《中华人民共和国环境保护税法》（2016年12月25日通过，2018年1月1日起执行）。</w:t>
      </w:r>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（27）</w:t>
      </w:r>
      <w:r>
        <w:rPr>
          <w:rFonts w:ascii="Times New Roman" w:hAnsi="Times New Roman"/>
          <w:color w:val="FF0000"/>
          <w:sz w:val="24"/>
          <w:szCs w:val="24"/>
        </w:rPr>
        <w:t>《环境保护部关于强化建设项目环境影响评价事中事后监管的实施意见》（环环评[201811号]）（2018.1.26）；</w:t>
      </w:r>
    </w:p>
    <w:p>
      <w:pPr>
        <w:spacing w:line="480" w:lineRule="exact"/>
        <w:ind w:firstLine="480" w:firstLineChars="200"/>
        <w:rPr>
          <w:rFonts w:hint="eastAsia" w:ascii="Times New Roman" w:hAnsi="Times New Roman" w:eastAsiaTheme="minorEastAsia"/>
          <w:color w:val="FF0000"/>
          <w:sz w:val="24"/>
          <w:szCs w:val="24"/>
          <w:lang w:eastAsia="zh-CN"/>
        </w:rPr>
      </w:pPr>
      <w:r>
        <w:rPr>
          <w:rFonts w:hint="eastAsia" w:ascii="Times New Roman" w:hAnsi="Times New Roman"/>
          <w:color w:val="FF0000"/>
          <w:sz w:val="24"/>
          <w:szCs w:val="24"/>
        </w:rPr>
        <w:t>（28）</w:t>
      </w:r>
      <w:r>
        <w:rPr>
          <w:rFonts w:ascii="Times New Roman" w:hAnsi="Times New Roman"/>
          <w:color w:val="FF0000"/>
          <w:sz w:val="24"/>
          <w:szCs w:val="24"/>
        </w:rPr>
        <w:t>《环境保护部关于以改善环境质量为核心加强环境影响评价管理的通知》（环环评[2016] 150号）（2016.10.26）</w:t>
      </w:r>
      <w:r>
        <w:rPr>
          <w:rFonts w:hint="eastAsia" w:ascii="Times New Roman" w:hAnsi="Times New Roman"/>
          <w:color w:val="FF0000"/>
          <w:sz w:val="24"/>
          <w:szCs w:val="24"/>
          <w:lang w:eastAsia="zh-CN"/>
        </w:rPr>
        <w:t>。</w:t>
      </w:r>
    </w:p>
    <w:p>
      <w:pPr>
        <w:pStyle w:val="6"/>
        <w:spacing w:line="360" w:lineRule="auto"/>
        <w:ind w:firstLine="482"/>
        <w:rPr>
          <w:rFonts w:ascii="Times New Roman" w:hAnsi="Times New Roman"/>
          <w:color w:val="FF0000"/>
          <w:sz w:val="28"/>
          <w:szCs w:val="28"/>
        </w:rPr>
      </w:pPr>
      <w:bookmarkStart w:id="41" w:name="_Toc23843295"/>
      <w:bookmarkStart w:id="42" w:name="_Toc21237"/>
      <w:r>
        <w:rPr>
          <w:rFonts w:hint="eastAsia" w:ascii="Times New Roman" w:hAnsi="Times New Roman"/>
          <w:color w:val="FF0000"/>
          <w:sz w:val="28"/>
          <w:szCs w:val="28"/>
        </w:rPr>
        <w:t>2.1.2地方法律法规及政策</w:t>
      </w:r>
      <w:bookmarkEnd w:id="41"/>
      <w:bookmarkEnd w:id="42"/>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（1）</w:t>
      </w:r>
      <w:r>
        <w:rPr>
          <w:rFonts w:ascii="Times New Roman" w:hAnsi="Times New Roman"/>
          <w:color w:val="FF0000"/>
          <w:sz w:val="24"/>
          <w:szCs w:val="24"/>
        </w:rPr>
        <w:t>《云南省环境保护条例》（2004年修订）；</w:t>
      </w:r>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（2）</w:t>
      </w:r>
      <w:r>
        <w:rPr>
          <w:rFonts w:ascii="Times New Roman" w:hAnsi="Times New Roman"/>
          <w:color w:val="FF0000"/>
          <w:sz w:val="24"/>
          <w:szCs w:val="24"/>
        </w:rPr>
        <w:t>《云南省建设项目环境保护管理规定》（2017年修订）；</w:t>
      </w:r>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（3）</w:t>
      </w:r>
      <w:r>
        <w:rPr>
          <w:rFonts w:ascii="Times New Roman" w:hAnsi="Times New Roman"/>
          <w:color w:val="FF0000"/>
          <w:sz w:val="24"/>
          <w:szCs w:val="24"/>
        </w:rPr>
        <w:t>云南省质量技术监督局《云南省地方标准用水定额（2019）》（DB53/168-2019）；</w:t>
      </w:r>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（4）</w:t>
      </w:r>
      <w:r>
        <w:rPr>
          <w:rFonts w:ascii="Times New Roman" w:hAnsi="Times New Roman"/>
          <w:color w:val="FF0000"/>
          <w:sz w:val="24"/>
          <w:szCs w:val="24"/>
        </w:rPr>
        <w:t>《云南省地表水水环境功能区划2010～2020年》云环发[2014]34号（2014年04月17日）；</w:t>
      </w:r>
    </w:p>
    <w:p>
      <w:pPr>
        <w:spacing w:line="480" w:lineRule="exact"/>
        <w:ind w:firstLine="480" w:firstLineChars="200"/>
        <w:rPr>
          <w:rFonts w:ascii="Times New Roman" w:hAnsi="Times New Roman"/>
          <w:color w:val="FF0000"/>
          <w:sz w:val="24"/>
          <w:szCs w:val="24"/>
        </w:rPr>
      </w:pPr>
      <w:r>
        <w:rPr>
          <w:rFonts w:hint="eastAsia" w:ascii="Times New Roman" w:hAnsi="Times New Roman"/>
          <w:color w:val="FF0000"/>
          <w:sz w:val="24"/>
          <w:szCs w:val="24"/>
        </w:rPr>
        <w:t>（5）</w:t>
      </w:r>
      <w:r>
        <w:rPr>
          <w:rFonts w:ascii="Times New Roman" w:hAnsi="Times New Roman"/>
          <w:color w:val="FF0000"/>
          <w:sz w:val="24"/>
          <w:szCs w:val="24"/>
        </w:rPr>
        <w:t>《云南省主体功能区规划》</w:t>
      </w:r>
      <w:r>
        <w:rPr>
          <w:rFonts w:hint="eastAsia" w:ascii="Times New Roman" w:hAnsi="Times New Roman"/>
          <w:color w:val="FF0000"/>
          <w:sz w:val="24"/>
          <w:szCs w:val="24"/>
        </w:rPr>
        <w:t>；</w:t>
      </w:r>
    </w:p>
    <w:p>
      <w:pPr>
        <w:spacing w:line="480" w:lineRule="exact"/>
        <w:ind w:firstLine="480" w:firstLineChars="200"/>
        <w:rPr>
          <w:rFonts w:ascii="Times New Roman" w:hAnsi="Times New Roman"/>
          <w:color w:val="FF0000"/>
          <w:sz w:val="24"/>
          <w:szCs w:val="24"/>
        </w:rPr>
      </w:pPr>
      <w:r>
        <w:rPr>
          <w:rFonts w:hint="eastAsia"/>
          <w:color w:val="FF0000"/>
          <w:sz w:val="24"/>
          <w:szCs w:val="24"/>
        </w:rPr>
        <w:t>（6）《云南省打赢蓝天保卫战三年行动实施方案》。</w:t>
      </w:r>
    </w:p>
    <w:p>
      <w:pPr>
        <w:pStyle w:val="6"/>
        <w:spacing w:line="360" w:lineRule="auto"/>
        <w:ind w:firstLine="482"/>
        <w:rPr>
          <w:rFonts w:ascii="Times New Roman" w:hAnsi="Times New Roman"/>
          <w:color w:val="FF0000"/>
          <w:sz w:val="28"/>
          <w:szCs w:val="28"/>
        </w:rPr>
      </w:pPr>
      <w:bookmarkStart w:id="43" w:name="_Toc10899"/>
      <w:r>
        <w:rPr>
          <w:rFonts w:hint="eastAsia" w:ascii="Times New Roman" w:hAnsi="Times New Roman"/>
          <w:color w:val="FF0000"/>
          <w:sz w:val="28"/>
          <w:szCs w:val="28"/>
        </w:rPr>
        <w:t>2.1.3行业</w:t>
      </w:r>
      <w:r>
        <w:rPr>
          <w:rFonts w:ascii="Times New Roman" w:hAnsi="Times New Roman"/>
          <w:color w:val="FF0000"/>
          <w:sz w:val="28"/>
          <w:szCs w:val="28"/>
        </w:rPr>
        <w:t>标准和技术规范</w:t>
      </w:r>
      <w:bookmarkEnd w:id="43"/>
    </w:p>
    <w:p>
      <w:pPr>
        <w:pStyle w:val="16"/>
        <w:rPr>
          <w:rFonts w:hint="default" w:ascii="Times New Roman" w:hAnsi="Times New Roman"/>
        </w:rPr>
      </w:pPr>
      <w:r>
        <w:rPr>
          <w:rFonts w:ascii="Times New Roman" w:hAnsi="Times New Roman"/>
        </w:rPr>
        <w:t>（1）</w:t>
      </w:r>
      <w:r>
        <w:rPr>
          <w:rFonts w:hint="default" w:ascii="Times New Roman" w:hAnsi="Times New Roman"/>
        </w:rPr>
        <w:t>《建设项目环境影响评价技术导则—总纲》（HJ2.1-2016），2017 年 1月 1 日。</w:t>
      </w:r>
    </w:p>
    <w:p>
      <w:pPr>
        <w:pStyle w:val="16"/>
        <w:rPr>
          <w:rFonts w:hint="default" w:ascii="Times New Roman" w:hAnsi="Times New Roman"/>
        </w:rPr>
      </w:pPr>
      <w:r>
        <w:rPr>
          <w:rFonts w:ascii="Times New Roman" w:hAnsi="Times New Roman"/>
        </w:rPr>
        <w:t>（2）</w:t>
      </w:r>
      <w:r>
        <w:rPr>
          <w:rFonts w:hint="default" w:ascii="Times New Roman" w:hAnsi="Times New Roman"/>
        </w:rPr>
        <w:t>《环境影响评价技术导则—大气环境》（HJ2.2-2018），2018年 12月 1日。</w:t>
      </w:r>
    </w:p>
    <w:p>
      <w:pPr>
        <w:pStyle w:val="16"/>
        <w:rPr>
          <w:rFonts w:hint="default" w:ascii="Times New Roman" w:hAnsi="Times New Roman"/>
        </w:rPr>
      </w:pPr>
      <w:r>
        <w:rPr>
          <w:rFonts w:ascii="Times New Roman" w:hAnsi="Times New Roman"/>
        </w:rPr>
        <w:t>（3）</w:t>
      </w:r>
      <w:r>
        <w:rPr>
          <w:rFonts w:hint="default" w:ascii="Times New Roman" w:hAnsi="Times New Roman"/>
        </w:rPr>
        <w:t>《环境影响评价技术导则—地</w:t>
      </w:r>
      <w:r>
        <w:rPr>
          <w:rFonts w:ascii="Times New Roman" w:hAnsi="Times New Roman"/>
        </w:rPr>
        <w:t>表</w:t>
      </w:r>
      <w:r>
        <w:rPr>
          <w:rFonts w:hint="default" w:ascii="Times New Roman" w:hAnsi="Times New Roman"/>
        </w:rPr>
        <w:t>水环境》（HJ</w:t>
      </w:r>
      <w:r>
        <w:rPr>
          <w:rFonts w:ascii="Times New Roman" w:hAnsi="Times New Roman"/>
        </w:rPr>
        <w:t xml:space="preserve"> </w:t>
      </w:r>
      <w:r>
        <w:rPr>
          <w:rFonts w:hint="default" w:ascii="Times New Roman" w:hAnsi="Times New Roman"/>
        </w:rPr>
        <w:t>2.3-2018），2019年3月1日。</w:t>
      </w:r>
    </w:p>
    <w:p>
      <w:pPr>
        <w:pStyle w:val="16"/>
        <w:rPr>
          <w:rFonts w:hint="default" w:ascii="Times New Roman" w:hAnsi="Times New Roman"/>
        </w:rPr>
      </w:pPr>
      <w:r>
        <w:rPr>
          <w:rFonts w:ascii="Times New Roman" w:hAnsi="Times New Roman"/>
        </w:rPr>
        <w:t>（4）</w:t>
      </w:r>
      <w:r>
        <w:rPr>
          <w:rFonts w:hint="default" w:ascii="Times New Roman" w:hAnsi="Times New Roman"/>
        </w:rPr>
        <w:t>《环境影响评价技术导则—声环境》（HJ2.4-2009），2010年4月1日。</w:t>
      </w:r>
    </w:p>
    <w:p>
      <w:pPr>
        <w:pStyle w:val="16"/>
        <w:rPr>
          <w:rFonts w:hint="default" w:ascii="Times New Roman" w:hAnsi="Times New Roman"/>
        </w:rPr>
      </w:pPr>
      <w:r>
        <w:rPr>
          <w:rFonts w:ascii="Times New Roman" w:hAnsi="Times New Roman"/>
        </w:rPr>
        <w:t>（5）</w:t>
      </w:r>
      <w:r>
        <w:rPr>
          <w:rFonts w:hint="default" w:ascii="Times New Roman" w:hAnsi="Times New Roman"/>
        </w:rPr>
        <w:t>《环境影响评价技术导则—地下水环境》（HJ610-2016），2016年1月7日。</w:t>
      </w:r>
    </w:p>
    <w:p>
      <w:pPr>
        <w:pStyle w:val="16"/>
        <w:rPr>
          <w:rFonts w:hint="default" w:ascii="Times New Roman" w:hAnsi="Times New Roman"/>
        </w:rPr>
      </w:pPr>
      <w:r>
        <w:rPr>
          <w:rFonts w:ascii="Times New Roman" w:hAnsi="Times New Roman"/>
        </w:rPr>
        <w:t>（6）</w:t>
      </w:r>
      <w:r>
        <w:rPr>
          <w:rFonts w:hint="default" w:ascii="Times New Roman" w:hAnsi="Times New Roman"/>
        </w:rPr>
        <w:t>《环境影响评价技术导则—生态影响》（HJ19－2011），2011年9月1日。</w:t>
      </w:r>
    </w:p>
    <w:p>
      <w:pPr>
        <w:pStyle w:val="16"/>
        <w:rPr>
          <w:rFonts w:hint="default" w:ascii="Times New Roman" w:hAnsi="Times New Roman"/>
        </w:rPr>
      </w:pPr>
      <w:r>
        <w:rPr>
          <w:rFonts w:ascii="Times New Roman" w:hAnsi="Times New Roman"/>
        </w:rPr>
        <w:t>（7）</w:t>
      </w:r>
      <w:r>
        <w:rPr>
          <w:rFonts w:hint="default" w:ascii="Times New Roman" w:hAnsi="Times New Roman"/>
        </w:rPr>
        <w:t>《环境影响评价技术导则—土壤环境（试行）》（HJ964－2018），2019年7月1日实施。</w:t>
      </w:r>
    </w:p>
    <w:p>
      <w:pPr>
        <w:pStyle w:val="16"/>
        <w:rPr>
          <w:rFonts w:hint="default" w:ascii="Times New Roman" w:hAnsi="Times New Roman"/>
        </w:rPr>
      </w:pPr>
      <w:r>
        <w:rPr>
          <w:rFonts w:ascii="Times New Roman" w:hAnsi="Times New Roman"/>
        </w:rPr>
        <w:t>（8）</w:t>
      </w:r>
      <w:r>
        <w:rPr>
          <w:rFonts w:hint="default" w:ascii="Times New Roman" w:hAnsi="Times New Roman"/>
        </w:rPr>
        <w:t>《建设项目环境风险评价技术导则》（HJ</w:t>
      </w:r>
      <w:r>
        <w:rPr>
          <w:rFonts w:ascii="Times New Roman" w:hAnsi="Times New Roman"/>
        </w:rPr>
        <w:t xml:space="preserve"> </w:t>
      </w:r>
      <w:r>
        <w:rPr>
          <w:rFonts w:hint="default" w:ascii="Times New Roman" w:hAnsi="Times New Roman"/>
        </w:rPr>
        <w:t>169-2018），2019年3月1日。</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（9）</w:t>
      </w:r>
      <w:r>
        <w:rPr>
          <w:rFonts w:ascii="Times New Roman" w:hAnsi="Times New Roman"/>
          <w:color w:val="FF0000"/>
          <w:sz w:val="24"/>
          <w:szCs w:val="24"/>
        </w:rPr>
        <w:t>《源强污染源源强核算技术指南 准则》（HJ884-2018）；</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w:t>
      </w:r>
      <w:r>
        <w:rPr>
          <w:rFonts w:ascii="Times New Roman" w:hAnsi="Times New Roman"/>
          <w:color w:val="FF0000"/>
          <w:sz w:val="24"/>
          <w:szCs w:val="24"/>
        </w:rPr>
        <w:t>10</w:t>
      </w:r>
      <w:r>
        <w:rPr>
          <w:rFonts w:hint="eastAsia" w:ascii="Times New Roman" w:hAnsi="Times New Roman"/>
          <w:color w:val="FF0000"/>
          <w:sz w:val="24"/>
          <w:szCs w:val="24"/>
        </w:rPr>
        <w:t>）《制浆造纸废水治理工程技术规范》（HJ2011-2012）；</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（11）《造纸行业排污许可申请与核发技术规范》；</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（12）《制浆造纸工业污染防治可行技术指南》（HJ2302-2018）；</w:t>
      </w:r>
    </w:p>
    <w:p>
      <w:pPr>
        <w:pStyle w:val="6"/>
        <w:spacing w:line="360" w:lineRule="auto"/>
        <w:ind w:firstLine="482"/>
        <w:rPr>
          <w:rFonts w:ascii="Times New Roman" w:hAnsi="Times New Roman"/>
          <w:color w:val="FF0000"/>
          <w:sz w:val="28"/>
          <w:szCs w:val="28"/>
        </w:rPr>
      </w:pPr>
      <w:bookmarkStart w:id="44" w:name="_Toc11831"/>
      <w:r>
        <w:rPr>
          <w:rFonts w:hint="eastAsia" w:ascii="Times New Roman" w:hAnsi="Times New Roman"/>
          <w:color w:val="FF0000"/>
          <w:sz w:val="28"/>
          <w:szCs w:val="28"/>
        </w:rPr>
        <w:t>2.1.4委托</w:t>
      </w:r>
      <w:r>
        <w:rPr>
          <w:rFonts w:ascii="Times New Roman" w:hAnsi="Times New Roman"/>
          <w:color w:val="FF0000"/>
          <w:sz w:val="28"/>
          <w:szCs w:val="28"/>
        </w:rPr>
        <w:t>、相关文件及技术资料</w:t>
      </w:r>
      <w:bookmarkEnd w:id="44"/>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（1）项目环评委托书</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（2）营业执照</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（3）投资备案证</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（4）项目选址意见书</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（5）项目施工设计图</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（6）元谋工业园区修编</w:t>
      </w:r>
      <w:r>
        <w:rPr>
          <w:rFonts w:ascii="Times New Roman" w:hAnsi="Times New Roman"/>
          <w:color w:val="FF0000"/>
          <w:sz w:val="24"/>
          <w:szCs w:val="24"/>
        </w:rPr>
        <w:t>（</w:t>
      </w:r>
      <w:r>
        <w:rPr>
          <w:rFonts w:hint="eastAsia" w:ascii="Times New Roman" w:hAnsi="Times New Roman"/>
          <w:color w:val="FF0000"/>
          <w:sz w:val="24"/>
          <w:szCs w:val="24"/>
        </w:rPr>
        <w:t>2018</w:t>
      </w:r>
      <w:r>
        <w:rPr>
          <w:rFonts w:ascii="Times New Roman" w:hAnsi="Times New Roman"/>
          <w:color w:val="FF0000"/>
          <w:sz w:val="24"/>
          <w:szCs w:val="24"/>
        </w:rPr>
        <w:t>-2025）</w:t>
      </w:r>
      <w:r>
        <w:rPr>
          <w:rFonts w:hint="eastAsia" w:ascii="Times New Roman" w:hAnsi="Times New Roman"/>
          <w:color w:val="FF0000"/>
          <w:sz w:val="24"/>
          <w:szCs w:val="24"/>
        </w:rPr>
        <w:t>总体规划审查意见</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（7）初步设计报告</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（8）可行性研究报告</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（9）评价标准确认函</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（10）现状监测报告</w:t>
      </w:r>
    </w:p>
    <w:p>
      <w:pPr>
        <w:pStyle w:val="5"/>
        <w:ind w:firstLine="562"/>
        <w:rPr>
          <w:rFonts w:hAnsi="Times New Roman"/>
        </w:rPr>
      </w:pPr>
      <w:bookmarkStart w:id="45" w:name="_Toc23843298"/>
      <w:bookmarkStart w:id="46" w:name="_Toc27081"/>
      <w:bookmarkStart w:id="47" w:name="_Toc2302"/>
      <w:r>
        <w:rPr>
          <w:rFonts w:hint="eastAsia" w:hAnsi="Times New Roman"/>
        </w:rPr>
        <w:t>2.2评价目的、指导思想和评价原则</w:t>
      </w:r>
      <w:bookmarkEnd w:id="45"/>
      <w:bookmarkEnd w:id="46"/>
      <w:bookmarkEnd w:id="47"/>
    </w:p>
    <w:p>
      <w:pPr>
        <w:pStyle w:val="6"/>
        <w:spacing w:line="360" w:lineRule="auto"/>
        <w:ind w:firstLine="482"/>
        <w:rPr>
          <w:rFonts w:ascii="Times New Roman" w:hAnsi="Times New Roman"/>
          <w:sz w:val="28"/>
          <w:szCs w:val="28"/>
        </w:rPr>
      </w:pPr>
      <w:bookmarkStart w:id="48" w:name="_Toc23843299"/>
      <w:bookmarkStart w:id="49" w:name="_Toc30726"/>
      <w:r>
        <w:rPr>
          <w:rFonts w:hint="eastAsia" w:ascii="Times New Roman" w:hAnsi="Times New Roman"/>
          <w:sz w:val="28"/>
          <w:szCs w:val="28"/>
        </w:rPr>
        <w:t>2.2.1评价目的</w:t>
      </w:r>
      <w:bookmarkEnd w:id="48"/>
      <w:bookmarkEnd w:id="49"/>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通过对建设项目所在区域环境现状的调查，掌握评价区域内环境质量现状及环境特征。结合建设项目的污染物排放情况及项目所在地环境功能，分析工程建设及运行所产生的废水、废气、噪声和固体废物等污染物对当地地表水、地下水环境、环境空气、声环境、生态环境以及环境保护目标可能造成的影响范围和程度。从环境保护的角度，论证其建设的可行性，为项目实现合理布局、优化设计提供科学依据，使其实施后对环境的影响程度降到最低，最大限度减少工程各种污染物的排放量，降低工程对环境及环境保护目标的不利影响。从而能科学地制定减少污染，加强保护环境的对策，为项目建设的设计方案、工程实施和主管部门的决策管理提供科学依据。</w:t>
      </w:r>
    </w:p>
    <w:p>
      <w:pPr>
        <w:pStyle w:val="6"/>
        <w:spacing w:line="360" w:lineRule="auto"/>
        <w:ind w:firstLine="482"/>
        <w:rPr>
          <w:rFonts w:ascii="Times New Roman" w:hAnsi="Times New Roman"/>
          <w:sz w:val="28"/>
          <w:szCs w:val="28"/>
        </w:rPr>
      </w:pPr>
      <w:bookmarkStart w:id="50" w:name="_Toc23843300"/>
      <w:bookmarkStart w:id="51" w:name="_Toc23433"/>
      <w:r>
        <w:rPr>
          <w:rFonts w:hint="eastAsia" w:ascii="Times New Roman" w:hAnsi="Times New Roman"/>
          <w:sz w:val="28"/>
          <w:szCs w:val="28"/>
        </w:rPr>
        <w:t>2.2.2指导思想</w:t>
      </w:r>
      <w:bookmarkEnd w:id="50"/>
      <w:bookmarkEnd w:id="51"/>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（1）评价工作贯彻执行“污染防治”、“达标排放”、“污染物总量控制”的原则；</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（2）认真做好建设项目的工程分析，通过环境影响预测，分析建设项目对周围环境的影响程度和范围；</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（3）评价以实现发展经济，同时必须保护环境为指导思想，强调科学性、合法性、实用性。</w:t>
      </w:r>
    </w:p>
    <w:p>
      <w:pPr>
        <w:pStyle w:val="6"/>
        <w:spacing w:line="360" w:lineRule="auto"/>
        <w:ind w:firstLine="482"/>
        <w:rPr>
          <w:rFonts w:ascii="Times New Roman" w:hAnsi="Times New Roman"/>
          <w:sz w:val="28"/>
          <w:szCs w:val="28"/>
        </w:rPr>
      </w:pPr>
      <w:bookmarkStart w:id="52" w:name="_Toc23843301"/>
      <w:bookmarkStart w:id="53" w:name="_Toc21277"/>
      <w:r>
        <w:rPr>
          <w:rFonts w:hint="eastAsia" w:ascii="Times New Roman" w:hAnsi="Times New Roman"/>
          <w:sz w:val="28"/>
          <w:szCs w:val="28"/>
        </w:rPr>
        <w:t>2.2.3评价原则</w:t>
      </w:r>
      <w:bookmarkEnd w:id="52"/>
      <w:bookmarkEnd w:id="53"/>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根据项目的建设内容和生产工艺特点，结合项目所在地的环境状况及环境保护的政策法规，本项目环评将遵循以下原则：</w:t>
      </w: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（1）依法评价</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贯彻执行我国环境保护相关法律法规、标准、政策和规划等，优化项目建设，服务环境管理。</w:t>
      </w: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（2）科学评价</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规范环境影响评价方法，科学分析项目建设对环境质量的影响。</w:t>
      </w: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（3）突出重点</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根据建设项目的工程内容及其特点，明确环境要素间的左右效应关系，根据规划环境影响评价结论和审查意见，充分利用符合时效的数据资料及成果，对建设项目主要环境影响予以重点分析和评价。</w:t>
      </w:r>
    </w:p>
    <w:p>
      <w:pPr>
        <w:pStyle w:val="5"/>
        <w:ind w:firstLine="562"/>
        <w:rPr>
          <w:rFonts w:hAnsi="Times New Roman"/>
        </w:rPr>
      </w:pPr>
      <w:bookmarkStart w:id="54" w:name="_Toc23843302"/>
      <w:bookmarkStart w:id="55" w:name="_Toc16593"/>
      <w:bookmarkStart w:id="56" w:name="_Toc10814"/>
      <w:r>
        <w:rPr>
          <w:rFonts w:hint="eastAsia" w:hAnsi="Times New Roman"/>
        </w:rPr>
        <w:t>2.3评价因子和评价标准</w:t>
      </w:r>
      <w:bookmarkEnd w:id="54"/>
      <w:bookmarkEnd w:id="55"/>
      <w:bookmarkEnd w:id="56"/>
    </w:p>
    <w:p>
      <w:pPr>
        <w:pStyle w:val="5"/>
        <w:ind w:firstLine="562"/>
        <w:rPr>
          <w:rFonts w:hAnsi="Times New Roman"/>
          <w:sz w:val="24"/>
          <w:szCs w:val="24"/>
        </w:rPr>
      </w:pPr>
      <w:bookmarkStart w:id="57" w:name="_Toc23843303"/>
      <w:bookmarkStart w:id="58" w:name="_Toc12547"/>
      <w:bookmarkStart w:id="59" w:name="_Toc16048"/>
      <w:r>
        <w:rPr>
          <w:rFonts w:hint="eastAsia" w:hAnsi="Times New Roman"/>
          <w:sz w:val="24"/>
          <w:szCs w:val="24"/>
        </w:rPr>
        <w:t>2.3.1环境影响因素识别</w:t>
      </w:r>
      <w:bookmarkEnd w:id="57"/>
      <w:bookmarkEnd w:id="58"/>
      <w:bookmarkEnd w:id="59"/>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1、环境对项目的制约因素分析</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环境条件对本项目的主要制约因素为：气候资源、地形地貌、环境质量现状、人群分布等。区域环境对项目的制约分析见表2.3-1。</w:t>
      </w: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表2.3-1   区域环境对工程的制约因素分析</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rPr>
                <w:b/>
              </w:rPr>
            </w:pPr>
            <w:r>
              <w:rPr>
                <w:rFonts w:hint="eastAsia" w:hAnsi="宋体"/>
                <w:b/>
              </w:rPr>
              <w:t>环境要素</w:t>
            </w:r>
          </w:p>
        </w:tc>
        <w:tc>
          <w:tcPr>
            <w:tcW w:w="4261" w:type="dxa"/>
            <w:vAlign w:val="center"/>
          </w:tcPr>
          <w:p>
            <w:pPr>
              <w:spacing w:line="240" w:lineRule="atLeast"/>
              <w:jc w:val="center"/>
              <w:rPr>
                <w:b/>
              </w:rPr>
            </w:pPr>
            <w:r>
              <w:rPr>
                <w:rFonts w:hint="eastAsia" w:hAnsi="宋体"/>
                <w:b/>
              </w:rPr>
              <w:t>对工程的制约程度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气候资源</w:t>
            </w:r>
          </w:p>
        </w:tc>
        <w:tc>
          <w:tcPr>
            <w:tcW w:w="4261" w:type="dxa"/>
            <w:vAlign w:val="center"/>
          </w:tcPr>
          <w:p>
            <w:pPr>
              <w:spacing w:line="240" w:lineRule="atLeast"/>
              <w:jc w:val="center"/>
            </w:pPr>
            <w:r>
              <w:rPr>
                <w:rFonts w:hint="eastAsia" w:hAnsi="宋体"/>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地形地貌</w:t>
            </w:r>
          </w:p>
        </w:tc>
        <w:tc>
          <w:tcPr>
            <w:tcW w:w="4261" w:type="dxa"/>
            <w:vAlign w:val="center"/>
          </w:tcPr>
          <w:p>
            <w:pPr>
              <w:spacing w:line="240" w:lineRule="atLeast"/>
              <w:jc w:val="center"/>
            </w:pPr>
            <w:r>
              <w:rPr>
                <w:rFonts w:hint="eastAsia" w:hAnsi="宋体"/>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土地资源</w:t>
            </w:r>
          </w:p>
        </w:tc>
        <w:tc>
          <w:tcPr>
            <w:tcW w:w="4261" w:type="dxa"/>
            <w:vAlign w:val="center"/>
          </w:tcPr>
          <w:p>
            <w:pPr>
              <w:spacing w:line="240" w:lineRule="atLeast"/>
              <w:jc w:val="center"/>
            </w:pPr>
            <w:r>
              <w:rPr>
                <w:rFonts w:hint="eastAsia" w:hAnsi="宋体"/>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地址条件</w:t>
            </w:r>
          </w:p>
        </w:tc>
        <w:tc>
          <w:tcPr>
            <w:tcW w:w="4261" w:type="dxa"/>
            <w:vAlign w:val="center"/>
          </w:tcPr>
          <w:p>
            <w:pPr>
              <w:spacing w:line="240" w:lineRule="atLeast"/>
              <w:jc w:val="center"/>
            </w:pPr>
            <w:r>
              <w:rPr>
                <w:rFonts w:hint="eastAsia" w:hAnsi="宋体"/>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生物资源</w:t>
            </w:r>
          </w:p>
        </w:tc>
        <w:tc>
          <w:tcPr>
            <w:tcW w:w="4261" w:type="dxa"/>
            <w:vAlign w:val="center"/>
          </w:tcPr>
          <w:p>
            <w:pPr>
              <w:spacing w:line="240" w:lineRule="atLeast"/>
              <w:jc w:val="center"/>
            </w:pPr>
            <w:r>
              <w:rPr>
                <w:rFonts w:hint="eastAsia" w:hAnsi="宋体"/>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矿石资源</w:t>
            </w:r>
          </w:p>
        </w:tc>
        <w:tc>
          <w:tcPr>
            <w:tcW w:w="4261" w:type="dxa"/>
            <w:vAlign w:val="center"/>
          </w:tcPr>
          <w:p>
            <w:pPr>
              <w:spacing w:line="240" w:lineRule="atLeast"/>
              <w:jc w:val="center"/>
            </w:pPr>
            <w:r>
              <w:rPr>
                <w:rFonts w:hint="eastAsia" w:hAnsi="宋体"/>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地表水水文</w:t>
            </w:r>
          </w:p>
        </w:tc>
        <w:tc>
          <w:tcPr>
            <w:tcW w:w="4261" w:type="dxa"/>
            <w:vAlign w:val="center"/>
          </w:tcPr>
          <w:p>
            <w:pPr>
              <w:spacing w:line="240" w:lineRule="atLeast"/>
              <w:jc w:val="center"/>
            </w:pPr>
            <w:r>
              <w:rPr>
                <w:rFonts w:hint="eastAsia" w:hAnsi="宋体"/>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地下水环境</w:t>
            </w:r>
          </w:p>
        </w:tc>
        <w:tc>
          <w:tcPr>
            <w:tcW w:w="4261" w:type="dxa"/>
            <w:vAlign w:val="center"/>
          </w:tcPr>
          <w:p>
            <w:pPr>
              <w:spacing w:line="240" w:lineRule="atLeast"/>
              <w:jc w:val="center"/>
            </w:pPr>
            <w:r>
              <w:rPr>
                <w:rFonts w:hint="eastAsia" w:hAnsi="宋体"/>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地表水水质</w:t>
            </w:r>
          </w:p>
        </w:tc>
        <w:tc>
          <w:tcPr>
            <w:tcW w:w="4261" w:type="dxa"/>
            <w:vAlign w:val="center"/>
          </w:tcPr>
          <w:p>
            <w:pPr>
              <w:spacing w:line="240" w:lineRule="atLeast"/>
              <w:jc w:val="center"/>
            </w:pPr>
            <w:r>
              <w:rPr>
                <w:rFonts w:hint="eastAsia" w:hAnsi="宋体"/>
              </w:rPr>
              <w:t>中度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环境空气质量</w:t>
            </w:r>
          </w:p>
        </w:tc>
        <w:tc>
          <w:tcPr>
            <w:tcW w:w="4261" w:type="dxa"/>
            <w:vAlign w:val="center"/>
          </w:tcPr>
          <w:p>
            <w:pPr>
              <w:spacing w:line="240" w:lineRule="atLeast"/>
              <w:jc w:val="center"/>
            </w:pPr>
            <w:r>
              <w:rPr>
                <w:rFonts w:hint="eastAsia" w:hAnsi="宋体"/>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tLeast"/>
              <w:jc w:val="center"/>
            </w:pPr>
            <w:r>
              <w:rPr>
                <w:rFonts w:hint="eastAsia" w:hAnsi="宋体"/>
              </w:rPr>
              <w:t>声环境质量</w:t>
            </w:r>
          </w:p>
        </w:tc>
        <w:tc>
          <w:tcPr>
            <w:tcW w:w="4261" w:type="dxa"/>
            <w:vAlign w:val="center"/>
          </w:tcPr>
          <w:p>
            <w:pPr>
              <w:spacing w:line="240" w:lineRule="atLeast"/>
              <w:jc w:val="center"/>
            </w:pPr>
            <w:r>
              <w:rPr>
                <w:rFonts w:hint="eastAsia" w:hAnsi="宋体"/>
              </w:rPr>
              <w:t>轻度</w:t>
            </w:r>
          </w:p>
        </w:tc>
      </w:tr>
    </w:tbl>
    <w:p>
      <w:pPr>
        <w:spacing w:line="360" w:lineRule="auto"/>
        <w:ind w:firstLine="482"/>
        <w:rPr>
          <w:rFonts w:ascii="Times New Roman" w:hAnsi="Times New Roman"/>
          <w:color w:val="000000"/>
          <w:sz w:val="24"/>
          <w:szCs w:val="24"/>
        </w:rPr>
      </w:pP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2、工程项目对环境影响的要素识别</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通过对项目工程行为、工程内容的调查分析。对其大气环境、声环境、水环境可能产生的影响，建立了主要环境影响因素识别矩阵，详见表2.3-2。</w:t>
      </w: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表2.3-2    工程项目对环境要素影响分析</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Borders>
              <w:top w:val="single" w:color="auto" w:sz="12" w:space="0"/>
              <w:left w:val="single" w:color="auto" w:sz="12" w:space="0"/>
              <w:tl2br w:val="single" w:color="auto" w:sz="4" w:space="0"/>
            </w:tcBorders>
            <w:vAlign w:val="center"/>
          </w:tcPr>
          <w:p>
            <w:pPr>
              <w:spacing w:line="240" w:lineRule="atLeast"/>
              <w:ind w:firstLine="1265" w:firstLineChars="600"/>
              <w:jc w:val="center"/>
              <w:rPr>
                <w:rFonts w:ascii="Times New Roman" w:hAnsi="Times New Roman"/>
                <w:b/>
                <w:szCs w:val="21"/>
              </w:rPr>
            </w:pPr>
            <w:r>
              <w:rPr>
                <w:rFonts w:hint="eastAsia" w:ascii="Times New Roman" w:hAnsi="Times New Roman"/>
                <w:b/>
                <w:szCs w:val="21"/>
              </w:rPr>
              <w:t>评价时段</w:t>
            </w:r>
          </w:p>
          <w:p>
            <w:pPr>
              <w:spacing w:line="240" w:lineRule="atLeast"/>
              <w:rPr>
                <w:rFonts w:ascii="Times New Roman" w:hAnsi="Times New Roman"/>
                <w:b/>
                <w:szCs w:val="21"/>
              </w:rPr>
            </w:pPr>
            <w:r>
              <w:rPr>
                <w:rFonts w:hint="eastAsia" w:ascii="Times New Roman" w:hAnsi="Times New Roman"/>
                <w:b/>
                <w:szCs w:val="21"/>
              </w:rPr>
              <w:t>环境要素</w:t>
            </w:r>
          </w:p>
        </w:tc>
        <w:tc>
          <w:tcPr>
            <w:tcW w:w="5682" w:type="dxa"/>
            <w:gridSpan w:val="2"/>
            <w:tcBorders>
              <w:top w:val="single" w:color="auto" w:sz="12" w:space="0"/>
              <w:right w:val="single" w:color="auto" w:sz="12" w:space="0"/>
            </w:tcBorders>
            <w:vAlign w:val="center"/>
          </w:tcPr>
          <w:p>
            <w:pPr>
              <w:spacing w:line="240" w:lineRule="atLeast"/>
              <w:jc w:val="center"/>
              <w:rPr>
                <w:rFonts w:ascii="Times New Roman" w:hAnsi="Times New Roman"/>
                <w:b/>
                <w:szCs w:val="21"/>
              </w:rPr>
            </w:pPr>
            <w:r>
              <w:rPr>
                <w:rFonts w:hint="eastAsia" w:ascii="Times New Roman" w:hAnsi="Times New Roman"/>
                <w:b/>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left w:val="single" w:color="auto" w:sz="12" w:space="0"/>
            </w:tcBorders>
            <w:vAlign w:val="center"/>
          </w:tcPr>
          <w:p>
            <w:pPr>
              <w:spacing w:line="240" w:lineRule="atLeast"/>
              <w:jc w:val="center"/>
              <w:rPr>
                <w:rFonts w:ascii="Times New Roman" w:hAnsi="Times New Roman"/>
                <w:szCs w:val="21"/>
              </w:rPr>
            </w:pP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施工期</w:t>
            </w:r>
          </w:p>
        </w:tc>
        <w:tc>
          <w:tcPr>
            <w:tcW w:w="2841" w:type="dxa"/>
            <w:tcBorders>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lef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环境空气</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-1</w:t>
            </w:r>
          </w:p>
        </w:tc>
        <w:tc>
          <w:tcPr>
            <w:tcW w:w="2841" w:type="dxa"/>
            <w:tcBorders>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lef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地表水</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-1</w:t>
            </w:r>
          </w:p>
        </w:tc>
        <w:tc>
          <w:tcPr>
            <w:tcW w:w="2841" w:type="dxa"/>
            <w:tcBorders>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lef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地下水</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0</w:t>
            </w:r>
          </w:p>
        </w:tc>
        <w:tc>
          <w:tcPr>
            <w:tcW w:w="2841" w:type="dxa"/>
            <w:tcBorders>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lef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声环境</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-1</w:t>
            </w:r>
          </w:p>
        </w:tc>
        <w:tc>
          <w:tcPr>
            <w:tcW w:w="2841" w:type="dxa"/>
            <w:tcBorders>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left w:val="single" w:color="auto" w:sz="12" w:space="0"/>
              <w:bottom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水土流失</w:t>
            </w:r>
          </w:p>
        </w:tc>
        <w:tc>
          <w:tcPr>
            <w:tcW w:w="2841" w:type="dxa"/>
            <w:tcBorders>
              <w:bottom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2841" w:type="dxa"/>
            <w:tcBorders>
              <w:bottom w:val="single" w:color="auto" w:sz="12"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-1</w:t>
            </w:r>
          </w:p>
        </w:tc>
      </w:tr>
    </w:tbl>
    <w:p>
      <w:pPr>
        <w:ind w:firstLine="480"/>
        <w:rPr>
          <w:rFonts w:ascii="Times New Roman" w:hAnsi="Times New Roman"/>
          <w:szCs w:val="21"/>
        </w:rPr>
      </w:pPr>
      <w:r>
        <w:rPr>
          <w:rFonts w:hint="eastAsia" w:ascii="Times New Roman" w:hAnsi="Times New Roman"/>
          <w:szCs w:val="21"/>
        </w:rPr>
        <w:t>注：0表示无影响，1表示轻微影响，2表示中度影响；+/-表示有利影响/不利影响</w:t>
      </w: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3、环境要素识别</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根据环境对工程建设的制约、工程建设对环境的影响分析，识别出评价需考虑的环境要素如下：</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（1）环境空气质量影响；</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（2）地表水环境质量影响；</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（3）地下水环境质量影响</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（4）声环境影响；</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（5）固体废物环境影响分析；</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（6）生态环境影响；</w:t>
      </w:r>
    </w:p>
    <w:p>
      <w:pPr>
        <w:pStyle w:val="2"/>
        <w:spacing w:before="0" w:beforeLines="0"/>
      </w:pPr>
      <w:r>
        <w:rPr>
          <w:rFonts w:hint="eastAsia" w:ascii="Times New Roman" w:hAnsi="Times New Roman" w:eastAsiaTheme="minorEastAsia"/>
          <w:bCs w:val="0"/>
          <w:szCs w:val="24"/>
        </w:rPr>
        <w:t>（</w:t>
      </w:r>
      <w:r>
        <w:rPr>
          <w:rFonts w:hint="eastAsia" w:ascii="Times New Roman" w:hAnsi="Times New Roman"/>
          <w:szCs w:val="24"/>
        </w:rPr>
        <w:t>7）土壤环境影响分析</w:t>
      </w:r>
    </w:p>
    <w:p>
      <w:pPr>
        <w:pStyle w:val="5"/>
        <w:ind w:firstLine="562"/>
        <w:rPr>
          <w:rFonts w:hAnsi="Times New Roman"/>
          <w:sz w:val="24"/>
          <w:szCs w:val="24"/>
        </w:rPr>
      </w:pPr>
      <w:bookmarkStart w:id="60" w:name="_Toc28418"/>
      <w:bookmarkStart w:id="61" w:name="_Toc23843304"/>
      <w:bookmarkStart w:id="62" w:name="_Toc31113"/>
      <w:r>
        <w:rPr>
          <w:rFonts w:hint="eastAsia" w:hAnsi="Times New Roman"/>
          <w:sz w:val="24"/>
          <w:szCs w:val="24"/>
        </w:rPr>
        <w:t>2.3.2评价因子筛选</w:t>
      </w:r>
      <w:bookmarkEnd w:id="60"/>
      <w:bookmarkEnd w:id="61"/>
      <w:bookmarkEnd w:id="62"/>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（1）根据项目的污染物排放特征，结合项目周围的环境现状，经环境影响因素识别筛选确定本评价因子筛选结果见表2.3-3。</w:t>
      </w:r>
    </w:p>
    <w:p>
      <w:pPr>
        <w:spacing w:line="360" w:lineRule="auto"/>
        <w:ind w:firstLine="482"/>
        <w:jc w:val="center"/>
        <w:rPr>
          <w:rFonts w:ascii="Times New Roman" w:hAnsi="Times New Roman"/>
          <w:b/>
          <w:color w:val="FF0000"/>
          <w:sz w:val="24"/>
          <w:szCs w:val="24"/>
        </w:rPr>
      </w:pPr>
      <w:r>
        <w:rPr>
          <w:rFonts w:hint="eastAsia" w:ascii="Times New Roman" w:hAnsi="Times New Roman"/>
          <w:b/>
          <w:color w:val="FF0000"/>
          <w:sz w:val="24"/>
          <w:szCs w:val="24"/>
        </w:rPr>
        <w:t>表2.3-3   项目主要环境影响评价因子</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258"/>
        <w:gridCol w:w="18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pct"/>
            <w:vAlign w:val="center"/>
          </w:tcPr>
          <w:p>
            <w:pPr>
              <w:spacing w:line="240" w:lineRule="atLeast"/>
              <w:jc w:val="center"/>
              <w:rPr>
                <w:rFonts w:ascii="Times New Roman" w:hAnsi="Times New Roman"/>
                <w:b/>
                <w:color w:val="FF0000"/>
                <w:szCs w:val="21"/>
              </w:rPr>
            </w:pPr>
            <w:r>
              <w:rPr>
                <w:rFonts w:hint="eastAsia" w:ascii="Times New Roman" w:hAnsi="Times New Roman"/>
                <w:b/>
                <w:color w:val="FF0000"/>
                <w:szCs w:val="21"/>
              </w:rPr>
              <w:t>环境要素</w:t>
            </w:r>
          </w:p>
        </w:tc>
        <w:tc>
          <w:tcPr>
            <w:tcW w:w="3085" w:type="pct"/>
            <w:vAlign w:val="center"/>
          </w:tcPr>
          <w:p>
            <w:pPr>
              <w:spacing w:line="240" w:lineRule="atLeast"/>
              <w:jc w:val="center"/>
              <w:rPr>
                <w:rFonts w:ascii="Times New Roman" w:hAnsi="Times New Roman"/>
                <w:b/>
                <w:color w:val="FF0000"/>
                <w:szCs w:val="21"/>
              </w:rPr>
            </w:pPr>
            <w:r>
              <w:rPr>
                <w:rFonts w:hint="eastAsia" w:ascii="Times New Roman" w:hAnsi="Times New Roman"/>
                <w:b/>
                <w:color w:val="FF0000"/>
                <w:szCs w:val="21"/>
              </w:rPr>
              <w:t>评价因子</w:t>
            </w:r>
          </w:p>
        </w:tc>
        <w:tc>
          <w:tcPr>
            <w:tcW w:w="1069" w:type="pct"/>
            <w:vAlign w:val="center"/>
          </w:tcPr>
          <w:p>
            <w:pPr>
              <w:spacing w:line="240" w:lineRule="atLeast"/>
              <w:jc w:val="center"/>
              <w:rPr>
                <w:rFonts w:ascii="Times New Roman" w:hAnsi="Times New Roman"/>
                <w:b/>
                <w:color w:val="FF0000"/>
                <w:szCs w:val="21"/>
              </w:rPr>
            </w:pPr>
            <w:r>
              <w:rPr>
                <w:rFonts w:hint="eastAsia" w:ascii="Times New Roman" w:hAnsi="Times New Roman"/>
                <w:b/>
                <w:color w:val="FF0000"/>
                <w:szCs w:val="21"/>
              </w:rPr>
              <w:t>预测</w:t>
            </w:r>
            <w:r>
              <w:rPr>
                <w:rFonts w:ascii="Times New Roman" w:hAnsi="Times New Roman"/>
                <w:b/>
                <w:color w:val="FF0000"/>
                <w:szCs w:val="21"/>
              </w:rPr>
              <w:t>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空气环境</w:t>
            </w:r>
          </w:p>
        </w:tc>
        <w:tc>
          <w:tcPr>
            <w:tcW w:w="3085" w:type="pct"/>
            <w:vAlign w:val="center"/>
          </w:tcPr>
          <w:p>
            <w:pPr>
              <w:spacing w:line="240" w:lineRule="atLeast"/>
              <w:jc w:val="center"/>
              <w:rPr>
                <w:rFonts w:ascii="Times New Roman" w:hAnsi="Times New Roman"/>
                <w:color w:val="FF0000"/>
                <w:szCs w:val="21"/>
              </w:rPr>
            </w:pPr>
            <w:r>
              <w:rPr>
                <w:rFonts w:ascii="Times New Roman" w:hAnsi="Times New Roman"/>
                <w:color w:val="FF0000"/>
                <w:szCs w:val="21"/>
              </w:rPr>
              <w:t>PM</w:t>
            </w:r>
            <w:r>
              <w:rPr>
                <w:rFonts w:ascii="Times New Roman" w:hAnsi="Times New Roman"/>
                <w:color w:val="FF0000"/>
                <w:szCs w:val="21"/>
                <w:vertAlign w:val="subscript"/>
              </w:rPr>
              <w:t>10</w:t>
            </w:r>
            <w:r>
              <w:rPr>
                <w:rFonts w:hint="eastAsia" w:ascii="Times New Roman" w:hAnsi="Times New Roman"/>
                <w:color w:val="FF0000"/>
                <w:szCs w:val="21"/>
              </w:rPr>
              <w:t>、PM</w:t>
            </w:r>
            <w:r>
              <w:rPr>
                <w:rFonts w:hint="eastAsia" w:ascii="Times New Roman" w:hAnsi="Times New Roman"/>
                <w:color w:val="FF0000"/>
                <w:szCs w:val="21"/>
                <w:vertAlign w:val="subscript"/>
              </w:rPr>
              <w:t>2.5</w:t>
            </w:r>
            <w:r>
              <w:rPr>
                <w:rFonts w:hint="eastAsia" w:ascii="Times New Roman" w:hAnsi="Times New Roman"/>
                <w:color w:val="FF0000"/>
                <w:szCs w:val="21"/>
              </w:rPr>
              <w:t>、TSP、SO</w:t>
            </w:r>
            <w:r>
              <w:rPr>
                <w:rFonts w:hint="eastAsia" w:ascii="Times New Roman" w:hAnsi="Times New Roman"/>
                <w:color w:val="FF0000"/>
                <w:szCs w:val="21"/>
                <w:vertAlign w:val="subscript"/>
              </w:rPr>
              <w:t>2</w:t>
            </w:r>
            <w:r>
              <w:rPr>
                <w:rFonts w:hint="eastAsia" w:ascii="Times New Roman" w:hAnsi="Times New Roman"/>
                <w:color w:val="FF0000"/>
                <w:szCs w:val="21"/>
              </w:rPr>
              <w:t>、NO</w:t>
            </w:r>
            <w:r>
              <w:rPr>
                <w:rFonts w:hint="eastAsia" w:ascii="Times New Roman" w:hAnsi="Times New Roman"/>
                <w:color w:val="FF0000"/>
                <w:szCs w:val="21"/>
                <w:vertAlign w:val="subscript"/>
              </w:rPr>
              <w:t>X</w:t>
            </w:r>
            <w:r>
              <w:rPr>
                <w:rFonts w:hint="eastAsia" w:ascii="Times New Roman" w:hAnsi="Times New Roman"/>
                <w:color w:val="FF0000"/>
                <w:szCs w:val="21"/>
              </w:rPr>
              <w:t>、</w:t>
            </w:r>
          </w:p>
        </w:tc>
        <w:tc>
          <w:tcPr>
            <w:tcW w:w="1069"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TSP、SO</w:t>
            </w:r>
            <w:r>
              <w:rPr>
                <w:rFonts w:hint="eastAsia" w:ascii="Times New Roman" w:hAnsi="Times New Roman"/>
                <w:color w:val="FF0000"/>
                <w:szCs w:val="21"/>
                <w:vertAlign w:val="subscript"/>
              </w:rPr>
              <w:t>2</w:t>
            </w:r>
            <w:r>
              <w:rPr>
                <w:rFonts w:hint="eastAsia" w:ascii="Times New Roman" w:hAnsi="Times New Roman"/>
                <w:color w:val="FF0000"/>
                <w:szCs w:val="21"/>
              </w:rPr>
              <w:t>、NO</w:t>
            </w:r>
            <w:r>
              <w:rPr>
                <w:rFonts w:hint="eastAsia" w:ascii="Times New Roman" w:hAnsi="Times New Roman"/>
                <w:color w:val="FF0000"/>
                <w:szCs w:val="21"/>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地表水</w:t>
            </w:r>
          </w:p>
        </w:tc>
        <w:tc>
          <w:tcPr>
            <w:tcW w:w="3085"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pH、CODcr、BOD</w:t>
            </w:r>
            <w:r>
              <w:rPr>
                <w:rFonts w:hint="eastAsia" w:ascii="Times New Roman" w:hAnsi="Times New Roman"/>
                <w:color w:val="FF0000"/>
                <w:szCs w:val="21"/>
                <w:vertAlign w:val="subscript"/>
              </w:rPr>
              <w:t>5</w:t>
            </w:r>
            <w:r>
              <w:rPr>
                <w:rFonts w:hint="eastAsia" w:ascii="Times New Roman" w:hAnsi="Times New Roman"/>
                <w:color w:val="FF0000"/>
                <w:szCs w:val="21"/>
              </w:rPr>
              <w:t>、NH</w:t>
            </w:r>
            <w:r>
              <w:rPr>
                <w:rFonts w:hint="eastAsia" w:ascii="Times New Roman" w:hAnsi="Times New Roman"/>
                <w:color w:val="FF0000"/>
                <w:szCs w:val="21"/>
                <w:vertAlign w:val="subscript"/>
              </w:rPr>
              <w:t>3</w:t>
            </w:r>
            <w:r>
              <w:rPr>
                <w:rFonts w:hint="eastAsia" w:ascii="Times New Roman" w:hAnsi="Times New Roman"/>
                <w:color w:val="FF0000"/>
                <w:szCs w:val="21"/>
              </w:rPr>
              <w:t>-N、SS、TP</w:t>
            </w:r>
          </w:p>
        </w:tc>
        <w:tc>
          <w:tcPr>
            <w:tcW w:w="1069"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地下水</w:t>
            </w:r>
          </w:p>
        </w:tc>
        <w:tc>
          <w:tcPr>
            <w:tcW w:w="3085" w:type="pct"/>
            <w:vAlign w:val="center"/>
          </w:tcPr>
          <w:p>
            <w:pPr>
              <w:spacing w:line="240" w:lineRule="atLeast"/>
              <w:jc w:val="center"/>
              <w:rPr>
                <w:rFonts w:ascii="Times New Roman" w:hAnsi="Times New Roman"/>
                <w:color w:val="FF0000"/>
                <w:szCs w:val="21"/>
              </w:rPr>
            </w:pPr>
            <w:r>
              <w:rPr>
                <w:rFonts w:ascii="Times New Roman" w:hAnsi="Times New Roman"/>
                <w:color w:val="FF0000"/>
                <w:szCs w:val="21"/>
              </w:rPr>
              <w:t>pH、CODCr、BOD</w:t>
            </w:r>
            <w:r>
              <w:rPr>
                <w:rFonts w:ascii="Times New Roman" w:hAnsi="Times New Roman"/>
                <w:color w:val="FF0000"/>
                <w:szCs w:val="21"/>
                <w:vertAlign w:val="subscript"/>
              </w:rPr>
              <w:t>5</w:t>
            </w:r>
            <w:r>
              <w:rPr>
                <w:rFonts w:ascii="Times New Roman" w:hAnsi="Times New Roman"/>
                <w:color w:val="FF0000"/>
                <w:szCs w:val="21"/>
              </w:rPr>
              <w:t>、氨氮、总磷、溶解氧、石油类</w:t>
            </w:r>
          </w:p>
        </w:tc>
        <w:tc>
          <w:tcPr>
            <w:tcW w:w="1069"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声环境</w:t>
            </w:r>
          </w:p>
        </w:tc>
        <w:tc>
          <w:tcPr>
            <w:tcW w:w="3085"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厂界噪声</w:t>
            </w:r>
          </w:p>
        </w:tc>
        <w:tc>
          <w:tcPr>
            <w:tcW w:w="1069"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L</w:t>
            </w:r>
            <w:r>
              <w:rPr>
                <w:rFonts w:ascii="Times New Roman" w:hAnsi="Times New Roman"/>
                <w:color w:val="FF0000"/>
                <w:szCs w:val="21"/>
              </w:rPr>
              <w:t>eq</w:t>
            </w:r>
            <w:r>
              <w:rPr>
                <w:rFonts w:hint="eastAsia" w:ascii="Times New Roman" w:hAnsi="Times New Roman"/>
                <w:color w:val="FF0000"/>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固体废物</w:t>
            </w:r>
          </w:p>
        </w:tc>
        <w:tc>
          <w:tcPr>
            <w:tcW w:w="4154" w:type="pct"/>
            <w:gridSpan w:val="2"/>
            <w:vAlign w:val="center"/>
          </w:tcPr>
          <w:p>
            <w:pPr>
              <w:spacing w:line="240" w:lineRule="atLeast"/>
              <w:jc w:val="center"/>
              <w:rPr>
                <w:rFonts w:ascii="Times New Roman" w:hAnsi="Times New Roman"/>
                <w:color w:val="FF0000"/>
                <w:szCs w:val="21"/>
              </w:rPr>
            </w:pPr>
            <w:r>
              <w:rPr>
                <w:rFonts w:hint="eastAsia"/>
                <w:color w:val="FF0000"/>
                <w:szCs w:val="21"/>
              </w:rPr>
              <w:t>不合格产品、边角废料、锅炉炉渣、除尘废水循环沉淀池污泥、生活垃圾、化粪池及污水处理站污泥、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生态</w:t>
            </w:r>
            <w:r>
              <w:rPr>
                <w:rFonts w:ascii="Times New Roman" w:hAnsi="Times New Roman"/>
                <w:color w:val="FF0000"/>
                <w:szCs w:val="21"/>
              </w:rPr>
              <w:t>环境</w:t>
            </w:r>
          </w:p>
        </w:tc>
        <w:tc>
          <w:tcPr>
            <w:tcW w:w="4154" w:type="pct"/>
            <w:gridSpan w:val="2"/>
            <w:vAlign w:val="center"/>
          </w:tcPr>
          <w:p>
            <w:pPr>
              <w:spacing w:line="240" w:lineRule="atLeast"/>
              <w:jc w:val="center"/>
              <w:rPr>
                <w:rFonts w:ascii="Times New Roman" w:hAnsi="Times New Roman"/>
                <w:color w:val="FF0000"/>
                <w:szCs w:val="21"/>
              </w:rPr>
            </w:pPr>
            <w:r>
              <w:rPr>
                <w:rFonts w:ascii="Times New Roman" w:hAnsi="Times New Roman" w:cs="Times New Roman"/>
                <w:bCs/>
                <w:color w:val="FF0000"/>
                <w:szCs w:val="21"/>
              </w:rPr>
              <w:t>土地利用、动植物、水土流失等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pct"/>
            <w:vAlign w:val="center"/>
          </w:tcPr>
          <w:p>
            <w:pPr>
              <w:spacing w:line="240" w:lineRule="atLeast"/>
              <w:jc w:val="center"/>
              <w:rPr>
                <w:rFonts w:ascii="Times New Roman" w:hAnsi="Times New Roman"/>
                <w:color w:val="FF0000"/>
                <w:szCs w:val="21"/>
              </w:rPr>
            </w:pPr>
            <w:r>
              <w:rPr>
                <w:rFonts w:hint="eastAsia" w:ascii="Times New Roman" w:hAnsi="Times New Roman"/>
                <w:color w:val="FF0000"/>
                <w:szCs w:val="21"/>
              </w:rPr>
              <w:t>土壤环境</w:t>
            </w:r>
          </w:p>
        </w:tc>
        <w:tc>
          <w:tcPr>
            <w:tcW w:w="4154" w:type="pct"/>
            <w:gridSpan w:val="2"/>
            <w:vAlign w:val="center"/>
          </w:tcPr>
          <w:p>
            <w:pPr>
              <w:spacing w:line="240" w:lineRule="atLeast"/>
              <w:jc w:val="center"/>
              <w:rPr>
                <w:rFonts w:ascii="Times New Roman" w:hAnsi="Times New Roman" w:cs="Times New Roman"/>
                <w:bCs/>
                <w:color w:val="FF0000"/>
                <w:szCs w:val="21"/>
              </w:rPr>
            </w:pPr>
            <w:r>
              <w:rPr>
                <w:rFonts w:hint="eastAsia" w:ascii="Times New Roman" w:hAnsi="Times New Roman"/>
                <w:color w:val="FF0000"/>
                <w:szCs w:val="21"/>
              </w:rPr>
              <w:t>45项基本项目</w:t>
            </w:r>
          </w:p>
        </w:tc>
      </w:tr>
    </w:tbl>
    <w:p>
      <w:pPr>
        <w:spacing w:line="360" w:lineRule="auto"/>
        <w:ind w:firstLine="482"/>
        <w:rPr>
          <w:rFonts w:ascii="Times New Roman" w:hAnsi="Times New Roman"/>
          <w:color w:val="000000"/>
          <w:sz w:val="24"/>
          <w:szCs w:val="24"/>
        </w:rPr>
      </w:pP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（2）环境</w:t>
      </w:r>
      <w:r>
        <w:rPr>
          <w:rFonts w:ascii="Times New Roman" w:hAnsi="Times New Roman"/>
          <w:color w:val="000000"/>
          <w:sz w:val="24"/>
          <w:szCs w:val="24"/>
        </w:rPr>
        <w:t>影响因素矩阵筛选，详见下表。</w:t>
      </w: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 xml:space="preserve">3-3   </w:t>
      </w:r>
      <w:r>
        <w:rPr>
          <w:rFonts w:hint="eastAsia" w:ascii="Times New Roman" w:hAnsi="Times New Roman"/>
          <w:b/>
          <w:color w:val="000000"/>
          <w:sz w:val="24"/>
          <w:szCs w:val="24"/>
        </w:rPr>
        <w:t>环境</w:t>
      </w:r>
      <w:r>
        <w:rPr>
          <w:rFonts w:ascii="Times New Roman" w:hAnsi="Times New Roman"/>
          <w:b/>
          <w:color w:val="000000"/>
          <w:sz w:val="24"/>
          <w:szCs w:val="24"/>
        </w:rPr>
        <w:t>识别矩阵</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43"/>
        <w:gridCol w:w="2434"/>
        <w:gridCol w:w="30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43" w:type="dxa"/>
            <w:vAlign w:val="center"/>
          </w:tcPr>
          <w:p>
            <w:pPr>
              <w:jc w:val="center"/>
              <w:rPr>
                <w:rFonts w:ascii="Times New Roman" w:hAnsi="Times New Roman"/>
                <w:b/>
                <w:color w:val="000000"/>
                <w:szCs w:val="18"/>
              </w:rPr>
            </w:pPr>
            <w:r>
              <w:rPr>
                <w:rFonts w:ascii="Times New Roman" w:hAnsi="Times New Roman"/>
                <w:b/>
                <w:color w:val="000000"/>
                <w:szCs w:val="18"/>
              </w:rPr>
              <w:t>环境要素</w:t>
            </w:r>
          </w:p>
        </w:tc>
        <w:tc>
          <w:tcPr>
            <w:tcW w:w="2434" w:type="dxa"/>
            <w:vAlign w:val="center"/>
          </w:tcPr>
          <w:p>
            <w:pPr>
              <w:jc w:val="center"/>
              <w:rPr>
                <w:rFonts w:ascii="Times New Roman" w:hAnsi="Times New Roman"/>
                <w:b/>
                <w:color w:val="000000"/>
                <w:szCs w:val="18"/>
              </w:rPr>
            </w:pPr>
            <w:r>
              <w:rPr>
                <w:rFonts w:ascii="Times New Roman" w:hAnsi="Times New Roman"/>
                <w:b/>
                <w:color w:val="000000"/>
                <w:szCs w:val="18"/>
              </w:rPr>
              <w:t>建设期</w:t>
            </w:r>
          </w:p>
        </w:tc>
        <w:tc>
          <w:tcPr>
            <w:tcW w:w="3039" w:type="dxa"/>
            <w:vAlign w:val="center"/>
          </w:tcPr>
          <w:p>
            <w:pPr>
              <w:jc w:val="center"/>
              <w:rPr>
                <w:rFonts w:ascii="Times New Roman" w:hAnsi="Times New Roman"/>
                <w:b/>
                <w:color w:val="000000"/>
                <w:szCs w:val="18"/>
              </w:rPr>
            </w:pPr>
            <w:r>
              <w:rPr>
                <w:rFonts w:ascii="Times New Roman" w:hAnsi="Times New Roman"/>
                <w:b/>
                <w:color w:val="000000"/>
                <w:szCs w:val="18"/>
              </w:rPr>
              <w:t>运营期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43" w:type="dxa"/>
            <w:vAlign w:val="center"/>
          </w:tcPr>
          <w:p>
            <w:pPr>
              <w:jc w:val="center"/>
              <w:rPr>
                <w:rFonts w:ascii="Times New Roman" w:hAnsi="Times New Roman"/>
                <w:color w:val="000000"/>
                <w:szCs w:val="18"/>
              </w:rPr>
            </w:pPr>
            <w:r>
              <w:rPr>
                <w:rFonts w:ascii="Times New Roman" w:hAnsi="Times New Roman"/>
                <w:color w:val="000000"/>
                <w:szCs w:val="18"/>
              </w:rPr>
              <w:t>地表水</w:t>
            </w:r>
          </w:p>
        </w:tc>
        <w:tc>
          <w:tcPr>
            <w:tcW w:w="2434" w:type="dxa"/>
            <w:vAlign w:val="center"/>
          </w:tcPr>
          <w:p>
            <w:pPr>
              <w:jc w:val="center"/>
              <w:rPr>
                <w:rFonts w:ascii="Times New Roman" w:hAnsi="Times New Roman"/>
                <w:color w:val="000000"/>
                <w:szCs w:val="18"/>
              </w:rPr>
            </w:pPr>
            <w:r>
              <w:rPr>
                <w:rFonts w:ascii="Times New Roman" w:hAnsi="Times New Roman"/>
                <w:color w:val="000000"/>
                <w:szCs w:val="18"/>
              </w:rPr>
              <w:t>+</w:t>
            </w:r>
          </w:p>
        </w:tc>
        <w:tc>
          <w:tcPr>
            <w:tcW w:w="3039" w:type="dxa"/>
            <w:vAlign w:val="center"/>
          </w:tcPr>
          <w:p>
            <w:pPr>
              <w:jc w:val="center"/>
              <w:rPr>
                <w:rFonts w:ascii="Times New Roman" w:hAnsi="Times New Roman"/>
                <w:color w:val="000000"/>
                <w:szCs w:val="18"/>
              </w:rPr>
            </w:pPr>
            <w:r>
              <w:rPr>
                <w:rFonts w:ascii="Times New Roman" w:hAnsi="Times New Roman"/>
                <w:color w:val="000000"/>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43" w:type="dxa"/>
            <w:vAlign w:val="center"/>
          </w:tcPr>
          <w:p>
            <w:pPr>
              <w:jc w:val="center"/>
              <w:rPr>
                <w:rFonts w:ascii="Times New Roman" w:hAnsi="Times New Roman"/>
                <w:color w:val="000000"/>
                <w:szCs w:val="18"/>
              </w:rPr>
            </w:pPr>
            <w:r>
              <w:rPr>
                <w:rFonts w:ascii="Times New Roman" w:hAnsi="Times New Roman"/>
                <w:color w:val="000000"/>
                <w:szCs w:val="18"/>
              </w:rPr>
              <w:t>环境空气</w:t>
            </w:r>
          </w:p>
        </w:tc>
        <w:tc>
          <w:tcPr>
            <w:tcW w:w="2434" w:type="dxa"/>
            <w:vAlign w:val="center"/>
          </w:tcPr>
          <w:p>
            <w:pPr>
              <w:jc w:val="center"/>
              <w:rPr>
                <w:rFonts w:ascii="Times New Roman" w:hAnsi="Times New Roman"/>
                <w:color w:val="000000"/>
                <w:szCs w:val="18"/>
              </w:rPr>
            </w:pPr>
            <w:r>
              <w:rPr>
                <w:rFonts w:ascii="Times New Roman" w:hAnsi="Times New Roman"/>
                <w:color w:val="000000"/>
                <w:szCs w:val="18"/>
              </w:rPr>
              <w:t>+</w:t>
            </w:r>
          </w:p>
        </w:tc>
        <w:tc>
          <w:tcPr>
            <w:tcW w:w="3039" w:type="dxa"/>
            <w:vAlign w:val="center"/>
          </w:tcPr>
          <w:p>
            <w:pPr>
              <w:jc w:val="center"/>
              <w:rPr>
                <w:rFonts w:ascii="Times New Roman" w:hAnsi="Times New Roman"/>
                <w:color w:val="000000"/>
                <w:szCs w:val="18"/>
              </w:rPr>
            </w:pPr>
            <w:r>
              <w:rPr>
                <w:rFonts w:ascii="Times New Roman" w:hAnsi="Times New Roman"/>
                <w:color w:val="000000"/>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43" w:type="dxa"/>
            <w:vAlign w:val="center"/>
          </w:tcPr>
          <w:p>
            <w:pPr>
              <w:jc w:val="center"/>
              <w:rPr>
                <w:rFonts w:ascii="Times New Roman" w:hAnsi="Times New Roman"/>
                <w:color w:val="000000"/>
                <w:szCs w:val="18"/>
              </w:rPr>
            </w:pPr>
            <w:r>
              <w:rPr>
                <w:rFonts w:ascii="Times New Roman" w:hAnsi="Times New Roman"/>
                <w:color w:val="000000"/>
                <w:szCs w:val="18"/>
              </w:rPr>
              <w:t>声环境</w:t>
            </w:r>
          </w:p>
        </w:tc>
        <w:tc>
          <w:tcPr>
            <w:tcW w:w="2434" w:type="dxa"/>
            <w:vAlign w:val="center"/>
          </w:tcPr>
          <w:p>
            <w:pPr>
              <w:jc w:val="center"/>
              <w:rPr>
                <w:rFonts w:ascii="Times New Roman" w:hAnsi="Times New Roman"/>
                <w:color w:val="000000"/>
                <w:szCs w:val="18"/>
              </w:rPr>
            </w:pPr>
            <w:r>
              <w:rPr>
                <w:rFonts w:ascii="Times New Roman" w:hAnsi="Times New Roman"/>
                <w:color w:val="000000"/>
                <w:szCs w:val="18"/>
              </w:rPr>
              <w:t>+</w:t>
            </w:r>
          </w:p>
        </w:tc>
        <w:tc>
          <w:tcPr>
            <w:tcW w:w="3039" w:type="dxa"/>
            <w:vAlign w:val="center"/>
          </w:tcPr>
          <w:p>
            <w:pPr>
              <w:jc w:val="center"/>
              <w:rPr>
                <w:rFonts w:ascii="Times New Roman" w:hAnsi="Times New Roman"/>
                <w:color w:val="000000"/>
                <w:szCs w:val="18"/>
              </w:rPr>
            </w:pPr>
            <w:r>
              <w:rPr>
                <w:rFonts w:ascii="Times New Roman" w:hAnsi="Times New Roman"/>
                <w:color w:val="000000"/>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43" w:type="dxa"/>
            <w:vAlign w:val="center"/>
          </w:tcPr>
          <w:p>
            <w:pPr>
              <w:jc w:val="center"/>
              <w:rPr>
                <w:rFonts w:ascii="Times New Roman" w:hAnsi="Times New Roman"/>
                <w:color w:val="000000"/>
                <w:szCs w:val="18"/>
              </w:rPr>
            </w:pPr>
            <w:r>
              <w:rPr>
                <w:rFonts w:ascii="Times New Roman" w:hAnsi="Times New Roman"/>
                <w:color w:val="000000"/>
                <w:szCs w:val="18"/>
              </w:rPr>
              <w:t>地下水环境</w:t>
            </w:r>
          </w:p>
        </w:tc>
        <w:tc>
          <w:tcPr>
            <w:tcW w:w="2434" w:type="dxa"/>
            <w:vAlign w:val="center"/>
          </w:tcPr>
          <w:p>
            <w:pPr>
              <w:jc w:val="center"/>
              <w:rPr>
                <w:rFonts w:ascii="Times New Roman" w:hAnsi="Times New Roman"/>
                <w:color w:val="000000"/>
                <w:szCs w:val="18"/>
              </w:rPr>
            </w:pPr>
            <w:r>
              <w:rPr>
                <w:rFonts w:ascii="Times New Roman" w:hAnsi="Times New Roman"/>
                <w:color w:val="000000"/>
                <w:szCs w:val="18"/>
              </w:rPr>
              <w:t>+</w:t>
            </w:r>
          </w:p>
        </w:tc>
        <w:tc>
          <w:tcPr>
            <w:tcW w:w="3039" w:type="dxa"/>
            <w:vAlign w:val="center"/>
          </w:tcPr>
          <w:p>
            <w:pPr>
              <w:jc w:val="center"/>
              <w:rPr>
                <w:rFonts w:ascii="Times New Roman" w:hAnsi="Times New Roman"/>
                <w:color w:val="000000"/>
                <w:szCs w:val="18"/>
              </w:rPr>
            </w:pPr>
            <w:r>
              <w:rPr>
                <w:rFonts w:ascii="Times New Roman" w:hAnsi="Times New Roman"/>
                <w:color w:val="000000"/>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43" w:type="dxa"/>
            <w:vAlign w:val="center"/>
          </w:tcPr>
          <w:p>
            <w:pPr>
              <w:jc w:val="center"/>
              <w:rPr>
                <w:rFonts w:ascii="Times New Roman" w:hAnsi="Times New Roman"/>
                <w:color w:val="000000"/>
                <w:szCs w:val="18"/>
              </w:rPr>
            </w:pPr>
            <w:r>
              <w:rPr>
                <w:rFonts w:ascii="Times New Roman" w:hAnsi="Times New Roman"/>
                <w:color w:val="000000"/>
                <w:szCs w:val="18"/>
              </w:rPr>
              <w:t>土壤环境</w:t>
            </w:r>
          </w:p>
        </w:tc>
        <w:tc>
          <w:tcPr>
            <w:tcW w:w="2434" w:type="dxa"/>
            <w:vAlign w:val="center"/>
          </w:tcPr>
          <w:p>
            <w:pPr>
              <w:jc w:val="center"/>
              <w:rPr>
                <w:rFonts w:ascii="Times New Roman" w:hAnsi="Times New Roman"/>
                <w:color w:val="000000"/>
                <w:szCs w:val="18"/>
              </w:rPr>
            </w:pPr>
            <w:r>
              <w:rPr>
                <w:rFonts w:ascii="Times New Roman" w:hAnsi="Times New Roman"/>
                <w:color w:val="000000"/>
                <w:szCs w:val="18"/>
              </w:rPr>
              <w:t>+</w:t>
            </w:r>
          </w:p>
        </w:tc>
        <w:tc>
          <w:tcPr>
            <w:tcW w:w="3039" w:type="dxa"/>
            <w:vAlign w:val="center"/>
          </w:tcPr>
          <w:p>
            <w:pPr>
              <w:jc w:val="center"/>
              <w:rPr>
                <w:rFonts w:ascii="Times New Roman" w:hAnsi="Times New Roman"/>
                <w:color w:val="000000"/>
                <w:szCs w:val="18"/>
              </w:rPr>
            </w:pPr>
            <w:r>
              <w:rPr>
                <w:rFonts w:ascii="Times New Roman" w:hAnsi="Times New Roman"/>
                <w:color w:val="000000"/>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43" w:type="dxa"/>
            <w:vAlign w:val="center"/>
          </w:tcPr>
          <w:p>
            <w:pPr>
              <w:jc w:val="center"/>
              <w:rPr>
                <w:rFonts w:ascii="Times New Roman" w:hAnsi="Times New Roman"/>
                <w:color w:val="000000"/>
                <w:szCs w:val="18"/>
              </w:rPr>
            </w:pPr>
            <w:r>
              <w:rPr>
                <w:rFonts w:ascii="Times New Roman" w:hAnsi="Times New Roman"/>
                <w:color w:val="000000"/>
                <w:szCs w:val="18"/>
              </w:rPr>
              <w:t>环境风险</w:t>
            </w:r>
          </w:p>
        </w:tc>
        <w:tc>
          <w:tcPr>
            <w:tcW w:w="2434" w:type="dxa"/>
            <w:vAlign w:val="center"/>
          </w:tcPr>
          <w:p>
            <w:pPr>
              <w:jc w:val="center"/>
              <w:rPr>
                <w:rFonts w:ascii="Times New Roman" w:hAnsi="Times New Roman"/>
                <w:color w:val="000000"/>
                <w:szCs w:val="18"/>
              </w:rPr>
            </w:pPr>
            <w:r>
              <w:rPr>
                <w:rFonts w:ascii="Times New Roman" w:hAnsi="Times New Roman"/>
                <w:color w:val="000000"/>
                <w:szCs w:val="18"/>
              </w:rPr>
              <w:t>--</w:t>
            </w:r>
          </w:p>
        </w:tc>
        <w:tc>
          <w:tcPr>
            <w:tcW w:w="3039" w:type="dxa"/>
            <w:vAlign w:val="center"/>
          </w:tcPr>
          <w:p>
            <w:pPr>
              <w:jc w:val="center"/>
              <w:rPr>
                <w:rFonts w:ascii="Times New Roman" w:hAnsi="Times New Roman"/>
                <w:color w:val="000000"/>
                <w:szCs w:val="18"/>
              </w:rPr>
            </w:pPr>
            <w:r>
              <w:rPr>
                <w:rFonts w:ascii="Times New Roman" w:hAnsi="Times New Roman"/>
                <w:color w:val="000000"/>
                <w:szCs w:val="18"/>
              </w:rPr>
              <w:t>+</w:t>
            </w:r>
          </w:p>
        </w:tc>
      </w:tr>
    </w:tbl>
    <w:p>
      <w:pPr>
        <w:spacing w:line="260" w:lineRule="exact"/>
        <w:ind w:firstLine="360" w:firstLineChars="200"/>
        <w:rPr>
          <w:rFonts w:ascii="Times New Roman" w:hAnsi="Times New Roman"/>
          <w:color w:val="000000"/>
          <w:sz w:val="18"/>
          <w:szCs w:val="18"/>
        </w:rPr>
      </w:pPr>
      <w:r>
        <w:rPr>
          <w:rFonts w:ascii="Times New Roman" w:hAnsi="Times New Roman"/>
          <w:color w:val="000000"/>
          <w:sz w:val="18"/>
          <w:szCs w:val="18"/>
        </w:rPr>
        <w:t>注：  严重影响++++            重大积极作用</w:t>
      </w:r>
      <w:r>
        <w:rPr>
          <w:rFonts w:ascii="Cambria Math" w:hAnsi="Cambria Math" w:cs="Cambria Math"/>
          <w:color w:val="000000"/>
          <w:sz w:val="18"/>
          <w:szCs w:val="18"/>
        </w:rPr>
        <w:t>△△△△</w:t>
      </w:r>
    </w:p>
    <w:p>
      <w:pPr>
        <w:spacing w:line="260" w:lineRule="exact"/>
        <w:ind w:left="561"/>
        <w:rPr>
          <w:rFonts w:ascii="Times New Roman" w:hAnsi="Times New Roman"/>
          <w:color w:val="000000"/>
          <w:sz w:val="18"/>
          <w:szCs w:val="18"/>
        </w:rPr>
      </w:pPr>
      <w:r>
        <w:rPr>
          <w:rFonts w:ascii="Times New Roman" w:hAnsi="Times New Roman"/>
          <w:color w:val="000000"/>
          <w:sz w:val="18"/>
          <w:szCs w:val="18"/>
        </w:rPr>
        <w:t xml:space="preserve">     较大影响+++             较大积极作用</w:t>
      </w:r>
      <w:r>
        <w:rPr>
          <w:rFonts w:ascii="Cambria Math" w:hAnsi="Cambria Math" w:cs="Cambria Math"/>
          <w:color w:val="000000"/>
          <w:sz w:val="18"/>
          <w:szCs w:val="18"/>
        </w:rPr>
        <w:t>△△△</w:t>
      </w:r>
    </w:p>
    <w:p>
      <w:pPr>
        <w:spacing w:line="260" w:lineRule="exact"/>
        <w:ind w:left="561" w:leftChars="267" w:firstLine="360" w:firstLineChars="200"/>
        <w:rPr>
          <w:rFonts w:ascii="Times New Roman" w:hAnsi="Times New Roman"/>
          <w:color w:val="000000"/>
          <w:sz w:val="18"/>
          <w:szCs w:val="18"/>
        </w:rPr>
      </w:pPr>
      <w:r>
        <w:rPr>
          <w:rFonts w:ascii="Times New Roman" w:hAnsi="Times New Roman"/>
          <w:color w:val="000000"/>
          <w:sz w:val="18"/>
          <w:szCs w:val="18"/>
        </w:rPr>
        <w:t xml:space="preserve"> 一般影响++              一般积极作用</w:t>
      </w:r>
      <w:r>
        <w:rPr>
          <w:rFonts w:ascii="Cambria Math" w:hAnsi="Cambria Math" w:cs="Cambria Math"/>
          <w:color w:val="000000"/>
          <w:sz w:val="18"/>
          <w:szCs w:val="18"/>
        </w:rPr>
        <w:t>△△</w:t>
      </w:r>
    </w:p>
    <w:p>
      <w:pPr>
        <w:spacing w:line="260" w:lineRule="exact"/>
        <w:ind w:left="561" w:leftChars="267" w:firstLine="360" w:firstLineChars="200"/>
        <w:rPr>
          <w:rFonts w:ascii="Times New Roman" w:hAnsi="Times New Roman"/>
          <w:color w:val="000000"/>
          <w:sz w:val="18"/>
          <w:szCs w:val="18"/>
        </w:rPr>
      </w:pPr>
      <w:r>
        <w:rPr>
          <w:rFonts w:ascii="Times New Roman" w:hAnsi="Times New Roman"/>
          <w:color w:val="000000"/>
          <w:sz w:val="18"/>
          <w:szCs w:val="18"/>
        </w:rPr>
        <w:t xml:space="preserve"> 轻微影响+               轻微作用</w:t>
      </w:r>
      <w:r>
        <w:rPr>
          <w:rFonts w:ascii="Cambria Math" w:hAnsi="Cambria Math" w:cs="Cambria Math"/>
          <w:color w:val="000000"/>
          <w:sz w:val="18"/>
          <w:szCs w:val="18"/>
        </w:rPr>
        <w:t>△</w:t>
      </w:r>
    </w:p>
    <w:p>
      <w:pPr>
        <w:tabs>
          <w:tab w:val="left" w:pos="2940"/>
        </w:tabs>
        <w:spacing w:line="260" w:lineRule="exact"/>
        <w:ind w:firstLine="900" w:firstLineChars="500"/>
        <w:rPr>
          <w:rFonts w:ascii="Times New Roman" w:hAnsi="Times New Roman"/>
          <w:color w:val="000000"/>
          <w:sz w:val="18"/>
          <w:szCs w:val="18"/>
        </w:rPr>
      </w:pPr>
      <w:r>
        <w:rPr>
          <w:rFonts w:ascii="Times New Roman" w:hAnsi="Times New Roman"/>
          <w:color w:val="000000"/>
          <w:sz w:val="18"/>
          <w:szCs w:val="18"/>
        </w:rPr>
        <w:t>基本无影响--</w:t>
      </w:r>
      <w:r>
        <w:rPr>
          <w:rFonts w:ascii="Times New Roman" w:hAnsi="Times New Roman"/>
          <w:color w:val="000000"/>
          <w:sz w:val="18"/>
          <w:szCs w:val="18"/>
        </w:rPr>
        <w:tab/>
      </w:r>
    </w:p>
    <w:p>
      <w:pPr>
        <w:pStyle w:val="5"/>
        <w:ind w:firstLine="562"/>
        <w:rPr>
          <w:rFonts w:hAnsi="Times New Roman"/>
        </w:rPr>
      </w:pPr>
      <w:bookmarkStart w:id="63" w:name="_Toc23843306"/>
      <w:bookmarkStart w:id="64" w:name="_Toc32243"/>
      <w:bookmarkStart w:id="65" w:name="_Toc20320"/>
      <w:r>
        <w:rPr>
          <w:rFonts w:hint="eastAsia" w:hAnsi="Times New Roman"/>
        </w:rPr>
        <w:t>2.4评价工作等级及评价范围</w:t>
      </w:r>
      <w:bookmarkEnd w:id="63"/>
      <w:bookmarkEnd w:id="64"/>
      <w:bookmarkEnd w:id="65"/>
    </w:p>
    <w:p>
      <w:pPr>
        <w:pStyle w:val="5"/>
        <w:ind w:firstLine="562"/>
        <w:rPr>
          <w:rFonts w:hAnsi="Times New Roman"/>
          <w:sz w:val="24"/>
          <w:szCs w:val="24"/>
        </w:rPr>
      </w:pPr>
      <w:bookmarkStart w:id="66" w:name="_Toc23843307"/>
      <w:bookmarkStart w:id="67" w:name="_Toc22593"/>
      <w:bookmarkStart w:id="68" w:name="_Toc11746"/>
      <w:r>
        <w:rPr>
          <w:rFonts w:hint="eastAsia" w:hAnsi="Times New Roman"/>
          <w:sz w:val="24"/>
          <w:szCs w:val="24"/>
        </w:rPr>
        <w:t>2.4.1环境空气评价工作等级及评价范围</w:t>
      </w:r>
      <w:bookmarkEnd w:id="66"/>
      <w:bookmarkEnd w:id="67"/>
      <w:bookmarkEnd w:id="68"/>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1、环境空气评价工作等级</w:t>
      </w:r>
    </w:p>
    <w:p>
      <w:pPr>
        <w:spacing w:line="360" w:lineRule="auto"/>
        <w:ind w:firstLine="482"/>
        <w:rPr>
          <w:rFonts w:ascii="Times New Roman" w:hAnsi="Times New Roman"/>
          <w:color w:val="000000"/>
          <w:sz w:val="24"/>
          <w:szCs w:val="24"/>
        </w:rPr>
      </w:pPr>
      <w:r>
        <w:rPr>
          <w:rFonts w:ascii="Times New Roman" w:hAnsi="Times New Roman"/>
          <w:color w:val="000000"/>
          <w:sz w:val="24"/>
          <w:szCs w:val="24"/>
        </w:rPr>
        <w:t>按照《环境影响评价技术导则  大气环境》（HJ2.2-2018）导则要求，气态污染物最大地面浓度占标率Pi（第i个污染物），计算公式Pi=（Ci/Coi）计算出污染物的占标率。</w:t>
      </w:r>
    </w:p>
    <w:p>
      <w:pPr>
        <w:spacing w:line="360" w:lineRule="auto"/>
        <w:ind w:firstLine="482"/>
        <w:rPr>
          <w:rFonts w:ascii="Times New Roman" w:hAnsi="Times New Roman"/>
          <w:color w:val="000000"/>
          <w:sz w:val="24"/>
          <w:szCs w:val="24"/>
        </w:rPr>
      </w:pPr>
      <w:r>
        <w:rPr>
          <w:rFonts w:ascii="Times New Roman" w:hAnsi="Times New Roman"/>
          <w:color w:val="000000"/>
          <w:sz w:val="24"/>
          <w:szCs w:val="24"/>
        </w:rPr>
        <w:t>根据占标率确定评价等级见下表。</w:t>
      </w:r>
    </w:p>
    <w:p>
      <w:pPr>
        <w:spacing w:line="360" w:lineRule="auto"/>
        <w:ind w:firstLine="482"/>
        <w:jc w:val="center"/>
        <w:rPr>
          <w:rFonts w:ascii="Times New Roman" w:hAnsi="Times New Roman"/>
          <w:b/>
          <w:color w:val="000000"/>
          <w:sz w:val="24"/>
          <w:szCs w:val="24"/>
        </w:rPr>
      </w:pPr>
      <w:r>
        <w:rPr>
          <w:rFonts w:ascii="Times New Roman" w:hAnsi="Times New Roman"/>
          <w:b/>
          <w:color w:val="000000"/>
          <w:sz w:val="24"/>
          <w:szCs w:val="24"/>
        </w:rPr>
        <w:t>表2.4-1  评价等级判别表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1"/>
        <w:gridCol w:w="5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41" w:type="dxa"/>
            <w:tcBorders>
              <w:top w:val="single" w:color="000000" w:sz="4" w:space="0"/>
              <w:left w:val="single" w:color="000000" w:sz="4" w:space="0"/>
              <w:bottom w:val="single" w:color="000000" w:sz="4" w:space="0"/>
              <w:right w:val="single" w:color="000000" w:sz="4" w:space="0"/>
            </w:tcBorders>
          </w:tcPr>
          <w:p>
            <w:pPr>
              <w:widowControl/>
              <w:adjustRightInd w:val="0"/>
              <w:jc w:val="center"/>
              <w:rPr>
                <w:rFonts w:ascii="Times New Roman" w:hAnsi="Times New Roman"/>
                <w:b/>
                <w:bCs/>
                <w:color w:val="000000"/>
                <w:kern w:val="32"/>
              </w:rPr>
            </w:pPr>
            <w:r>
              <w:rPr>
                <w:rFonts w:ascii="Times New Roman" w:hAnsi="Times New Roman"/>
                <w:b/>
                <w:bCs/>
                <w:color w:val="000000"/>
                <w:kern w:val="32"/>
              </w:rPr>
              <w:t>评价工作等级</w:t>
            </w:r>
          </w:p>
        </w:tc>
        <w:tc>
          <w:tcPr>
            <w:tcW w:w="5960" w:type="dxa"/>
            <w:tcBorders>
              <w:top w:val="single" w:color="000000" w:sz="4" w:space="0"/>
              <w:left w:val="nil"/>
              <w:bottom w:val="single" w:color="000000" w:sz="4" w:space="0"/>
              <w:right w:val="single" w:color="000000" w:sz="4" w:space="0"/>
            </w:tcBorders>
          </w:tcPr>
          <w:p>
            <w:pPr>
              <w:widowControl/>
              <w:adjustRightInd w:val="0"/>
              <w:jc w:val="center"/>
              <w:rPr>
                <w:rFonts w:ascii="Times New Roman" w:hAnsi="Times New Roman"/>
                <w:b/>
                <w:bCs/>
                <w:color w:val="000000"/>
                <w:kern w:val="32"/>
              </w:rPr>
            </w:pPr>
            <w:r>
              <w:rPr>
                <w:rFonts w:ascii="Times New Roman" w:hAnsi="Times New Roman"/>
                <w:b/>
                <w:bCs/>
                <w:color w:val="000000"/>
                <w:kern w:val="32"/>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41" w:type="dxa"/>
            <w:tcBorders>
              <w:top w:val="single" w:color="000000" w:sz="4" w:space="0"/>
              <w:left w:val="single" w:color="000000" w:sz="4" w:space="0"/>
              <w:bottom w:val="single" w:color="000000" w:sz="4" w:space="0"/>
              <w:right w:val="single" w:color="000000" w:sz="4" w:space="0"/>
            </w:tcBorders>
          </w:tcPr>
          <w:p>
            <w:pPr>
              <w:widowControl/>
              <w:adjustRightInd w:val="0"/>
              <w:jc w:val="center"/>
              <w:rPr>
                <w:rFonts w:ascii="Times New Roman" w:hAnsi="Times New Roman"/>
                <w:color w:val="000000"/>
                <w:kern w:val="32"/>
              </w:rPr>
            </w:pPr>
            <w:r>
              <w:rPr>
                <w:rFonts w:ascii="Times New Roman" w:hAnsi="Times New Roman"/>
                <w:color w:val="000000"/>
                <w:kern w:val="32"/>
              </w:rPr>
              <w:t>一级评价</w:t>
            </w:r>
          </w:p>
        </w:tc>
        <w:tc>
          <w:tcPr>
            <w:tcW w:w="5960" w:type="dxa"/>
            <w:tcBorders>
              <w:top w:val="single" w:color="000000" w:sz="4" w:space="0"/>
              <w:left w:val="nil"/>
              <w:bottom w:val="single" w:color="000000" w:sz="4" w:space="0"/>
              <w:right w:val="single" w:color="000000" w:sz="4" w:space="0"/>
            </w:tcBorders>
          </w:tcPr>
          <w:p>
            <w:pPr>
              <w:widowControl/>
              <w:adjustRightInd w:val="0"/>
              <w:jc w:val="center"/>
              <w:rPr>
                <w:rFonts w:ascii="Times New Roman" w:hAnsi="Times New Roman"/>
                <w:color w:val="000000"/>
                <w:kern w:val="32"/>
              </w:rPr>
            </w:pPr>
            <w:r>
              <w:rPr>
                <w:rFonts w:ascii="Times New Roman" w:hAnsi="Times New Roman"/>
                <w:color w:val="000000"/>
                <w:kern w:val="32"/>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41" w:type="dxa"/>
            <w:tcBorders>
              <w:top w:val="single" w:color="000000" w:sz="4" w:space="0"/>
              <w:left w:val="single" w:color="000000" w:sz="4" w:space="0"/>
              <w:bottom w:val="single" w:color="000000" w:sz="4" w:space="0"/>
              <w:right w:val="single" w:color="000000" w:sz="4" w:space="0"/>
            </w:tcBorders>
          </w:tcPr>
          <w:p>
            <w:pPr>
              <w:widowControl/>
              <w:adjustRightInd w:val="0"/>
              <w:jc w:val="center"/>
              <w:rPr>
                <w:rFonts w:ascii="Times New Roman" w:hAnsi="Times New Roman"/>
                <w:color w:val="000000"/>
                <w:kern w:val="32"/>
              </w:rPr>
            </w:pPr>
            <w:r>
              <w:rPr>
                <w:rFonts w:ascii="Times New Roman" w:hAnsi="Times New Roman"/>
                <w:color w:val="000000"/>
                <w:kern w:val="32"/>
              </w:rPr>
              <w:t>二级评价</w:t>
            </w:r>
          </w:p>
        </w:tc>
        <w:tc>
          <w:tcPr>
            <w:tcW w:w="5960" w:type="dxa"/>
            <w:tcBorders>
              <w:top w:val="single" w:color="000000" w:sz="4" w:space="0"/>
              <w:left w:val="nil"/>
              <w:bottom w:val="single" w:color="000000" w:sz="4" w:space="0"/>
              <w:right w:val="single" w:color="000000" w:sz="4" w:space="0"/>
            </w:tcBorders>
          </w:tcPr>
          <w:p>
            <w:pPr>
              <w:widowControl/>
              <w:adjustRightInd w:val="0"/>
              <w:jc w:val="center"/>
              <w:rPr>
                <w:rFonts w:ascii="Times New Roman" w:hAnsi="Times New Roman"/>
                <w:color w:val="000000"/>
                <w:kern w:val="32"/>
              </w:rPr>
            </w:pPr>
            <w:r>
              <w:rPr>
                <w:rFonts w:ascii="Times New Roman" w:hAnsi="Times New Roman"/>
                <w:color w:val="000000"/>
                <w:kern w:val="32"/>
              </w:rPr>
              <w:t>1%≤Pmax＜10%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41" w:type="dxa"/>
            <w:tcBorders>
              <w:top w:val="single" w:color="000000" w:sz="4" w:space="0"/>
              <w:left w:val="single" w:color="000000" w:sz="4" w:space="0"/>
              <w:bottom w:val="single" w:color="000000" w:sz="4" w:space="0"/>
              <w:right w:val="single" w:color="000000" w:sz="4" w:space="0"/>
            </w:tcBorders>
          </w:tcPr>
          <w:p>
            <w:pPr>
              <w:widowControl/>
              <w:adjustRightInd w:val="0"/>
              <w:jc w:val="center"/>
              <w:rPr>
                <w:rFonts w:ascii="Times New Roman" w:hAnsi="Times New Roman"/>
                <w:color w:val="000000"/>
                <w:kern w:val="32"/>
              </w:rPr>
            </w:pPr>
            <w:r>
              <w:rPr>
                <w:rFonts w:ascii="Times New Roman" w:hAnsi="Times New Roman"/>
                <w:color w:val="000000"/>
                <w:kern w:val="32"/>
              </w:rPr>
              <w:t>三级评价</w:t>
            </w:r>
          </w:p>
        </w:tc>
        <w:tc>
          <w:tcPr>
            <w:tcW w:w="5960" w:type="dxa"/>
            <w:tcBorders>
              <w:top w:val="single" w:color="000000" w:sz="4" w:space="0"/>
              <w:left w:val="nil"/>
              <w:bottom w:val="single" w:color="000000" w:sz="4" w:space="0"/>
              <w:right w:val="single" w:color="000000" w:sz="4" w:space="0"/>
            </w:tcBorders>
          </w:tcPr>
          <w:p>
            <w:pPr>
              <w:widowControl/>
              <w:adjustRightInd w:val="0"/>
              <w:jc w:val="center"/>
              <w:rPr>
                <w:rFonts w:ascii="Times New Roman" w:hAnsi="Times New Roman"/>
                <w:color w:val="000000"/>
                <w:kern w:val="32"/>
              </w:rPr>
            </w:pPr>
            <w:r>
              <w:rPr>
                <w:rFonts w:ascii="Times New Roman" w:hAnsi="Times New Roman"/>
                <w:color w:val="000000"/>
                <w:kern w:val="32"/>
              </w:rPr>
              <w:t>Pmax＜1%</w:t>
            </w:r>
          </w:p>
        </w:tc>
      </w:tr>
    </w:tbl>
    <w:p>
      <w:pPr>
        <w:spacing w:line="360" w:lineRule="auto"/>
        <w:ind w:firstLine="482"/>
        <w:rPr>
          <w:rFonts w:ascii="Times New Roman" w:hAnsi="Times New Roman"/>
          <w:color w:val="000000"/>
          <w:sz w:val="24"/>
          <w:szCs w:val="24"/>
        </w:rPr>
      </w:pPr>
      <w:r>
        <w:rPr>
          <w:rFonts w:ascii="Times New Roman" w:hAnsi="Times New Roman"/>
          <w:color w:val="000000"/>
          <w:sz w:val="24"/>
          <w:szCs w:val="24"/>
        </w:rPr>
        <w:t>根据项目影响估算：</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估算</w:t>
      </w:r>
      <w:r>
        <w:rPr>
          <w:rFonts w:ascii="Times New Roman" w:hAnsi="Times New Roman"/>
          <w:color w:val="000000"/>
          <w:sz w:val="24"/>
          <w:szCs w:val="24"/>
        </w:rPr>
        <w:t>模型参数表，具体内容如下。</w:t>
      </w: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表2.4</w:t>
      </w:r>
      <w:r>
        <w:rPr>
          <w:rFonts w:ascii="Times New Roman" w:hAnsi="Times New Roman"/>
          <w:b/>
          <w:color w:val="000000"/>
          <w:sz w:val="24"/>
          <w:szCs w:val="24"/>
        </w:rPr>
        <w:t xml:space="preserve">-2   </w:t>
      </w:r>
      <w:r>
        <w:rPr>
          <w:rFonts w:hint="eastAsia" w:ascii="Times New Roman" w:hAnsi="Times New Roman"/>
          <w:b/>
          <w:color w:val="000000"/>
          <w:sz w:val="24"/>
          <w:szCs w:val="24"/>
        </w:rPr>
        <w:t>估算</w:t>
      </w:r>
      <w:r>
        <w:rPr>
          <w:rFonts w:ascii="Times New Roman" w:hAnsi="Times New Roman"/>
          <w:b/>
          <w:color w:val="000000"/>
          <w:sz w:val="24"/>
          <w:szCs w:val="24"/>
        </w:rPr>
        <w:t>模型参数</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参数</w:t>
            </w:r>
          </w:p>
        </w:tc>
        <w:tc>
          <w:tcPr>
            <w:tcW w:w="2841" w:type="dxa"/>
            <w:vAlign w:val="center"/>
          </w:tcPr>
          <w:p>
            <w:pPr>
              <w:spacing w:line="240" w:lineRule="atLeast"/>
              <w:jc w:val="center"/>
              <w:rPr>
                <w:rFonts w:ascii="Times New Roman" w:hAnsi="Times New Roman" w:eastAsia="宋体" w:cs="Times New Roman"/>
                <w:kern w:val="0"/>
                <w:szCs w:val="20"/>
              </w:rPr>
            </w:pP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restart"/>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城市</w:t>
            </w:r>
            <w:r>
              <w:rPr>
                <w:rFonts w:ascii="Times New Roman" w:hAnsi="Times New Roman" w:eastAsia="宋体" w:cs="Times New Roman"/>
                <w:kern w:val="0"/>
                <w:szCs w:val="20"/>
              </w:rPr>
              <w:t>农村</w:t>
            </w:r>
            <w:r>
              <w:rPr>
                <w:rFonts w:hint="eastAsia" w:ascii="Times New Roman" w:hAnsi="Times New Roman" w:eastAsia="宋体" w:cs="Times New Roman"/>
                <w:kern w:val="0"/>
                <w:szCs w:val="20"/>
              </w:rPr>
              <w:t>/选项</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城市/农村</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continue"/>
            <w:vAlign w:val="center"/>
          </w:tcPr>
          <w:p>
            <w:pPr>
              <w:spacing w:line="240" w:lineRule="atLeast"/>
              <w:jc w:val="center"/>
              <w:rPr>
                <w:rFonts w:ascii="Times New Roman" w:hAnsi="Times New Roman" w:eastAsia="宋体" w:cs="Times New Roman"/>
                <w:kern w:val="0"/>
                <w:szCs w:val="20"/>
              </w:rPr>
            </w:pP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人口数</w:t>
            </w:r>
            <w:r>
              <w:rPr>
                <w:rFonts w:ascii="Times New Roman" w:hAnsi="Times New Roman" w:eastAsia="宋体" w:cs="Times New Roman"/>
                <w:kern w:val="0"/>
                <w:szCs w:val="20"/>
              </w:rPr>
              <w:t>（</w:t>
            </w:r>
            <w:r>
              <w:rPr>
                <w:rFonts w:hint="eastAsia" w:ascii="Times New Roman" w:hAnsi="Times New Roman" w:eastAsia="宋体" w:cs="Times New Roman"/>
                <w:kern w:val="0"/>
                <w:szCs w:val="20"/>
              </w:rPr>
              <w:t>城市</w:t>
            </w:r>
            <w:r>
              <w:rPr>
                <w:rFonts w:ascii="Times New Roman" w:hAnsi="Times New Roman" w:eastAsia="宋体" w:cs="Times New Roman"/>
                <w:kern w:val="0"/>
                <w:szCs w:val="20"/>
              </w:rPr>
              <w:t>人口数）</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1" w:type="dxa"/>
            <w:gridSpan w:val="2"/>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最高</w:t>
            </w:r>
            <w:r>
              <w:rPr>
                <w:rFonts w:ascii="Times New Roman" w:hAnsi="Times New Roman" w:eastAsia="宋体" w:cs="Times New Roman"/>
                <w:kern w:val="0"/>
                <w:szCs w:val="20"/>
              </w:rPr>
              <w:t>环境温度</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315.15K</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 w:hRule="atLeast"/>
        </w:trPr>
        <w:tc>
          <w:tcPr>
            <w:tcW w:w="5681" w:type="dxa"/>
            <w:gridSpan w:val="2"/>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最低</w:t>
            </w:r>
            <w:r>
              <w:rPr>
                <w:rFonts w:ascii="Times New Roman" w:hAnsi="Times New Roman" w:eastAsia="宋体" w:cs="Times New Roman"/>
                <w:kern w:val="0"/>
                <w:szCs w:val="20"/>
              </w:rPr>
              <w:t>环境温度</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273.05K</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1" w:type="dxa"/>
            <w:gridSpan w:val="2"/>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土地</w:t>
            </w:r>
            <w:r>
              <w:rPr>
                <w:rFonts w:ascii="Times New Roman" w:hAnsi="Times New Roman" w:eastAsia="宋体" w:cs="Times New Roman"/>
                <w:kern w:val="0"/>
                <w:szCs w:val="20"/>
              </w:rPr>
              <w:t>利用类型</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建设用地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1" w:type="dxa"/>
            <w:gridSpan w:val="2"/>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区域</w:t>
            </w:r>
            <w:r>
              <w:rPr>
                <w:rFonts w:ascii="Times New Roman" w:hAnsi="Times New Roman" w:eastAsia="宋体" w:cs="Times New Roman"/>
                <w:kern w:val="0"/>
                <w:szCs w:val="20"/>
              </w:rPr>
              <w:t>湿度条件</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干燥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restart"/>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是否</w:t>
            </w:r>
            <w:r>
              <w:rPr>
                <w:rFonts w:ascii="Times New Roman" w:hAnsi="Times New Roman" w:eastAsia="宋体" w:cs="Times New Roman"/>
                <w:kern w:val="0"/>
                <w:szCs w:val="20"/>
              </w:rPr>
              <w:t>考虑地形</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考虑</w:t>
            </w:r>
            <w:r>
              <w:rPr>
                <w:rFonts w:ascii="Times New Roman" w:hAnsi="Times New Roman" w:eastAsia="宋体" w:cs="Times New Roman"/>
                <w:kern w:val="0"/>
                <w:szCs w:val="20"/>
              </w:rPr>
              <w:t>地形</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continue"/>
            <w:vAlign w:val="center"/>
          </w:tcPr>
          <w:p>
            <w:pPr>
              <w:spacing w:line="240" w:lineRule="atLeast"/>
              <w:jc w:val="center"/>
              <w:rPr>
                <w:rFonts w:ascii="Times New Roman" w:hAnsi="Times New Roman" w:eastAsia="宋体" w:cs="Times New Roman"/>
                <w:kern w:val="0"/>
                <w:szCs w:val="20"/>
              </w:rPr>
            </w:pP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地形</w:t>
            </w:r>
            <w:r>
              <w:rPr>
                <w:rFonts w:ascii="Times New Roman" w:hAnsi="Times New Roman" w:eastAsia="宋体" w:cs="Times New Roman"/>
                <w:kern w:val="0"/>
                <w:szCs w:val="20"/>
              </w:rPr>
              <w:t>数据分辨率（</w:t>
            </w:r>
            <w:r>
              <w:rPr>
                <w:rFonts w:hint="eastAsia" w:ascii="Times New Roman" w:hAnsi="Times New Roman" w:eastAsia="宋体" w:cs="Times New Roman"/>
                <w:kern w:val="0"/>
                <w:szCs w:val="20"/>
              </w:rPr>
              <w:t>m</w:t>
            </w:r>
            <w:r>
              <w:rPr>
                <w:rFonts w:ascii="Times New Roman" w:hAnsi="Times New Roman" w:eastAsia="宋体" w:cs="Times New Roman"/>
                <w:kern w:val="0"/>
                <w:szCs w:val="20"/>
              </w:rPr>
              <w:t>）</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restart"/>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是否</w:t>
            </w:r>
            <w:r>
              <w:rPr>
                <w:rFonts w:ascii="Times New Roman" w:hAnsi="Times New Roman" w:eastAsia="宋体" w:cs="Times New Roman"/>
                <w:kern w:val="0"/>
                <w:szCs w:val="20"/>
              </w:rPr>
              <w:t>考虑海岸线</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考虑</w:t>
            </w:r>
            <w:r>
              <w:rPr>
                <w:rFonts w:ascii="Times New Roman" w:hAnsi="Times New Roman" w:eastAsia="宋体" w:cs="Times New Roman"/>
                <w:kern w:val="0"/>
                <w:szCs w:val="20"/>
              </w:rPr>
              <w:t>海岸线熏</w:t>
            </w:r>
            <w:r>
              <w:rPr>
                <w:rFonts w:hint="eastAsia" w:ascii="Times New Roman" w:hAnsi="Times New Roman" w:eastAsia="宋体" w:cs="Times New Roman"/>
                <w:kern w:val="0"/>
                <w:szCs w:val="20"/>
              </w:rPr>
              <w:t>烟</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continue"/>
            <w:vAlign w:val="center"/>
          </w:tcPr>
          <w:p>
            <w:pPr>
              <w:spacing w:line="240" w:lineRule="atLeast"/>
              <w:jc w:val="center"/>
              <w:rPr>
                <w:rFonts w:ascii="Times New Roman" w:hAnsi="Times New Roman" w:eastAsia="宋体" w:cs="Times New Roman"/>
                <w:kern w:val="0"/>
                <w:szCs w:val="20"/>
              </w:rPr>
            </w:pP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海岸线</w:t>
            </w:r>
            <w:r>
              <w:rPr>
                <w:rFonts w:ascii="Times New Roman" w:hAnsi="Times New Roman" w:eastAsia="宋体" w:cs="Times New Roman"/>
                <w:kern w:val="0"/>
                <w:szCs w:val="20"/>
              </w:rPr>
              <w:t>距离</w:t>
            </w:r>
            <w:r>
              <w:rPr>
                <w:rFonts w:hint="eastAsia" w:ascii="Times New Roman" w:hAnsi="Times New Roman" w:eastAsia="宋体" w:cs="Times New Roman"/>
                <w:kern w:val="0"/>
                <w:szCs w:val="20"/>
              </w:rPr>
              <w:t>/</w:t>
            </w:r>
            <w:r>
              <w:rPr>
                <w:rFonts w:ascii="Times New Roman" w:hAnsi="Times New Roman" w:eastAsia="宋体" w:cs="Times New Roman"/>
                <w:kern w:val="0"/>
                <w:szCs w:val="20"/>
              </w:rPr>
              <w:t>km</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r>
    </w:tbl>
    <w:p>
      <w:pPr>
        <w:spacing w:line="360" w:lineRule="auto"/>
        <w:ind w:firstLine="482"/>
        <w:rPr>
          <w:rFonts w:ascii="Times New Roman" w:hAnsi="Times New Roman"/>
          <w:color w:val="000000"/>
          <w:sz w:val="24"/>
          <w:szCs w:val="24"/>
        </w:rPr>
      </w:pP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表2.4</w:t>
      </w:r>
      <w:r>
        <w:rPr>
          <w:rFonts w:ascii="Times New Roman" w:hAnsi="Times New Roman"/>
          <w:b/>
          <w:color w:val="000000"/>
          <w:sz w:val="24"/>
          <w:szCs w:val="24"/>
        </w:rPr>
        <w:t xml:space="preserve">-3   </w:t>
      </w:r>
      <w:r>
        <w:rPr>
          <w:rFonts w:hint="eastAsia" w:ascii="Times New Roman" w:hAnsi="Times New Roman"/>
          <w:b/>
          <w:color w:val="000000"/>
          <w:sz w:val="24"/>
          <w:szCs w:val="24"/>
        </w:rPr>
        <w:t>各个</w:t>
      </w:r>
      <w:r>
        <w:rPr>
          <w:rFonts w:ascii="Times New Roman" w:hAnsi="Times New Roman"/>
          <w:b/>
          <w:color w:val="000000"/>
          <w:sz w:val="24"/>
          <w:szCs w:val="24"/>
        </w:rPr>
        <w:t>污染源最大预测落地浓度和占标率</w:t>
      </w:r>
      <w:r>
        <w:rPr>
          <w:rFonts w:hint="eastAsia" w:ascii="Times New Roman" w:hAnsi="Times New Roman"/>
          <w:b/>
          <w:color w:val="000000"/>
          <w:sz w:val="24"/>
          <w:szCs w:val="24"/>
        </w:rPr>
        <w:t xml:space="preserve">  mg/m</w:t>
      </w:r>
      <w:r>
        <w:rPr>
          <w:rFonts w:hint="eastAsia" w:ascii="Times New Roman" w:hAnsi="Times New Roman"/>
          <w:b/>
          <w:color w:val="000000"/>
          <w:sz w:val="24"/>
          <w:szCs w:val="24"/>
          <w:vertAlign w:val="superscript"/>
        </w:rPr>
        <w:t>3</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851"/>
        <w:gridCol w:w="1843"/>
        <w:gridCol w:w="2126"/>
        <w:gridCol w:w="25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70" w:type="dxa"/>
            <w:gridSpan w:val="2"/>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项目</w:t>
            </w:r>
          </w:p>
        </w:tc>
        <w:tc>
          <w:tcPr>
            <w:tcW w:w="1843"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最远</w:t>
            </w:r>
            <w:r>
              <w:rPr>
                <w:rFonts w:ascii="Times New Roman" w:hAnsi="Times New Roman" w:eastAsia="宋体" w:cs="Times New Roman"/>
                <w:b/>
                <w:kern w:val="0"/>
                <w:szCs w:val="21"/>
              </w:rPr>
              <w:t>距离（</w:t>
            </w:r>
            <w:r>
              <w:rPr>
                <w:rFonts w:hint="eastAsia" w:ascii="Times New Roman" w:hAnsi="Times New Roman" w:eastAsia="宋体" w:cs="Times New Roman"/>
                <w:b/>
                <w:kern w:val="0"/>
                <w:szCs w:val="21"/>
              </w:rPr>
              <w:t>m</w:t>
            </w:r>
            <w:r>
              <w:rPr>
                <w:rFonts w:ascii="Times New Roman" w:hAnsi="Times New Roman" w:eastAsia="宋体" w:cs="Times New Roman"/>
                <w:b/>
                <w:kern w:val="0"/>
                <w:szCs w:val="21"/>
              </w:rPr>
              <w:t>）</w:t>
            </w:r>
          </w:p>
        </w:tc>
        <w:tc>
          <w:tcPr>
            <w:tcW w:w="2126" w:type="dxa"/>
            <w:vAlign w:val="center"/>
          </w:tcPr>
          <w:p>
            <w:pPr>
              <w:spacing w:line="240" w:lineRule="atLeast"/>
              <w:rPr>
                <w:rFonts w:ascii="Times New Roman" w:hAnsi="Times New Roman" w:eastAsia="宋体" w:cs="Times New Roman"/>
                <w:b/>
                <w:kern w:val="0"/>
                <w:szCs w:val="21"/>
              </w:rPr>
            </w:pPr>
            <w:r>
              <w:rPr>
                <w:rFonts w:hint="eastAsia" w:ascii="Times New Roman" w:hAnsi="Times New Roman" w:eastAsia="宋体" w:cs="Times New Roman"/>
                <w:b/>
                <w:kern w:val="0"/>
                <w:szCs w:val="21"/>
              </w:rPr>
              <w:t>最大地面浓度</w:t>
            </w:r>
            <w:r>
              <w:rPr>
                <w:rFonts w:ascii="Times New Roman" w:hAnsi="Times New Roman" w:eastAsia="宋体" w:cs="Times New Roman"/>
                <w:b/>
                <w:kern w:val="0"/>
                <w:szCs w:val="21"/>
              </w:rPr>
              <w:t>μ</w:t>
            </w:r>
            <w:r>
              <w:rPr>
                <w:rFonts w:hint="eastAsia" w:ascii="Times New Roman" w:hAnsi="Times New Roman" w:eastAsia="宋体" w:cs="Times New Roman"/>
                <w:b/>
                <w:kern w:val="0"/>
                <w:szCs w:val="21"/>
              </w:rPr>
              <w:t>g/m</w:t>
            </w:r>
            <w:r>
              <w:rPr>
                <w:rFonts w:hint="eastAsia" w:ascii="Times New Roman" w:hAnsi="Times New Roman" w:eastAsia="宋体" w:cs="Times New Roman"/>
                <w:b/>
                <w:kern w:val="0"/>
                <w:szCs w:val="21"/>
                <w:vertAlign w:val="superscript"/>
              </w:rPr>
              <w:t>3</w:t>
            </w:r>
          </w:p>
        </w:tc>
        <w:tc>
          <w:tcPr>
            <w:tcW w:w="2583" w:type="dxa"/>
            <w:vAlign w:val="center"/>
          </w:tcPr>
          <w:p>
            <w:pPr>
              <w:spacing w:line="240" w:lineRule="atLeast"/>
              <w:rPr>
                <w:rFonts w:ascii="Times New Roman" w:hAnsi="Times New Roman" w:eastAsia="宋体" w:cs="Times New Roman"/>
                <w:b/>
                <w:kern w:val="0"/>
                <w:szCs w:val="21"/>
              </w:rPr>
            </w:pPr>
            <w:r>
              <w:rPr>
                <w:rFonts w:hint="eastAsia" w:ascii="Times New Roman" w:hAnsi="Times New Roman" w:eastAsia="宋体" w:cs="Times New Roman"/>
                <w:b/>
                <w:kern w:val="0"/>
                <w:szCs w:val="21"/>
              </w:rPr>
              <w:t>浓度占标率Pmax（%）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19"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锅炉废气</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PM</w:t>
            </w:r>
            <w:r>
              <w:rPr>
                <w:rFonts w:hint="eastAsia" w:ascii="Times New Roman" w:hAnsi="Times New Roman" w:eastAsia="宋体" w:cs="Times New Roman"/>
                <w:kern w:val="0"/>
                <w:szCs w:val="21"/>
                <w:vertAlign w:val="subscript"/>
              </w:rPr>
              <w:t>10</w:t>
            </w:r>
          </w:p>
        </w:tc>
        <w:tc>
          <w:tcPr>
            <w:tcW w:w="1843"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w:t>
            </w:r>
          </w:p>
        </w:tc>
        <w:tc>
          <w:tcPr>
            <w:tcW w:w="2126" w:type="dxa"/>
            <w:vAlign w:val="center"/>
          </w:tcPr>
          <w:p>
            <w:pPr>
              <w:spacing w:line="240" w:lineRule="atLeast"/>
              <w:ind w:firstLine="420"/>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0.7751</w:t>
            </w:r>
          </w:p>
        </w:tc>
        <w:tc>
          <w:tcPr>
            <w:tcW w:w="2583"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0.0961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19" w:type="dxa"/>
            <w:vMerge w:val="continue"/>
            <w:vAlign w:val="center"/>
          </w:tcPr>
          <w:p>
            <w:pPr>
              <w:spacing w:line="240" w:lineRule="atLeast"/>
              <w:jc w:val="center"/>
              <w:rPr>
                <w:rFonts w:ascii="Times New Roman" w:hAnsi="Times New Roman" w:eastAsia="宋体" w:cs="Times New Roman"/>
                <w:kern w:val="0"/>
                <w:szCs w:val="21"/>
              </w:rPr>
            </w:pP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1843"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w:t>
            </w:r>
          </w:p>
        </w:tc>
        <w:tc>
          <w:tcPr>
            <w:tcW w:w="2126" w:type="dxa"/>
            <w:vAlign w:val="center"/>
          </w:tcPr>
          <w:p>
            <w:pPr>
              <w:spacing w:line="240" w:lineRule="atLeast"/>
              <w:ind w:firstLine="420"/>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10.4340</w:t>
            </w:r>
          </w:p>
        </w:tc>
        <w:tc>
          <w:tcPr>
            <w:tcW w:w="2583"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2.0868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19" w:type="dxa"/>
            <w:vMerge w:val="continue"/>
            <w:vAlign w:val="center"/>
          </w:tcPr>
          <w:p>
            <w:pPr>
              <w:spacing w:line="240" w:lineRule="atLeast"/>
              <w:jc w:val="center"/>
              <w:rPr>
                <w:rFonts w:ascii="Times New Roman" w:hAnsi="Times New Roman" w:eastAsia="宋体" w:cs="Times New Roman"/>
                <w:kern w:val="0"/>
                <w:szCs w:val="21"/>
              </w:rPr>
            </w:pP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1843"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721</w:t>
            </w:r>
          </w:p>
        </w:tc>
        <w:tc>
          <w:tcPr>
            <w:tcW w:w="2126" w:type="dxa"/>
            <w:vAlign w:val="center"/>
          </w:tcPr>
          <w:p>
            <w:pPr>
              <w:spacing w:line="240" w:lineRule="atLeast"/>
              <w:ind w:firstLine="420"/>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20.8680</w:t>
            </w:r>
          </w:p>
        </w:tc>
        <w:tc>
          <w:tcPr>
            <w:tcW w:w="2583"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8.3472</w:t>
            </w:r>
          </w:p>
        </w:tc>
      </w:tr>
    </w:tbl>
    <w:p>
      <w:pPr>
        <w:spacing w:line="360" w:lineRule="auto"/>
        <w:ind w:firstLine="482"/>
        <w:rPr>
          <w:rFonts w:ascii="Times New Roman" w:hAnsi="Times New Roman"/>
          <w:color w:val="000000"/>
          <w:sz w:val="24"/>
          <w:szCs w:val="24"/>
        </w:rPr>
      </w:pP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根据计算结果可知，</w:t>
      </w:r>
      <w:r>
        <w:rPr>
          <w:rFonts w:hint="eastAsia" w:ascii="Times New Roman" w:hAnsi="Times New Roman"/>
          <w:color w:val="FF0000"/>
          <w:sz w:val="24"/>
          <w:szCs w:val="24"/>
        </w:rPr>
        <w:t>本项目产生的污染物的最大地面浓度占标率Pmax=8.3472%，对应距离D10%为1575m，1%≤Pmax＜10%</w:t>
      </w:r>
      <w:r>
        <w:rPr>
          <w:rFonts w:hint="eastAsia" w:ascii="Times New Roman" w:hAnsi="Times New Roman"/>
          <w:color w:val="000000"/>
          <w:sz w:val="24"/>
          <w:szCs w:val="24"/>
        </w:rPr>
        <w:t>，根据评价等级判定标准，确定本次大气环境影响评价等级为二级评价。</w:t>
      </w: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2、环境空气评价范围</w:t>
      </w:r>
    </w:p>
    <w:p>
      <w:pPr>
        <w:spacing w:line="360" w:lineRule="auto"/>
        <w:ind w:firstLine="482"/>
        <w:rPr>
          <w:rFonts w:ascii="Times New Roman" w:hAnsi="Times New Roman"/>
          <w:color w:val="000000"/>
          <w:sz w:val="24"/>
          <w:szCs w:val="24"/>
        </w:rPr>
      </w:pPr>
      <w:r>
        <w:rPr>
          <w:rFonts w:hint="eastAsia" w:ascii="Times New Roman" w:hAnsi="Times New Roman"/>
          <w:color w:val="FF0000"/>
          <w:sz w:val="24"/>
          <w:szCs w:val="24"/>
        </w:rPr>
        <w:t>根据《环境影响评价技术导则  大气环境》（HJ2.2-2018）第5.4.2条款的要求，二级评价项目</w:t>
      </w:r>
      <w:r>
        <w:rPr>
          <w:rFonts w:hint="eastAsia" w:ascii="Times New Roman" w:hAnsi="Times New Roman"/>
          <w:color w:val="FF0000"/>
          <w:sz w:val="24"/>
          <w:szCs w:val="24"/>
          <w:lang w:eastAsia="zh-CN"/>
        </w:rPr>
        <w:t>大气</w:t>
      </w:r>
      <w:r>
        <w:rPr>
          <w:rFonts w:hint="eastAsia" w:ascii="Times New Roman" w:hAnsi="Times New Roman"/>
          <w:color w:val="FF0000"/>
          <w:sz w:val="24"/>
          <w:szCs w:val="24"/>
        </w:rPr>
        <w:t>环境影响评价范围边长取5km。故本次评价范围以场址</w:t>
      </w:r>
      <w:r>
        <w:rPr>
          <w:rFonts w:hint="eastAsia" w:ascii="Times New Roman" w:hAnsi="Times New Roman"/>
          <w:color w:val="FF0000"/>
          <w:sz w:val="24"/>
          <w:szCs w:val="24"/>
          <w:lang w:eastAsia="zh-CN"/>
        </w:rPr>
        <w:t>为</w:t>
      </w:r>
      <w:r>
        <w:rPr>
          <w:rFonts w:hint="eastAsia" w:ascii="Times New Roman" w:hAnsi="Times New Roman"/>
          <w:color w:val="FF0000"/>
          <w:sz w:val="24"/>
          <w:szCs w:val="24"/>
        </w:rPr>
        <w:t>中心</w:t>
      </w:r>
      <w:r>
        <w:rPr>
          <w:rFonts w:hint="eastAsia" w:ascii="Times New Roman" w:hAnsi="Times New Roman"/>
          <w:color w:val="FF0000"/>
          <w:sz w:val="24"/>
          <w:szCs w:val="24"/>
          <w:lang w:eastAsia="zh-CN"/>
        </w:rPr>
        <w:t>区域</w:t>
      </w:r>
      <w:r>
        <w:rPr>
          <w:rFonts w:hint="eastAsia" w:ascii="Times New Roman" w:hAnsi="Times New Roman"/>
          <w:color w:val="FF0000"/>
          <w:sz w:val="24"/>
          <w:szCs w:val="24"/>
        </w:rPr>
        <w:t>，边长</w:t>
      </w:r>
      <w:r>
        <w:rPr>
          <w:rFonts w:hint="eastAsia" w:ascii="Times New Roman" w:hAnsi="Times New Roman"/>
          <w:color w:val="FF0000"/>
          <w:sz w:val="24"/>
          <w:szCs w:val="24"/>
          <w:lang w:eastAsia="zh-CN"/>
        </w:rPr>
        <w:t>取</w:t>
      </w:r>
      <w:r>
        <w:rPr>
          <w:rFonts w:hint="eastAsia" w:ascii="Times New Roman" w:hAnsi="Times New Roman"/>
          <w:color w:val="FF0000"/>
          <w:sz w:val="24"/>
          <w:szCs w:val="24"/>
        </w:rPr>
        <w:t>5km的矩形区域。项目评价</w:t>
      </w:r>
      <w:r>
        <w:rPr>
          <w:rFonts w:ascii="Times New Roman" w:hAnsi="Times New Roman"/>
          <w:color w:val="FF0000"/>
          <w:sz w:val="24"/>
          <w:szCs w:val="24"/>
        </w:rPr>
        <w:t>范围见附图</w:t>
      </w:r>
      <w:r>
        <w:rPr>
          <w:rFonts w:hint="eastAsia" w:ascii="Times New Roman" w:hAnsi="Times New Roman"/>
          <w:color w:val="FF0000"/>
          <w:sz w:val="24"/>
          <w:szCs w:val="24"/>
        </w:rPr>
        <w:t>三。</w:t>
      </w:r>
    </w:p>
    <w:p>
      <w:pPr>
        <w:pStyle w:val="5"/>
        <w:ind w:firstLine="562"/>
        <w:rPr>
          <w:rFonts w:hAnsi="Times New Roman"/>
          <w:color w:val="FF0000"/>
          <w:sz w:val="24"/>
          <w:szCs w:val="24"/>
        </w:rPr>
      </w:pPr>
      <w:bookmarkStart w:id="69" w:name="_Toc20004"/>
      <w:bookmarkStart w:id="70" w:name="_Toc22714"/>
      <w:r>
        <w:rPr>
          <w:rFonts w:hint="eastAsia" w:hAnsi="Times New Roman"/>
          <w:color w:val="FF0000"/>
          <w:sz w:val="24"/>
          <w:szCs w:val="24"/>
        </w:rPr>
        <w:t>2.4.</w:t>
      </w:r>
      <w:r>
        <w:rPr>
          <w:rFonts w:hAnsi="Times New Roman"/>
          <w:color w:val="FF0000"/>
          <w:sz w:val="24"/>
          <w:szCs w:val="24"/>
        </w:rPr>
        <w:t>2</w:t>
      </w:r>
      <w:r>
        <w:rPr>
          <w:rFonts w:hint="eastAsia" w:hAnsi="Times New Roman"/>
          <w:color w:val="FF0000"/>
          <w:sz w:val="24"/>
          <w:szCs w:val="24"/>
        </w:rPr>
        <w:t>地表水评价工作等级及评价范围</w:t>
      </w:r>
      <w:bookmarkEnd w:id="69"/>
      <w:bookmarkEnd w:id="70"/>
    </w:p>
    <w:p>
      <w:pPr>
        <w:spacing w:line="360" w:lineRule="auto"/>
        <w:ind w:firstLine="482"/>
        <w:rPr>
          <w:rFonts w:ascii="Times New Roman" w:hAnsi="Times New Roman"/>
          <w:b/>
          <w:color w:val="FF0000"/>
          <w:sz w:val="24"/>
          <w:szCs w:val="24"/>
        </w:rPr>
      </w:pPr>
      <w:r>
        <w:rPr>
          <w:rFonts w:hint="eastAsia" w:ascii="Times New Roman" w:hAnsi="Times New Roman"/>
          <w:b/>
          <w:color w:val="FF0000"/>
          <w:sz w:val="24"/>
          <w:szCs w:val="24"/>
        </w:rPr>
        <w:t>1、</w:t>
      </w:r>
      <w:r>
        <w:rPr>
          <w:rFonts w:ascii="Times New Roman" w:hAnsi="Times New Roman"/>
          <w:b/>
          <w:color w:val="FF0000"/>
          <w:sz w:val="24"/>
          <w:szCs w:val="24"/>
        </w:rPr>
        <w:t>地表水评价工作等级</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1）废水</w:t>
      </w:r>
      <w:r>
        <w:rPr>
          <w:rFonts w:ascii="Times New Roman" w:hAnsi="Times New Roman"/>
          <w:color w:val="FF0000"/>
          <w:sz w:val="24"/>
          <w:szCs w:val="24"/>
        </w:rPr>
        <w:t>处理措施</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（1）</w:t>
      </w:r>
      <w:r>
        <w:rPr>
          <w:rFonts w:ascii="Times New Roman" w:hAnsi="Times New Roman"/>
          <w:color w:val="FF0000"/>
          <w:sz w:val="24"/>
          <w:szCs w:val="24"/>
        </w:rPr>
        <w:t>生产废水</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造纸废水经循环水池收集后循环使用；水膜除尘废水经循环沉淀池处理后回用，</w:t>
      </w:r>
      <w:r>
        <w:rPr>
          <w:rFonts w:ascii="Times New Roman" w:hAnsi="Times New Roman"/>
          <w:color w:val="FF0000"/>
          <w:sz w:val="24"/>
          <w:szCs w:val="24"/>
        </w:rPr>
        <w:t>不外排</w:t>
      </w:r>
      <w:r>
        <w:rPr>
          <w:rFonts w:hint="eastAsia" w:ascii="Times New Roman" w:hAnsi="Times New Roman"/>
          <w:color w:val="FF0000"/>
          <w:sz w:val="24"/>
          <w:szCs w:val="24"/>
        </w:rPr>
        <w:t>。</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w:t>
      </w:r>
      <w:r>
        <w:rPr>
          <w:rFonts w:ascii="Times New Roman" w:hAnsi="Times New Roman"/>
          <w:color w:val="FF0000"/>
          <w:sz w:val="24"/>
          <w:szCs w:val="24"/>
        </w:rPr>
        <w:t>2</w:t>
      </w:r>
      <w:r>
        <w:rPr>
          <w:rFonts w:hint="eastAsia" w:ascii="Times New Roman" w:hAnsi="Times New Roman"/>
          <w:color w:val="FF0000"/>
          <w:sz w:val="24"/>
          <w:szCs w:val="24"/>
        </w:rPr>
        <w:t>）</w:t>
      </w:r>
      <w:r>
        <w:rPr>
          <w:rFonts w:ascii="Times New Roman" w:hAnsi="Times New Roman"/>
          <w:color w:val="FF0000"/>
          <w:sz w:val="24"/>
          <w:szCs w:val="24"/>
        </w:rPr>
        <w:t>生活废水</w:t>
      </w:r>
    </w:p>
    <w:p>
      <w:pPr>
        <w:spacing w:line="360" w:lineRule="auto"/>
        <w:ind w:firstLine="480" w:firstLineChars="200"/>
        <w:jc w:val="left"/>
        <w:rPr>
          <w:rFonts w:ascii="Times New Roman" w:hAnsi="Times New Roman"/>
          <w:color w:val="FF0000"/>
          <w:sz w:val="24"/>
          <w:szCs w:val="24"/>
        </w:rPr>
      </w:pPr>
      <w:r>
        <w:rPr>
          <w:rFonts w:ascii="Times New Roman" w:hAnsi="Times New Roman"/>
          <w:color w:val="FF0000"/>
          <w:sz w:val="24"/>
          <w:szCs w:val="24"/>
        </w:rPr>
        <w:t>食堂废水经</w:t>
      </w:r>
      <w:r>
        <w:rPr>
          <w:rFonts w:hint="eastAsia" w:ascii="Times New Roman" w:hAnsi="Times New Roman"/>
          <w:color w:val="FF0000"/>
          <w:sz w:val="24"/>
          <w:szCs w:val="24"/>
        </w:rPr>
        <w:t>经隔油池（2m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）处理后同其他生活污水进入化粪池（5m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）处理后，通过自建的污水处理设施（处理规模6m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/d）处理达标后晴天回用于绿化，雨天回用于生产，</w:t>
      </w:r>
      <w:r>
        <w:rPr>
          <w:rFonts w:ascii="Times New Roman" w:hAnsi="Times New Roman"/>
          <w:color w:val="FF0000"/>
          <w:sz w:val="24"/>
          <w:szCs w:val="24"/>
        </w:rPr>
        <w:t>不外排。</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2）</w:t>
      </w:r>
      <w:r>
        <w:rPr>
          <w:rFonts w:ascii="Times New Roman" w:hAnsi="Times New Roman"/>
          <w:color w:val="FF0000"/>
          <w:sz w:val="24"/>
          <w:szCs w:val="24"/>
        </w:rPr>
        <w:t>等级判定</w:t>
      </w:r>
    </w:p>
    <w:p>
      <w:pPr>
        <w:spacing w:line="360" w:lineRule="auto"/>
        <w:ind w:firstLine="480"/>
        <w:rPr>
          <w:rFonts w:ascii="Times New Roman" w:hAnsi="Times New Roman"/>
          <w:color w:val="FF0000"/>
          <w:sz w:val="24"/>
          <w:szCs w:val="24"/>
        </w:rPr>
      </w:pPr>
      <w:r>
        <w:rPr>
          <w:rFonts w:ascii="Times New Roman" w:hAnsi="Times New Roman"/>
          <w:color w:val="FF0000"/>
          <w:sz w:val="24"/>
          <w:szCs w:val="24"/>
        </w:rPr>
        <w:t>根据《环境影响评价技术导则  地表水环境》（HJ2.3-2018）中5.2.2.2表1水污染影响型建设项目评价等级判定的“注10：建设项目生产工艺中有废水产生，处理达标后作为回水利用，不排放到外环境的，按三级B评价”。</w:t>
      </w:r>
    </w:p>
    <w:p>
      <w:pPr>
        <w:spacing w:line="360" w:lineRule="auto"/>
        <w:ind w:firstLine="480"/>
        <w:rPr>
          <w:rFonts w:ascii="Times New Roman" w:hAnsi="Times New Roman"/>
          <w:color w:val="FF0000"/>
          <w:sz w:val="24"/>
          <w:szCs w:val="24"/>
        </w:rPr>
      </w:pPr>
      <w:r>
        <w:rPr>
          <w:rFonts w:ascii="Times New Roman" w:hAnsi="Times New Roman"/>
          <w:color w:val="FF0000"/>
          <w:sz w:val="24"/>
          <w:szCs w:val="24"/>
        </w:rPr>
        <w:t>综上所述，由于拟建项目没有废水直接外排进入当地地表水体，因此拟建项目地表水影响评价按三级B评价。因此项目地表水环境影响评价从简，重点分析项目生产废水和生活废水回用及不外排的可行性和可靠性。</w:t>
      </w:r>
    </w:p>
    <w:p>
      <w:pPr>
        <w:spacing w:line="360" w:lineRule="auto"/>
        <w:ind w:firstLine="480"/>
        <w:rPr>
          <w:rFonts w:ascii="Times New Roman" w:hAnsi="Times New Roman"/>
          <w:color w:val="FF0000"/>
          <w:sz w:val="24"/>
          <w:szCs w:val="24"/>
        </w:rPr>
      </w:pPr>
      <w:r>
        <w:rPr>
          <w:rFonts w:hint="eastAsia" w:ascii="Times New Roman" w:hAnsi="Times New Roman"/>
          <w:color w:val="FF0000"/>
          <w:sz w:val="24"/>
          <w:szCs w:val="24"/>
        </w:rPr>
        <w:t>2、</w:t>
      </w:r>
      <w:r>
        <w:rPr>
          <w:rFonts w:ascii="Times New Roman" w:hAnsi="Times New Roman"/>
          <w:color w:val="FF0000"/>
          <w:sz w:val="24"/>
          <w:szCs w:val="24"/>
        </w:rPr>
        <w:t>地表水评价范围</w:t>
      </w:r>
    </w:p>
    <w:p>
      <w:pPr>
        <w:spacing w:line="360" w:lineRule="auto"/>
        <w:ind w:firstLine="480"/>
        <w:rPr>
          <w:rFonts w:ascii="Times New Roman" w:hAnsi="Times New Roman"/>
          <w:color w:val="FF0000"/>
          <w:sz w:val="24"/>
          <w:szCs w:val="24"/>
        </w:rPr>
      </w:pPr>
      <w:r>
        <w:rPr>
          <w:rFonts w:ascii="Times New Roman" w:hAnsi="Times New Roman"/>
          <w:color w:val="FF0000"/>
          <w:sz w:val="24"/>
          <w:szCs w:val="24"/>
        </w:rPr>
        <w:t>拟建项目地表水评价为“三级B”评价。</w:t>
      </w:r>
    </w:p>
    <w:p>
      <w:pPr>
        <w:spacing w:line="360" w:lineRule="auto"/>
        <w:ind w:firstLine="480"/>
        <w:rPr>
          <w:rFonts w:ascii="Times New Roman" w:hAnsi="Times New Roman"/>
          <w:color w:val="FF0000"/>
          <w:sz w:val="24"/>
          <w:szCs w:val="24"/>
        </w:rPr>
      </w:pPr>
      <w:r>
        <w:rPr>
          <w:rFonts w:ascii="Times New Roman" w:hAnsi="Times New Roman"/>
          <w:color w:val="FF0000"/>
          <w:sz w:val="24"/>
          <w:szCs w:val="24"/>
        </w:rPr>
        <w:t>项目现状评价范围为项目</w:t>
      </w:r>
      <w:r>
        <w:rPr>
          <w:rFonts w:hint="eastAsia" w:ascii="Times New Roman" w:hAnsi="Times New Roman"/>
          <w:color w:val="FF0000"/>
          <w:sz w:val="24"/>
          <w:szCs w:val="24"/>
        </w:rPr>
        <w:t>区雨水</w:t>
      </w:r>
      <w:r>
        <w:rPr>
          <w:rFonts w:ascii="Times New Roman" w:hAnsi="Times New Roman"/>
          <w:color w:val="FF0000"/>
          <w:sz w:val="24"/>
          <w:szCs w:val="24"/>
        </w:rPr>
        <w:t>汇入蜻蛉河汇入点上游500m至下游1000m河段。</w:t>
      </w:r>
    </w:p>
    <w:p>
      <w:pPr>
        <w:pStyle w:val="5"/>
        <w:ind w:firstLine="562"/>
        <w:rPr>
          <w:rFonts w:hAnsi="Times New Roman"/>
          <w:sz w:val="24"/>
          <w:szCs w:val="24"/>
        </w:rPr>
      </w:pPr>
      <w:bookmarkStart w:id="71" w:name="_Toc20355"/>
      <w:bookmarkStart w:id="72" w:name="_Toc4559"/>
      <w:r>
        <w:rPr>
          <w:rFonts w:hint="eastAsia" w:hAnsi="Times New Roman"/>
          <w:sz w:val="24"/>
          <w:szCs w:val="24"/>
        </w:rPr>
        <w:t>2.4.</w:t>
      </w:r>
      <w:r>
        <w:rPr>
          <w:rFonts w:hAnsi="Times New Roman"/>
          <w:sz w:val="24"/>
          <w:szCs w:val="24"/>
        </w:rPr>
        <w:t>3</w:t>
      </w:r>
      <w:r>
        <w:rPr>
          <w:rFonts w:hint="eastAsia" w:hAnsi="Times New Roman"/>
          <w:sz w:val="24"/>
          <w:szCs w:val="24"/>
        </w:rPr>
        <w:t>地下水评价工作等级及</w:t>
      </w:r>
      <w:r>
        <w:rPr>
          <w:rFonts w:hAnsi="Times New Roman"/>
          <w:sz w:val="24"/>
          <w:szCs w:val="24"/>
        </w:rPr>
        <w:t>评价范围</w:t>
      </w:r>
      <w:bookmarkEnd w:id="71"/>
      <w:bookmarkEnd w:id="72"/>
    </w:p>
    <w:p>
      <w:pPr>
        <w:autoSpaceDE w:val="0"/>
        <w:autoSpaceDN w:val="0"/>
        <w:adjustRightInd w:val="0"/>
        <w:snapToGrid w:val="0"/>
        <w:spacing w:line="480" w:lineRule="exact"/>
        <w:ind w:firstLine="482" w:firstLineChars="200"/>
        <w:jc w:val="left"/>
        <w:rPr>
          <w:rFonts w:ascii="Times New Roman" w:hAnsi="Times New Roman"/>
          <w:b/>
          <w:color w:val="FF0000"/>
          <w:sz w:val="24"/>
          <w:szCs w:val="24"/>
        </w:rPr>
      </w:pPr>
      <w:r>
        <w:rPr>
          <w:rFonts w:hint="eastAsia" w:ascii="Times New Roman" w:hAnsi="Times New Roman"/>
          <w:b/>
          <w:color w:val="FF0000"/>
          <w:sz w:val="24"/>
          <w:szCs w:val="24"/>
        </w:rPr>
        <w:t>1、</w:t>
      </w:r>
      <w:r>
        <w:rPr>
          <w:rFonts w:ascii="Times New Roman" w:hAnsi="Times New Roman"/>
          <w:b/>
          <w:color w:val="FF0000"/>
          <w:sz w:val="24"/>
          <w:szCs w:val="24"/>
        </w:rPr>
        <w:t>地下水评价工作等级</w:t>
      </w:r>
    </w:p>
    <w:p>
      <w:pPr>
        <w:autoSpaceDE w:val="0"/>
        <w:autoSpaceDN w:val="0"/>
        <w:adjustRightInd w:val="0"/>
        <w:snapToGrid w:val="0"/>
        <w:spacing w:line="480" w:lineRule="exact"/>
        <w:ind w:firstLine="480" w:firstLineChars="200"/>
        <w:jc w:val="left"/>
        <w:rPr>
          <w:rFonts w:ascii="Times New Roman" w:hAnsi="Times New Roman"/>
          <w:color w:val="FF0000"/>
          <w:sz w:val="24"/>
          <w:szCs w:val="24"/>
        </w:rPr>
      </w:pPr>
      <w:r>
        <w:rPr>
          <w:rFonts w:ascii="Times New Roman" w:hAnsi="Times New Roman"/>
          <w:color w:val="FF0000"/>
          <w:sz w:val="24"/>
          <w:szCs w:val="24"/>
        </w:rPr>
        <w:t>根据《环境影响评价技术导则  地下水环境》（HJ610-2016）附录A，项目为“1</w:t>
      </w:r>
      <w:r>
        <w:rPr>
          <w:rFonts w:hint="eastAsia" w:ascii="Times New Roman" w:hAnsi="Times New Roman"/>
          <w:color w:val="FF0000"/>
          <w:sz w:val="24"/>
          <w:szCs w:val="24"/>
        </w:rPr>
        <w:t>12</w:t>
      </w:r>
      <w:r>
        <w:rPr>
          <w:rFonts w:ascii="Times New Roman" w:hAnsi="Times New Roman"/>
          <w:color w:val="FF0000"/>
          <w:sz w:val="24"/>
          <w:szCs w:val="24"/>
        </w:rPr>
        <w:t>、</w:t>
      </w:r>
      <w:r>
        <w:rPr>
          <w:rFonts w:hint="eastAsia" w:ascii="Times New Roman" w:hAnsi="Times New Roman"/>
          <w:color w:val="FF0000"/>
          <w:sz w:val="24"/>
          <w:szCs w:val="24"/>
        </w:rPr>
        <w:t>造纸</w:t>
      </w:r>
      <w:r>
        <w:rPr>
          <w:rFonts w:ascii="Times New Roman" w:hAnsi="Times New Roman"/>
          <w:color w:val="FF0000"/>
          <w:sz w:val="24"/>
          <w:szCs w:val="24"/>
        </w:rPr>
        <w:t>”，地下水环境影响评价项目类别为</w:t>
      </w:r>
      <w:r>
        <w:rPr>
          <w:rFonts w:ascii="Times New Roman" w:hAnsi="Times New Roman"/>
          <w:color w:val="FF0000"/>
          <w:sz w:val="24"/>
          <w:szCs w:val="24"/>
        </w:rPr>
        <w:fldChar w:fldCharType="begin"/>
      </w:r>
      <w:r>
        <w:rPr>
          <w:rFonts w:ascii="Times New Roman" w:hAnsi="Times New Roman"/>
          <w:color w:val="FF0000"/>
          <w:sz w:val="24"/>
          <w:szCs w:val="24"/>
        </w:rPr>
        <w:instrText xml:space="preserve"> = 3 \* ROMAN \* MERGEFORMAT </w:instrText>
      </w:r>
      <w:r>
        <w:rPr>
          <w:rFonts w:ascii="Times New Roman" w:hAnsi="Times New Roman"/>
          <w:color w:val="FF0000"/>
          <w:sz w:val="24"/>
          <w:szCs w:val="24"/>
        </w:rPr>
        <w:fldChar w:fldCharType="separate"/>
      </w:r>
      <w:r>
        <w:rPr>
          <w:color w:val="FF0000"/>
          <w:sz w:val="24"/>
          <w:szCs w:val="24"/>
        </w:rPr>
        <w:t>II</w:t>
      </w:r>
      <w:r>
        <w:rPr>
          <w:rFonts w:ascii="Times New Roman" w:hAnsi="Times New Roman"/>
          <w:color w:val="FF0000"/>
          <w:sz w:val="24"/>
          <w:szCs w:val="24"/>
        </w:rPr>
        <w:fldChar w:fldCharType="end"/>
      </w:r>
      <w:r>
        <w:rPr>
          <w:rFonts w:ascii="Times New Roman" w:hAnsi="Times New Roman"/>
          <w:color w:val="FF0000"/>
          <w:sz w:val="24"/>
          <w:szCs w:val="24"/>
        </w:rPr>
        <w:t>类，通过地下水环境敏感程度和项目类别确定地下水评价等级与范围。</w:t>
      </w:r>
    </w:p>
    <w:p>
      <w:pPr>
        <w:spacing w:line="480" w:lineRule="exact"/>
        <w:ind w:right="-94" w:firstLine="482" w:firstLineChars="200"/>
        <w:jc w:val="center"/>
        <w:rPr>
          <w:rFonts w:ascii="Times New Roman" w:hAnsi="Times New Roman"/>
          <w:b/>
          <w:color w:val="FF0000"/>
          <w:sz w:val="24"/>
        </w:rPr>
      </w:pPr>
      <w:r>
        <w:rPr>
          <w:rFonts w:ascii="Times New Roman" w:hAnsi="Times New Roman"/>
          <w:b/>
          <w:color w:val="FF0000"/>
          <w:sz w:val="24"/>
        </w:rPr>
        <w:t>表2.4 -4  建设地下水环境敏感程度分级</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101" w:type="dxa"/>
            <w:vAlign w:val="center"/>
          </w:tcPr>
          <w:p>
            <w:pPr>
              <w:snapToGrid w:val="0"/>
              <w:jc w:val="center"/>
              <w:rPr>
                <w:rFonts w:ascii="Times New Roman" w:hAnsi="Times New Roman"/>
                <w:b/>
                <w:color w:val="FF0000"/>
              </w:rPr>
            </w:pPr>
            <w:r>
              <w:rPr>
                <w:rFonts w:ascii="Times New Roman" w:hAnsi="Times New Roman"/>
                <w:b/>
                <w:color w:val="FF0000"/>
              </w:rPr>
              <w:t>敏感程度</w:t>
            </w:r>
          </w:p>
        </w:tc>
        <w:tc>
          <w:tcPr>
            <w:tcW w:w="7938" w:type="dxa"/>
            <w:vAlign w:val="center"/>
          </w:tcPr>
          <w:p>
            <w:pPr>
              <w:snapToGrid w:val="0"/>
              <w:jc w:val="center"/>
              <w:rPr>
                <w:rFonts w:ascii="Times New Roman" w:hAnsi="Times New Roman"/>
                <w:b/>
                <w:color w:val="FF0000"/>
              </w:rPr>
            </w:pPr>
            <w:r>
              <w:rPr>
                <w:rFonts w:ascii="Times New Roman" w:hAnsi="Times New Roman"/>
                <w:b/>
                <w:color w:val="FF0000"/>
              </w:rPr>
              <w:t>项目场地的地下水环境特征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napToGrid w:val="0"/>
              <w:jc w:val="center"/>
              <w:rPr>
                <w:rFonts w:ascii="Times New Roman" w:hAnsi="Times New Roman"/>
                <w:color w:val="FF0000"/>
              </w:rPr>
            </w:pPr>
            <w:r>
              <w:rPr>
                <w:rFonts w:ascii="Times New Roman" w:hAnsi="Times New Roman"/>
                <w:color w:val="FF0000"/>
              </w:rPr>
              <w:t>敏感</w:t>
            </w:r>
          </w:p>
        </w:tc>
        <w:tc>
          <w:tcPr>
            <w:tcW w:w="7938" w:type="dxa"/>
            <w:vAlign w:val="center"/>
          </w:tcPr>
          <w:p>
            <w:pPr>
              <w:snapToGrid w:val="0"/>
              <w:jc w:val="center"/>
              <w:rPr>
                <w:rFonts w:ascii="Times New Roman" w:hAnsi="Times New Roman"/>
                <w:color w:val="FF0000"/>
              </w:rPr>
            </w:pPr>
            <w:r>
              <w:rPr>
                <w:rFonts w:ascii="Times New Roman" w:hAnsi="Times New Roman"/>
                <w:color w:val="FF0000"/>
              </w:rPr>
              <w:t>集中式饮用水水源地（包括已建成的在用、备用、应急水源，在建和规划的饮用水源地）准保护区；除集中式饮用水水源地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napToGrid w:val="0"/>
              <w:jc w:val="center"/>
              <w:rPr>
                <w:rFonts w:ascii="Times New Roman" w:hAnsi="Times New Roman"/>
                <w:color w:val="FF0000"/>
              </w:rPr>
            </w:pPr>
            <w:r>
              <w:rPr>
                <w:rFonts w:ascii="Times New Roman" w:hAnsi="Times New Roman"/>
                <w:color w:val="FF0000"/>
              </w:rPr>
              <w:t>较敏感</w:t>
            </w:r>
          </w:p>
        </w:tc>
        <w:tc>
          <w:tcPr>
            <w:tcW w:w="7938" w:type="dxa"/>
            <w:vAlign w:val="center"/>
          </w:tcPr>
          <w:p>
            <w:pPr>
              <w:snapToGrid w:val="0"/>
              <w:jc w:val="center"/>
              <w:rPr>
                <w:rFonts w:ascii="Times New Roman" w:hAnsi="Times New Roman"/>
                <w:color w:val="FF0000"/>
              </w:rPr>
            </w:pPr>
            <w:r>
              <w:rPr>
                <w:rFonts w:ascii="Times New Roman" w:hAnsi="Times New Roman"/>
                <w:color w:val="FF0000"/>
              </w:rPr>
              <w:t>集中式饮用水水源地（包括已建成的在用、备用、应急水源，在建和规划的饮用水源地）准保护区以外的补给径流区；特殊地下水资源（如矿泉水、温泉等）保护区以外的分布区以及分散式居民饮用水水源等其它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napToGrid w:val="0"/>
              <w:jc w:val="center"/>
              <w:rPr>
                <w:rFonts w:ascii="Times New Roman" w:hAnsi="Times New Roman"/>
                <w:color w:val="FF0000"/>
              </w:rPr>
            </w:pPr>
            <w:r>
              <w:rPr>
                <w:rFonts w:ascii="Times New Roman" w:hAnsi="Times New Roman"/>
                <w:color w:val="FF0000"/>
              </w:rPr>
              <w:t>不敏感</w:t>
            </w:r>
          </w:p>
        </w:tc>
        <w:tc>
          <w:tcPr>
            <w:tcW w:w="7938" w:type="dxa"/>
            <w:vAlign w:val="center"/>
          </w:tcPr>
          <w:p>
            <w:pPr>
              <w:snapToGrid w:val="0"/>
              <w:jc w:val="center"/>
              <w:rPr>
                <w:rFonts w:ascii="Times New Roman" w:hAnsi="Times New Roman"/>
                <w:color w:val="FF0000"/>
              </w:rPr>
            </w:pPr>
            <w:r>
              <w:rPr>
                <w:rFonts w:ascii="Times New Roman" w:hAnsi="Times New Roman"/>
                <w:color w:val="FF0000"/>
              </w:rPr>
              <w:t>上述地区之外的其它地区</w:t>
            </w:r>
          </w:p>
        </w:tc>
      </w:tr>
    </w:tbl>
    <w:p>
      <w:pPr>
        <w:tabs>
          <w:tab w:val="left" w:pos="1350"/>
        </w:tabs>
        <w:spacing w:line="480" w:lineRule="exact"/>
        <w:ind w:firstLine="480" w:firstLineChars="200"/>
        <w:rPr>
          <w:rFonts w:ascii="Times New Roman" w:hAnsi="Times New Roman"/>
          <w:color w:val="FF0000"/>
          <w:sz w:val="24"/>
          <w:szCs w:val="24"/>
        </w:rPr>
      </w:pPr>
      <w:r>
        <w:rPr>
          <w:rFonts w:ascii="Times New Roman" w:hAnsi="Times New Roman"/>
          <w:color w:val="FF0000"/>
          <w:sz w:val="24"/>
          <w:szCs w:val="24"/>
        </w:rPr>
        <w:t>根据表2.4-5，项目</w:t>
      </w:r>
      <w:r>
        <w:rPr>
          <w:rFonts w:hint="eastAsia" w:ascii="Times New Roman" w:hAnsi="Times New Roman"/>
          <w:color w:val="FF0000"/>
          <w:sz w:val="24"/>
          <w:szCs w:val="24"/>
        </w:rPr>
        <w:t>位于工业区，</w:t>
      </w:r>
      <w:r>
        <w:rPr>
          <w:rFonts w:ascii="Times New Roman" w:hAnsi="Times New Roman"/>
          <w:color w:val="FF0000"/>
          <w:sz w:val="24"/>
          <w:szCs w:val="24"/>
        </w:rPr>
        <w:t xml:space="preserve">地下水属于不敏感区。 </w:t>
      </w:r>
    </w:p>
    <w:p>
      <w:pPr>
        <w:tabs>
          <w:tab w:val="left" w:pos="1350"/>
        </w:tabs>
        <w:spacing w:line="480" w:lineRule="exact"/>
        <w:ind w:firstLine="482" w:firstLineChars="200"/>
        <w:jc w:val="center"/>
        <w:rPr>
          <w:rFonts w:ascii="Times New Roman" w:hAnsi="Times New Roman"/>
          <w:b/>
          <w:color w:val="FF0000"/>
          <w:sz w:val="24"/>
        </w:rPr>
      </w:pPr>
      <w:r>
        <w:rPr>
          <w:rFonts w:ascii="Times New Roman" w:hAnsi="Times New Roman"/>
          <w:b/>
          <w:color w:val="FF0000"/>
          <w:sz w:val="24"/>
        </w:rPr>
        <w:t>表2.4-5  地下水评价等级</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512"/>
        <w:gridCol w:w="212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Borders>
              <w:top w:val="single" w:color="000000" w:sz="8" w:space="0"/>
              <w:left w:val="single" w:color="000000" w:sz="8" w:space="0"/>
              <w:bottom w:val="single" w:color="000000" w:sz="8" w:space="0"/>
              <w:right w:val="single" w:color="000000" w:sz="8" w:space="0"/>
              <w:tl2br w:val="single" w:color="auto" w:sz="4" w:space="0"/>
            </w:tcBorders>
            <w:shd w:val="clear" w:color="auto" w:fill="FFFFFF"/>
            <w:vAlign w:val="center"/>
          </w:tcPr>
          <w:p>
            <w:pPr>
              <w:tabs>
                <w:tab w:val="left" w:pos="1350"/>
              </w:tabs>
              <w:jc w:val="center"/>
              <w:rPr>
                <w:rFonts w:ascii="Times New Roman" w:hAnsi="Times New Roman"/>
                <w:b/>
                <w:color w:val="FF0000"/>
              </w:rPr>
            </w:pPr>
            <w:r>
              <w:rPr>
                <w:rFonts w:ascii="Times New Roman" w:hAnsi="Times New Roman"/>
                <w:b/>
                <w:color w:val="FF0000"/>
              </w:rPr>
              <w:t xml:space="preserve">       项目类别</w:t>
            </w:r>
          </w:p>
          <w:p>
            <w:pPr>
              <w:tabs>
                <w:tab w:val="left" w:pos="1350"/>
              </w:tabs>
              <w:rPr>
                <w:rFonts w:ascii="Times New Roman" w:hAnsi="Times New Roman"/>
                <w:b/>
                <w:color w:val="FF0000"/>
              </w:rPr>
            </w:pPr>
            <w:r>
              <w:rPr>
                <w:rFonts w:ascii="Times New Roman" w:hAnsi="Times New Roman"/>
                <w:b/>
                <w:color w:val="FF0000"/>
              </w:rPr>
              <w:t>环境敏感程度</w:t>
            </w:r>
          </w:p>
        </w:tc>
        <w:tc>
          <w:tcPr>
            <w:tcW w:w="25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b/>
                <w:color w:val="FF0000"/>
              </w:rPr>
            </w:pPr>
            <w:r>
              <w:rPr>
                <w:rFonts w:ascii="Times New Roman" w:hAnsi="Times New Roman"/>
                <w:b/>
                <w:color w:val="FF0000"/>
              </w:rPr>
              <w:t>I类项目</w:t>
            </w:r>
          </w:p>
        </w:tc>
        <w:tc>
          <w:tcPr>
            <w:tcW w:w="21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b/>
                <w:color w:val="FF0000"/>
              </w:rPr>
            </w:pPr>
            <w:r>
              <w:rPr>
                <w:rFonts w:ascii="Times New Roman" w:hAnsi="Times New Roman"/>
                <w:b/>
                <w:color w:val="FF0000"/>
              </w:rPr>
              <w:t>II类项目</w:t>
            </w:r>
          </w:p>
        </w:tc>
        <w:tc>
          <w:tcPr>
            <w:tcW w:w="2268"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b/>
                <w:color w:val="FF0000"/>
              </w:rPr>
            </w:pPr>
            <w:r>
              <w:rPr>
                <w:rFonts w:ascii="Times New Roman" w:hAnsi="Times New Roman"/>
                <w:b/>
                <w:color w:val="FF0000"/>
              </w:rPr>
              <w:t>III类项目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敏感</w:t>
            </w:r>
          </w:p>
        </w:tc>
        <w:tc>
          <w:tcPr>
            <w:tcW w:w="25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一</w:t>
            </w:r>
          </w:p>
        </w:tc>
        <w:tc>
          <w:tcPr>
            <w:tcW w:w="21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一</w:t>
            </w:r>
          </w:p>
        </w:tc>
        <w:tc>
          <w:tcPr>
            <w:tcW w:w="2268"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较敏感</w:t>
            </w:r>
          </w:p>
        </w:tc>
        <w:tc>
          <w:tcPr>
            <w:tcW w:w="25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一</w:t>
            </w:r>
          </w:p>
        </w:tc>
        <w:tc>
          <w:tcPr>
            <w:tcW w:w="21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二</w:t>
            </w:r>
          </w:p>
        </w:tc>
        <w:tc>
          <w:tcPr>
            <w:tcW w:w="2268"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不敏感</w:t>
            </w:r>
          </w:p>
        </w:tc>
        <w:tc>
          <w:tcPr>
            <w:tcW w:w="25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二</w:t>
            </w:r>
          </w:p>
        </w:tc>
        <w:tc>
          <w:tcPr>
            <w:tcW w:w="2127" w:type="dxa"/>
            <w:tcBorders>
              <w:top w:val="single" w:color="000000" w:sz="8" w:space="0"/>
              <w:left w:val="single" w:color="000000" w:sz="8" w:space="0"/>
              <w:bottom w:val="single" w:color="000000" w:sz="8" w:space="0"/>
              <w:right w:val="single" w:color="000000" w:sz="8" w:space="0"/>
            </w:tcBorders>
            <w:shd w:val="clear" w:color="auto" w:fill="A4A4A4" w:themeFill="background1" w:themeFillShade="A5"/>
            <w:vAlign w:val="center"/>
          </w:tcPr>
          <w:p>
            <w:pPr>
              <w:tabs>
                <w:tab w:val="left" w:pos="1350"/>
              </w:tabs>
              <w:jc w:val="center"/>
              <w:rPr>
                <w:rFonts w:ascii="Times New Roman" w:hAnsi="Times New Roman"/>
                <w:color w:val="FF0000"/>
              </w:rPr>
            </w:pPr>
            <w:r>
              <w:rPr>
                <w:rFonts w:ascii="Times New Roman" w:hAnsi="Times New Roman"/>
                <w:color w:val="FF0000"/>
              </w:rPr>
              <w:t>三</w:t>
            </w:r>
          </w:p>
        </w:tc>
        <w:tc>
          <w:tcPr>
            <w:tcW w:w="2268"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350"/>
              </w:tabs>
              <w:jc w:val="center"/>
              <w:rPr>
                <w:rFonts w:ascii="Times New Roman" w:hAnsi="Times New Roman"/>
                <w:color w:val="FF0000"/>
              </w:rPr>
            </w:pPr>
            <w:r>
              <w:rPr>
                <w:rFonts w:ascii="Times New Roman" w:hAnsi="Times New Roman"/>
                <w:color w:val="FF0000"/>
              </w:rPr>
              <w:t>三</w:t>
            </w:r>
          </w:p>
        </w:tc>
      </w:tr>
    </w:tbl>
    <w:p>
      <w:pPr>
        <w:spacing w:line="360" w:lineRule="auto"/>
        <w:ind w:firstLine="482"/>
        <w:rPr>
          <w:rFonts w:ascii="Times New Roman" w:hAnsi="Times New Roman"/>
          <w:color w:val="FF0000"/>
          <w:sz w:val="24"/>
          <w:szCs w:val="24"/>
        </w:rPr>
      </w:pPr>
      <w:r>
        <w:rPr>
          <w:rFonts w:ascii="Times New Roman" w:hAnsi="Times New Roman"/>
          <w:color w:val="FF0000"/>
          <w:sz w:val="24"/>
          <w:szCs w:val="24"/>
        </w:rPr>
        <w:t>查阅《</w:t>
      </w:r>
      <w:r>
        <w:fldChar w:fldCharType="begin"/>
      </w:r>
      <w:r>
        <w:instrText xml:space="preserve"> HYPERLINK "http://kjs.mep.gov.cn/hjbhbz/bzwb/other/pjjsdz/201102/t20110216_200855.htm" \t "_blank" </w:instrText>
      </w:r>
      <w:r>
        <w:fldChar w:fldCharType="separate"/>
      </w:r>
      <w:r>
        <w:rPr>
          <w:rFonts w:ascii="Times New Roman" w:hAnsi="Times New Roman"/>
          <w:color w:val="FF0000"/>
          <w:sz w:val="24"/>
          <w:szCs w:val="24"/>
        </w:rPr>
        <w:t>环境影响评价技术导则 地下水环境</w:t>
      </w:r>
      <w:r>
        <w:rPr>
          <w:rFonts w:ascii="Times New Roman" w:hAnsi="Times New Roman"/>
          <w:color w:val="FF0000"/>
          <w:sz w:val="24"/>
          <w:szCs w:val="24"/>
        </w:rPr>
        <w:fldChar w:fldCharType="end"/>
      </w:r>
      <w:r>
        <w:rPr>
          <w:rFonts w:ascii="Times New Roman" w:hAnsi="Times New Roman"/>
          <w:color w:val="FF0000"/>
          <w:sz w:val="24"/>
          <w:szCs w:val="24"/>
        </w:rPr>
        <w:t>》（HJ 610-2016）附录A，项目属于III类项目，根据表2.5-2，项目地下水评价等级定为三级。</w:t>
      </w:r>
    </w:p>
    <w:p>
      <w:pPr>
        <w:spacing w:line="360" w:lineRule="auto"/>
        <w:ind w:firstLine="482"/>
        <w:rPr>
          <w:rFonts w:ascii="Times New Roman" w:hAnsi="Times New Roman"/>
          <w:b/>
          <w:color w:val="FF0000"/>
          <w:sz w:val="24"/>
          <w:szCs w:val="24"/>
        </w:rPr>
      </w:pPr>
      <w:r>
        <w:rPr>
          <w:rFonts w:hint="eastAsia" w:ascii="Times New Roman" w:hAnsi="Times New Roman"/>
          <w:b/>
          <w:color w:val="FF0000"/>
          <w:sz w:val="24"/>
          <w:szCs w:val="24"/>
        </w:rPr>
        <w:t>2、</w:t>
      </w:r>
      <w:r>
        <w:rPr>
          <w:rFonts w:ascii="Times New Roman" w:hAnsi="Times New Roman"/>
          <w:b/>
          <w:color w:val="FF0000"/>
          <w:sz w:val="24"/>
          <w:szCs w:val="24"/>
        </w:rPr>
        <w:t>地下水</w:t>
      </w:r>
      <w:r>
        <w:rPr>
          <w:rFonts w:hint="eastAsia" w:ascii="Times New Roman" w:hAnsi="Times New Roman"/>
          <w:b/>
          <w:color w:val="FF0000"/>
          <w:sz w:val="24"/>
          <w:szCs w:val="24"/>
        </w:rPr>
        <w:t>评价</w:t>
      </w:r>
      <w:r>
        <w:rPr>
          <w:rFonts w:ascii="Times New Roman" w:hAnsi="Times New Roman"/>
          <w:b/>
          <w:color w:val="FF0000"/>
          <w:sz w:val="24"/>
          <w:szCs w:val="24"/>
        </w:rPr>
        <w:t>范围</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rPr>
        <w:t>项目地下水评价为三级，根据项目实际地形地貌确定为项目所在地地下水评价范围：东边界由第一道山脊点至小雷宰村东至点的直线，南边界由小雷宰东至点至工业园区供水水源附近点的直线，西边界工业园区供水水源附近点至第二道山脊点的直线，北边界由第二道山脊点至第一道山脊点沿着蜻蛉河；项目地下水评价范围约2km</w:t>
      </w:r>
      <w:r>
        <w:rPr>
          <w:rFonts w:ascii="Times New Roman" w:hAnsi="Times New Roman"/>
          <w:color w:val="FF0000"/>
          <w:sz w:val="24"/>
          <w:vertAlign w:val="superscript"/>
        </w:rPr>
        <w:t>2</w:t>
      </w:r>
      <w:r>
        <w:rPr>
          <w:rFonts w:ascii="Times New Roman" w:hAnsi="Times New Roman"/>
          <w:color w:val="FF0000"/>
          <w:sz w:val="24"/>
        </w:rPr>
        <w:t>范围。</w:t>
      </w:r>
    </w:p>
    <w:p>
      <w:pPr>
        <w:pStyle w:val="5"/>
        <w:ind w:firstLine="562"/>
        <w:rPr>
          <w:rFonts w:hAnsi="Times New Roman"/>
          <w:sz w:val="24"/>
          <w:szCs w:val="24"/>
        </w:rPr>
      </w:pPr>
      <w:bookmarkStart w:id="73" w:name="_Toc3586"/>
      <w:bookmarkStart w:id="74" w:name="_Toc21413"/>
      <w:r>
        <w:rPr>
          <w:rFonts w:hint="eastAsia" w:hAnsi="Times New Roman"/>
          <w:sz w:val="24"/>
          <w:szCs w:val="24"/>
        </w:rPr>
        <w:t>2.4.</w:t>
      </w:r>
      <w:r>
        <w:rPr>
          <w:rFonts w:hAnsi="Times New Roman"/>
          <w:sz w:val="24"/>
          <w:szCs w:val="24"/>
        </w:rPr>
        <w:t>3</w:t>
      </w:r>
      <w:r>
        <w:rPr>
          <w:rFonts w:hint="eastAsia" w:hAnsi="Times New Roman"/>
          <w:sz w:val="24"/>
          <w:szCs w:val="24"/>
        </w:rPr>
        <w:t>声环境评价工作等级及</w:t>
      </w:r>
      <w:r>
        <w:rPr>
          <w:rFonts w:hAnsi="Times New Roman"/>
          <w:sz w:val="24"/>
          <w:szCs w:val="24"/>
        </w:rPr>
        <w:t>评价</w:t>
      </w:r>
      <w:r>
        <w:rPr>
          <w:rFonts w:hint="eastAsia" w:hAnsi="Times New Roman"/>
          <w:sz w:val="24"/>
          <w:szCs w:val="24"/>
        </w:rPr>
        <w:t>范围</w:t>
      </w:r>
      <w:bookmarkEnd w:id="73"/>
      <w:bookmarkEnd w:id="74"/>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1、环境噪声评价等级</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本建设项目位于元谋县工业园金雷片区，所处的声环境功能区为《声环境质量标准》（GB3096-2008）中的3类区，根据《环境影响评价技术导则  声环境》（HJ2.4-2009），噪声评价工作等级应主要依据项目所在区域的声环境功能区类。项目建设前后所在区域声环境质量变化程度以及受项目影响人口的数量来划分，划分依据见表2.4-</w:t>
      </w:r>
      <w:r>
        <w:rPr>
          <w:rFonts w:ascii="Times New Roman" w:hAnsi="Times New Roman"/>
          <w:color w:val="000000"/>
          <w:sz w:val="24"/>
          <w:szCs w:val="24"/>
        </w:rPr>
        <w:t>5</w:t>
      </w: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表2.4-</w:t>
      </w:r>
      <w:r>
        <w:rPr>
          <w:rFonts w:ascii="Times New Roman" w:hAnsi="Times New Roman"/>
          <w:b/>
          <w:color w:val="000000"/>
          <w:sz w:val="24"/>
          <w:szCs w:val="24"/>
        </w:rPr>
        <w:t>5</w:t>
      </w:r>
      <w:r>
        <w:rPr>
          <w:rFonts w:hint="eastAsia" w:ascii="Times New Roman" w:hAnsi="Times New Roman"/>
          <w:b/>
          <w:color w:val="000000"/>
          <w:sz w:val="24"/>
          <w:szCs w:val="24"/>
        </w:rPr>
        <w:t xml:space="preserve">   声环境评价工作等级划分（相关部分）</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2127"/>
        <w:gridCol w:w="2391"/>
        <w:gridCol w:w="23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评价工作等级</w:t>
            </w:r>
          </w:p>
        </w:tc>
        <w:tc>
          <w:tcPr>
            <w:tcW w:w="2127"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一级</w:t>
            </w:r>
          </w:p>
        </w:tc>
        <w:tc>
          <w:tcPr>
            <w:tcW w:w="2391"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二级</w:t>
            </w:r>
          </w:p>
        </w:tc>
        <w:tc>
          <w:tcPr>
            <w:tcW w:w="2318"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声环境功能区</w:t>
            </w:r>
          </w:p>
        </w:tc>
        <w:tc>
          <w:tcPr>
            <w:tcW w:w="2127"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GB3096-2008，0类</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GB3096-2008，1、2类</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GB3096-2008，3、4类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建设后噪声增加值</w:t>
            </w:r>
          </w:p>
        </w:tc>
        <w:tc>
          <w:tcPr>
            <w:tcW w:w="2127"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大于5dB（A）</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3~5dB（A）</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小于3dB（A）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受影响人口</w:t>
            </w:r>
          </w:p>
        </w:tc>
        <w:tc>
          <w:tcPr>
            <w:tcW w:w="2127"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显著增加</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增加较多</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变化不大</w:t>
            </w:r>
          </w:p>
        </w:tc>
      </w:tr>
    </w:tbl>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项目所处的声环境功能区为《声环境质量标准》（GB3096-2008）规定的3类地区，项目建成投产后，周边环境敏感目标噪声级增加量较小，小于3dB（A），且受影响人口变化不大，按照《环境影响评价技术导则  声环境》（HJ2.4-2009）中的有关规定，确定本项目声环境评价工作等级为三级。</w:t>
      </w: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2、声环境评价范围</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根据《环境影响评价技术导则  声环境》（HJ2.4-2009），声环境评价范围为厂界外200m范围区域。</w:t>
      </w:r>
    </w:p>
    <w:p>
      <w:pPr>
        <w:pStyle w:val="5"/>
        <w:ind w:firstLine="562"/>
        <w:rPr>
          <w:rFonts w:hAnsi="Times New Roman"/>
          <w:sz w:val="24"/>
          <w:szCs w:val="24"/>
        </w:rPr>
      </w:pPr>
      <w:bookmarkStart w:id="75" w:name="_Toc1958"/>
      <w:bookmarkStart w:id="76" w:name="_Toc14609"/>
      <w:r>
        <w:rPr>
          <w:rFonts w:hint="eastAsia" w:hAnsi="Times New Roman"/>
          <w:sz w:val="24"/>
          <w:szCs w:val="24"/>
        </w:rPr>
        <w:t>2.4.</w:t>
      </w:r>
      <w:r>
        <w:rPr>
          <w:rFonts w:hAnsi="Times New Roman"/>
          <w:sz w:val="24"/>
          <w:szCs w:val="24"/>
        </w:rPr>
        <w:t>4</w:t>
      </w:r>
      <w:r>
        <w:rPr>
          <w:rFonts w:hint="eastAsia" w:hAnsi="Times New Roman"/>
          <w:sz w:val="24"/>
          <w:szCs w:val="24"/>
        </w:rPr>
        <w:t>土壤环境评价工作等级</w:t>
      </w:r>
      <w:bookmarkEnd w:id="75"/>
      <w:bookmarkEnd w:id="76"/>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1）评价</w:t>
      </w:r>
      <w:r>
        <w:rPr>
          <w:rFonts w:ascii="Times New Roman" w:hAnsi="Times New Roman"/>
          <w:color w:val="FF0000"/>
          <w:sz w:val="24"/>
          <w:szCs w:val="24"/>
        </w:rPr>
        <w:t>等级</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（1）项目</w:t>
      </w:r>
      <w:r>
        <w:rPr>
          <w:rFonts w:ascii="Times New Roman" w:hAnsi="Times New Roman"/>
          <w:color w:val="FF0000"/>
          <w:sz w:val="24"/>
          <w:szCs w:val="24"/>
        </w:rPr>
        <w:t>占地面积为</w:t>
      </w:r>
      <w:r>
        <w:rPr>
          <w:rFonts w:hint="eastAsia" w:ascii="Times New Roman" w:hAnsi="Times New Roman"/>
          <w:color w:val="FF0000"/>
          <w:sz w:val="24"/>
          <w:szCs w:val="24"/>
        </w:rPr>
        <w:t>35亩</w:t>
      </w:r>
      <w:r>
        <w:rPr>
          <w:rFonts w:ascii="Times New Roman" w:hAnsi="Times New Roman"/>
          <w:color w:val="FF0000"/>
          <w:sz w:val="24"/>
          <w:szCs w:val="24"/>
        </w:rPr>
        <w:t>（</w:t>
      </w:r>
      <w:r>
        <w:rPr>
          <w:rFonts w:hint="eastAsia" w:ascii="Times New Roman" w:hAnsi="Times New Roman"/>
          <w:color w:val="FF0000"/>
          <w:sz w:val="24"/>
          <w:szCs w:val="24"/>
        </w:rPr>
        <w:t>2.3</w:t>
      </w:r>
      <w:r>
        <w:rPr>
          <w:rFonts w:ascii="Times New Roman" w:hAnsi="Times New Roman"/>
          <w:color w:val="FF0000"/>
          <w:sz w:val="24"/>
          <w:szCs w:val="24"/>
        </w:rPr>
        <w:t>3hm</w:t>
      </w:r>
      <w:r>
        <w:rPr>
          <w:rFonts w:ascii="Times New Roman" w:hAnsi="Times New Roman"/>
          <w:color w:val="FF0000"/>
          <w:sz w:val="24"/>
          <w:szCs w:val="24"/>
          <w:vertAlign w:val="superscript"/>
        </w:rPr>
        <w:t>2</w:t>
      </w:r>
      <w:r>
        <w:rPr>
          <w:rFonts w:hint="eastAsia" w:ascii="Times New Roman" w:hAnsi="Times New Roman"/>
          <w:color w:val="FF0000"/>
          <w:sz w:val="24"/>
          <w:szCs w:val="24"/>
        </w:rPr>
        <w:t>＜5</w:t>
      </w:r>
      <w:r>
        <w:rPr>
          <w:rFonts w:ascii="Times New Roman" w:hAnsi="Times New Roman"/>
          <w:color w:val="FF0000"/>
          <w:sz w:val="24"/>
          <w:szCs w:val="24"/>
        </w:rPr>
        <w:t>hm</w:t>
      </w:r>
      <w:r>
        <w:rPr>
          <w:rFonts w:ascii="Times New Roman" w:hAnsi="Times New Roman"/>
          <w:color w:val="FF0000"/>
          <w:sz w:val="24"/>
          <w:szCs w:val="24"/>
          <w:vertAlign w:val="superscript"/>
        </w:rPr>
        <w:t>2</w:t>
      </w:r>
      <w:r>
        <w:rPr>
          <w:rFonts w:ascii="Times New Roman" w:hAnsi="Times New Roman"/>
          <w:color w:val="FF0000"/>
          <w:sz w:val="24"/>
          <w:szCs w:val="24"/>
        </w:rPr>
        <w:t>）</w:t>
      </w:r>
      <w:r>
        <w:rPr>
          <w:rFonts w:hint="eastAsia" w:ascii="Times New Roman" w:hAnsi="Times New Roman"/>
          <w:color w:val="FF0000"/>
          <w:sz w:val="24"/>
          <w:szCs w:val="24"/>
        </w:rPr>
        <w:t>，</w:t>
      </w:r>
      <w:r>
        <w:rPr>
          <w:rFonts w:ascii="Times New Roman" w:hAnsi="Times New Roman"/>
          <w:color w:val="FF0000"/>
          <w:sz w:val="24"/>
          <w:szCs w:val="24"/>
        </w:rPr>
        <w:t>占地规模属于小型。</w:t>
      </w: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（2）建设</w:t>
      </w:r>
      <w:r>
        <w:rPr>
          <w:rFonts w:ascii="Times New Roman" w:hAnsi="Times New Roman"/>
          <w:color w:val="FF0000"/>
          <w:sz w:val="24"/>
          <w:szCs w:val="24"/>
        </w:rPr>
        <w:t>项目所在地</w:t>
      </w:r>
      <w:r>
        <w:rPr>
          <w:rFonts w:hint="eastAsia" w:ascii="Times New Roman" w:hAnsi="Times New Roman"/>
          <w:color w:val="FF0000"/>
          <w:sz w:val="24"/>
          <w:szCs w:val="24"/>
        </w:rPr>
        <w:t>周围</w:t>
      </w:r>
      <w:r>
        <w:rPr>
          <w:rFonts w:ascii="Times New Roman" w:hAnsi="Times New Roman"/>
          <w:color w:val="FF0000"/>
          <w:sz w:val="24"/>
          <w:szCs w:val="24"/>
        </w:rPr>
        <w:t>的土壤环境敏感程度分为敏感、较敏感、不敏感，判别依据见下表。</w:t>
      </w:r>
    </w:p>
    <w:p>
      <w:pPr>
        <w:spacing w:line="360" w:lineRule="auto"/>
        <w:jc w:val="center"/>
        <w:rPr>
          <w:rFonts w:ascii="Times New Roman" w:hAnsi="Times New Roman"/>
          <w:b/>
          <w:bCs/>
          <w:color w:val="FF0000"/>
          <w:sz w:val="24"/>
          <w:szCs w:val="24"/>
        </w:rPr>
      </w:pPr>
      <w:r>
        <w:rPr>
          <w:rFonts w:ascii="Times New Roman" w:hAnsi="Times New Roman"/>
          <w:b/>
          <w:bCs/>
          <w:color w:val="FF0000"/>
          <w:sz w:val="24"/>
          <w:szCs w:val="24"/>
        </w:rPr>
        <w:t>表2.4-6  污染影响性敏感程度分级表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6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color w:val="FF0000"/>
              </w:rPr>
            </w:pPr>
            <w:r>
              <w:rPr>
                <w:rFonts w:ascii="Times New Roman" w:hAnsi="Times New Roman"/>
                <w:b/>
                <w:bCs/>
                <w:color w:val="FF0000"/>
              </w:rPr>
              <w:t>敏感程度</w:t>
            </w:r>
          </w:p>
        </w:tc>
        <w:tc>
          <w:tcPr>
            <w:tcW w:w="6426" w:type="dxa"/>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FF0000"/>
              </w:rPr>
            </w:pPr>
            <w:r>
              <w:rPr>
                <w:rFonts w:ascii="Times New Roman" w:hAnsi="Times New Roman"/>
                <w:b/>
                <w:bCs/>
                <w:color w:val="FF0000"/>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FF0000"/>
              </w:rPr>
            </w:pPr>
            <w:r>
              <w:rPr>
                <w:rFonts w:ascii="Times New Roman" w:hAnsi="Times New Roman"/>
                <w:color w:val="FF0000"/>
              </w:rPr>
              <w:t>敏感</w:t>
            </w:r>
          </w:p>
        </w:tc>
        <w:tc>
          <w:tcPr>
            <w:tcW w:w="642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FF0000"/>
              </w:rPr>
            </w:pPr>
            <w:r>
              <w:rPr>
                <w:rFonts w:ascii="Times New Roman" w:hAnsi="Times New Roman"/>
                <w:color w:val="FF0000"/>
              </w:rPr>
              <w:t>建设项目周围存在耕地、园地、牧草地、饮用水水源地或居民区、学校、医院、疗养院、养老院等土壤敏感目标的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FF0000"/>
              </w:rPr>
            </w:pPr>
            <w:r>
              <w:rPr>
                <w:rFonts w:ascii="Times New Roman" w:hAnsi="Times New Roman"/>
                <w:color w:val="FF0000"/>
              </w:rPr>
              <w:t>较敏感</w:t>
            </w:r>
          </w:p>
        </w:tc>
        <w:tc>
          <w:tcPr>
            <w:tcW w:w="642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FF0000"/>
              </w:rPr>
            </w:pPr>
            <w:r>
              <w:rPr>
                <w:rFonts w:ascii="Times New Roman" w:hAnsi="Times New Roman"/>
                <w:color w:val="FF0000"/>
              </w:rPr>
              <w:t>建设项目周围存在其他土壤环境敏感目标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FF0000"/>
              </w:rPr>
            </w:pPr>
            <w:r>
              <w:rPr>
                <w:rFonts w:ascii="Times New Roman" w:hAnsi="Times New Roman"/>
                <w:color w:val="FF0000"/>
              </w:rPr>
              <w:t>不敏感</w:t>
            </w:r>
          </w:p>
        </w:tc>
        <w:tc>
          <w:tcPr>
            <w:tcW w:w="642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FF0000"/>
              </w:rPr>
            </w:pPr>
            <w:r>
              <w:rPr>
                <w:rFonts w:ascii="Times New Roman" w:hAnsi="Times New Roman"/>
                <w:color w:val="FF0000"/>
              </w:rPr>
              <w:t>其他情况</w:t>
            </w:r>
          </w:p>
        </w:tc>
      </w:tr>
    </w:tbl>
    <w:p>
      <w:pPr>
        <w:spacing w:line="360" w:lineRule="auto"/>
        <w:ind w:firstLine="482"/>
        <w:rPr>
          <w:rFonts w:ascii="Times New Roman" w:hAnsi="Times New Roman"/>
          <w:color w:val="FF0000"/>
          <w:sz w:val="24"/>
          <w:szCs w:val="24"/>
        </w:rPr>
      </w:pPr>
    </w:p>
    <w:p>
      <w:pPr>
        <w:spacing w:line="360" w:lineRule="auto"/>
        <w:ind w:firstLine="482"/>
        <w:rPr>
          <w:rFonts w:ascii="Times New Roman" w:hAnsi="Times New Roman"/>
          <w:color w:val="FF0000"/>
          <w:sz w:val="24"/>
          <w:szCs w:val="24"/>
        </w:rPr>
      </w:pPr>
      <w:r>
        <w:rPr>
          <w:rFonts w:hint="eastAsia" w:ascii="Times New Roman" w:hAnsi="Times New Roman"/>
          <w:color w:val="FF0000"/>
          <w:sz w:val="24"/>
          <w:szCs w:val="24"/>
        </w:rPr>
        <w:t>项目位于工业园区，</w:t>
      </w:r>
      <w:r>
        <w:rPr>
          <w:rFonts w:ascii="Times New Roman" w:hAnsi="Times New Roman"/>
          <w:color w:val="FF0000"/>
          <w:sz w:val="24"/>
          <w:szCs w:val="24"/>
        </w:rPr>
        <w:t>周围不存在敏感目标，项目属于不敏感</w:t>
      </w:r>
      <w:r>
        <w:rPr>
          <w:rFonts w:hint="eastAsia" w:ascii="Times New Roman" w:hAnsi="Times New Roman"/>
          <w:color w:val="FF0000"/>
          <w:sz w:val="24"/>
          <w:szCs w:val="24"/>
        </w:rPr>
        <w:t>区</w:t>
      </w:r>
      <w:r>
        <w:rPr>
          <w:rFonts w:ascii="Times New Roman" w:hAnsi="Times New Roman"/>
          <w:color w:val="FF0000"/>
          <w:sz w:val="24"/>
          <w:szCs w:val="24"/>
        </w:rPr>
        <w:t>。</w:t>
      </w:r>
    </w:p>
    <w:p>
      <w:pPr>
        <w:spacing w:line="360" w:lineRule="auto"/>
        <w:ind w:firstLine="482"/>
        <w:rPr>
          <w:rFonts w:ascii="Times New Roman" w:hAnsi="Times New Roman"/>
          <w:color w:val="FF0000"/>
          <w:sz w:val="24"/>
          <w:szCs w:val="24"/>
        </w:rPr>
      </w:pPr>
      <w:r>
        <w:rPr>
          <w:rFonts w:ascii="Times New Roman" w:hAnsi="Times New Roman"/>
          <w:color w:val="FF0000"/>
          <w:sz w:val="24"/>
          <w:szCs w:val="24"/>
        </w:rPr>
        <w:t>（3）项目属于</w:t>
      </w:r>
      <w:r>
        <w:rPr>
          <w:rFonts w:hint="eastAsia" w:ascii="Times New Roman" w:hAnsi="Times New Roman"/>
          <w:color w:val="FF0000"/>
          <w:sz w:val="24"/>
          <w:szCs w:val="24"/>
        </w:rPr>
        <w:t>制造业-造纸和纸制品业</w:t>
      </w:r>
      <w:r>
        <w:rPr>
          <w:rFonts w:ascii="Times New Roman" w:hAnsi="Times New Roman"/>
          <w:color w:val="FF0000"/>
          <w:sz w:val="24"/>
          <w:szCs w:val="24"/>
        </w:rPr>
        <w:t>， 根据《环境影响评价技术导则  土壤环境（试行）》（HJ 964-2018）的要求，项目属于</w:t>
      </w:r>
      <w:r>
        <w:rPr>
          <w:rFonts w:ascii="Times New Roman" w:hAnsi="Times New Roman"/>
          <w:color w:val="FF0000"/>
          <w:sz w:val="24"/>
          <w:szCs w:val="24"/>
        </w:rPr>
        <w:fldChar w:fldCharType="begin"/>
      </w:r>
      <w:r>
        <w:rPr>
          <w:rFonts w:ascii="Times New Roman" w:hAnsi="Times New Roman"/>
          <w:color w:val="FF0000"/>
          <w:sz w:val="24"/>
          <w:szCs w:val="24"/>
        </w:rPr>
        <w:instrText xml:space="preserve"> = 2 \* ROMAN \* MERGEFORMAT </w:instrText>
      </w:r>
      <w:r>
        <w:rPr>
          <w:rFonts w:ascii="Times New Roman" w:hAnsi="Times New Roman"/>
          <w:color w:val="FF0000"/>
          <w:sz w:val="24"/>
          <w:szCs w:val="24"/>
        </w:rPr>
        <w:fldChar w:fldCharType="separate"/>
      </w:r>
      <w:r>
        <w:rPr>
          <w:color w:val="FF0000"/>
          <w:sz w:val="24"/>
          <w:szCs w:val="24"/>
        </w:rPr>
        <w:t>II</w:t>
      </w:r>
      <w:r>
        <w:rPr>
          <w:rFonts w:ascii="Times New Roman" w:hAnsi="Times New Roman"/>
          <w:color w:val="FF0000"/>
          <w:sz w:val="24"/>
          <w:szCs w:val="24"/>
        </w:rPr>
        <w:fldChar w:fldCharType="end"/>
      </w:r>
      <w:r>
        <w:rPr>
          <w:rFonts w:ascii="Times New Roman" w:hAnsi="Times New Roman"/>
          <w:color w:val="FF0000"/>
          <w:sz w:val="24"/>
          <w:szCs w:val="24"/>
        </w:rPr>
        <w:t>类项目。</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（4）根据土壤环境影响评价项目类别、占地规模与敏感程度划分评价工作等级，具体内容见下表。</w:t>
      </w:r>
    </w:p>
    <w:p>
      <w:pPr>
        <w:spacing w:line="360" w:lineRule="auto"/>
        <w:ind w:firstLine="482"/>
        <w:jc w:val="center"/>
        <w:rPr>
          <w:rFonts w:ascii="Times New Roman" w:hAnsi="Times New Roman"/>
          <w:b/>
          <w:color w:val="FF0000"/>
          <w:sz w:val="24"/>
          <w:szCs w:val="24"/>
        </w:rPr>
      </w:pPr>
      <w:r>
        <w:rPr>
          <w:rFonts w:hint="eastAsia" w:ascii="Times New Roman" w:hAnsi="Times New Roman"/>
          <w:b/>
          <w:color w:val="FF0000"/>
          <w:sz w:val="24"/>
          <w:szCs w:val="24"/>
        </w:rPr>
        <w:t>表2.4</w:t>
      </w:r>
      <w:r>
        <w:rPr>
          <w:rFonts w:ascii="Times New Roman" w:hAnsi="Times New Roman"/>
          <w:b/>
          <w:color w:val="FF0000"/>
          <w:sz w:val="24"/>
          <w:szCs w:val="24"/>
        </w:rPr>
        <w:t xml:space="preserve">-7   </w:t>
      </w:r>
      <w:r>
        <w:rPr>
          <w:rFonts w:hint="eastAsia" w:ascii="Times New Roman" w:hAnsi="Times New Roman"/>
          <w:b/>
          <w:color w:val="FF0000"/>
          <w:sz w:val="24"/>
          <w:szCs w:val="24"/>
        </w:rPr>
        <w:t>污染</w:t>
      </w:r>
      <w:r>
        <w:rPr>
          <w:rFonts w:ascii="Times New Roman" w:hAnsi="Times New Roman"/>
          <w:b/>
          <w:color w:val="FF0000"/>
          <w:sz w:val="24"/>
          <w:szCs w:val="24"/>
        </w:rPr>
        <w:t>影响型评价工作等级划分表</w:t>
      </w:r>
    </w:p>
    <w:tbl>
      <w:tblPr>
        <w:tblStyle w:val="1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29"/>
        <w:gridCol w:w="829"/>
        <w:gridCol w:w="830"/>
        <w:gridCol w:w="830"/>
        <w:gridCol w:w="830"/>
        <w:gridCol w:w="831"/>
        <w:gridCol w:w="830"/>
        <w:gridCol w:w="830"/>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829"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p>
        </w:tc>
        <w:tc>
          <w:tcPr>
            <w:tcW w:w="2488"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cs="宋体"/>
                <w:b/>
                <w:bCs/>
                <w:color w:val="FF0000"/>
              </w:rPr>
              <w:t>I</w:t>
            </w:r>
            <w:r>
              <w:rPr>
                <w:rFonts w:hint="eastAsia" w:ascii="Times New Roman" w:hAnsi="Times New Roman" w:cs="宋体"/>
                <w:b/>
                <w:bCs/>
                <w:color w:val="FF0000"/>
              </w:rPr>
              <w:t>类</w:t>
            </w:r>
          </w:p>
        </w:tc>
        <w:tc>
          <w:tcPr>
            <w:tcW w:w="2491"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cs="宋体"/>
                <w:b/>
                <w:bCs/>
                <w:color w:val="FF0000"/>
              </w:rPr>
              <w:t>II</w:t>
            </w:r>
            <w:r>
              <w:rPr>
                <w:rFonts w:hint="eastAsia" w:ascii="Times New Roman" w:hAnsi="Times New Roman" w:cs="宋体"/>
                <w:b/>
                <w:bCs/>
                <w:color w:val="FF0000"/>
              </w:rPr>
              <w:t>类</w:t>
            </w:r>
          </w:p>
        </w:tc>
        <w:tc>
          <w:tcPr>
            <w:tcW w:w="2488"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cs="宋体"/>
                <w:b/>
                <w:bCs/>
                <w:color w:val="FF0000"/>
              </w:rPr>
              <w:t>III</w:t>
            </w:r>
            <w:r>
              <w:rPr>
                <w:rFonts w:hint="eastAsia" w:ascii="Times New Roman" w:hAnsi="Times New Roman" w:cs="宋体"/>
                <w:b/>
                <w:bCs/>
                <w:color w:val="FF0000"/>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2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left"/>
              <w:rPr>
                <w:rFonts w:ascii="Times New Roman" w:hAnsi="Times New Roman"/>
                <w:b/>
                <w:bCs/>
                <w:color w:val="FF0000"/>
              </w:rPr>
            </w:pPr>
          </w:p>
        </w:tc>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b/>
                <w:bCs/>
                <w:color w:val="FF0000"/>
              </w:rPr>
              <w:t>大</w:t>
            </w:r>
          </w:p>
        </w:tc>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b/>
                <w:bCs/>
                <w:color w:val="FF0000"/>
              </w:rPr>
              <w:t>中</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b/>
                <w:bCs/>
                <w:color w:val="FF0000"/>
              </w:rPr>
              <w:t>小</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b/>
                <w:bCs/>
                <w:color w:val="FF0000"/>
              </w:rPr>
              <w:t>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b/>
                <w:bCs/>
                <w:color w:val="FF0000"/>
              </w:rPr>
              <w:t>中</w:t>
            </w:r>
          </w:p>
        </w:tc>
        <w:tc>
          <w:tcPr>
            <w:tcW w:w="8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b/>
                <w:bCs/>
                <w:color w:val="FF0000"/>
              </w:rPr>
              <w:t>小</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b/>
                <w:bCs/>
                <w:color w:val="FF0000"/>
              </w:rPr>
              <w:t>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b/>
                <w:bCs/>
                <w:color w:val="FF0000"/>
              </w:rPr>
              <w:t>中</w:t>
            </w:r>
          </w:p>
        </w:tc>
        <w:tc>
          <w:tcPr>
            <w:tcW w:w="8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b/>
                <w:bCs/>
                <w:color w:val="FF0000"/>
              </w:rPr>
            </w:pPr>
            <w:r>
              <w:rPr>
                <w:rFonts w:ascii="Times New Roman" w:hAnsi="Times New Roman"/>
                <w:b/>
                <w:bCs/>
                <w:color w:val="FF0000"/>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敏感</w:t>
            </w:r>
          </w:p>
        </w:tc>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一级</w:t>
            </w:r>
          </w:p>
        </w:tc>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一级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一级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三级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三级</w:t>
            </w:r>
          </w:p>
        </w:tc>
        <w:tc>
          <w:tcPr>
            <w:tcW w:w="8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较敏感</w:t>
            </w:r>
          </w:p>
        </w:tc>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一级</w:t>
            </w:r>
          </w:p>
        </w:tc>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一级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三级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三级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三级</w:t>
            </w:r>
          </w:p>
        </w:tc>
        <w:tc>
          <w:tcPr>
            <w:tcW w:w="8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不敏感</w:t>
            </w:r>
          </w:p>
        </w:tc>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一级</w:t>
            </w:r>
          </w:p>
        </w:tc>
        <w:tc>
          <w:tcPr>
            <w:tcW w:w="82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二级</w:t>
            </w:r>
          </w:p>
        </w:tc>
        <w:tc>
          <w:tcPr>
            <w:tcW w:w="831" w:type="dxa"/>
            <w:tcBorders>
              <w:top w:val="single" w:color="000000" w:sz="8" w:space="0"/>
              <w:left w:val="single" w:color="000000" w:sz="8" w:space="0"/>
              <w:bottom w:val="single" w:color="000000" w:sz="8" w:space="0"/>
              <w:right w:val="single" w:color="000000" w:sz="8" w:space="0"/>
            </w:tcBorders>
            <w:shd w:val="clear" w:color="auto" w:fill="A4A4A4" w:themeFill="background1" w:themeFillShade="A5"/>
            <w:vAlign w:val="center"/>
          </w:tcPr>
          <w:p>
            <w:pPr>
              <w:jc w:val="center"/>
              <w:rPr>
                <w:rFonts w:ascii="Times New Roman" w:hAnsi="Times New Roman"/>
                <w:color w:val="FF0000"/>
              </w:rPr>
            </w:pPr>
            <w:r>
              <w:rPr>
                <w:rFonts w:ascii="Times New Roman" w:hAnsi="Times New Roman"/>
                <w:color w:val="FF0000"/>
                <w:shd w:val="clear" w:color="FFFFFF" w:fill="A4A4A4" w:themeFill="background1" w:themeFillShade="A5"/>
              </w:rPr>
              <w:t>三级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三级</w:t>
            </w:r>
          </w:p>
        </w:tc>
        <w:tc>
          <w:tcPr>
            <w:tcW w:w="8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w:t>
            </w:r>
          </w:p>
        </w:tc>
        <w:tc>
          <w:tcPr>
            <w:tcW w:w="8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10"/>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color w:val="FF0000"/>
              </w:rPr>
            </w:pPr>
            <w:r>
              <w:rPr>
                <w:rFonts w:ascii="Times New Roman" w:hAnsi="Times New Roman"/>
                <w:color w:val="FF0000"/>
              </w:rPr>
              <w:t>注：“-”表示可不开展土壤环境影响评价工作</w:t>
            </w:r>
          </w:p>
        </w:tc>
      </w:tr>
    </w:tbl>
    <w:p>
      <w:pPr>
        <w:spacing w:line="360" w:lineRule="auto"/>
        <w:ind w:firstLine="482"/>
        <w:rPr>
          <w:rFonts w:ascii="Times New Roman" w:hAnsi="Times New Roman"/>
          <w:color w:val="FF0000"/>
          <w:sz w:val="24"/>
          <w:szCs w:val="24"/>
        </w:rPr>
      </w:pPr>
    </w:p>
    <w:p>
      <w:pPr>
        <w:spacing w:line="360" w:lineRule="auto"/>
        <w:ind w:firstLine="482"/>
        <w:rPr>
          <w:rFonts w:ascii="Times New Roman" w:hAnsi="Times New Roman"/>
          <w:color w:val="000000"/>
          <w:sz w:val="24"/>
          <w:szCs w:val="24"/>
        </w:rPr>
      </w:pPr>
      <w:r>
        <w:rPr>
          <w:rFonts w:hint="eastAsia" w:ascii="Times New Roman" w:hAnsi="Times New Roman"/>
          <w:color w:val="FF0000"/>
          <w:sz w:val="24"/>
          <w:szCs w:val="24"/>
        </w:rPr>
        <w:t>根据</w:t>
      </w:r>
      <w:r>
        <w:rPr>
          <w:rFonts w:ascii="Times New Roman" w:hAnsi="Times New Roman"/>
          <w:color w:val="FF0000"/>
          <w:sz w:val="24"/>
          <w:szCs w:val="24"/>
        </w:rPr>
        <w:t>上表，土壤环境影响评价工作</w:t>
      </w:r>
      <w:r>
        <w:rPr>
          <w:rFonts w:hint="eastAsia" w:ascii="Times New Roman" w:hAnsi="Times New Roman"/>
          <w:color w:val="FF0000"/>
          <w:sz w:val="24"/>
          <w:szCs w:val="24"/>
        </w:rPr>
        <w:t>等级为三级</w:t>
      </w:r>
      <w:r>
        <w:rPr>
          <w:rFonts w:ascii="Times New Roman" w:hAnsi="Times New Roman"/>
          <w:color w:val="FF0000"/>
          <w:sz w:val="24"/>
          <w:szCs w:val="24"/>
        </w:rPr>
        <w:t>。</w:t>
      </w:r>
    </w:p>
    <w:p>
      <w:pPr>
        <w:pStyle w:val="5"/>
        <w:ind w:firstLine="562"/>
        <w:rPr>
          <w:rFonts w:hAnsi="Times New Roman"/>
          <w:sz w:val="24"/>
          <w:szCs w:val="24"/>
        </w:rPr>
      </w:pPr>
      <w:bookmarkStart w:id="77" w:name="_Toc17544"/>
      <w:bookmarkStart w:id="78" w:name="_Toc29050"/>
      <w:r>
        <w:rPr>
          <w:rFonts w:hint="eastAsia" w:hAnsi="Times New Roman"/>
          <w:sz w:val="24"/>
          <w:szCs w:val="24"/>
        </w:rPr>
        <w:t>2.4.</w:t>
      </w:r>
      <w:r>
        <w:rPr>
          <w:rFonts w:hAnsi="Times New Roman"/>
          <w:sz w:val="24"/>
          <w:szCs w:val="24"/>
        </w:rPr>
        <w:t>5</w:t>
      </w:r>
      <w:r>
        <w:rPr>
          <w:rFonts w:hint="eastAsia" w:hAnsi="Times New Roman"/>
          <w:sz w:val="24"/>
          <w:szCs w:val="24"/>
        </w:rPr>
        <w:t>生态环境评价工作等级及</w:t>
      </w:r>
      <w:r>
        <w:rPr>
          <w:rFonts w:hAnsi="Times New Roman"/>
          <w:sz w:val="24"/>
          <w:szCs w:val="24"/>
        </w:rPr>
        <w:t>评价范围</w:t>
      </w:r>
      <w:bookmarkEnd w:id="77"/>
      <w:bookmarkEnd w:id="78"/>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1、生态环境评价等级</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根据《环境</w:t>
      </w:r>
      <w:r>
        <w:rPr>
          <w:rFonts w:ascii="Times New Roman" w:hAnsi="Times New Roman"/>
          <w:color w:val="000000"/>
          <w:sz w:val="24"/>
          <w:szCs w:val="24"/>
        </w:rPr>
        <w:t>影响评价技术导则</w:t>
      </w:r>
      <w:r>
        <w:rPr>
          <w:rFonts w:hint="eastAsia" w:ascii="Times New Roman" w:hAnsi="Times New Roman"/>
          <w:color w:val="000000"/>
          <w:sz w:val="24"/>
          <w:szCs w:val="24"/>
        </w:rPr>
        <w:t xml:space="preserve">  生态</w:t>
      </w:r>
      <w:r>
        <w:rPr>
          <w:rFonts w:ascii="Times New Roman" w:hAnsi="Times New Roman"/>
          <w:color w:val="000000"/>
          <w:sz w:val="24"/>
          <w:szCs w:val="24"/>
        </w:rPr>
        <w:t>影响</w:t>
      </w:r>
      <w:r>
        <w:rPr>
          <w:rFonts w:hint="eastAsia" w:ascii="Times New Roman" w:hAnsi="Times New Roman"/>
          <w:color w:val="000000"/>
          <w:sz w:val="24"/>
          <w:szCs w:val="24"/>
        </w:rPr>
        <w:t>》（HJ19</w:t>
      </w:r>
      <w:r>
        <w:rPr>
          <w:rFonts w:ascii="Times New Roman" w:hAnsi="Times New Roman"/>
          <w:color w:val="000000"/>
          <w:sz w:val="24"/>
          <w:szCs w:val="24"/>
        </w:rPr>
        <w:t>-2011</w:t>
      </w:r>
      <w:r>
        <w:rPr>
          <w:rFonts w:hint="eastAsia" w:ascii="Times New Roman" w:hAnsi="Times New Roman"/>
          <w:color w:val="000000"/>
          <w:sz w:val="24"/>
          <w:szCs w:val="24"/>
        </w:rPr>
        <w:t>）进行</w:t>
      </w:r>
      <w:r>
        <w:rPr>
          <w:rFonts w:ascii="Times New Roman" w:hAnsi="Times New Roman"/>
          <w:color w:val="000000"/>
          <w:sz w:val="24"/>
          <w:szCs w:val="24"/>
        </w:rPr>
        <w:t>判别，项目占地23333.5m</w:t>
      </w:r>
      <w:r>
        <w:rPr>
          <w:rFonts w:ascii="Times New Roman" w:hAnsi="Times New Roman"/>
          <w:color w:val="000000"/>
          <w:sz w:val="24"/>
          <w:szCs w:val="24"/>
          <w:vertAlign w:val="superscript"/>
        </w:rPr>
        <w:t>2</w:t>
      </w:r>
      <w:r>
        <w:rPr>
          <w:rFonts w:ascii="Times New Roman" w:hAnsi="Times New Roman"/>
          <w:color w:val="000000"/>
          <w:sz w:val="24"/>
          <w:szCs w:val="24"/>
        </w:rPr>
        <w:t>＜2km</w:t>
      </w:r>
      <w:r>
        <w:rPr>
          <w:rFonts w:ascii="Times New Roman" w:hAnsi="Times New Roman"/>
          <w:color w:val="000000"/>
          <w:sz w:val="24"/>
          <w:szCs w:val="24"/>
          <w:vertAlign w:val="superscript"/>
        </w:rPr>
        <w:t>2</w:t>
      </w:r>
      <w:r>
        <w:rPr>
          <w:rFonts w:hint="eastAsia" w:ascii="Times New Roman" w:hAnsi="Times New Roman"/>
          <w:color w:val="000000"/>
          <w:sz w:val="24"/>
          <w:szCs w:val="24"/>
        </w:rPr>
        <w:t>，</w:t>
      </w:r>
      <w:r>
        <w:rPr>
          <w:rFonts w:ascii="Times New Roman" w:hAnsi="Times New Roman"/>
          <w:color w:val="000000"/>
          <w:sz w:val="24"/>
          <w:szCs w:val="24"/>
        </w:rPr>
        <w:t>且评价区域内无珍稀濒危物种，也无受影响的自然保护区及风景名胜区等敏感区，故生态环境评价工作</w:t>
      </w:r>
      <w:r>
        <w:rPr>
          <w:rFonts w:hint="eastAsia" w:ascii="Times New Roman" w:hAnsi="Times New Roman"/>
          <w:color w:val="000000"/>
          <w:sz w:val="24"/>
          <w:szCs w:val="24"/>
        </w:rPr>
        <w:t>不设</w:t>
      </w:r>
      <w:r>
        <w:rPr>
          <w:rFonts w:ascii="Times New Roman" w:hAnsi="Times New Roman"/>
          <w:color w:val="000000"/>
          <w:sz w:val="24"/>
          <w:szCs w:val="24"/>
        </w:rPr>
        <w:t>等级，做一般评述</w:t>
      </w:r>
      <w:r>
        <w:rPr>
          <w:rFonts w:hint="eastAsia" w:ascii="Times New Roman" w:hAnsi="Times New Roman"/>
          <w:color w:val="000000"/>
          <w:sz w:val="24"/>
          <w:szCs w:val="24"/>
        </w:rPr>
        <w:t>。</w:t>
      </w: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2、</w:t>
      </w:r>
      <w:r>
        <w:rPr>
          <w:rFonts w:ascii="Times New Roman" w:hAnsi="Times New Roman"/>
          <w:b/>
          <w:color w:val="000000"/>
          <w:sz w:val="24"/>
          <w:szCs w:val="24"/>
        </w:rPr>
        <w:t>生态环境评价范围</w:t>
      </w:r>
    </w:p>
    <w:p>
      <w:pPr>
        <w:spacing w:line="360" w:lineRule="auto"/>
        <w:ind w:firstLine="482"/>
        <w:rPr>
          <w:rFonts w:ascii="Times New Roman" w:hAnsi="Times New Roman"/>
          <w:color w:val="000000"/>
          <w:sz w:val="24"/>
          <w:szCs w:val="24"/>
        </w:rPr>
      </w:pPr>
      <w:r>
        <w:rPr>
          <w:rFonts w:ascii="Times New Roman" w:hAnsi="Times New Roman"/>
          <w:color w:val="000000"/>
          <w:sz w:val="24"/>
          <w:szCs w:val="24"/>
        </w:rPr>
        <w:t>项目所在地属于一般区域，生态环境评价范围为项目厂界外200m区域范围。</w:t>
      </w:r>
    </w:p>
    <w:p>
      <w:pPr>
        <w:pStyle w:val="5"/>
        <w:ind w:firstLine="562"/>
        <w:rPr>
          <w:rFonts w:hAnsi="Times New Roman"/>
          <w:sz w:val="24"/>
          <w:szCs w:val="24"/>
        </w:rPr>
      </w:pPr>
      <w:bookmarkStart w:id="79" w:name="_Toc29926"/>
      <w:bookmarkStart w:id="80" w:name="_Toc4583"/>
      <w:r>
        <w:rPr>
          <w:rFonts w:hint="eastAsia" w:hAnsi="Times New Roman"/>
          <w:sz w:val="24"/>
          <w:szCs w:val="24"/>
        </w:rPr>
        <w:t>2.4.</w:t>
      </w:r>
      <w:r>
        <w:rPr>
          <w:rFonts w:hAnsi="Times New Roman"/>
          <w:sz w:val="24"/>
          <w:szCs w:val="24"/>
        </w:rPr>
        <w:t>6</w:t>
      </w:r>
      <w:r>
        <w:rPr>
          <w:rFonts w:hint="eastAsia" w:hAnsi="Times New Roman"/>
          <w:sz w:val="24"/>
          <w:szCs w:val="24"/>
        </w:rPr>
        <w:t>环境风险评价工作等级</w:t>
      </w:r>
      <w:bookmarkEnd w:id="79"/>
      <w:bookmarkEnd w:id="80"/>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1）环境风险潜势划分</w:t>
      </w:r>
    </w:p>
    <w:p>
      <w:pPr>
        <w:spacing w:line="360" w:lineRule="auto"/>
        <w:ind w:firstLine="482"/>
        <w:rPr>
          <w:rFonts w:ascii="Times New Roman" w:hAnsi="Times New Roman"/>
          <w:color w:val="000000"/>
          <w:sz w:val="24"/>
          <w:szCs w:val="24"/>
        </w:rPr>
      </w:pPr>
      <w:r>
        <w:rPr>
          <w:rFonts w:ascii="Times New Roman" w:hAnsi="Times New Roman"/>
          <w:color w:val="000000"/>
          <w:sz w:val="24"/>
          <w:szCs w:val="24"/>
        </w:rPr>
        <w:t>建设项目环境风险潜势划分为I</w:t>
      </w:r>
      <w:r>
        <w:rPr>
          <w:rFonts w:hint="eastAsia" w:ascii="Times New Roman" w:hAnsi="Times New Roman"/>
          <w:color w:val="000000"/>
          <w:sz w:val="24"/>
          <w:szCs w:val="24"/>
        </w:rPr>
        <w:t>、</w:t>
      </w:r>
      <w:r>
        <w:rPr>
          <w:rFonts w:ascii="Times New Roman" w:hAnsi="Times New Roman"/>
          <w:color w:val="000000"/>
          <w:sz w:val="24"/>
          <w:szCs w:val="24"/>
        </w:rPr>
        <w:t>II、III、IV/IV+级。</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2）危险物质及工艺系统危险性（P）的分级确定</w:t>
      </w:r>
    </w:p>
    <w:p>
      <w:pPr>
        <w:spacing w:line="360" w:lineRule="auto"/>
        <w:ind w:firstLine="480" w:firstLineChars="200"/>
        <w:rPr>
          <w:rFonts w:ascii="Times New Roman" w:hAnsi="Times New Roman"/>
          <w:sz w:val="24"/>
          <w:szCs w:val="24"/>
        </w:rPr>
      </w:pPr>
      <w:r>
        <w:rPr>
          <w:rFonts w:ascii="Times New Roman" w:hAnsi="Times New Roman"/>
          <w:sz w:val="24"/>
          <w:szCs w:val="24"/>
        </w:rPr>
        <w:t>建设项目生产、使用、储存过程中不涉及有毒有害、易燃易爆物质，故项目为P4。</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3）E的分级确定</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项目周边500m范围内人口总人数小于500人，故项目为E3环境低度敏感区。</w:t>
      </w:r>
    </w:p>
    <w:p>
      <w:pPr>
        <w:spacing w:line="360" w:lineRule="auto"/>
        <w:ind w:firstLine="484" w:firstLineChars="202"/>
        <w:rPr>
          <w:rFonts w:ascii="Times New Roman" w:hAnsi="Times New Roman"/>
          <w:color w:val="000000"/>
          <w:sz w:val="24"/>
          <w:szCs w:val="24"/>
        </w:rPr>
      </w:pPr>
      <w:r>
        <w:rPr>
          <w:rFonts w:ascii="Times New Roman" w:hAnsi="Times New Roman"/>
          <w:color w:val="000000"/>
          <w:sz w:val="24"/>
          <w:szCs w:val="24"/>
        </w:rPr>
        <w:t>项目不涉及的危险物质，环境风险潜势为I。</w:t>
      </w:r>
    </w:p>
    <w:p>
      <w:pPr>
        <w:pStyle w:val="34"/>
        <w:ind w:firstLine="480"/>
        <w:rPr>
          <w:rFonts w:hint="default" w:ascii="Times New Roman" w:hAnsi="Times New Roman"/>
          <w:color w:val="000000"/>
        </w:rPr>
      </w:pPr>
      <w:r>
        <w:rPr>
          <w:rFonts w:hint="default" w:ascii="Times New Roman" w:hAnsi="Times New Roman"/>
          <w:color w:val="000000"/>
        </w:rPr>
        <w:t>4）评价等级</w:t>
      </w:r>
    </w:p>
    <w:p>
      <w:pPr>
        <w:spacing w:line="360" w:lineRule="auto"/>
        <w:ind w:firstLine="484" w:firstLineChars="202"/>
        <w:rPr>
          <w:rFonts w:ascii="Times New Roman" w:hAnsi="Times New Roman"/>
          <w:color w:val="000000"/>
          <w:sz w:val="24"/>
          <w:szCs w:val="24"/>
        </w:rPr>
      </w:pPr>
      <w:r>
        <w:rPr>
          <w:rFonts w:ascii="Times New Roman" w:hAnsi="Times New Roman"/>
          <w:color w:val="000000"/>
          <w:sz w:val="24"/>
          <w:szCs w:val="24"/>
        </w:rPr>
        <w:t>根据《建设项目环境风险评价技术导则》（HJ/T169-2018）表1划分标准（详见表6.1.3-1），项目环境风险潜势为</w:t>
      </w:r>
      <w:r>
        <w:rPr>
          <w:rFonts w:cs="宋体"/>
          <w:color w:val="000000"/>
          <w:sz w:val="24"/>
          <w:szCs w:val="24"/>
        </w:rPr>
        <w:t>Ⅰ</w:t>
      </w:r>
      <w:r>
        <w:rPr>
          <w:rFonts w:ascii="Times New Roman" w:hAnsi="Times New Roman"/>
          <w:color w:val="000000"/>
          <w:sz w:val="24"/>
          <w:szCs w:val="24"/>
        </w:rPr>
        <w:t>，因此，环境风险评价工作等级为简单分析。</w:t>
      </w:r>
    </w:p>
    <w:p>
      <w:pPr>
        <w:spacing w:line="360" w:lineRule="auto"/>
        <w:ind w:firstLine="487" w:firstLineChars="202"/>
        <w:jc w:val="center"/>
        <w:rPr>
          <w:rFonts w:ascii="Times New Roman" w:hAnsi="Times New Roman"/>
          <w:b/>
          <w:color w:val="000000"/>
          <w:sz w:val="24"/>
          <w:szCs w:val="24"/>
        </w:rPr>
      </w:pPr>
      <w:r>
        <w:rPr>
          <w:rFonts w:hint="eastAsia" w:ascii="Times New Roman" w:hAnsi="Times New Roman"/>
          <w:b/>
          <w:color w:val="000000"/>
          <w:sz w:val="24"/>
          <w:szCs w:val="24"/>
        </w:rPr>
        <w:t>表2.4</w:t>
      </w:r>
      <w:r>
        <w:rPr>
          <w:rFonts w:ascii="Times New Roman" w:hAnsi="Times New Roman"/>
          <w:b/>
          <w:color w:val="000000"/>
          <w:sz w:val="24"/>
          <w:szCs w:val="24"/>
        </w:rPr>
        <w:t xml:space="preserve">-8   </w:t>
      </w:r>
      <w:r>
        <w:rPr>
          <w:rFonts w:hint="eastAsia" w:ascii="Times New Roman" w:hAnsi="Times New Roman"/>
          <w:b/>
          <w:color w:val="000000"/>
          <w:sz w:val="24"/>
          <w:szCs w:val="24"/>
        </w:rPr>
        <w:t>环境</w:t>
      </w:r>
      <w:r>
        <w:rPr>
          <w:rFonts w:ascii="Times New Roman" w:hAnsi="Times New Roman"/>
          <w:b/>
          <w:color w:val="000000"/>
          <w:sz w:val="24"/>
          <w:szCs w:val="24"/>
        </w:rPr>
        <w:t>风险评价工作级别</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551"/>
        <w:gridCol w:w="1831"/>
        <w:gridCol w:w="2064"/>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5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color w:val="000000"/>
              </w:rPr>
            </w:pPr>
            <w:r>
              <w:rPr>
                <w:rFonts w:ascii="Times New Roman" w:hAnsi="Times New Roman"/>
                <w:b/>
                <w:bCs/>
                <w:color w:val="000000"/>
              </w:rPr>
              <w:t>环境风险潜势</w:t>
            </w:r>
          </w:p>
        </w:tc>
        <w:tc>
          <w:tcPr>
            <w:tcW w:w="1551" w:type="dxa"/>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000000"/>
                <w:spacing w:val="-12"/>
                <w:kern w:val="0"/>
                <w:vertAlign w:val="superscript"/>
              </w:rPr>
            </w:pPr>
            <w:r>
              <w:rPr>
                <w:rFonts w:ascii="Times New Roman" w:hAnsi="Times New Roman" w:cs="宋体"/>
                <w:b/>
                <w:bCs/>
                <w:color w:val="000000"/>
                <w:spacing w:val="-12"/>
                <w:kern w:val="0"/>
              </w:rPr>
              <w:t>IV</w:t>
            </w:r>
            <w:r>
              <w:rPr>
                <w:rFonts w:hint="eastAsia" w:ascii="Times New Roman" w:hAnsi="Times New Roman" w:cs="宋体"/>
                <w:b/>
                <w:bCs/>
                <w:color w:val="000000"/>
                <w:spacing w:val="-12"/>
                <w:kern w:val="0"/>
              </w:rPr>
              <w:t>、</w:t>
            </w:r>
            <w:r>
              <w:rPr>
                <w:rFonts w:ascii="Times New Roman" w:hAnsi="Times New Roman" w:cs="宋体"/>
                <w:b/>
                <w:bCs/>
                <w:color w:val="000000"/>
                <w:spacing w:val="-12"/>
                <w:kern w:val="0"/>
              </w:rPr>
              <w:t>IV+</w:t>
            </w:r>
          </w:p>
        </w:tc>
        <w:tc>
          <w:tcPr>
            <w:tcW w:w="1831" w:type="dxa"/>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000000"/>
                <w:spacing w:val="-12"/>
                <w:kern w:val="0"/>
              </w:rPr>
            </w:pPr>
            <w:r>
              <w:rPr>
                <w:rFonts w:ascii="Times New Roman" w:hAnsi="Times New Roman" w:cs="宋体"/>
                <w:b/>
                <w:bCs/>
                <w:color w:val="000000"/>
                <w:spacing w:val="-12"/>
                <w:kern w:val="0"/>
              </w:rPr>
              <w:t>III</w:t>
            </w:r>
          </w:p>
        </w:tc>
        <w:tc>
          <w:tcPr>
            <w:tcW w:w="2064" w:type="dxa"/>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000000"/>
                <w:spacing w:val="-12"/>
                <w:kern w:val="0"/>
              </w:rPr>
            </w:pPr>
            <w:r>
              <w:rPr>
                <w:rFonts w:ascii="Times New Roman" w:hAnsi="Times New Roman" w:cs="宋体"/>
                <w:b/>
                <w:bCs/>
                <w:color w:val="000000"/>
                <w:spacing w:val="-12"/>
                <w:kern w:val="0"/>
              </w:rPr>
              <w:t>II</w:t>
            </w:r>
          </w:p>
        </w:tc>
        <w:tc>
          <w:tcPr>
            <w:tcW w:w="1524" w:type="dxa"/>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000000"/>
                <w:spacing w:val="-12"/>
                <w:kern w:val="0"/>
              </w:rPr>
            </w:pPr>
            <w:r>
              <w:rPr>
                <w:rFonts w:ascii="Times New Roman" w:hAnsi="Times New Roman" w:cs="宋体"/>
                <w:b/>
                <w:bCs/>
                <w:color w:val="000000"/>
                <w:spacing w:val="-12"/>
                <w:kern w:val="0"/>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5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评价工作等级</w:t>
            </w:r>
          </w:p>
        </w:tc>
        <w:tc>
          <w:tcPr>
            <w:tcW w:w="155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一</w:t>
            </w:r>
          </w:p>
        </w:tc>
        <w:tc>
          <w:tcPr>
            <w:tcW w:w="1831"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二</w:t>
            </w:r>
          </w:p>
        </w:tc>
        <w:tc>
          <w:tcPr>
            <w:tcW w:w="206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三</w:t>
            </w:r>
          </w:p>
        </w:tc>
        <w:tc>
          <w:tcPr>
            <w:tcW w:w="15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000000"/>
              </w:rPr>
            </w:pPr>
            <w:r>
              <w:rPr>
                <w:rFonts w:ascii="Times New Roman" w:hAnsi="Times New Roman"/>
                <w:color w:val="000000"/>
              </w:rPr>
              <w:t>简单分析：是相对于详细评价工作内容而言，在描述危险物质、环境影响途径、环境危害后果、风险防范措施等方面给出定型的说明。</w:t>
            </w:r>
          </w:p>
        </w:tc>
      </w:tr>
    </w:tbl>
    <w:p/>
    <w:p>
      <w:pPr>
        <w:pStyle w:val="5"/>
        <w:ind w:firstLine="562"/>
        <w:rPr>
          <w:rFonts w:hAnsi="Times New Roman"/>
        </w:rPr>
      </w:pPr>
      <w:bookmarkStart w:id="81" w:name="_Toc16749"/>
      <w:bookmarkStart w:id="82" w:name="_Toc2197"/>
      <w:r>
        <w:rPr>
          <w:rFonts w:hint="eastAsia" w:hAnsi="Times New Roman"/>
        </w:rPr>
        <w:t>2.5评价</w:t>
      </w:r>
      <w:r>
        <w:rPr>
          <w:rFonts w:hAnsi="Times New Roman"/>
        </w:rPr>
        <w:t>标准</w:t>
      </w:r>
      <w:bookmarkEnd w:id="81"/>
      <w:bookmarkEnd w:id="82"/>
    </w:p>
    <w:p>
      <w:pPr>
        <w:pStyle w:val="5"/>
        <w:ind w:firstLine="562"/>
        <w:rPr>
          <w:rFonts w:hAnsi="Times New Roman"/>
          <w:sz w:val="24"/>
          <w:szCs w:val="24"/>
        </w:rPr>
      </w:pPr>
      <w:bookmarkStart w:id="83" w:name="_Toc19173"/>
      <w:bookmarkStart w:id="84" w:name="_Toc15832"/>
      <w:r>
        <w:rPr>
          <w:rFonts w:hint="eastAsia" w:hAnsi="Times New Roman"/>
          <w:sz w:val="24"/>
          <w:szCs w:val="24"/>
        </w:rPr>
        <w:t>2.5.1环境</w:t>
      </w:r>
      <w:r>
        <w:rPr>
          <w:rFonts w:hAnsi="Times New Roman"/>
          <w:sz w:val="24"/>
          <w:szCs w:val="24"/>
        </w:rPr>
        <w:t>质量标准</w:t>
      </w:r>
      <w:bookmarkEnd w:id="83"/>
      <w:bookmarkEnd w:id="84"/>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1）空气</w:t>
      </w:r>
      <w:r>
        <w:rPr>
          <w:rFonts w:ascii="Times New Roman" w:hAnsi="Times New Roman"/>
          <w:b/>
          <w:color w:val="000000"/>
          <w:sz w:val="24"/>
          <w:szCs w:val="24"/>
        </w:rPr>
        <w:t>环境质量标准</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本项目选址于元谋县工业园区金雷片区，属于二类环境空气功能区，环境空气质量执行《环境空气质量标准》（GB3095-2012）二级标准及</w:t>
      </w:r>
      <w:r>
        <w:rPr>
          <w:rFonts w:ascii="Times New Roman" w:hAnsi="Times New Roman"/>
          <w:color w:val="000000"/>
          <w:sz w:val="24"/>
          <w:szCs w:val="24"/>
        </w:rPr>
        <w:t>修改单</w:t>
      </w:r>
      <w:r>
        <w:rPr>
          <w:rFonts w:hint="eastAsia" w:ascii="Times New Roman" w:hAnsi="Times New Roman"/>
          <w:color w:val="000000"/>
          <w:sz w:val="24"/>
          <w:szCs w:val="24"/>
        </w:rPr>
        <w:t>。具体标准限值详见表2.</w:t>
      </w:r>
      <w:r>
        <w:rPr>
          <w:rFonts w:ascii="Times New Roman" w:hAnsi="Times New Roman"/>
          <w:color w:val="000000"/>
          <w:sz w:val="24"/>
          <w:szCs w:val="24"/>
        </w:rPr>
        <w:t>5</w:t>
      </w: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w:t>
      </w: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5</w:t>
      </w:r>
      <w:r>
        <w:rPr>
          <w:rFonts w:hint="eastAsia" w:ascii="Times New Roman" w:hAnsi="Times New Roman"/>
          <w:b/>
          <w:color w:val="000000"/>
          <w:sz w:val="24"/>
          <w:szCs w:val="24"/>
        </w:rPr>
        <w:t>-</w:t>
      </w:r>
      <w:r>
        <w:rPr>
          <w:rFonts w:ascii="Times New Roman" w:hAnsi="Times New Roman"/>
          <w:b/>
          <w:color w:val="000000"/>
          <w:sz w:val="24"/>
          <w:szCs w:val="24"/>
        </w:rPr>
        <w:t>1</w:t>
      </w:r>
      <w:r>
        <w:rPr>
          <w:rFonts w:hint="eastAsia" w:ascii="Times New Roman" w:hAnsi="Times New Roman"/>
          <w:b/>
          <w:color w:val="000000"/>
          <w:sz w:val="24"/>
          <w:szCs w:val="24"/>
        </w:rPr>
        <w:t xml:space="preserve">    空气环境质量标准（</w:t>
      </w:r>
      <w:r>
        <w:rPr>
          <w:rFonts w:ascii="Times New Roman" w:hAnsi="Times New Roman"/>
          <w:b/>
          <w:color w:val="000000"/>
          <w:sz w:val="24"/>
          <w:szCs w:val="24"/>
        </w:rPr>
        <w:t>μg/m</w:t>
      </w:r>
      <w:r>
        <w:rPr>
          <w:rFonts w:ascii="Times New Roman" w:hAnsi="Times New Roman"/>
          <w:b/>
          <w:color w:val="000000"/>
          <w:sz w:val="24"/>
          <w:szCs w:val="24"/>
          <w:vertAlign w:val="superscript"/>
        </w:rPr>
        <w:t>3</w:t>
      </w:r>
      <w:r>
        <w:rPr>
          <w:rFonts w:hint="eastAsia" w:ascii="Times New Roman" w:hAnsi="Times New Roman"/>
          <w:b/>
          <w:color w:val="000000"/>
          <w:sz w:val="24"/>
          <w:szCs w:val="24"/>
        </w:rPr>
        <w:t>）</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58"/>
        <w:gridCol w:w="990"/>
        <w:gridCol w:w="1217"/>
        <w:gridCol w:w="1219"/>
        <w:gridCol w:w="1219"/>
        <w:gridCol w:w="12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60" w:type="dxa"/>
            <w:gridSpan w:val="2"/>
            <w:vAlign w:val="center"/>
          </w:tcPr>
          <w:p>
            <w:pPr>
              <w:spacing w:line="240" w:lineRule="atLeast"/>
              <w:jc w:val="center"/>
              <w:rPr>
                <w:rFonts w:ascii="Times New Roman" w:hAnsi="Times New Roman"/>
                <w:b/>
                <w:szCs w:val="21"/>
              </w:rPr>
            </w:pPr>
            <w:r>
              <w:rPr>
                <w:rFonts w:hint="eastAsia" w:ascii="Times New Roman" w:hAnsi="Times New Roman"/>
                <w:b/>
                <w:szCs w:val="21"/>
              </w:rPr>
              <w:t>项目</w:t>
            </w:r>
          </w:p>
        </w:tc>
        <w:tc>
          <w:tcPr>
            <w:tcW w:w="990" w:type="dxa"/>
            <w:vAlign w:val="center"/>
          </w:tcPr>
          <w:p>
            <w:pPr>
              <w:spacing w:line="240" w:lineRule="atLeast"/>
              <w:jc w:val="center"/>
              <w:rPr>
                <w:rFonts w:ascii="Times New Roman" w:hAnsi="Times New Roman"/>
                <w:b/>
                <w:szCs w:val="21"/>
              </w:rPr>
            </w:pPr>
            <w:r>
              <w:rPr>
                <w:rFonts w:hint="eastAsia" w:ascii="Times New Roman" w:hAnsi="Times New Roman"/>
                <w:b/>
                <w:szCs w:val="21"/>
              </w:rPr>
              <w:t>PM</w:t>
            </w:r>
            <w:r>
              <w:rPr>
                <w:rFonts w:hint="eastAsia" w:ascii="Times New Roman" w:hAnsi="Times New Roman"/>
                <w:b/>
                <w:szCs w:val="21"/>
                <w:vertAlign w:val="subscript"/>
              </w:rPr>
              <w:t>25</w:t>
            </w:r>
          </w:p>
        </w:tc>
        <w:tc>
          <w:tcPr>
            <w:tcW w:w="1217" w:type="dxa"/>
            <w:vAlign w:val="center"/>
          </w:tcPr>
          <w:p>
            <w:pPr>
              <w:spacing w:line="240" w:lineRule="atLeast"/>
              <w:jc w:val="center"/>
              <w:rPr>
                <w:rFonts w:ascii="Times New Roman" w:hAnsi="Times New Roman"/>
                <w:b/>
                <w:szCs w:val="21"/>
              </w:rPr>
            </w:pPr>
            <w:r>
              <w:rPr>
                <w:rFonts w:hint="eastAsia" w:ascii="Times New Roman" w:hAnsi="Times New Roman"/>
                <w:b/>
                <w:szCs w:val="21"/>
              </w:rPr>
              <w:t>PM</w:t>
            </w:r>
            <w:r>
              <w:rPr>
                <w:rFonts w:hint="eastAsia" w:ascii="Times New Roman" w:hAnsi="Times New Roman"/>
                <w:b/>
                <w:szCs w:val="21"/>
                <w:vertAlign w:val="subscript"/>
              </w:rPr>
              <w:t>10</w:t>
            </w:r>
          </w:p>
        </w:tc>
        <w:tc>
          <w:tcPr>
            <w:tcW w:w="1219" w:type="dxa"/>
            <w:vAlign w:val="center"/>
          </w:tcPr>
          <w:p>
            <w:pPr>
              <w:spacing w:line="240" w:lineRule="atLeast"/>
              <w:jc w:val="center"/>
              <w:rPr>
                <w:rFonts w:ascii="Times New Roman" w:hAnsi="Times New Roman"/>
                <w:b/>
                <w:szCs w:val="21"/>
              </w:rPr>
            </w:pPr>
            <w:r>
              <w:rPr>
                <w:rFonts w:hint="eastAsia" w:ascii="Times New Roman" w:hAnsi="Times New Roman"/>
                <w:b/>
                <w:szCs w:val="21"/>
              </w:rPr>
              <w:t>TSP</w:t>
            </w:r>
          </w:p>
        </w:tc>
        <w:tc>
          <w:tcPr>
            <w:tcW w:w="1219" w:type="dxa"/>
            <w:vAlign w:val="center"/>
          </w:tcPr>
          <w:p>
            <w:pPr>
              <w:spacing w:line="240" w:lineRule="atLeast"/>
              <w:jc w:val="center"/>
              <w:rPr>
                <w:rFonts w:ascii="Times New Roman" w:hAnsi="Times New Roman"/>
                <w:b/>
                <w:szCs w:val="21"/>
              </w:rPr>
            </w:pPr>
            <w:r>
              <w:rPr>
                <w:rFonts w:hint="eastAsia" w:ascii="Times New Roman" w:hAnsi="Times New Roman"/>
                <w:b/>
                <w:szCs w:val="21"/>
              </w:rPr>
              <w:t>SO</w:t>
            </w:r>
            <w:r>
              <w:rPr>
                <w:rFonts w:hint="eastAsia" w:ascii="Times New Roman" w:hAnsi="Times New Roman"/>
                <w:b/>
                <w:szCs w:val="21"/>
                <w:vertAlign w:val="subscript"/>
              </w:rPr>
              <w:t>2</w:t>
            </w:r>
          </w:p>
        </w:tc>
        <w:tc>
          <w:tcPr>
            <w:tcW w:w="1217" w:type="dxa"/>
            <w:vAlign w:val="center"/>
          </w:tcPr>
          <w:p>
            <w:pPr>
              <w:spacing w:line="240" w:lineRule="atLeast"/>
              <w:jc w:val="center"/>
              <w:rPr>
                <w:rFonts w:ascii="Times New Roman" w:hAnsi="Times New Roman"/>
                <w:b/>
                <w:szCs w:val="21"/>
              </w:rPr>
            </w:pPr>
            <w:r>
              <w:rPr>
                <w:rFonts w:hint="eastAsia" w:ascii="Times New Roman" w:hAnsi="Times New Roman"/>
                <w:b/>
                <w:szCs w:val="21"/>
              </w:rPr>
              <w:t>NO</w:t>
            </w:r>
            <w:r>
              <w:rPr>
                <w:rFonts w:hint="eastAsia" w:ascii="Times New Roman" w:hAnsi="Times New Roman"/>
                <w:b/>
                <w:szCs w:val="21"/>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2" w:type="dxa"/>
            <w:vMerge w:val="restart"/>
            <w:vAlign w:val="center"/>
          </w:tcPr>
          <w:p>
            <w:pPr>
              <w:spacing w:line="240" w:lineRule="atLeast"/>
              <w:rPr>
                <w:rFonts w:ascii="Times New Roman" w:hAnsi="Times New Roman"/>
                <w:szCs w:val="21"/>
              </w:rPr>
            </w:pPr>
            <w:r>
              <w:rPr>
                <w:rFonts w:hint="eastAsia" w:ascii="Times New Roman" w:hAnsi="Times New Roman"/>
                <w:szCs w:val="21"/>
              </w:rPr>
              <w:t>平均时间</w:t>
            </w:r>
          </w:p>
        </w:tc>
        <w:tc>
          <w:tcPr>
            <w:tcW w:w="1558" w:type="dxa"/>
            <w:vAlign w:val="center"/>
          </w:tcPr>
          <w:p>
            <w:pPr>
              <w:spacing w:line="240" w:lineRule="atLeast"/>
              <w:jc w:val="center"/>
              <w:rPr>
                <w:rFonts w:ascii="Times New Roman" w:hAnsi="Times New Roman"/>
                <w:szCs w:val="21"/>
              </w:rPr>
            </w:pPr>
            <w:r>
              <w:rPr>
                <w:rFonts w:hint="eastAsia" w:ascii="Times New Roman" w:hAnsi="Times New Roman"/>
                <w:szCs w:val="21"/>
              </w:rPr>
              <w:t>年平均</w:t>
            </w:r>
          </w:p>
        </w:tc>
        <w:tc>
          <w:tcPr>
            <w:tcW w:w="990" w:type="dxa"/>
            <w:vAlign w:val="center"/>
          </w:tcPr>
          <w:p>
            <w:pPr>
              <w:spacing w:line="240" w:lineRule="atLeast"/>
              <w:jc w:val="center"/>
              <w:rPr>
                <w:rFonts w:ascii="Times New Roman" w:hAnsi="Times New Roman"/>
                <w:szCs w:val="21"/>
              </w:rPr>
            </w:pPr>
            <w:r>
              <w:rPr>
                <w:rFonts w:hint="eastAsia" w:ascii="Times New Roman" w:hAnsi="Times New Roman"/>
                <w:szCs w:val="21"/>
              </w:rPr>
              <w:t>35</w:t>
            </w:r>
          </w:p>
        </w:tc>
        <w:tc>
          <w:tcPr>
            <w:tcW w:w="1217" w:type="dxa"/>
            <w:vAlign w:val="center"/>
          </w:tcPr>
          <w:p>
            <w:pPr>
              <w:spacing w:line="240" w:lineRule="atLeast"/>
              <w:jc w:val="center"/>
              <w:rPr>
                <w:rFonts w:ascii="Times New Roman" w:hAnsi="Times New Roman"/>
                <w:szCs w:val="21"/>
              </w:rPr>
            </w:pPr>
            <w:r>
              <w:rPr>
                <w:rFonts w:hint="eastAsia" w:ascii="Times New Roman" w:hAnsi="Times New Roman"/>
                <w:szCs w:val="21"/>
              </w:rPr>
              <w:t>70</w:t>
            </w:r>
          </w:p>
        </w:tc>
        <w:tc>
          <w:tcPr>
            <w:tcW w:w="1219" w:type="dxa"/>
            <w:vAlign w:val="center"/>
          </w:tcPr>
          <w:p>
            <w:pPr>
              <w:spacing w:line="240" w:lineRule="atLeast"/>
              <w:jc w:val="center"/>
              <w:rPr>
                <w:rFonts w:ascii="Times New Roman" w:hAnsi="Times New Roman"/>
                <w:szCs w:val="21"/>
              </w:rPr>
            </w:pPr>
            <w:r>
              <w:rPr>
                <w:rFonts w:hint="eastAsia" w:ascii="Times New Roman" w:hAnsi="Times New Roman"/>
                <w:szCs w:val="21"/>
              </w:rPr>
              <w:t>200</w:t>
            </w:r>
          </w:p>
        </w:tc>
        <w:tc>
          <w:tcPr>
            <w:tcW w:w="1219"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1217"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2" w:type="dxa"/>
            <w:vMerge w:val="continue"/>
            <w:vAlign w:val="center"/>
          </w:tcPr>
          <w:p>
            <w:pPr>
              <w:spacing w:line="240" w:lineRule="atLeast"/>
              <w:jc w:val="center"/>
              <w:rPr>
                <w:rFonts w:ascii="Times New Roman" w:hAnsi="Times New Roman"/>
                <w:szCs w:val="21"/>
              </w:rPr>
            </w:pPr>
          </w:p>
        </w:tc>
        <w:tc>
          <w:tcPr>
            <w:tcW w:w="1558" w:type="dxa"/>
            <w:vAlign w:val="center"/>
          </w:tcPr>
          <w:p>
            <w:pPr>
              <w:spacing w:line="240" w:lineRule="atLeast"/>
              <w:jc w:val="center"/>
              <w:rPr>
                <w:rFonts w:ascii="Times New Roman" w:hAnsi="Times New Roman"/>
                <w:szCs w:val="21"/>
              </w:rPr>
            </w:pPr>
            <w:r>
              <w:rPr>
                <w:rFonts w:hint="eastAsia" w:ascii="Times New Roman" w:hAnsi="Times New Roman"/>
                <w:szCs w:val="21"/>
              </w:rPr>
              <w:t>24小时平均</w:t>
            </w:r>
          </w:p>
        </w:tc>
        <w:tc>
          <w:tcPr>
            <w:tcW w:w="990" w:type="dxa"/>
            <w:vAlign w:val="center"/>
          </w:tcPr>
          <w:p>
            <w:pPr>
              <w:spacing w:line="240" w:lineRule="atLeast"/>
              <w:jc w:val="center"/>
              <w:rPr>
                <w:rFonts w:ascii="Times New Roman" w:hAnsi="Times New Roman"/>
                <w:szCs w:val="21"/>
              </w:rPr>
            </w:pPr>
            <w:r>
              <w:rPr>
                <w:rFonts w:hint="eastAsia" w:ascii="Times New Roman" w:hAnsi="Times New Roman"/>
                <w:szCs w:val="21"/>
              </w:rPr>
              <w:t>75</w:t>
            </w:r>
          </w:p>
        </w:tc>
        <w:tc>
          <w:tcPr>
            <w:tcW w:w="1217" w:type="dxa"/>
            <w:vAlign w:val="center"/>
          </w:tcPr>
          <w:p>
            <w:pPr>
              <w:spacing w:line="240" w:lineRule="atLeast"/>
              <w:jc w:val="center"/>
              <w:rPr>
                <w:rFonts w:ascii="Times New Roman" w:hAnsi="Times New Roman"/>
                <w:szCs w:val="21"/>
              </w:rPr>
            </w:pPr>
            <w:r>
              <w:rPr>
                <w:rFonts w:hint="eastAsia" w:ascii="Times New Roman" w:hAnsi="Times New Roman"/>
                <w:szCs w:val="21"/>
              </w:rPr>
              <w:t>150</w:t>
            </w:r>
          </w:p>
        </w:tc>
        <w:tc>
          <w:tcPr>
            <w:tcW w:w="1219" w:type="dxa"/>
            <w:vAlign w:val="center"/>
          </w:tcPr>
          <w:p>
            <w:pPr>
              <w:spacing w:line="240" w:lineRule="atLeast"/>
              <w:jc w:val="center"/>
              <w:rPr>
                <w:rFonts w:ascii="Times New Roman" w:hAnsi="Times New Roman"/>
                <w:szCs w:val="21"/>
              </w:rPr>
            </w:pPr>
            <w:r>
              <w:rPr>
                <w:rFonts w:hint="eastAsia" w:ascii="Times New Roman" w:hAnsi="Times New Roman"/>
                <w:szCs w:val="21"/>
              </w:rPr>
              <w:t>300</w:t>
            </w:r>
          </w:p>
        </w:tc>
        <w:tc>
          <w:tcPr>
            <w:tcW w:w="1219" w:type="dxa"/>
            <w:vAlign w:val="center"/>
          </w:tcPr>
          <w:p>
            <w:pPr>
              <w:spacing w:line="240" w:lineRule="atLeast"/>
              <w:jc w:val="center"/>
              <w:rPr>
                <w:rFonts w:ascii="Times New Roman" w:hAnsi="Times New Roman"/>
                <w:szCs w:val="21"/>
              </w:rPr>
            </w:pPr>
            <w:r>
              <w:rPr>
                <w:rFonts w:hint="eastAsia" w:ascii="Times New Roman" w:hAnsi="Times New Roman"/>
                <w:szCs w:val="21"/>
              </w:rPr>
              <w:t>150</w:t>
            </w:r>
          </w:p>
        </w:tc>
        <w:tc>
          <w:tcPr>
            <w:tcW w:w="1217" w:type="dxa"/>
            <w:vAlign w:val="center"/>
          </w:tcPr>
          <w:p>
            <w:pPr>
              <w:spacing w:line="240" w:lineRule="atLeast"/>
              <w:jc w:val="center"/>
              <w:rPr>
                <w:rFonts w:ascii="Times New Roman" w:hAnsi="Times New Roman"/>
                <w:szCs w:val="21"/>
              </w:rPr>
            </w:pPr>
            <w:r>
              <w:rPr>
                <w:rFonts w:hint="eastAsia" w:ascii="Times New Roman" w:hAnsi="Times New Roman"/>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2" w:type="dxa"/>
            <w:vMerge w:val="continue"/>
            <w:vAlign w:val="center"/>
          </w:tcPr>
          <w:p>
            <w:pPr>
              <w:spacing w:line="240" w:lineRule="atLeast"/>
              <w:jc w:val="center"/>
              <w:rPr>
                <w:rFonts w:ascii="Times New Roman" w:hAnsi="Times New Roman"/>
                <w:szCs w:val="21"/>
              </w:rPr>
            </w:pPr>
          </w:p>
        </w:tc>
        <w:tc>
          <w:tcPr>
            <w:tcW w:w="1558" w:type="dxa"/>
            <w:vAlign w:val="center"/>
          </w:tcPr>
          <w:p>
            <w:pPr>
              <w:spacing w:line="240" w:lineRule="atLeast"/>
              <w:jc w:val="center"/>
              <w:rPr>
                <w:rFonts w:ascii="Times New Roman" w:hAnsi="Times New Roman"/>
                <w:szCs w:val="21"/>
              </w:rPr>
            </w:pPr>
            <w:r>
              <w:rPr>
                <w:rFonts w:hint="eastAsia" w:ascii="Times New Roman" w:hAnsi="Times New Roman"/>
                <w:szCs w:val="21"/>
              </w:rPr>
              <w:t>1小时平均</w:t>
            </w:r>
          </w:p>
        </w:tc>
        <w:tc>
          <w:tcPr>
            <w:tcW w:w="990"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1217"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1219"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1219" w:type="dxa"/>
            <w:vAlign w:val="center"/>
          </w:tcPr>
          <w:p>
            <w:pPr>
              <w:spacing w:line="240" w:lineRule="atLeast"/>
              <w:jc w:val="center"/>
              <w:rPr>
                <w:rFonts w:ascii="Times New Roman" w:hAnsi="Times New Roman"/>
                <w:szCs w:val="21"/>
              </w:rPr>
            </w:pPr>
            <w:r>
              <w:rPr>
                <w:rFonts w:hint="eastAsia" w:ascii="Times New Roman" w:hAnsi="Times New Roman"/>
                <w:szCs w:val="21"/>
              </w:rPr>
              <w:t>500</w:t>
            </w:r>
          </w:p>
        </w:tc>
        <w:tc>
          <w:tcPr>
            <w:tcW w:w="1217" w:type="dxa"/>
            <w:vAlign w:val="center"/>
          </w:tcPr>
          <w:p>
            <w:pPr>
              <w:spacing w:line="240" w:lineRule="atLeast"/>
              <w:jc w:val="center"/>
              <w:rPr>
                <w:rFonts w:ascii="Times New Roman" w:hAnsi="Times New Roman"/>
                <w:szCs w:val="21"/>
              </w:rPr>
            </w:pPr>
            <w:r>
              <w:rPr>
                <w:rFonts w:hint="eastAsia" w:ascii="Times New Roman" w:hAnsi="Times New Roman"/>
                <w:szCs w:val="21"/>
              </w:rPr>
              <w:t>250</w:t>
            </w:r>
          </w:p>
        </w:tc>
      </w:tr>
    </w:tbl>
    <w:p>
      <w:pPr>
        <w:spacing w:line="360" w:lineRule="auto"/>
        <w:ind w:firstLine="482"/>
        <w:rPr>
          <w:rFonts w:ascii="Times New Roman" w:hAnsi="Times New Roman"/>
          <w:color w:val="000000"/>
          <w:sz w:val="24"/>
          <w:szCs w:val="24"/>
        </w:rPr>
      </w:pP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2）</w:t>
      </w:r>
      <w:r>
        <w:rPr>
          <w:rFonts w:ascii="Times New Roman" w:hAnsi="Times New Roman"/>
          <w:b/>
          <w:color w:val="000000"/>
          <w:sz w:val="24"/>
          <w:szCs w:val="24"/>
        </w:rPr>
        <w:t>地表水环境质量标准</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项目选址涉及的地表水体为距项目西面440m的蜻蛉河，蜻蛉河流向：蜻蛉河→龙川江→金沙江→长江，根据《云南省地表水环境功能区划（2010-2020）》，蜻蛉河（源头-入龙川江入口）水体功能为农业用水、工业用水，水质类别为地表水IV类水体，执行《地表水环境质量标准》（GB3838-2002）IV类标准，具体标准限值见表2.</w:t>
      </w:r>
      <w:r>
        <w:rPr>
          <w:rFonts w:ascii="Times New Roman" w:hAnsi="Times New Roman"/>
          <w:color w:val="000000"/>
          <w:sz w:val="24"/>
          <w:szCs w:val="24"/>
        </w:rPr>
        <w:t>5</w:t>
      </w: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w:t>
      </w: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5</w:t>
      </w:r>
      <w:r>
        <w:rPr>
          <w:rFonts w:hint="eastAsia" w:ascii="Times New Roman" w:hAnsi="Times New Roman"/>
          <w:b/>
          <w:color w:val="000000"/>
          <w:sz w:val="24"/>
          <w:szCs w:val="24"/>
        </w:rPr>
        <w:t>-</w:t>
      </w:r>
      <w:r>
        <w:rPr>
          <w:rFonts w:ascii="Times New Roman" w:hAnsi="Times New Roman"/>
          <w:b/>
          <w:color w:val="000000"/>
          <w:sz w:val="24"/>
          <w:szCs w:val="24"/>
        </w:rPr>
        <w:t>2</w:t>
      </w:r>
      <w:r>
        <w:rPr>
          <w:rFonts w:hint="eastAsia" w:ascii="Times New Roman" w:hAnsi="Times New Roman"/>
          <w:b/>
          <w:color w:val="000000"/>
          <w:sz w:val="24"/>
          <w:szCs w:val="24"/>
        </w:rPr>
        <w:t xml:space="preserve">   地表水环境质量标准  单位：mg/L，pH无量纲</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b/>
                <w:szCs w:val="21"/>
              </w:rPr>
            </w:pPr>
            <w:r>
              <w:rPr>
                <w:rFonts w:hint="eastAsia" w:ascii="Times New Roman" w:hAnsi="Times New Roman"/>
                <w:b/>
                <w:szCs w:val="21"/>
              </w:rPr>
              <w:t>项目</w:t>
            </w:r>
          </w:p>
        </w:tc>
        <w:tc>
          <w:tcPr>
            <w:tcW w:w="2841" w:type="dxa"/>
            <w:vAlign w:val="center"/>
          </w:tcPr>
          <w:p>
            <w:pPr>
              <w:spacing w:line="240" w:lineRule="atLeast"/>
              <w:jc w:val="center"/>
              <w:rPr>
                <w:rFonts w:ascii="Times New Roman" w:hAnsi="Times New Roman"/>
                <w:b/>
                <w:szCs w:val="21"/>
              </w:rPr>
            </w:pPr>
            <w:r>
              <w:rPr>
                <w:rFonts w:hint="eastAsia" w:ascii="Times New Roman" w:hAnsi="Times New Roman"/>
                <w:b/>
                <w:szCs w:val="21"/>
              </w:rPr>
              <w:t>标准限值</w:t>
            </w:r>
          </w:p>
        </w:tc>
        <w:tc>
          <w:tcPr>
            <w:tcW w:w="2841" w:type="dxa"/>
            <w:vAlign w:val="center"/>
          </w:tcPr>
          <w:p>
            <w:pPr>
              <w:spacing w:line="240" w:lineRule="atLeast"/>
              <w:jc w:val="center"/>
              <w:rPr>
                <w:rFonts w:ascii="Times New Roman" w:hAnsi="Times New Roman"/>
                <w:b/>
                <w:szCs w:val="21"/>
              </w:rPr>
            </w:pPr>
            <w:r>
              <w:rPr>
                <w:rFonts w:hint="eastAsia" w:ascii="Times New Roman" w:hAnsi="Times New Roman"/>
                <w:b/>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pH（无量纲）</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6~9</w:t>
            </w:r>
          </w:p>
        </w:tc>
        <w:tc>
          <w:tcPr>
            <w:tcW w:w="2841"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《地表水环境质量标准》（GB3838-2002）IV类标准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溶解氧</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3</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COD</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30</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BOD</w:t>
            </w:r>
            <w:r>
              <w:rPr>
                <w:rFonts w:hint="eastAsia" w:ascii="Times New Roman" w:hAnsi="Times New Roman"/>
                <w:szCs w:val="21"/>
                <w:vertAlign w:val="subscript"/>
              </w:rPr>
              <w:t>5</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6</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NH</w:t>
            </w:r>
            <w:r>
              <w:rPr>
                <w:rFonts w:hint="eastAsia" w:ascii="Times New Roman" w:hAnsi="Times New Roman"/>
                <w:szCs w:val="21"/>
                <w:vertAlign w:val="subscript"/>
              </w:rPr>
              <w:t>3</w:t>
            </w:r>
            <w:r>
              <w:rPr>
                <w:rFonts w:hint="eastAsia" w:ascii="Times New Roman" w:hAnsi="Times New Roman"/>
                <w:szCs w:val="21"/>
              </w:rPr>
              <w:t>-N</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TP</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0.3</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石油类</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0.5</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总氮</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粪大肠杆菌</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20000个/L</w:t>
            </w:r>
          </w:p>
        </w:tc>
        <w:tc>
          <w:tcPr>
            <w:tcW w:w="2841" w:type="dxa"/>
            <w:vMerge w:val="continue"/>
            <w:vAlign w:val="center"/>
          </w:tcPr>
          <w:p>
            <w:pPr>
              <w:spacing w:line="240" w:lineRule="atLeast"/>
              <w:jc w:val="center"/>
              <w:rPr>
                <w:rFonts w:ascii="Times New Roman" w:hAnsi="Times New Roman"/>
                <w:szCs w:val="21"/>
              </w:rPr>
            </w:pPr>
          </w:p>
        </w:tc>
      </w:tr>
    </w:tbl>
    <w:p>
      <w:pPr>
        <w:spacing w:line="360" w:lineRule="auto"/>
        <w:ind w:firstLine="482"/>
        <w:rPr>
          <w:rFonts w:ascii="Times New Roman" w:hAnsi="Times New Roman"/>
          <w:color w:val="000000"/>
          <w:sz w:val="24"/>
          <w:szCs w:val="24"/>
        </w:rPr>
      </w:pP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3）</w:t>
      </w:r>
      <w:r>
        <w:rPr>
          <w:rFonts w:ascii="Times New Roman" w:hAnsi="Times New Roman"/>
          <w:b/>
          <w:color w:val="000000"/>
          <w:sz w:val="24"/>
          <w:szCs w:val="24"/>
        </w:rPr>
        <w:t>地下水质量标准</w:t>
      </w:r>
    </w:p>
    <w:p>
      <w:pPr>
        <w:spacing w:line="360" w:lineRule="auto"/>
        <w:ind w:firstLine="482"/>
        <w:rPr>
          <w:rFonts w:ascii="Times New Roman" w:hAnsi="Times New Roman"/>
          <w:color w:val="000000"/>
          <w:sz w:val="24"/>
          <w:szCs w:val="24"/>
        </w:rPr>
      </w:pPr>
      <w:r>
        <w:rPr>
          <w:rFonts w:ascii="Times New Roman" w:hAnsi="Times New Roman"/>
          <w:color w:val="000000"/>
          <w:sz w:val="24"/>
          <w:szCs w:val="24"/>
        </w:rPr>
        <w:t>本项目地下水执行《</w:t>
      </w:r>
      <w:r>
        <w:rPr>
          <w:rFonts w:hint="eastAsia" w:ascii="Times New Roman" w:hAnsi="Times New Roman"/>
          <w:color w:val="000000"/>
          <w:sz w:val="24"/>
          <w:szCs w:val="24"/>
        </w:rPr>
        <w:t>地下水</w:t>
      </w:r>
      <w:r>
        <w:rPr>
          <w:rFonts w:ascii="Times New Roman" w:hAnsi="Times New Roman"/>
          <w:color w:val="000000"/>
          <w:sz w:val="24"/>
          <w:szCs w:val="24"/>
        </w:rPr>
        <w:t>质量标准》</w:t>
      </w:r>
      <w:r>
        <w:rPr>
          <w:rFonts w:hint="eastAsia" w:ascii="Times New Roman" w:hAnsi="Times New Roman"/>
          <w:color w:val="000000"/>
          <w:sz w:val="24"/>
          <w:szCs w:val="24"/>
        </w:rPr>
        <w:t>（GB/T14848-2017）</w:t>
      </w:r>
      <w:r>
        <w:rPr>
          <w:rFonts w:ascii="Times New Roman" w:hAnsi="Times New Roman"/>
          <w:color w:val="000000"/>
          <w:sz w:val="24"/>
          <w:szCs w:val="24"/>
        </w:rPr>
        <w:t>III类标准，具体</w:t>
      </w:r>
      <w:r>
        <w:rPr>
          <w:rFonts w:hint="eastAsia" w:ascii="Times New Roman" w:hAnsi="Times New Roman"/>
          <w:color w:val="000000"/>
          <w:sz w:val="24"/>
          <w:szCs w:val="24"/>
        </w:rPr>
        <w:t>标准</w:t>
      </w:r>
      <w:r>
        <w:rPr>
          <w:rFonts w:ascii="Times New Roman" w:hAnsi="Times New Roman"/>
          <w:color w:val="000000"/>
          <w:sz w:val="24"/>
          <w:szCs w:val="24"/>
        </w:rPr>
        <w:t>限值见表</w:t>
      </w:r>
      <w:r>
        <w:rPr>
          <w:rFonts w:hint="eastAsia" w:ascii="Times New Roman" w:hAnsi="Times New Roman"/>
          <w:color w:val="000000"/>
          <w:sz w:val="24"/>
          <w:szCs w:val="24"/>
        </w:rPr>
        <w:t>2.</w:t>
      </w:r>
      <w:r>
        <w:rPr>
          <w:rFonts w:ascii="Times New Roman" w:hAnsi="Times New Roman"/>
          <w:color w:val="000000"/>
          <w:sz w:val="24"/>
          <w:szCs w:val="24"/>
        </w:rPr>
        <w:t>5-3</w:t>
      </w:r>
      <w:r>
        <w:rPr>
          <w:rFonts w:hint="eastAsia" w:ascii="Times New Roman" w:hAnsi="Times New Roman"/>
          <w:color w:val="000000"/>
          <w:sz w:val="24"/>
          <w:szCs w:val="24"/>
        </w:rPr>
        <w:t>。</w:t>
      </w: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 xml:space="preserve">5-3   </w:t>
      </w:r>
      <w:r>
        <w:rPr>
          <w:rFonts w:hint="eastAsia" w:ascii="Times New Roman" w:hAnsi="Times New Roman"/>
          <w:b/>
          <w:color w:val="000000"/>
          <w:sz w:val="24"/>
          <w:szCs w:val="24"/>
        </w:rPr>
        <w:t>地下水</w:t>
      </w:r>
      <w:r>
        <w:rPr>
          <w:rFonts w:ascii="Times New Roman" w:hAnsi="Times New Roman"/>
          <w:b/>
          <w:color w:val="000000"/>
          <w:sz w:val="24"/>
          <w:szCs w:val="24"/>
        </w:rPr>
        <w:t>质量标准限值</w:t>
      </w:r>
      <w:r>
        <w:rPr>
          <w:rFonts w:hint="eastAsia" w:ascii="Times New Roman" w:hAnsi="Times New Roman"/>
          <w:b/>
          <w:color w:val="000000"/>
          <w:sz w:val="24"/>
          <w:szCs w:val="24"/>
        </w:rPr>
        <w:t xml:space="preserve">  单位</w:t>
      </w:r>
      <w:r>
        <w:rPr>
          <w:rFonts w:ascii="Times New Roman" w:hAnsi="Times New Roman"/>
          <w:b/>
          <w:color w:val="000000"/>
          <w:sz w:val="24"/>
          <w:szCs w:val="24"/>
        </w:rPr>
        <w:t>mg/L</w:t>
      </w:r>
      <w:r>
        <w:rPr>
          <w:rFonts w:hint="eastAsia" w:ascii="Times New Roman" w:hAnsi="Times New Roman"/>
          <w:b/>
          <w:color w:val="000000"/>
          <w:sz w:val="24"/>
          <w:szCs w:val="24"/>
        </w:rPr>
        <w:t>，</w:t>
      </w:r>
      <w:r>
        <w:rPr>
          <w:rFonts w:ascii="Times New Roman" w:hAnsi="Times New Roman"/>
          <w:b/>
          <w:color w:val="000000"/>
          <w:sz w:val="24"/>
          <w:szCs w:val="24"/>
        </w:rPr>
        <w:t>pH</w:t>
      </w:r>
      <w:r>
        <w:rPr>
          <w:rFonts w:hint="eastAsia" w:ascii="Times New Roman" w:hAnsi="Times New Roman"/>
          <w:b/>
          <w:color w:val="000000"/>
          <w:sz w:val="24"/>
          <w:szCs w:val="24"/>
        </w:rPr>
        <w:t>无量纲</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b/>
                <w:szCs w:val="21"/>
              </w:rPr>
            </w:pPr>
            <w:r>
              <w:rPr>
                <w:rFonts w:hint="eastAsia" w:ascii="Times New Roman" w:hAnsi="Times New Roman"/>
                <w:b/>
                <w:szCs w:val="21"/>
              </w:rPr>
              <w:t>项目</w:t>
            </w:r>
          </w:p>
        </w:tc>
        <w:tc>
          <w:tcPr>
            <w:tcW w:w="2841" w:type="dxa"/>
            <w:vAlign w:val="center"/>
          </w:tcPr>
          <w:p>
            <w:pPr>
              <w:spacing w:line="240" w:lineRule="atLeast"/>
              <w:jc w:val="center"/>
              <w:rPr>
                <w:rFonts w:ascii="Times New Roman" w:hAnsi="Times New Roman"/>
                <w:b/>
                <w:szCs w:val="21"/>
              </w:rPr>
            </w:pPr>
            <w:r>
              <w:rPr>
                <w:rFonts w:hint="eastAsia" w:ascii="Times New Roman" w:hAnsi="Times New Roman"/>
                <w:b/>
                <w:szCs w:val="21"/>
              </w:rPr>
              <w:t>标准限值</w:t>
            </w:r>
          </w:p>
        </w:tc>
        <w:tc>
          <w:tcPr>
            <w:tcW w:w="2841" w:type="dxa"/>
            <w:vAlign w:val="center"/>
          </w:tcPr>
          <w:p>
            <w:pPr>
              <w:spacing w:line="240" w:lineRule="atLeast"/>
              <w:jc w:val="center"/>
              <w:rPr>
                <w:rFonts w:ascii="Times New Roman" w:hAnsi="Times New Roman"/>
                <w:b/>
                <w:szCs w:val="21"/>
              </w:rPr>
            </w:pPr>
            <w:r>
              <w:rPr>
                <w:rFonts w:hint="eastAsia" w:ascii="Times New Roman" w:hAnsi="Times New Roman"/>
                <w:b/>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色</w:t>
            </w:r>
            <w:r>
              <w:rPr>
                <w:rFonts w:ascii="Times New Roman" w:hAnsi="Times New Roman"/>
                <w:szCs w:val="21"/>
              </w:rPr>
              <w:t>（</w:t>
            </w:r>
            <w:r>
              <w:rPr>
                <w:rFonts w:hint="eastAsia" w:ascii="Times New Roman" w:hAnsi="Times New Roman"/>
                <w:szCs w:val="21"/>
              </w:rPr>
              <w:t>度</w:t>
            </w:r>
            <w:r>
              <w:rPr>
                <w:rFonts w:ascii="Times New Roman" w:hAnsi="Times New Roman"/>
                <w:szCs w:val="21"/>
              </w:rPr>
              <w:t>）</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≤15</w:t>
            </w:r>
          </w:p>
        </w:tc>
        <w:tc>
          <w:tcPr>
            <w:tcW w:w="2841"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《地下水质量标准》（GB</w:t>
            </w:r>
            <w:r>
              <w:rPr>
                <w:rFonts w:ascii="Times New Roman" w:hAnsi="Times New Roman"/>
                <w:szCs w:val="21"/>
              </w:rPr>
              <w:t>/T14848-2017</w:t>
            </w:r>
            <w:r>
              <w:rPr>
                <w:rFonts w:hint="eastAsia" w:ascii="Times New Roman" w:hAnsi="Times New Roman"/>
                <w:szCs w:val="21"/>
              </w:rPr>
              <w:t>）</w:t>
            </w:r>
            <w:r>
              <w:rPr>
                <w:rFonts w:ascii="Times New Roman" w:hAnsi="Times New Roman"/>
                <w:szCs w:val="21"/>
              </w:rPr>
              <w:t>III</w:t>
            </w:r>
            <w:r>
              <w:rPr>
                <w:rFonts w:hint="eastAsia" w:ascii="Times New Roman" w:hAnsi="Times New Roman"/>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ascii="Times New Roman" w:hAnsi="Times New Roman"/>
                <w:szCs w:val="21"/>
              </w:rPr>
              <w:t>pH</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6.5~8.5</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溶解性</w:t>
            </w:r>
            <w:r>
              <w:rPr>
                <w:rFonts w:ascii="Times New Roman" w:hAnsi="Times New Roman"/>
                <w:szCs w:val="21"/>
              </w:rPr>
              <w:t>总固体</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1000</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氨氮</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≤0.50</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硫酸盐</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≤250</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硝酸盐</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≤20.0</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亚硝酸盐</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≤1.0</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氟化物</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≤1.00</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挥发性</w:t>
            </w:r>
            <w:r>
              <w:rPr>
                <w:rFonts w:ascii="Times New Roman" w:hAnsi="Times New Roman"/>
                <w:szCs w:val="21"/>
              </w:rPr>
              <w:t>酚类</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≤0.002</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总</w:t>
            </w:r>
            <w:r>
              <w:rPr>
                <w:rFonts w:ascii="Times New Roman" w:hAnsi="Times New Roman"/>
                <w:szCs w:val="21"/>
              </w:rPr>
              <w:t>大肠菌群（</w:t>
            </w:r>
            <w:r>
              <w:rPr>
                <w:rFonts w:hint="eastAsia" w:ascii="Times New Roman" w:hAnsi="Times New Roman"/>
                <w:szCs w:val="21"/>
              </w:rPr>
              <w:t>个/L</w:t>
            </w:r>
            <w:r>
              <w:rPr>
                <w:rFonts w:ascii="Times New Roman" w:hAnsi="Times New Roman"/>
                <w:szCs w:val="21"/>
              </w:rPr>
              <w:t>）</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≤3.0</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细菌</w:t>
            </w:r>
            <w:r>
              <w:rPr>
                <w:rFonts w:ascii="Times New Roman" w:hAnsi="Times New Roman"/>
                <w:szCs w:val="21"/>
              </w:rPr>
              <w:t>总数（</w:t>
            </w:r>
            <w:r>
              <w:rPr>
                <w:rFonts w:hint="eastAsia" w:ascii="Times New Roman" w:hAnsi="Times New Roman"/>
                <w:szCs w:val="21"/>
              </w:rPr>
              <w:t>个/L</w:t>
            </w:r>
            <w:r>
              <w:rPr>
                <w:rFonts w:ascii="Times New Roman" w:hAnsi="Times New Roman"/>
                <w:szCs w:val="21"/>
              </w:rPr>
              <w:t>）</w:t>
            </w:r>
          </w:p>
        </w:tc>
        <w:tc>
          <w:tcPr>
            <w:tcW w:w="2841" w:type="dxa"/>
            <w:vAlign w:val="center"/>
          </w:tcPr>
          <w:p>
            <w:pPr>
              <w:spacing w:line="240" w:lineRule="atLeast"/>
              <w:jc w:val="center"/>
              <w:rPr>
                <w:rFonts w:ascii="Times New Roman" w:hAnsi="Times New Roman"/>
                <w:szCs w:val="21"/>
              </w:rPr>
            </w:pPr>
            <w:r>
              <w:rPr>
                <w:rFonts w:ascii="Times New Roman" w:hAnsi="Times New Roman"/>
                <w:szCs w:val="21"/>
              </w:rPr>
              <w:t>≤100</w:t>
            </w:r>
          </w:p>
        </w:tc>
        <w:tc>
          <w:tcPr>
            <w:tcW w:w="2841" w:type="dxa"/>
            <w:vMerge w:val="continue"/>
            <w:vAlign w:val="center"/>
          </w:tcPr>
          <w:p>
            <w:pPr>
              <w:spacing w:line="240" w:lineRule="atLeast"/>
              <w:jc w:val="center"/>
              <w:rPr>
                <w:rFonts w:ascii="Times New Roman" w:hAnsi="Times New Roman"/>
                <w:szCs w:val="21"/>
              </w:rPr>
            </w:pPr>
          </w:p>
        </w:tc>
      </w:tr>
    </w:tbl>
    <w:p>
      <w:pPr>
        <w:ind w:firstLine="482"/>
        <w:jc w:val="center"/>
        <w:rPr>
          <w:b/>
        </w:rPr>
      </w:pPr>
    </w:p>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4）</w:t>
      </w:r>
      <w:r>
        <w:rPr>
          <w:rFonts w:ascii="Times New Roman" w:hAnsi="Times New Roman"/>
          <w:b/>
          <w:color w:val="000000"/>
          <w:sz w:val="24"/>
          <w:szCs w:val="24"/>
        </w:rPr>
        <w:t>声环境质量标准</w:t>
      </w:r>
    </w:p>
    <w:p>
      <w:pPr>
        <w:spacing w:line="360" w:lineRule="auto"/>
        <w:ind w:firstLine="482"/>
        <w:rPr>
          <w:rFonts w:ascii="Times New Roman" w:hAnsi="Times New Roman"/>
          <w:color w:val="000000"/>
          <w:sz w:val="24"/>
          <w:szCs w:val="24"/>
        </w:rPr>
      </w:pPr>
      <w:r>
        <w:rPr>
          <w:rFonts w:hint="eastAsia" w:ascii="Times New Roman" w:hAnsi="Times New Roman"/>
          <w:color w:val="000000"/>
          <w:sz w:val="24"/>
          <w:szCs w:val="24"/>
        </w:rPr>
        <w:t>项目位于元谋县工业园区金雷片区，根据《声环境质量标准》（GB3096-2008），所在区域为3类声功能区，声环境质量标准执行《声环境质量标准》（GB3096-2008）3类标准。标准值见表2.</w:t>
      </w:r>
      <w:r>
        <w:rPr>
          <w:rFonts w:ascii="Times New Roman" w:hAnsi="Times New Roman"/>
          <w:color w:val="000000"/>
          <w:sz w:val="24"/>
          <w:szCs w:val="24"/>
        </w:rPr>
        <w:t>5-4</w:t>
      </w:r>
      <w:r>
        <w:rPr>
          <w:rFonts w:hint="eastAsia" w:ascii="Times New Roman" w:hAnsi="Times New Roman"/>
          <w:color w:val="000000"/>
          <w:sz w:val="24"/>
          <w:szCs w:val="24"/>
        </w:rPr>
        <w:t>。</w:t>
      </w:r>
    </w:p>
    <w:p>
      <w:pPr>
        <w:spacing w:line="360" w:lineRule="auto"/>
        <w:ind w:firstLine="482"/>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5-4</w:t>
      </w:r>
      <w:r>
        <w:rPr>
          <w:rFonts w:hint="eastAsia" w:ascii="Times New Roman" w:hAnsi="Times New Roman"/>
          <w:b/>
          <w:color w:val="000000"/>
          <w:sz w:val="24"/>
          <w:szCs w:val="24"/>
        </w:rPr>
        <w:t xml:space="preserve">    声环境标准限值表   单位：LeqdB（A）</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b/>
                <w:szCs w:val="21"/>
              </w:rPr>
            </w:pPr>
            <w:r>
              <w:rPr>
                <w:rFonts w:hint="eastAsia" w:ascii="Times New Roman" w:hAnsi="Times New Roman"/>
                <w:b/>
                <w:szCs w:val="21"/>
              </w:rPr>
              <w:t>项目</w:t>
            </w:r>
          </w:p>
        </w:tc>
        <w:tc>
          <w:tcPr>
            <w:tcW w:w="2841" w:type="dxa"/>
            <w:vAlign w:val="center"/>
          </w:tcPr>
          <w:p>
            <w:pPr>
              <w:spacing w:line="240" w:lineRule="atLeast"/>
              <w:jc w:val="center"/>
              <w:rPr>
                <w:rFonts w:ascii="Times New Roman" w:hAnsi="Times New Roman"/>
                <w:b/>
                <w:szCs w:val="21"/>
              </w:rPr>
            </w:pPr>
            <w:r>
              <w:rPr>
                <w:rFonts w:hint="eastAsia" w:ascii="Times New Roman" w:hAnsi="Times New Roman"/>
                <w:b/>
                <w:szCs w:val="21"/>
              </w:rPr>
              <w:t>昼间</w:t>
            </w:r>
          </w:p>
        </w:tc>
        <w:tc>
          <w:tcPr>
            <w:tcW w:w="2841" w:type="dxa"/>
            <w:vAlign w:val="center"/>
          </w:tcPr>
          <w:p>
            <w:pPr>
              <w:spacing w:line="240" w:lineRule="atLeast"/>
              <w:jc w:val="center"/>
              <w:rPr>
                <w:rFonts w:ascii="Times New Roman" w:hAnsi="Times New Roman"/>
                <w:b/>
                <w:szCs w:val="21"/>
              </w:rPr>
            </w:pPr>
            <w:r>
              <w:rPr>
                <w:rFonts w:hint="eastAsia" w:ascii="Times New Roman" w:hAnsi="Times New Roman"/>
                <w:b/>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3类</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65</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55</w:t>
            </w:r>
          </w:p>
        </w:tc>
      </w:tr>
    </w:tbl>
    <w:p>
      <w:pPr>
        <w:spacing w:line="360" w:lineRule="auto"/>
        <w:ind w:firstLine="482"/>
        <w:rPr>
          <w:rFonts w:ascii="Times New Roman" w:hAnsi="Times New Roman"/>
          <w:b/>
          <w:color w:val="000000"/>
          <w:sz w:val="24"/>
          <w:szCs w:val="24"/>
        </w:rPr>
      </w:pPr>
      <w:r>
        <w:rPr>
          <w:rFonts w:hint="eastAsia" w:ascii="Times New Roman" w:hAnsi="Times New Roman"/>
          <w:b/>
          <w:color w:val="000000"/>
          <w:sz w:val="24"/>
          <w:szCs w:val="24"/>
        </w:rPr>
        <w:t>5）</w:t>
      </w:r>
      <w:r>
        <w:rPr>
          <w:rFonts w:ascii="Times New Roman" w:hAnsi="Times New Roman"/>
          <w:b/>
          <w:color w:val="000000"/>
          <w:sz w:val="24"/>
          <w:szCs w:val="24"/>
        </w:rPr>
        <w:t>土壤环境质量标准</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项目建设土地使用性质为建设用地，所以土壤环境执行《土壤质量标准 建设用地土壤污染管控标准》（GB36600-2018）表1中第二类用地筛选值。</w:t>
      </w:r>
    </w:p>
    <w:p>
      <w:pPr>
        <w:spacing w:line="360" w:lineRule="auto"/>
        <w:ind w:firstLine="482" w:firstLineChars="200"/>
        <w:jc w:val="center"/>
        <w:rPr>
          <w:rFonts w:ascii="Times New Roman" w:hAnsi="Times New Roman"/>
          <w:b/>
          <w:bCs/>
          <w:color w:val="000000"/>
          <w:sz w:val="24"/>
          <w:szCs w:val="24"/>
        </w:rPr>
      </w:pPr>
      <w:r>
        <w:rPr>
          <w:rFonts w:ascii="Times New Roman" w:hAnsi="Times New Roman"/>
          <w:b/>
          <w:bCs/>
          <w:color w:val="000000"/>
          <w:sz w:val="24"/>
          <w:szCs w:val="24"/>
        </w:rPr>
        <w:t>表2.5-5  土壤质量标准  mg/kg</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483"/>
        <w:gridCol w:w="2024"/>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color w:val="000000"/>
              </w:rPr>
            </w:pPr>
            <w:r>
              <w:rPr>
                <w:rFonts w:ascii="Times New Roman" w:hAnsi="Times New Roman"/>
                <w:b/>
                <w:bCs/>
                <w:color w:val="000000"/>
              </w:rPr>
              <w:t>序号</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000000"/>
              </w:rPr>
            </w:pPr>
            <w:r>
              <w:rPr>
                <w:rFonts w:ascii="Times New Roman" w:hAnsi="Times New Roman"/>
                <w:b/>
                <w:bCs/>
                <w:color w:val="000000"/>
              </w:rPr>
              <w:t>污染物项目</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000000"/>
              </w:rPr>
            </w:pPr>
            <w:r>
              <w:rPr>
                <w:rFonts w:ascii="Times New Roman" w:hAnsi="Times New Roman"/>
                <w:b/>
                <w:bCs/>
                <w:color w:val="000000"/>
              </w:rPr>
              <w:t>CAS编号</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000000"/>
              </w:rPr>
            </w:pPr>
            <w:r>
              <w:rPr>
                <w:rFonts w:ascii="Times New Roman" w:hAnsi="Times New Roman"/>
                <w:b/>
                <w:bCs/>
                <w:color w:val="000000"/>
              </w:rPr>
              <w:t>第二类用地筛选值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重金属及无机物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7440-38-2</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镉</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7440-43-9</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铬（六价）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18540-29-9</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4</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铜</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7440-50-8</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铅</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7439-92-1</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汞</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7439-97-6</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镍</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7440-02-0</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8</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四氯化碳</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56-23-5</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9</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氯仿</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67-66-3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10</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氯甲烷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74-87-3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11</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1,1-二氯乙烷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75-34-3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12</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1,2-二氯乙烷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107-06-2</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13</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1,1-二氯乙烯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75-35-4</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14</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顺-1,2-二氯乙烯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156-59-2</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15</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反-1,2-二氯乙烯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156-60-5</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16</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二氯甲烷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75-09-2</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17</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1,2-二氯丙烷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78-87-5</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18</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1,1,1,2-四氯乙烷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630-20-6</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19</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1,1,2,2-四氯乙烷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79-34-5</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20</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四氯乙烯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127-18-4</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21</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1,1,1-三氯乙烷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71-55-6</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22</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1,1,2-三氯乙烷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79-00-5</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23</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三氯乙烯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79-01-6</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24</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1,2,3-三氯丙烷</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96-18-4</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25</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氯乙烯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75-01-4</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26</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71-43-2</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27</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氯苯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108-90-7</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28</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1,2-二氯苯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95-50-1</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29</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1,4-二氯苯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106-46-7</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30</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乙苯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104-41-4</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31</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苯乙烯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100-42-5</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32</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甲苯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108-88-3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33</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间二甲苯+对二甲苯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108-38-3，106-42-3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34</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邻二甲苯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95-47-6</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半挥发性有机</w:t>
            </w:r>
            <w:r>
              <w:rPr>
                <w:rFonts w:hint="eastAsia" w:ascii="Times New Roman" w:hAnsi="Times New Roman"/>
                <w:color w:val="000000"/>
              </w:rPr>
              <w:t>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35</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硝基苯</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98-95-3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36</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苯胺</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62-53-3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37</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2-氯酚</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95-57-8</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38</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苯并[a]蒽</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56-55-3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39</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苯并[a]芘</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50-32-8</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40</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苯并[b]荧蒽</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205-99-2</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41</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苯并[k]荧蒽</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207-08-9</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42</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䓛</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218-01-9</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43</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二苯并[a,h]蒽</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53-70-3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44</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茚并[1,2,3-cd]芘</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193-39-5</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45</w:t>
            </w:r>
          </w:p>
        </w:tc>
        <w:tc>
          <w:tcPr>
            <w:tcW w:w="348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萘</w:t>
            </w:r>
          </w:p>
        </w:tc>
        <w:tc>
          <w:tcPr>
            <w:tcW w:w="20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91-20-3</w:t>
            </w:r>
          </w:p>
        </w:tc>
        <w:tc>
          <w:tcPr>
            <w:tcW w:w="2153"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70</w:t>
            </w:r>
          </w:p>
        </w:tc>
      </w:tr>
    </w:tbl>
    <w:p>
      <w:pPr>
        <w:pStyle w:val="5"/>
        <w:ind w:firstLine="562"/>
        <w:rPr>
          <w:rFonts w:hAnsi="Times New Roman"/>
          <w:sz w:val="24"/>
          <w:szCs w:val="24"/>
        </w:rPr>
      </w:pPr>
      <w:bookmarkStart w:id="85" w:name="_Toc2441"/>
      <w:bookmarkStart w:id="86" w:name="_Toc11930"/>
      <w:r>
        <w:rPr>
          <w:rFonts w:hint="eastAsia" w:hAnsi="Times New Roman"/>
          <w:sz w:val="24"/>
          <w:szCs w:val="24"/>
        </w:rPr>
        <w:t>2.5.2污染物</w:t>
      </w:r>
      <w:r>
        <w:rPr>
          <w:rFonts w:hAnsi="Times New Roman"/>
          <w:sz w:val="24"/>
          <w:szCs w:val="24"/>
        </w:rPr>
        <w:t>排放标准</w:t>
      </w:r>
      <w:bookmarkEnd w:id="85"/>
      <w:bookmarkEnd w:id="86"/>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（1）大气污染物排放</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1）施工期</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施工期无组织颗粒物排放执行《大气污染综合排放标准》（GB16297-1996）表2中无组织排放监控浓度限值；颗粒物周界外浓度最高值</w:t>
      </w:r>
      <w:r>
        <w:rPr>
          <w:rFonts w:ascii="Times New Roman" w:hAnsi="Times New Roman"/>
          <w:color w:val="000000"/>
          <w:sz w:val="24"/>
          <w:szCs w:val="24"/>
        </w:rPr>
        <w:t>≤</w:t>
      </w:r>
      <w:r>
        <w:rPr>
          <w:rFonts w:hint="eastAsia" w:ascii="Times New Roman" w:hAnsi="Times New Roman"/>
          <w:color w:val="000000"/>
          <w:sz w:val="24"/>
          <w:szCs w:val="24"/>
        </w:rPr>
        <w:t>1.0mg/m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2）运营期</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A</w:t>
      </w:r>
      <w:r>
        <w:rPr>
          <w:rFonts w:hint="eastAsia" w:ascii="Times New Roman" w:hAnsi="Times New Roman"/>
          <w:color w:val="000000"/>
          <w:sz w:val="24"/>
          <w:szCs w:val="24"/>
        </w:rPr>
        <w:t>、粉尘标准</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项目运营期粉尘排放执行《大气污染物综合排放标准》（GB16297-1996）表2中的无组织排放浓度限值，标准值见表2.</w:t>
      </w:r>
      <w:r>
        <w:rPr>
          <w:rFonts w:ascii="Times New Roman" w:hAnsi="Times New Roman"/>
          <w:color w:val="000000"/>
          <w:sz w:val="24"/>
          <w:szCs w:val="24"/>
        </w:rPr>
        <w:t>5-6</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5-6</w:t>
      </w:r>
      <w:r>
        <w:rPr>
          <w:rFonts w:hint="eastAsia" w:ascii="Times New Roman" w:hAnsi="Times New Roman"/>
          <w:b/>
          <w:color w:val="000000"/>
          <w:sz w:val="24"/>
          <w:szCs w:val="24"/>
        </w:rPr>
        <w:t xml:space="preserve">   废气最高允许排放浓度</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437"/>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3" w:type="dxa"/>
            <w:vMerge w:val="restart"/>
            <w:vAlign w:val="center"/>
          </w:tcPr>
          <w:p>
            <w:pPr>
              <w:spacing w:line="240" w:lineRule="atLeast"/>
              <w:jc w:val="center"/>
              <w:rPr>
                <w:rFonts w:ascii="Times New Roman" w:hAnsi="Times New Roman"/>
                <w:b/>
              </w:rPr>
            </w:pPr>
            <w:r>
              <w:rPr>
                <w:rFonts w:hint="eastAsia" w:ascii="Times New Roman" w:hAnsi="Times New Roman"/>
                <w:b/>
              </w:rPr>
              <w:t>污染物</w:t>
            </w:r>
          </w:p>
        </w:tc>
        <w:tc>
          <w:tcPr>
            <w:tcW w:w="1437" w:type="dxa"/>
            <w:vMerge w:val="restart"/>
            <w:vAlign w:val="center"/>
          </w:tcPr>
          <w:p>
            <w:pPr>
              <w:spacing w:line="240" w:lineRule="atLeast"/>
              <w:jc w:val="center"/>
              <w:rPr>
                <w:rFonts w:ascii="Times New Roman" w:hAnsi="Times New Roman"/>
                <w:b/>
              </w:rPr>
            </w:pPr>
            <w:r>
              <w:rPr>
                <w:rFonts w:hint="eastAsia" w:ascii="Times New Roman" w:hAnsi="Times New Roman"/>
                <w:b/>
              </w:rPr>
              <w:t>项目</w:t>
            </w:r>
          </w:p>
        </w:tc>
        <w:tc>
          <w:tcPr>
            <w:tcW w:w="5682" w:type="dxa"/>
            <w:gridSpan w:val="2"/>
            <w:vAlign w:val="center"/>
          </w:tcPr>
          <w:p>
            <w:pPr>
              <w:spacing w:line="240" w:lineRule="atLeast"/>
              <w:jc w:val="center"/>
              <w:rPr>
                <w:rFonts w:ascii="Times New Roman" w:hAnsi="Times New Roman"/>
                <w:b/>
              </w:rPr>
            </w:pPr>
            <w:r>
              <w:rPr>
                <w:rFonts w:hint="eastAsia" w:ascii="Times New Roman" w:hAnsi="Times New Roman"/>
                <w:b/>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3" w:type="dxa"/>
            <w:vMerge w:val="continue"/>
            <w:vAlign w:val="center"/>
          </w:tcPr>
          <w:p>
            <w:pPr>
              <w:spacing w:line="240" w:lineRule="atLeast"/>
              <w:jc w:val="center"/>
              <w:rPr>
                <w:rFonts w:ascii="Times New Roman" w:hAnsi="Times New Roman"/>
              </w:rPr>
            </w:pPr>
          </w:p>
        </w:tc>
        <w:tc>
          <w:tcPr>
            <w:tcW w:w="1437" w:type="dxa"/>
            <w:vMerge w:val="continue"/>
            <w:vAlign w:val="center"/>
          </w:tcPr>
          <w:p>
            <w:pPr>
              <w:spacing w:line="240" w:lineRule="atLeast"/>
              <w:jc w:val="center"/>
              <w:rPr>
                <w:rFonts w:ascii="Times New Roman" w:hAnsi="Times New Roman"/>
              </w:rPr>
            </w:pPr>
          </w:p>
        </w:tc>
        <w:tc>
          <w:tcPr>
            <w:tcW w:w="2841" w:type="dxa"/>
            <w:vAlign w:val="center"/>
          </w:tcPr>
          <w:p>
            <w:pPr>
              <w:spacing w:line="240" w:lineRule="atLeast"/>
              <w:jc w:val="center"/>
              <w:rPr>
                <w:rFonts w:ascii="Times New Roman" w:hAnsi="Times New Roman"/>
              </w:rPr>
            </w:pPr>
            <w:r>
              <w:rPr>
                <w:rFonts w:hint="eastAsia" w:ascii="Times New Roman" w:hAnsi="Times New Roman"/>
              </w:rPr>
              <w:t>监控点</w:t>
            </w:r>
          </w:p>
        </w:tc>
        <w:tc>
          <w:tcPr>
            <w:tcW w:w="2841" w:type="dxa"/>
            <w:vAlign w:val="center"/>
          </w:tcPr>
          <w:p>
            <w:pPr>
              <w:spacing w:line="240" w:lineRule="atLeast"/>
              <w:jc w:val="center"/>
              <w:rPr>
                <w:rFonts w:ascii="Times New Roman" w:hAnsi="Times New Roman"/>
              </w:rPr>
            </w:pPr>
            <w:r>
              <w:rPr>
                <w:rFonts w:hint="eastAsia" w:ascii="Times New Roman" w:hAnsi="Times New Roman"/>
              </w:rPr>
              <w:t>浓度（mg/m</w:t>
            </w:r>
            <w:r>
              <w:rPr>
                <w:rFonts w:hint="eastAsia" w:ascii="Times New Roman" w:hAnsi="Times New Roman"/>
                <w:vertAlign w:val="superscript"/>
              </w:rPr>
              <w:t>3</w:t>
            </w:r>
            <w:r>
              <w:rPr>
                <w:rFonts w:hint="eastAsia" w:ascii="Times New Roman" w:hAnsi="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pPr>
              <w:spacing w:line="240" w:lineRule="atLeast"/>
              <w:jc w:val="center"/>
              <w:rPr>
                <w:rFonts w:ascii="Times New Roman" w:hAnsi="Times New Roman"/>
              </w:rPr>
            </w:pPr>
            <w:r>
              <w:rPr>
                <w:rFonts w:hint="eastAsia" w:ascii="Times New Roman" w:hAnsi="Times New Roman"/>
              </w:rPr>
              <w:t>粉尘</w:t>
            </w:r>
          </w:p>
        </w:tc>
        <w:tc>
          <w:tcPr>
            <w:tcW w:w="1437" w:type="dxa"/>
            <w:vAlign w:val="center"/>
          </w:tcPr>
          <w:p>
            <w:pPr>
              <w:spacing w:line="240" w:lineRule="atLeast"/>
              <w:jc w:val="center"/>
              <w:rPr>
                <w:rFonts w:ascii="Times New Roman" w:hAnsi="Times New Roman"/>
              </w:rPr>
            </w:pPr>
            <w:r>
              <w:rPr>
                <w:rFonts w:hint="eastAsia" w:ascii="Times New Roman" w:hAnsi="Times New Roman"/>
              </w:rPr>
              <w:t>颗粒物</w:t>
            </w:r>
          </w:p>
        </w:tc>
        <w:tc>
          <w:tcPr>
            <w:tcW w:w="2841" w:type="dxa"/>
            <w:vAlign w:val="center"/>
          </w:tcPr>
          <w:p>
            <w:pPr>
              <w:spacing w:line="240" w:lineRule="atLeast"/>
              <w:jc w:val="center"/>
              <w:rPr>
                <w:rFonts w:ascii="Times New Roman" w:hAnsi="Times New Roman"/>
              </w:rPr>
            </w:pPr>
            <w:r>
              <w:rPr>
                <w:rFonts w:hint="eastAsia" w:ascii="Times New Roman" w:hAnsi="Times New Roman"/>
              </w:rPr>
              <w:t>周界外浓度最高点</w:t>
            </w:r>
          </w:p>
        </w:tc>
        <w:tc>
          <w:tcPr>
            <w:tcW w:w="2841" w:type="dxa"/>
            <w:vAlign w:val="center"/>
          </w:tcPr>
          <w:p>
            <w:pPr>
              <w:spacing w:line="240" w:lineRule="atLeast"/>
              <w:jc w:val="center"/>
              <w:rPr>
                <w:rFonts w:ascii="Times New Roman" w:hAnsi="Times New Roman"/>
              </w:rPr>
            </w:pPr>
            <w:r>
              <w:rPr>
                <w:rFonts w:hint="eastAsia" w:ascii="Times New Roman" w:hAnsi="Times New Roman"/>
              </w:rPr>
              <w:t>1.0</w:t>
            </w:r>
          </w:p>
        </w:tc>
      </w:tr>
    </w:tbl>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B</w:t>
      </w:r>
      <w:r>
        <w:rPr>
          <w:rFonts w:hint="eastAsia" w:ascii="Times New Roman" w:hAnsi="Times New Roman"/>
          <w:color w:val="000000"/>
          <w:sz w:val="24"/>
          <w:szCs w:val="24"/>
        </w:rPr>
        <w:t>、恶臭</w:t>
      </w:r>
      <w:r>
        <w:rPr>
          <w:rFonts w:ascii="Times New Roman" w:hAnsi="Times New Roman"/>
          <w:color w:val="000000"/>
          <w:sz w:val="24"/>
          <w:szCs w:val="24"/>
        </w:rPr>
        <w:t>排放标准</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项目生产</w:t>
      </w:r>
      <w:r>
        <w:rPr>
          <w:rFonts w:ascii="Times New Roman" w:hAnsi="Times New Roman"/>
          <w:color w:val="000000"/>
          <w:sz w:val="24"/>
          <w:szCs w:val="24"/>
        </w:rPr>
        <w:t>过程中无组织排放的恶臭浓度执行《</w:t>
      </w:r>
      <w:r>
        <w:rPr>
          <w:rFonts w:hint="eastAsia" w:ascii="Times New Roman" w:hAnsi="Times New Roman"/>
          <w:color w:val="000000"/>
          <w:sz w:val="24"/>
          <w:szCs w:val="24"/>
        </w:rPr>
        <w:t>恶臭</w:t>
      </w:r>
      <w:r>
        <w:rPr>
          <w:rFonts w:ascii="Times New Roman" w:hAnsi="Times New Roman"/>
          <w:color w:val="000000"/>
          <w:sz w:val="24"/>
          <w:szCs w:val="24"/>
        </w:rPr>
        <w:t>污染物排放标准》</w:t>
      </w:r>
      <w:r>
        <w:rPr>
          <w:rFonts w:hint="eastAsia" w:ascii="Times New Roman" w:hAnsi="Times New Roman"/>
          <w:color w:val="000000"/>
          <w:sz w:val="24"/>
          <w:szCs w:val="24"/>
        </w:rPr>
        <w:t>（GB14554-1993）表1中</w:t>
      </w:r>
      <w:r>
        <w:rPr>
          <w:rFonts w:ascii="Times New Roman" w:hAnsi="Times New Roman"/>
          <w:color w:val="000000"/>
          <w:sz w:val="24"/>
          <w:szCs w:val="24"/>
        </w:rPr>
        <w:t>的二级标准，标准值见表</w:t>
      </w:r>
      <w:r>
        <w:rPr>
          <w:rFonts w:hint="eastAsia" w:ascii="Times New Roman" w:hAnsi="Times New Roman"/>
          <w:color w:val="000000"/>
          <w:sz w:val="24"/>
          <w:szCs w:val="24"/>
        </w:rPr>
        <w:t>2.</w:t>
      </w:r>
      <w:r>
        <w:rPr>
          <w:rFonts w:ascii="Times New Roman" w:hAnsi="Times New Roman"/>
          <w:color w:val="000000"/>
          <w:sz w:val="24"/>
          <w:szCs w:val="24"/>
        </w:rPr>
        <w:t>5-7</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 xml:space="preserve">5-7   </w:t>
      </w:r>
      <w:r>
        <w:rPr>
          <w:rFonts w:hint="eastAsia" w:ascii="Times New Roman" w:hAnsi="Times New Roman"/>
          <w:b/>
          <w:color w:val="000000"/>
          <w:sz w:val="24"/>
          <w:szCs w:val="24"/>
        </w:rPr>
        <w:t>恶臭</w:t>
      </w:r>
      <w:r>
        <w:rPr>
          <w:rFonts w:ascii="Times New Roman" w:hAnsi="Times New Roman"/>
          <w:b/>
          <w:color w:val="000000"/>
          <w:sz w:val="24"/>
          <w:szCs w:val="24"/>
        </w:rPr>
        <w:t>污染物排放标准</w:t>
      </w:r>
      <w:r>
        <w:rPr>
          <w:rFonts w:hint="eastAsia" w:ascii="Times New Roman" w:hAnsi="Times New Roman"/>
          <w:b/>
          <w:color w:val="000000"/>
          <w:sz w:val="24"/>
          <w:szCs w:val="24"/>
        </w:rPr>
        <w:t>（GB14554</w:t>
      </w:r>
      <w:r>
        <w:rPr>
          <w:rFonts w:ascii="Times New Roman" w:hAnsi="Times New Roman"/>
          <w:b/>
          <w:color w:val="000000"/>
          <w:sz w:val="24"/>
          <w:szCs w:val="24"/>
        </w:rPr>
        <w:t>-1993</w:t>
      </w:r>
      <w:r>
        <w:rPr>
          <w:rFonts w:hint="eastAsia" w:ascii="Times New Roman" w:hAnsi="Times New Roman"/>
          <w:b/>
          <w:color w:val="000000"/>
          <w:sz w:val="24"/>
          <w:szCs w:val="24"/>
        </w:rPr>
        <w:t>）</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32"/>
        <w:gridCol w:w="29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6" w:type="pct"/>
            <w:vAlign w:val="center"/>
          </w:tcPr>
          <w:p>
            <w:pPr>
              <w:spacing w:line="240" w:lineRule="atLeast"/>
              <w:jc w:val="center"/>
              <w:rPr>
                <w:rFonts w:ascii="Times New Roman" w:hAnsi="Times New Roman"/>
              </w:rPr>
            </w:pPr>
            <w:r>
              <w:rPr>
                <w:rFonts w:hint="eastAsia" w:ascii="Times New Roman" w:hAnsi="Times New Roman"/>
              </w:rPr>
              <w:t>控制</w:t>
            </w:r>
            <w:r>
              <w:rPr>
                <w:rFonts w:ascii="Times New Roman" w:hAnsi="Times New Roman"/>
              </w:rPr>
              <w:t>项目</w:t>
            </w:r>
          </w:p>
        </w:tc>
        <w:tc>
          <w:tcPr>
            <w:tcW w:w="1754" w:type="pct"/>
            <w:vAlign w:val="center"/>
          </w:tcPr>
          <w:p>
            <w:pPr>
              <w:spacing w:line="240" w:lineRule="atLeast"/>
              <w:jc w:val="center"/>
              <w:rPr>
                <w:rFonts w:ascii="Times New Roman" w:hAnsi="Times New Roman"/>
              </w:rPr>
            </w:pPr>
            <w:r>
              <w:rPr>
                <w:rFonts w:hint="eastAsia" w:ascii="Times New Roman" w:hAnsi="Times New Roman"/>
              </w:rPr>
              <w:t>标准值</w:t>
            </w:r>
            <w:r>
              <w:rPr>
                <w:rFonts w:ascii="Times New Roman" w:hAnsi="Times New Roman"/>
              </w:rPr>
              <w:t>（</w:t>
            </w:r>
            <w:r>
              <w:rPr>
                <w:rFonts w:hint="eastAsia" w:ascii="Times New Roman" w:hAnsi="Times New Roman"/>
              </w:rPr>
              <w:t>无量纲</w:t>
            </w:r>
            <w:r>
              <w:rPr>
                <w:rFonts w:ascii="Times New Roman" w:hAnsi="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6" w:type="pct"/>
            <w:vAlign w:val="center"/>
          </w:tcPr>
          <w:p>
            <w:pPr>
              <w:spacing w:line="240" w:lineRule="atLeast"/>
              <w:jc w:val="center"/>
              <w:rPr>
                <w:rFonts w:ascii="Times New Roman" w:hAnsi="Times New Roman"/>
              </w:rPr>
            </w:pPr>
            <w:r>
              <w:rPr>
                <w:rFonts w:hint="eastAsia" w:ascii="Times New Roman" w:hAnsi="Times New Roman"/>
              </w:rPr>
              <w:t>有组织</w:t>
            </w:r>
            <w:r>
              <w:rPr>
                <w:rFonts w:ascii="Times New Roman" w:hAnsi="Times New Roman"/>
              </w:rPr>
              <w:t>排放臭气浓度</w:t>
            </w:r>
          </w:p>
        </w:tc>
        <w:tc>
          <w:tcPr>
            <w:tcW w:w="1754" w:type="pct"/>
            <w:vAlign w:val="center"/>
          </w:tcPr>
          <w:p>
            <w:pPr>
              <w:spacing w:line="240" w:lineRule="atLeast"/>
              <w:jc w:val="center"/>
              <w:rPr>
                <w:rFonts w:ascii="Times New Roman" w:hAnsi="Times New Roman"/>
              </w:rPr>
            </w:pPr>
            <w:r>
              <w:rPr>
                <w:rFonts w:hint="eastAsia" w:ascii="Times New Roman" w:hAnsi="Times New Roman"/>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6" w:type="pct"/>
            <w:vAlign w:val="center"/>
          </w:tcPr>
          <w:p>
            <w:pPr>
              <w:spacing w:line="240" w:lineRule="atLeast"/>
              <w:jc w:val="center"/>
              <w:rPr>
                <w:rFonts w:ascii="Times New Roman" w:hAnsi="Times New Roman"/>
              </w:rPr>
            </w:pPr>
            <w:r>
              <w:rPr>
                <w:rFonts w:hint="eastAsia" w:ascii="Times New Roman" w:hAnsi="Times New Roman"/>
              </w:rPr>
              <w:t>厂界</w:t>
            </w:r>
            <w:r>
              <w:rPr>
                <w:rFonts w:ascii="Times New Roman" w:hAnsi="Times New Roman"/>
              </w:rPr>
              <w:t>臭气浓度（</w:t>
            </w:r>
            <w:r>
              <w:rPr>
                <w:rFonts w:hint="eastAsia" w:ascii="Times New Roman" w:hAnsi="Times New Roman"/>
              </w:rPr>
              <w:t>无量纲</w:t>
            </w:r>
            <w:r>
              <w:rPr>
                <w:rFonts w:ascii="Times New Roman" w:hAnsi="Times New Roman"/>
              </w:rPr>
              <w:t>）</w:t>
            </w:r>
          </w:p>
        </w:tc>
        <w:tc>
          <w:tcPr>
            <w:tcW w:w="1754" w:type="pct"/>
            <w:vAlign w:val="center"/>
          </w:tcPr>
          <w:p>
            <w:pPr>
              <w:spacing w:line="240" w:lineRule="atLeast"/>
              <w:jc w:val="center"/>
              <w:rPr>
                <w:rFonts w:ascii="Times New Roman" w:hAnsi="Times New Roman"/>
              </w:rPr>
            </w:pPr>
            <w:r>
              <w:rPr>
                <w:rFonts w:hint="eastAsia" w:ascii="Times New Roman" w:hAnsi="Times New Roman"/>
              </w:rPr>
              <w:t>20</w:t>
            </w:r>
          </w:p>
        </w:tc>
      </w:tr>
    </w:tbl>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C、</w:t>
      </w:r>
      <w:r>
        <w:rPr>
          <w:rFonts w:hint="eastAsia" w:ascii="Times New Roman" w:hAnsi="Times New Roman"/>
          <w:color w:val="000000"/>
          <w:sz w:val="24"/>
          <w:szCs w:val="24"/>
        </w:rPr>
        <w:t>锅炉废气排放标准</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锅炉大气污染物排放标准》（GB13271-2014），使用型煤、水浆煤、煤矸石、石油焦、油页岩、生物质成型燃料等的锅炉参照本标准中燃煤锅炉排放控制要求执行，本项目生产过程中采用燃生物质燃料的锅炉提供生产用蒸汽，锅炉废气中所产生的污染物主要为颗粒物、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和NO</w:t>
      </w:r>
      <w:r>
        <w:rPr>
          <w:rFonts w:hint="eastAsia" w:ascii="Times New Roman" w:hAnsi="Times New Roman"/>
          <w:color w:val="000000"/>
          <w:sz w:val="24"/>
          <w:szCs w:val="24"/>
          <w:vertAlign w:val="subscript"/>
        </w:rPr>
        <w:t>X</w:t>
      </w:r>
      <w:r>
        <w:rPr>
          <w:rFonts w:hint="eastAsia" w:ascii="Times New Roman" w:hAnsi="Times New Roman"/>
          <w:color w:val="000000"/>
          <w:sz w:val="24"/>
          <w:szCs w:val="24"/>
        </w:rPr>
        <w:t>。因此本项目锅炉废气排放执行《锅炉大气污染物排放标准》（GB13271-2014）表2中燃煤锅炉排放标准，标准限值见表2.</w:t>
      </w:r>
      <w:r>
        <w:rPr>
          <w:rFonts w:ascii="Times New Roman" w:hAnsi="Times New Roman"/>
          <w:color w:val="000000"/>
          <w:sz w:val="24"/>
          <w:szCs w:val="24"/>
        </w:rPr>
        <w:t>5-8</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5-8</w:t>
      </w:r>
      <w:r>
        <w:rPr>
          <w:rFonts w:hint="eastAsia" w:ascii="Times New Roman" w:hAnsi="Times New Roman"/>
          <w:b/>
          <w:color w:val="000000"/>
          <w:sz w:val="24"/>
          <w:szCs w:val="24"/>
        </w:rPr>
        <w:t xml:space="preserve">   燃煤锅炉大气污染物排放标准</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596"/>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85" w:type="dxa"/>
            <w:vMerge w:val="restart"/>
            <w:vAlign w:val="center"/>
          </w:tcPr>
          <w:p>
            <w:pPr>
              <w:spacing w:line="240" w:lineRule="atLeast"/>
              <w:jc w:val="center"/>
              <w:rPr>
                <w:rFonts w:ascii="Times New Roman" w:hAnsi="Times New Roman"/>
                <w:b/>
                <w:szCs w:val="21"/>
              </w:rPr>
            </w:pPr>
            <w:r>
              <w:rPr>
                <w:rFonts w:hint="eastAsia" w:ascii="Times New Roman" w:hAnsi="Times New Roman"/>
                <w:b/>
                <w:szCs w:val="21"/>
              </w:rPr>
              <w:t>污染项目</w:t>
            </w:r>
          </w:p>
        </w:tc>
        <w:tc>
          <w:tcPr>
            <w:tcW w:w="2596" w:type="dxa"/>
            <w:vAlign w:val="center"/>
          </w:tcPr>
          <w:p>
            <w:pPr>
              <w:spacing w:line="240" w:lineRule="atLeast"/>
              <w:jc w:val="center"/>
              <w:rPr>
                <w:rFonts w:ascii="Times New Roman" w:hAnsi="Times New Roman"/>
                <w:b/>
                <w:szCs w:val="21"/>
              </w:rPr>
            </w:pPr>
            <w:r>
              <w:rPr>
                <w:rFonts w:hint="eastAsia" w:ascii="Times New Roman" w:hAnsi="Times New Roman"/>
                <w:b/>
                <w:szCs w:val="21"/>
              </w:rPr>
              <w:t>限值</w:t>
            </w:r>
          </w:p>
        </w:tc>
        <w:tc>
          <w:tcPr>
            <w:tcW w:w="2841" w:type="dxa"/>
            <w:vMerge w:val="restart"/>
            <w:vAlign w:val="center"/>
          </w:tcPr>
          <w:p>
            <w:pPr>
              <w:spacing w:line="240" w:lineRule="atLeast"/>
              <w:ind w:firstLine="422"/>
              <w:jc w:val="center"/>
              <w:rPr>
                <w:rFonts w:ascii="Times New Roman" w:hAnsi="Times New Roman"/>
                <w:b/>
                <w:szCs w:val="21"/>
              </w:rPr>
            </w:pPr>
            <w:r>
              <w:rPr>
                <w:rFonts w:hint="eastAsia" w:ascii="Times New Roman" w:hAnsi="Times New Roman"/>
                <w:b/>
                <w:szCs w:val="21"/>
              </w:rPr>
              <w:t>污染物排放监控位置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85" w:type="dxa"/>
            <w:vMerge w:val="continue"/>
            <w:vAlign w:val="center"/>
          </w:tcPr>
          <w:p>
            <w:pPr>
              <w:spacing w:line="240" w:lineRule="atLeast"/>
              <w:jc w:val="center"/>
              <w:rPr>
                <w:rFonts w:ascii="Times New Roman" w:hAnsi="Times New Roman"/>
                <w:szCs w:val="21"/>
              </w:rPr>
            </w:pPr>
          </w:p>
        </w:tc>
        <w:tc>
          <w:tcPr>
            <w:tcW w:w="2596" w:type="dxa"/>
            <w:vAlign w:val="center"/>
          </w:tcPr>
          <w:p>
            <w:pPr>
              <w:spacing w:line="240" w:lineRule="atLeast"/>
              <w:jc w:val="center"/>
              <w:rPr>
                <w:rFonts w:ascii="Times New Roman" w:hAnsi="Times New Roman"/>
                <w:b/>
                <w:szCs w:val="21"/>
              </w:rPr>
            </w:pPr>
            <w:r>
              <w:rPr>
                <w:rFonts w:hint="eastAsia" w:ascii="Times New Roman" w:hAnsi="Times New Roman"/>
                <w:b/>
                <w:szCs w:val="21"/>
              </w:rPr>
              <w:t>燃煤锅炉</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85" w:type="dxa"/>
            <w:vAlign w:val="center"/>
          </w:tcPr>
          <w:p>
            <w:pPr>
              <w:spacing w:line="240" w:lineRule="atLeast"/>
              <w:jc w:val="center"/>
              <w:rPr>
                <w:rFonts w:ascii="Times New Roman" w:hAnsi="Times New Roman"/>
                <w:szCs w:val="21"/>
              </w:rPr>
            </w:pPr>
            <w:r>
              <w:rPr>
                <w:rFonts w:hint="eastAsia" w:ascii="Times New Roman" w:hAnsi="Times New Roman"/>
                <w:szCs w:val="21"/>
              </w:rPr>
              <w:t>颗粒物</w:t>
            </w:r>
          </w:p>
        </w:tc>
        <w:tc>
          <w:tcPr>
            <w:tcW w:w="2596" w:type="dxa"/>
            <w:vAlign w:val="center"/>
          </w:tcPr>
          <w:p>
            <w:pPr>
              <w:spacing w:line="240" w:lineRule="atLeast"/>
              <w:jc w:val="center"/>
              <w:rPr>
                <w:rFonts w:ascii="Times New Roman" w:hAnsi="Times New Roman"/>
                <w:szCs w:val="21"/>
              </w:rPr>
            </w:pPr>
            <w:r>
              <w:rPr>
                <w:rFonts w:hint="eastAsia" w:ascii="Times New Roman" w:hAnsi="Times New Roman"/>
                <w:szCs w:val="21"/>
              </w:rPr>
              <w:t>50mg/m</w:t>
            </w:r>
            <w:r>
              <w:rPr>
                <w:rFonts w:hint="eastAsia" w:ascii="Times New Roman" w:hAnsi="Times New Roman"/>
                <w:szCs w:val="21"/>
                <w:vertAlign w:val="superscript"/>
              </w:rPr>
              <w:t>3</w:t>
            </w:r>
          </w:p>
        </w:tc>
        <w:tc>
          <w:tcPr>
            <w:tcW w:w="2841"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排气筒或烟道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85" w:type="dxa"/>
            <w:vAlign w:val="center"/>
          </w:tcPr>
          <w:p>
            <w:pPr>
              <w:spacing w:line="240" w:lineRule="atLeast"/>
              <w:jc w:val="center"/>
              <w:rPr>
                <w:rFonts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p>
        </w:tc>
        <w:tc>
          <w:tcPr>
            <w:tcW w:w="2596" w:type="dxa"/>
            <w:vAlign w:val="center"/>
          </w:tcPr>
          <w:p>
            <w:pPr>
              <w:spacing w:line="240" w:lineRule="atLeast"/>
              <w:jc w:val="center"/>
              <w:rPr>
                <w:rFonts w:ascii="Times New Roman" w:hAnsi="Times New Roman"/>
                <w:szCs w:val="21"/>
              </w:rPr>
            </w:pPr>
            <w:r>
              <w:rPr>
                <w:rFonts w:hint="eastAsia" w:ascii="Times New Roman" w:hAnsi="Times New Roman"/>
                <w:szCs w:val="21"/>
              </w:rPr>
              <w:t>300mg/m</w:t>
            </w:r>
            <w:r>
              <w:rPr>
                <w:rFonts w:hint="eastAsia" w:ascii="Times New Roman" w:hAnsi="Times New Roman"/>
                <w:szCs w:val="21"/>
                <w:vertAlign w:val="superscript"/>
              </w:rPr>
              <w:t>3</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85" w:type="dxa"/>
            <w:vAlign w:val="center"/>
          </w:tcPr>
          <w:p>
            <w:pPr>
              <w:spacing w:line="240" w:lineRule="atLeast"/>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X</w:t>
            </w:r>
          </w:p>
        </w:tc>
        <w:tc>
          <w:tcPr>
            <w:tcW w:w="2596" w:type="dxa"/>
            <w:vAlign w:val="center"/>
          </w:tcPr>
          <w:p>
            <w:pPr>
              <w:spacing w:line="240" w:lineRule="atLeast"/>
              <w:jc w:val="center"/>
              <w:rPr>
                <w:rFonts w:ascii="Times New Roman" w:hAnsi="Times New Roman"/>
                <w:szCs w:val="21"/>
              </w:rPr>
            </w:pPr>
            <w:r>
              <w:rPr>
                <w:rFonts w:hint="eastAsia" w:ascii="Times New Roman" w:hAnsi="Times New Roman"/>
                <w:szCs w:val="21"/>
              </w:rPr>
              <w:t>300mg/m</w:t>
            </w:r>
            <w:r>
              <w:rPr>
                <w:rFonts w:hint="eastAsia" w:ascii="Times New Roman" w:hAnsi="Times New Roman"/>
                <w:szCs w:val="21"/>
                <w:vertAlign w:val="superscript"/>
              </w:rPr>
              <w:t>3</w:t>
            </w:r>
          </w:p>
        </w:tc>
        <w:tc>
          <w:tcPr>
            <w:tcW w:w="2841"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85" w:type="dxa"/>
            <w:vAlign w:val="center"/>
          </w:tcPr>
          <w:p>
            <w:pPr>
              <w:spacing w:line="240" w:lineRule="atLeast"/>
              <w:jc w:val="center"/>
              <w:rPr>
                <w:rFonts w:ascii="Times New Roman" w:hAnsi="Times New Roman"/>
                <w:szCs w:val="21"/>
              </w:rPr>
            </w:pPr>
            <w:r>
              <w:rPr>
                <w:rFonts w:hint="eastAsia" w:ascii="Times New Roman" w:hAnsi="Times New Roman"/>
                <w:szCs w:val="21"/>
              </w:rPr>
              <w:t>烟气黑度（林格曼黑度，级）</w:t>
            </w:r>
          </w:p>
        </w:tc>
        <w:tc>
          <w:tcPr>
            <w:tcW w:w="2596" w:type="dxa"/>
            <w:vAlign w:val="center"/>
          </w:tcPr>
          <w:p>
            <w:pPr>
              <w:spacing w:line="240" w:lineRule="atLeast"/>
              <w:jc w:val="center"/>
              <w:rPr>
                <w:rFonts w:ascii="Times New Roman" w:hAnsi="Times New Roman"/>
                <w:szCs w:val="21"/>
              </w:rPr>
            </w:pPr>
            <w:r>
              <w:rPr>
                <w:rFonts w:ascii="Times New Roman" w:hAnsi="Times New Roman"/>
                <w:szCs w:val="21"/>
              </w:rPr>
              <w:t>≤</w:t>
            </w:r>
            <w:r>
              <w:rPr>
                <w:rFonts w:hint="eastAsia" w:ascii="Times New Roman" w:hAnsi="Times New Roman"/>
                <w:szCs w:val="21"/>
              </w:rPr>
              <w:t>1</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排气筒排放口</w:t>
            </w:r>
          </w:p>
        </w:tc>
      </w:tr>
    </w:tbl>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燃生物质锅炉房烟囱最低允许高度参照燃气锅炉标准，根据《锅炉大气污染物排放标准》（GB13271-2014）中的规定，烟囱高度应根据锅炉房装机总容量，</w:t>
      </w:r>
      <w:r>
        <w:rPr>
          <w:rFonts w:ascii="Times New Roman" w:hAnsi="Times New Roman"/>
          <w:color w:val="FF0000"/>
          <w:sz w:val="24"/>
          <w:szCs w:val="24"/>
        </w:rPr>
        <w:t>新建</w:t>
      </w:r>
      <w:r>
        <w:rPr>
          <w:rFonts w:hint="eastAsia" w:ascii="Times New Roman" w:hAnsi="Times New Roman"/>
          <w:color w:val="FF0000"/>
          <w:sz w:val="24"/>
          <w:szCs w:val="24"/>
        </w:rPr>
        <w:t>锅炉房的烟囱</w:t>
      </w:r>
      <w:r>
        <w:rPr>
          <w:rFonts w:ascii="Times New Roman" w:hAnsi="Times New Roman"/>
          <w:color w:val="FF0000"/>
          <w:sz w:val="24"/>
          <w:szCs w:val="24"/>
        </w:rPr>
        <w:t>周围半径</w:t>
      </w:r>
      <w:r>
        <w:rPr>
          <w:rFonts w:hint="eastAsia" w:ascii="Times New Roman" w:hAnsi="Times New Roman"/>
          <w:color w:val="FF0000"/>
          <w:sz w:val="24"/>
          <w:szCs w:val="24"/>
        </w:rPr>
        <w:t>200</w:t>
      </w:r>
      <w:r>
        <w:rPr>
          <w:rFonts w:ascii="Times New Roman" w:hAnsi="Times New Roman"/>
          <w:color w:val="FF0000"/>
          <w:sz w:val="24"/>
          <w:szCs w:val="24"/>
        </w:rPr>
        <w:t>m距离内有建筑物时，其烟囱</w:t>
      </w:r>
      <w:r>
        <w:rPr>
          <w:rFonts w:hint="eastAsia" w:ascii="Times New Roman" w:hAnsi="Times New Roman"/>
          <w:color w:val="FF0000"/>
          <w:sz w:val="24"/>
          <w:szCs w:val="24"/>
        </w:rPr>
        <w:t>应</w:t>
      </w:r>
      <w:r>
        <w:rPr>
          <w:rFonts w:ascii="Times New Roman" w:hAnsi="Times New Roman"/>
          <w:color w:val="FF0000"/>
          <w:sz w:val="24"/>
          <w:szCs w:val="24"/>
        </w:rPr>
        <w:t>高出最高建筑</w:t>
      </w:r>
      <w:r>
        <w:rPr>
          <w:rFonts w:hint="eastAsia" w:ascii="Times New Roman" w:hAnsi="Times New Roman"/>
          <w:color w:val="FF0000"/>
          <w:sz w:val="24"/>
          <w:szCs w:val="24"/>
        </w:rPr>
        <w:t>3</w:t>
      </w:r>
      <w:r>
        <w:rPr>
          <w:rFonts w:ascii="Times New Roman" w:hAnsi="Times New Roman"/>
          <w:color w:val="FF0000"/>
          <w:sz w:val="24"/>
          <w:szCs w:val="24"/>
        </w:rPr>
        <w:t>m</w:t>
      </w:r>
      <w:r>
        <w:rPr>
          <w:rFonts w:hint="eastAsia" w:ascii="Times New Roman" w:hAnsi="Times New Roman"/>
          <w:color w:val="FF0000"/>
          <w:sz w:val="24"/>
          <w:szCs w:val="24"/>
        </w:rPr>
        <w:t>。经调查本</w:t>
      </w:r>
      <w:r>
        <w:rPr>
          <w:rFonts w:ascii="Times New Roman" w:hAnsi="Times New Roman"/>
          <w:color w:val="FF0000"/>
          <w:sz w:val="24"/>
          <w:szCs w:val="24"/>
        </w:rPr>
        <w:t>项目海拔为</w:t>
      </w:r>
      <w:r>
        <w:rPr>
          <w:rFonts w:hint="eastAsia" w:ascii="Times New Roman" w:hAnsi="Times New Roman"/>
          <w:color w:val="FF0000"/>
          <w:sz w:val="24"/>
          <w:szCs w:val="24"/>
        </w:rPr>
        <w:t>1045</w:t>
      </w:r>
      <w:r>
        <w:rPr>
          <w:rFonts w:ascii="Times New Roman" w:hAnsi="Times New Roman"/>
          <w:color w:val="FF0000"/>
          <w:sz w:val="24"/>
          <w:szCs w:val="24"/>
        </w:rPr>
        <w:t>m</w:t>
      </w:r>
      <w:r>
        <w:rPr>
          <w:rFonts w:hint="eastAsia" w:ascii="Times New Roman" w:hAnsi="Times New Roman"/>
          <w:color w:val="FF0000"/>
          <w:sz w:val="24"/>
          <w:szCs w:val="24"/>
        </w:rPr>
        <w:t>，</w:t>
      </w:r>
      <w:r>
        <w:rPr>
          <w:rFonts w:ascii="Times New Roman" w:hAnsi="Times New Roman"/>
          <w:color w:val="FF0000"/>
          <w:sz w:val="24"/>
          <w:szCs w:val="24"/>
        </w:rPr>
        <w:t>项目西北方向海拔</w:t>
      </w:r>
      <w:r>
        <w:rPr>
          <w:rFonts w:hint="eastAsia" w:ascii="Times New Roman" w:hAnsi="Times New Roman"/>
          <w:color w:val="FF0000"/>
          <w:sz w:val="24"/>
          <w:szCs w:val="24"/>
        </w:rPr>
        <w:t>1062</w:t>
      </w:r>
      <w:r>
        <w:rPr>
          <w:rFonts w:ascii="Times New Roman" w:hAnsi="Times New Roman"/>
          <w:color w:val="FF0000"/>
          <w:sz w:val="24"/>
          <w:szCs w:val="24"/>
        </w:rPr>
        <w:t>m</w:t>
      </w:r>
      <w:r>
        <w:rPr>
          <w:rFonts w:hint="eastAsia" w:ascii="Times New Roman" w:hAnsi="Times New Roman"/>
          <w:color w:val="FF0000"/>
          <w:sz w:val="24"/>
          <w:szCs w:val="24"/>
        </w:rPr>
        <w:t>处</w:t>
      </w:r>
      <w:r>
        <w:rPr>
          <w:rFonts w:ascii="Times New Roman" w:hAnsi="Times New Roman"/>
          <w:color w:val="FF0000"/>
          <w:sz w:val="24"/>
          <w:szCs w:val="24"/>
        </w:rPr>
        <w:t>有一家企业</w:t>
      </w:r>
      <w:r>
        <w:rPr>
          <w:rFonts w:hint="eastAsia" w:ascii="Times New Roman" w:hAnsi="Times New Roman"/>
          <w:color w:val="FF0000"/>
          <w:sz w:val="24"/>
          <w:szCs w:val="24"/>
        </w:rPr>
        <w:t>，建筑</w:t>
      </w:r>
      <w:r>
        <w:rPr>
          <w:rFonts w:ascii="Times New Roman" w:hAnsi="Times New Roman"/>
          <w:color w:val="FF0000"/>
          <w:sz w:val="24"/>
          <w:szCs w:val="24"/>
        </w:rPr>
        <w:t>层高</w:t>
      </w:r>
      <w:r>
        <w:rPr>
          <w:rFonts w:hint="eastAsia" w:ascii="Times New Roman" w:hAnsi="Times New Roman"/>
          <w:color w:val="FF0000"/>
          <w:sz w:val="24"/>
          <w:szCs w:val="24"/>
        </w:rPr>
        <w:t>8</w:t>
      </w:r>
      <w:r>
        <w:rPr>
          <w:rFonts w:ascii="Times New Roman" w:hAnsi="Times New Roman"/>
          <w:color w:val="FF0000"/>
          <w:sz w:val="24"/>
          <w:szCs w:val="24"/>
        </w:rPr>
        <w:t>m</w:t>
      </w:r>
      <w:r>
        <w:rPr>
          <w:rFonts w:hint="eastAsia" w:ascii="Times New Roman" w:hAnsi="Times New Roman"/>
          <w:color w:val="FF0000"/>
          <w:sz w:val="24"/>
          <w:szCs w:val="24"/>
        </w:rPr>
        <w:t>左右。项目设计锅炉房装机总容量12t/h，</w:t>
      </w:r>
      <w:r>
        <w:rPr>
          <w:rFonts w:ascii="Times New Roman" w:hAnsi="Times New Roman"/>
          <w:color w:val="FF0000"/>
          <w:sz w:val="24"/>
          <w:szCs w:val="24"/>
        </w:rPr>
        <w:t>因此根据标准要求，项目</w:t>
      </w:r>
      <w:r>
        <w:rPr>
          <w:rFonts w:hint="eastAsia" w:ascii="Times New Roman" w:hAnsi="Times New Roman"/>
          <w:color w:val="FF0000"/>
          <w:sz w:val="24"/>
          <w:szCs w:val="24"/>
        </w:rPr>
        <w:t>锅炉房</w:t>
      </w:r>
      <w:r>
        <w:rPr>
          <w:rFonts w:ascii="Times New Roman" w:hAnsi="Times New Roman"/>
          <w:color w:val="FF0000"/>
          <w:sz w:val="24"/>
          <w:szCs w:val="24"/>
        </w:rPr>
        <w:t>烟囱需设置</w:t>
      </w:r>
      <w:r>
        <w:rPr>
          <w:rFonts w:hint="eastAsia" w:ascii="Times New Roman" w:hAnsi="Times New Roman"/>
          <w:color w:val="FF0000"/>
          <w:sz w:val="24"/>
          <w:szCs w:val="24"/>
        </w:rPr>
        <w:t>至少40</w:t>
      </w:r>
      <w:r>
        <w:rPr>
          <w:rFonts w:ascii="Times New Roman" w:hAnsi="Times New Roman"/>
          <w:color w:val="FF0000"/>
          <w:sz w:val="24"/>
          <w:szCs w:val="24"/>
        </w:rPr>
        <w:t>m</w:t>
      </w:r>
      <w:r>
        <w:rPr>
          <w:rFonts w:hint="eastAsia" w:ascii="Times New Roman" w:hAnsi="Times New Roman"/>
          <w:color w:val="FF0000"/>
          <w:sz w:val="24"/>
          <w:szCs w:val="24"/>
        </w:rPr>
        <w:t>高</w:t>
      </w:r>
      <w:r>
        <w:rPr>
          <w:rFonts w:ascii="Times New Roman" w:hAnsi="Times New Roman"/>
          <w:color w:val="FF0000"/>
          <w:sz w:val="24"/>
          <w:szCs w:val="24"/>
        </w:rPr>
        <w:t>的烟囱。</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（2）废水</w:t>
      </w:r>
      <w:r>
        <w:rPr>
          <w:rFonts w:ascii="Times New Roman" w:hAnsi="Times New Roman"/>
          <w:b/>
          <w:color w:val="000000"/>
          <w:sz w:val="24"/>
          <w:szCs w:val="24"/>
        </w:rPr>
        <w:t>排放标准</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（1）生产</w:t>
      </w:r>
      <w:r>
        <w:rPr>
          <w:rFonts w:ascii="Times New Roman" w:hAnsi="Times New Roman"/>
          <w:color w:val="000000"/>
          <w:sz w:val="24"/>
          <w:szCs w:val="24"/>
        </w:rPr>
        <w:t>废水</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w:t>
      </w:r>
      <w:r>
        <w:rPr>
          <w:rFonts w:ascii="Times New Roman" w:hAnsi="Times New Roman"/>
          <w:color w:val="000000"/>
          <w:sz w:val="24"/>
          <w:szCs w:val="24"/>
        </w:rPr>
        <w:t>产生的生产废水经</w:t>
      </w:r>
      <w:r>
        <w:rPr>
          <w:rFonts w:hint="eastAsia" w:ascii="Times New Roman" w:hAnsi="Times New Roman"/>
          <w:color w:val="000000"/>
          <w:sz w:val="24"/>
          <w:szCs w:val="24"/>
        </w:rPr>
        <w:t>处理</w:t>
      </w:r>
      <w:r>
        <w:rPr>
          <w:rFonts w:ascii="Times New Roman" w:hAnsi="Times New Roman"/>
          <w:color w:val="000000"/>
          <w:sz w:val="24"/>
          <w:szCs w:val="24"/>
        </w:rPr>
        <w:t>后回用于生产过程，不外排。</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（2）生活</w:t>
      </w:r>
      <w:r>
        <w:rPr>
          <w:rFonts w:ascii="Times New Roman" w:hAnsi="Times New Roman"/>
          <w:color w:val="000000"/>
          <w:sz w:val="24"/>
          <w:szCs w:val="24"/>
        </w:rPr>
        <w:t>废水</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食堂</w:t>
      </w:r>
      <w:r>
        <w:rPr>
          <w:rFonts w:ascii="Times New Roman" w:hAnsi="Times New Roman"/>
          <w:color w:val="000000"/>
          <w:sz w:val="24"/>
          <w:szCs w:val="24"/>
        </w:rPr>
        <w:t>废水经隔油池处理和其他生活废水进入化粪池处理后，再进入一体化污水处理设施处理达到《</w:t>
      </w:r>
      <w:r>
        <w:rPr>
          <w:rFonts w:hint="eastAsia" w:ascii="Times New Roman" w:hAnsi="Times New Roman"/>
          <w:color w:val="000000"/>
          <w:sz w:val="24"/>
          <w:szCs w:val="24"/>
        </w:rPr>
        <w:t>城市</w:t>
      </w:r>
      <w:r>
        <w:rPr>
          <w:rFonts w:ascii="Times New Roman" w:hAnsi="Times New Roman"/>
          <w:color w:val="000000"/>
          <w:sz w:val="24"/>
          <w:szCs w:val="24"/>
        </w:rPr>
        <w:t>污水再生利用</w:t>
      </w:r>
      <w:r>
        <w:rPr>
          <w:rFonts w:hint="eastAsia" w:ascii="Times New Roman" w:hAnsi="Times New Roman"/>
          <w:color w:val="000000"/>
          <w:sz w:val="24"/>
          <w:szCs w:val="24"/>
        </w:rPr>
        <w:t xml:space="preserve"> </w:t>
      </w:r>
      <w:r>
        <w:rPr>
          <w:rFonts w:ascii="Times New Roman" w:hAnsi="Times New Roman"/>
          <w:color w:val="000000"/>
          <w:sz w:val="24"/>
          <w:szCs w:val="24"/>
        </w:rPr>
        <w:t>城市杂</w:t>
      </w:r>
      <w:r>
        <w:rPr>
          <w:rFonts w:hint="eastAsia" w:ascii="Times New Roman" w:hAnsi="Times New Roman"/>
          <w:color w:val="000000"/>
          <w:sz w:val="24"/>
          <w:szCs w:val="24"/>
        </w:rPr>
        <w:t>用</w:t>
      </w:r>
      <w:r>
        <w:rPr>
          <w:rFonts w:ascii="Times New Roman" w:hAnsi="Times New Roman"/>
          <w:color w:val="000000"/>
          <w:sz w:val="24"/>
          <w:szCs w:val="24"/>
        </w:rPr>
        <w:t>水水质》</w:t>
      </w:r>
      <w:r>
        <w:rPr>
          <w:rFonts w:hint="eastAsia" w:ascii="Times New Roman" w:hAnsi="Times New Roman"/>
          <w:color w:val="000000"/>
          <w:sz w:val="24"/>
          <w:szCs w:val="24"/>
        </w:rPr>
        <w:t>（GB/T18920-2002）中</w:t>
      </w:r>
      <w:r>
        <w:rPr>
          <w:rFonts w:ascii="Times New Roman" w:hAnsi="Times New Roman"/>
          <w:color w:val="000000"/>
          <w:sz w:val="24"/>
          <w:szCs w:val="24"/>
        </w:rPr>
        <w:t>绿化</w:t>
      </w:r>
      <w:r>
        <w:rPr>
          <w:rFonts w:hint="eastAsia" w:ascii="Times New Roman" w:hAnsi="Times New Roman"/>
          <w:color w:val="000000"/>
          <w:sz w:val="24"/>
          <w:szCs w:val="24"/>
        </w:rPr>
        <w:t>、</w:t>
      </w:r>
      <w:r>
        <w:rPr>
          <w:rFonts w:ascii="Times New Roman" w:hAnsi="Times New Roman"/>
          <w:color w:val="000000"/>
          <w:sz w:val="24"/>
          <w:szCs w:val="24"/>
        </w:rPr>
        <w:t>道路清扫</w:t>
      </w:r>
      <w:r>
        <w:rPr>
          <w:rFonts w:hint="eastAsia" w:ascii="Times New Roman" w:hAnsi="Times New Roman"/>
          <w:color w:val="000000"/>
          <w:sz w:val="24"/>
          <w:szCs w:val="24"/>
        </w:rPr>
        <w:t>和</w:t>
      </w:r>
      <w:r>
        <w:rPr>
          <w:rFonts w:ascii="Times New Roman" w:hAnsi="Times New Roman"/>
          <w:color w:val="000000"/>
          <w:sz w:val="24"/>
          <w:szCs w:val="24"/>
        </w:rPr>
        <w:t>《</w:t>
      </w:r>
      <w:r>
        <w:rPr>
          <w:rFonts w:hint="eastAsia" w:ascii="Times New Roman" w:hAnsi="Times New Roman"/>
          <w:color w:val="000000"/>
          <w:sz w:val="24"/>
          <w:szCs w:val="24"/>
        </w:rPr>
        <w:t>城市</w:t>
      </w:r>
      <w:r>
        <w:rPr>
          <w:rFonts w:ascii="Times New Roman" w:hAnsi="Times New Roman"/>
          <w:color w:val="000000"/>
          <w:sz w:val="24"/>
          <w:szCs w:val="24"/>
        </w:rPr>
        <w:t>污水再生利用</w:t>
      </w:r>
      <w:r>
        <w:rPr>
          <w:rFonts w:hint="eastAsia" w:ascii="Times New Roman" w:hAnsi="Times New Roman"/>
          <w:color w:val="000000"/>
          <w:sz w:val="24"/>
          <w:szCs w:val="24"/>
        </w:rPr>
        <w:t xml:space="preserve"> 工业用</w:t>
      </w:r>
      <w:r>
        <w:rPr>
          <w:rFonts w:ascii="Times New Roman" w:hAnsi="Times New Roman"/>
          <w:color w:val="000000"/>
          <w:sz w:val="24"/>
          <w:szCs w:val="24"/>
        </w:rPr>
        <w:t>水水质》</w:t>
      </w:r>
      <w:r>
        <w:rPr>
          <w:rFonts w:hint="eastAsia" w:ascii="Times New Roman" w:hAnsi="Times New Roman"/>
          <w:color w:val="000000"/>
          <w:sz w:val="24"/>
          <w:szCs w:val="24"/>
        </w:rPr>
        <w:t>（GB/T19923-2005）中工艺与产品用水</w:t>
      </w:r>
      <w:r>
        <w:rPr>
          <w:rFonts w:ascii="Times New Roman" w:hAnsi="Times New Roman"/>
          <w:color w:val="000000"/>
          <w:sz w:val="24"/>
          <w:szCs w:val="24"/>
        </w:rPr>
        <w:t>相关标准，三者取最严的要求，标准限值如下表。</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表2.5</w:t>
      </w:r>
      <w:r>
        <w:rPr>
          <w:rFonts w:ascii="Times New Roman" w:hAnsi="Times New Roman"/>
          <w:b/>
          <w:color w:val="000000"/>
          <w:sz w:val="24"/>
          <w:szCs w:val="24"/>
        </w:rPr>
        <w:t xml:space="preserve">-9   </w:t>
      </w:r>
      <w:r>
        <w:rPr>
          <w:rFonts w:hint="eastAsia" w:ascii="Times New Roman" w:hAnsi="Times New Roman"/>
          <w:b/>
          <w:color w:val="000000"/>
          <w:sz w:val="24"/>
          <w:szCs w:val="24"/>
        </w:rPr>
        <w:t>城市</w:t>
      </w:r>
      <w:r>
        <w:rPr>
          <w:rFonts w:ascii="Times New Roman" w:hAnsi="Times New Roman"/>
          <w:b/>
          <w:color w:val="000000"/>
          <w:sz w:val="24"/>
          <w:szCs w:val="24"/>
        </w:rPr>
        <w:t>污水再生利用水质</w:t>
      </w:r>
    </w:p>
    <w:tbl>
      <w:tblPr>
        <w:tblStyle w:val="19"/>
        <w:tblW w:w="87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5"/>
        <w:gridCol w:w="2932"/>
        <w:gridCol w:w="1084"/>
        <w:gridCol w:w="1063"/>
        <w:gridCol w:w="15"/>
        <w:gridCol w:w="1921"/>
        <w:gridCol w:w="9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785" w:type="dxa"/>
            <w:vMerge w:val="restart"/>
            <w:tcBorders>
              <w:top w:val="dotted" w:color="auto" w:sz="12"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r>
              <w:rPr>
                <w:rFonts w:ascii="Times New Roman" w:hAnsi="Times New Roman"/>
                <w:b/>
                <w:bCs/>
                <w:color w:val="000000"/>
                <w:szCs w:val="21"/>
              </w:rPr>
              <w:t>序号</w:t>
            </w:r>
          </w:p>
        </w:tc>
        <w:tc>
          <w:tcPr>
            <w:tcW w:w="2932" w:type="dxa"/>
            <w:vMerge w:val="restart"/>
            <w:tcBorders>
              <w:top w:val="dotted" w:color="auto" w:sz="12"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r>
              <w:rPr>
                <w:rFonts w:ascii="Times New Roman" w:hAnsi="Times New Roman"/>
                <w:b/>
                <w:bCs/>
                <w:color w:val="000000"/>
                <w:szCs w:val="21"/>
              </w:rPr>
              <w:t>项目</w:t>
            </w:r>
          </w:p>
        </w:tc>
        <w:tc>
          <w:tcPr>
            <w:tcW w:w="2147" w:type="dxa"/>
            <w:gridSpan w:val="2"/>
            <w:tcBorders>
              <w:top w:val="dotted" w:color="auto" w:sz="12"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r>
              <w:rPr>
                <w:rFonts w:ascii="Times New Roman" w:hAnsi="Times New Roman"/>
                <w:b/>
                <w:bCs/>
                <w:color w:val="000000"/>
                <w:szCs w:val="21"/>
              </w:rPr>
              <w:t>《</w:t>
            </w:r>
            <w:r>
              <w:rPr>
                <w:rFonts w:hint="eastAsia" w:ascii="Times New Roman" w:hAnsi="Times New Roman"/>
                <w:b/>
                <w:bCs/>
                <w:color w:val="000000"/>
                <w:szCs w:val="21"/>
              </w:rPr>
              <w:t>城市</w:t>
            </w:r>
            <w:r>
              <w:rPr>
                <w:rFonts w:ascii="Times New Roman" w:hAnsi="Times New Roman"/>
                <w:b/>
                <w:bCs/>
                <w:color w:val="000000"/>
                <w:szCs w:val="21"/>
              </w:rPr>
              <w:t>污水再生利用</w:t>
            </w:r>
            <w:r>
              <w:rPr>
                <w:rFonts w:hint="eastAsia" w:ascii="Times New Roman" w:hAnsi="Times New Roman"/>
                <w:b/>
                <w:bCs/>
                <w:color w:val="000000"/>
                <w:szCs w:val="21"/>
              </w:rPr>
              <w:t xml:space="preserve"> </w:t>
            </w:r>
            <w:r>
              <w:rPr>
                <w:rFonts w:ascii="Times New Roman" w:hAnsi="Times New Roman"/>
                <w:b/>
                <w:bCs/>
                <w:color w:val="000000"/>
                <w:szCs w:val="21"/>
              </w:rPr>
              <w:t>城市杂</w:t>
            </w:r>
            <w:r>
              <w:rPr>
                <w:rFonts w:hint="eastAsia" w:ascii="Times New Roman" w:hAnsi="Times New Roman"/>
                <w:b/>
                <w:bCs/>
                <w:color w:val="000000"/>
                <w:szCs w:val="21"/>
              </w:rPr>
              <w:t>用</w:t>
            </w:r>
            <w:r>
              <w:rPr>
                <w:rFonts w:ascii="Times New Roman" w:hAnsi="Times New Roman"/>
                <w:b/>
                <w:bCs/>
                <w:color w:val="000000"/>
                <w:szCs w:val="21"/>
              </w:rPr>
              <w:t>水水质》</w:t>
            </w:r>
            <w:r>
              <w:rPr>
                <w:rFonts w:hint="eastAsia" w:ascii="Times New Roman" w:hAnsi="Times New Roman"/>
                <w:b/>
                <w:bCs/>
                <w:color w:val="000000"/>
                <w:szCs w:val="21"/>
              </w:rPr>
              <w:t>（GB/T18920-2002）</w:t>
            </w:r>
          </w:p>
        </w:tc>
        <w:tc>
          <w:tcPr>
            <w:tcW w:w="1936" w:type="dxa"/>
            <w:gridSpan w:val="2"/>
            <w:tcBorders>
              <w:top w:val="dotted" w:color="auto" w:sz="12"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r>
              <w:rPr>
                <w:rFonts w:hint="eastAsia" w:ascii="Times New Roman" w:hAnsi="Times New Roman"/>
                <w:b/>
                <w:bCs/>
                <w:color w:val="000000"/>
                <w:szCs w:val="21"/>
              </w:rPr>
              <w:t>城市</w:t>
            </w:r>
            <w:r>
              <w:rPr>
                <w:rFonts w:ascii="Times New Roman" w:hAnsi="Times New Roman"/>
                <w:b/>
                <w:bCs/>
                <w:color w:val="000000"/>
                <w:szCs w:val="21"/>
              </w:rPr>
              <w:t>污水再生利用</w:t>
            </w:r>
            <w:r>
              <w:rPr>
                <w:rFonts w:hint="eastAsia" w:ascii="Times New Roman" w:hAnsi="Times New Roman"/>
                <w:b/>
                <w:bCs/>
                <w:color w:val="000000"/>
                <w:szCs w:val="21"/>
              </w:rPr>
              <w:t xml:space="preserve"> 工业用</w:t>
            </w:r>
            <w:r>
              <w:rPr>
                <w:rFonts w:ascii="Times New Roman" w:hAnsi="Times New Roman"/>
                <w:b/>
                <w:bCs/>
                <w:color w:val="000000"/>
                <w:szCs w:val="21"/>
              </w:rPr>
              <w:t>水水质》</w:t>
            </w:r>
            <w:r>
              <w:rPr>
                <w:rFonts w:hint="eastAsia" w:ascii="Times New Roman" w:hAnsi="Times New Roman"/>
                <w:b/>
                <w:bCs/>
                <w:color w:val="000000"/>
                <w:szCs w:val="21"/>
              </w:rPr>
              <w:t>（GB/T19923-2005）</w:t>
            </w:r>
          </w:p>
        </w:tc>
        <w:tc>
          <w:tcPr>
            <w:tcW w:w="955" w:type="dxa"/>
            <w:vMerge w:val="restart"/>
            <w:tcBorders>
              <w:top w:val="dotted" w:color="auto" w:sz="12"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r>
              <w:rPr>
                <w:rFonts w:ascii="Times New Roman" w:hAnsi="Times New Roman"/>
                <w:b/>
                <w:bCs/>
                <w:color w:val="000000"/>
                <w:szCs w:val="21"/>
              </w:rPr>
              <w:t>最终取值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785" w:type="dxa"/>
            <w:vMerge w:val="continue"/>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p>
        </w:tc>
        <w:tc>
          <w:tcPr>
            <w:tcW w:w="2932" w:type="dxa"/>
            <w:vMerge w:val="continue"/>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p>
        </w:tc>
        <w:tc>
          <w:tcPr>
            <w:tcW w:w="1084" w:type="dxa"/>
            <w:tcBorders>
              <w:top w:val="dotted" w:color="auto" w:sz="6" w:space="0"/>
              <w:left w:val="dotted" w:color="auto" w:sz="6" w:space="0"/>
              <w:bottom w:val="dotted" w:color="auto" w:sz="6"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r>
              <w:rPr>
                <w:rFonts w:ascii="Times New Roman" w:hAnsi="Times New Roman"/>
                <w:b/>
                <w:bCs/>
                <w:color w:val="000000"/>
                <w:szCs w:val="21"/>
              </w:rPr>
              <w:t>绿化</w:t>
            </w:r>
          </w:p>
        </w:tc>
        <w:tc>
          <w:tcPr>
            <w:tcW w:w="1063" w:type="dxa"/>
            <w:tcBorders>
              <w:top w:val="dotted" w:color="auto" w:sz="6" w:space="0"/>
              <w:left w:val="dotted" w:color="auto" w:sz="6" w:space="0"/>
              <w:bottom w:val="dotted" w:color="auto" w:sz="6"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r>
              <w:rPr>
                <w:rFonts w:ascii="Times New Roman" w:hAnsi="Times New Roman"/>
                <w:b/>
                <w:bCs/>
                <w:color w:val="000000"/>
                <w:szCs w:val="21"/>
              </w:rPr>
              <w:t>道路清扫</w:t>
            </w:r>
          </w:p>
        </w:tc>
        <w:tc>
          <w:tcPr>
            <w:tcW w:w="1936" w:type="dxa"/>
            <w:gridSpan w:val="2"/>
            <w:tcBorders>
              <w:top w:val="dotted" w:color="auto" w:sz="6" w:space="0"/>
              <w:left w:val="dotted" w:color="auto" w:sz="6" w:space="0"/>
              <w:bottom w:val="dotted" w:color="auto" w:sz="6"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r>
              <w:rPr>
                <w:rFonts w:hint="eastAsia" w:ascii="Times New Roman" w:hAnsi="Times New Roman"/>
                <w:b/>
                <w:bCs/>
                <w:color w:val="000000"/>
                <w:szCs w:val="21"/>
              </w:rPr>
              <w:t>工艺与产品用水</w:t>
            </w:r>
          </w:p>
        </w:tc>
        <w:tc>
          <w:tcPr>
            <w:tcW w:w="955" w:type="dxa"/>
            <w:vMerge w:val="continue"/>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b/>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w:t>
            </w: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pH值</w:t>
            </w:r>
          </w:p>
        </w:tc>
        <w:tc>
          <w:tcPr>
            <w:tcW w:w="2162" w:type="dxa"/>
            <w:gridSpan w:val="3"/>
            <w:tcBorders>
              <w:top w:val="dotted" w:color="auto" w:sz="6" w:space="0"/>
              <w:left w:val="dotted" w:color="auto" w:sz="6" w:space="0"/>
              <w:bottom w:val="dotted" w:color="auto" w:sz="4" w:space="0"/>
              <w:right w:val="dotted" w:color="auto" w:sz="4"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6.0～9.0</w:t>
            </w:r>
          </w:p>
        </w:tc>
        <w:tc>
          <w:tcPr>
            <w:tcW w:w="1921" w:type="dxa"/>
            <w:tcBorders>
              <w:top w:val="dotted" w:color="auto" w:sz="6" w:space="0"/>
              <w:left w:val="dotted" w:color="auto" w:sz="4"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6.5-8.5</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5</w:t>
            </w:r>
            <w:r>
              <w:rPr>
                <w:rFonts w:ascii="Times New Roman" w:hAnsi="Times New Roman"/>
                <w:color w:val="000000"/>
                <w:szCs w:val="21"/>
              </w:rPr>
              <w:t>-</w:t>
            </w:r>
            <w:r>
              <w:rPr>
                <w:rFonts w:hint="eastAsia" w:ascii="Times New Roman" w:hAnsi="Times New Roman"/>
                <w:color w:val="000000"/>
                <w:szCs w:val="21"/>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2</w:t>
            </w: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色≤</w:t>
            </w:r>
          </w:p>
        </w:tc>
        <w:tc>
          <w:tcPr>
            <w:tcW w:w="2162" w:type="dxa"/>
            <w:gridSpan w:val="3"/>
            <w:tcBorders>
              <w:top w:val="dotted" w:color="auto" w:sz="6" w:space="0"/>
              <w:left w:val="dotted" w:color="auto" w:sz="6" w:space="0"/>
              <w:bottom w:val="dotted" w:color="auto" w:sz="4" w:space="0"/>
              <w:right w:val="dotted" w:color="auto" w:sz="4"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30</w:t>
            </w:r>
          </w:p>
        </w:tc>
        <w:tc>
          <w:tcPr>
            <w:tcW w:w="1921" w:type="dxa"/>
            <w:tcBorders>
              <w:top w:val="dotted" w:color="auto" w:sz="6" w:space="0"/>
              <w:left w:val="dotted" w:color="auto" w:sz="4"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30</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3</w:t>
            </w: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嗅</w:t>
            </w:r>
          </w:p>
        </w:tc>
        <w:tc>
          <w:tcPr>
            <w:tcW w:w="2162" w:type="dxa"/>
            <w:gridSpan w:val="3"/>
            <w:tcBorders>
              <w:top w:val="dotted" w:color="auto" w:sz="6" w:space="0"/>
              <w:left w:val="dotted" w:color="auto" w:sz="6" w:space="0"/>
              <w:bottom w:val="dotted" w:color="auto" w:sz="6" w:space="0"/>
              <w:right w:val="dotted" w:color="auto" w:sz="4"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无不快感</w:t>
            </w:r>
          </w:p>
        </w:tc>
        <w:tc>
          <w:tcPr>
            <w:tcW w:w="1921" w:type="dxa"/>
            <w:tcBorders>
              <w:top w:val="dotted" w:color="auto" w:sz="6" w:space="0"/>
              <w:left w:val="dotted" w:color="auto" w:sz="4" w:space="0"/>
              <w:bottom w:val="dotted" w:color="auto" w:sz="6"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4</w:t>
            </w: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浊度/NTU≤</w:t>
            </w:r>
          </w:p>
        </w:tc>
        <w:tc>
          <w:tcPr>
            <w:tcW w:w="1084"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c>
          <w:tcPr>
            <w:tcW w:w="1063"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c>
          <w:tcPr>
            <w:tcW w:w="1936" w:type="dxa"/>
            <w:gridSpan w:val="2"/>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5</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5</w:t>
            </w: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溶解性总固体/（mg/L）≤</w:t>
            </w:r>
          </w:p>
        </w:tc>
        <w:tc>
          <w:tcPr>
            <w:tcW w:w="1084"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1000</w:t>
            </w:r>
          </w:p>
        </w:tc>
        <w:tc>
          <w:tcPr>
            <w:tcW w:w="1063"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1500</w:t>
            </w:r>
          </w:p>
        </w:tc>
        <w:tc>
          <w:tcPr>
            <w:tcW w:w="1936" w:type="dxa"/>
            <w:gridSpan w:val="2"/>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0</w:t>
            </w:r>
            <w:r>
              <w:rPr>
                <w:rFonts w:ascii="Times New Roman" w:hAnsi="Times New Roman"/>
                <w:color w:val="000000"/>
                <w:szCs w:val="21"/>
              </w:rPr>
              <w:t>00</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COD</w:t>
            </w:r>
            <w:r>
              <w:rPr>
                <w:rFonts w:ascii="Times New Roman" w:hAnsi="Times New Roman"/>
                <w:color w:val="000000"/>
                <w:szCs w:val="21"/>
              </w:rPr>
              <w:t>≤</w:t>
            </w:r>
          </w:p>
        </w:tc>
        <w:tc>
          <w:tcPr>
            <w:tcW w:w="1084"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w:t>
            </w:r>
          </w:p>
        </w:tc>
        <w:tc>
          <w:tcPr>
            <w:tcW w:w="1063"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w:t>
            </w:r>
          </w:p>
        </w:tc>
        <w:tc>
          <w:tcPr>
            <w:tcW w:w="1936" w:type="dxa"/>
            <w:gridSpan w:val="2"/>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60</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6</w:t>
            </w: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BOD</w:t>
            </w:r>
            <w:r>
              <w:rPr>
                <w:rFonts w:ascii="Times New Roman" w:hAnsi="Times New Roman"/>
                <w:color w:val="000000"/>
                <w:szCs w:val="21"/>
                <w:vertAlign w:val="subscript"/>
              </w:rPr>
              <w:t xml:space="preserve">5 </w:t>
            </w:r>
            <w:r>
              <w:rPr>
                <w:rFonts w:ascii="Times New Roman" w:hAnsi="Times New Roman"/>
                <w:color w:val="000000"/>
                <w:szCs w:val="21"/>
              </w:rPr>
              <w:t>≤</w:t>
            </w:r>
          </w:p>
        </w:tc>
        <w:tc>
          <w:tcPr>
            <w:tcW w:w="1084"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20</w:t>
            </w:r>
          </w:p>
        </w:tc>
        <w:tc>
          <w:tcPr>
            <w:tcW w:w="1063"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15</w:t>
            </w:r>
          </w:p>
        </w:tc>
        <w:tc>
          <w:tcPr>
            <w:tcW w:w="1936" w:type="dxa"/>
            <w:gridSpan w:val="2"/>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7</w:t>
            </w: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氨氮（mg/L）≤</w:t>
            </w:r>
          </w:p>
        </w:tc>
        <w:tc>
          <w:tcPr>
            <w:tcW w:w="1084" w:type="dxa"/>
            <w:tcBorders>
              <w:top w:val="dotted" w:color="auto" w:sz="6" w:space="0"/>
              <w:left w:val="dotted" w:color="auto" w:sz="6" w:space="0"/>
              <w:bottom w:val="dotted" w:color="auto" w:sz="6"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20</w:t>
            </w:r>
          </w:p>
        </w:tc>
        <w:tc>
          <w:tcPr>
            <w:tcW w:w="1063" w:type="dxa"/>
            <w:tcBorders>
              <w:top w:val="dotted" w:color="auto" w:sz="6" w:space="0"/>
              <w:left w:val="dotted" w:color="auto" w:sz="6" w:space="0"/>
              <w:bottom w:val="dotted" w:color="auto" w:sz="6"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c>
          <w:tcPr>
            <w:tcW w:w="1936" w:type="dxa"/>
            <w:gridSpan w:val="2"/>
            <w:tcBorders>
              <w:top w:val="dotted" w:color="auto" w:sz="6" w:space="0"/>
              <w:left w:val="dotted" w:color="auto" w:sz="6" w:space="0"/>
              <w:bottom w:val="dotted" w:color="auto" w:sz="6"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8</w:t>
            </w: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阴离子表面活性剂/（mg/L）≤</w:t>
            </w:r>
          </w:p>
        </w:tc>
        <w:tc>
          <w:tcPr>
            <w:tcW w:w="2162" w:type="dxa"/>
            <w:gridSpan w:val="3"/>
            <w:tcBorders>
              <w:top w:val="dotted" w:color="auto" w:sz="6" w:space="0"/>
              <w:left w:val="dotted" w:color="auto" w:sz="6" w:space="0"/>
              <w:bottom w:val="dotted" w:color="auto" w:sz="4" w:space="0"/>
              <w:right w:val="dotted" w:color="auto" w:sz="4"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c>
          <w:tcPr>
            <w:tcW w:w="1921" w:type="dxa"/>
            <w:tcBorders>
              <w:top w:val="dotted" w:color="auto" w:sz="6" w:space="0"/>
              <w:left w:val="dotted" w:color="auto" w:sz="4"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1</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溶解氧 （mg/L）≥</w:t>
            </w:r>
          </w:p>
        </w:tc>
        <w:tc>
          <w:tcPr>
            <w:tcW w:w="2162" w:type="dxa"/>
            <w:gridSpan w:val="3"/>
            <w:tcBorders>
              <w:top w:val="dotted" w:color="auto" w:sz="6" w:space="0"/>
              <w:left w:val="dotted" w:color="auto" w:sz="6" w:space="0"/>
              <w:bottom w:val="dotted" w:color="auto" w:sz="4" w:space="0"/>
              <w:right w:val="dotted" w:color="auto" w:sz="4"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c>
          <w:tcPr>
            <w:tcW w:w="1921" w:type="dxa"/>
            <w:tcBorders>
              <w:top w:val="dotted" w:color="auto" w:sz="6" w:space="0"/>
              <w:left w:val="dotted" w:color="auto" w:sz="4"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785" w:type="dxa"/>
            <w:tcBorders>
              <w:top w:val="dotted" w:color="auto" w:sz="6" w:space="0"/>
              <w:left w:val="dotted" w:color="auto" w:sz="12"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10</w:t>
            </w:r>
          </w:p>
        </w:tc>
        <w:tc>
          <w:tcPr>
            <w:tcW w:w="2932" w:type="dxa"/>
            <w:tcBorders>
              <w:top w:val="dotted" w:color="auto" w:sz="6" w:space="0"/>
              <w:left w:val="dotted" w:color="auto" w:sz="6"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总余氯/ （mg/L）≥</w:t>
            </w:r>
          </w:p>
        </w:tc>
        <w:tc>
          <w:tcPr>
            <w:tcW w:w="2162" w:type="dxa"/>
            <w:gridSpan w:val="3"/>
            <w:tcBorders>
              <w:top w:val="dotted" w:color="auto" w:sz="6" w:space="0"/>
              <w:left w:val="dotted" w:color="auto" w:sz="6" w:space="0"/>
              <w:bottom w:val="dotted" w:color="auto" w:sz="4" w:space="0"/>
              <w:right w:val="dotted" w:color="auto" w:sz="4"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接触30min后≥1.0，管网末端≥0.2</w:t>
            </w:r>
          </w:p>
        </w:tc>
        <w:tc>
          <w:tcPr>
            <w:tcW w:w="1921" w:type="dxa"/>
            <w:tcBorders>
              <w:top w:val="dotted" w:color="auto" w:sz="6" w:space="0"/>
              <w:left w:val="dotted" w:color="auto" w:sz="4" w:space="0"/>
              <w:bottom w:val="dotted" w:color="auto" w:sz="4"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0.05</w:t>
            </w:r>
          </w:p>
        </w:tc>
        <w:tc>
          <w:tcPr>
            <w:tcW w:w="955" w:type="dxa"/>
            <w:tcBorders>
              <w:top w:val="dotted" w:color="auto" w:sz="6" w:space="0"/>
              <w:left w:val="dotted" w:color="auto" w:sz="6" w:space="0"/>
              <w:bottom w:val="dotted" w:color="auto" w:sz="4"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785" w:type="dxa"/>
            <w:tcBorders>
              <w:top w:val="dotted" w:color="auto" w:sz="6" w:space="0"/>
              <w:left w:val="dotted" w:color="auto" w:sz="12" w:space="0"/>
              <w:bottom w:val="dotted" w:color="auto" w:sz="12"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11</w:t>
            </w:r>
          </w:p>
        </w:tc>
        <w:tc>
          <w:tcPr>
            <w:tcW w:w="2932" w:type="dxa"/>
            <w:tcBorders>
              <w:top w:val="dotted" w:color="auto" w:sz="6" w:space="0"/>
              <w:left w:val="dotted" w:color="auto" w:sz="6" w:space="0"/>
              <w:bottom w:val="dotted" w:color="auto" w:sz="12"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总大肠菌群/ （个/L）≤</w:t>
            </w:r>
          </w:p>
        </w:tc>
        <w:tc>
          <w:tcPr>
            <w:tcW w:w="2162" w:type="dxa"/>
            <w:gridSpan w:val="3"/>
            <w:tcBorders>
              <w:top w:val="dotted" w:color="auto" w:sz="6" w:space="0"/>
              <w:left w:val="dotted" w:color="auto" w:sz="6" w:space="0"/>
              <w:bottom w:val="dotted" w:color="auto" w:sz="12" w:space="0"/>
              <w:right w:val="dotted" w:color="auto" w:sz="4"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3</w:t>
            </w:r>
          </w:p>
        </w:tc>
        <w:tc>
          <w:tcPr>
            <w:tcW w:w="1921" w:type="dxa"/>
            <w:tcBorders>
              <w:top w:val="dotted" w:color="auto" w:sz="6" w:space="0"/>
              <w:left w:val="dotted" w:color="auto" w:sz="4" w:space="0"/>
              <w:bottom w:val="dotted" w:color="auto" w:sz="12" w:space="0"/>
              <w:right w:val="dotted" w:color="auto" w:sz="6"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hint="eastAsia" w:ascii="Times New Roman" w:hAnsi="Times New Roman"/>
                <w:color w:val="000000"/>
                <w:szCs w:val="21"/>
              </w:rPr>
              <w:t>/</w:t>
            </w:r>
          </w:p>
        </w:tc>
        <w:tc>
          <w:tcPr>
            <w:tcW w:w="955" w:type="dxa"/>
            <w:tcBorders>
              <w:top w:val="dotted" w:color="auto" w:sz="6" w:space="0"/>
              <w:left w:val="dotted" w:color="auto" w:sz="6" w:space="0"/>
              <w:bottom w:val="dotted" w:color="auto" w:sz="12" w:space="0"/>
              <w:right w:val="dotted" w:color="auto" w:sz="12" w:space="0"/>
            </w:tcBorders>
            <w:shd w:val="clear" w:color="auto" w:fill="FFFFFF"/>
            <w:vAlign w:val="center"/>
          </w:tcPr>
          <w:p>
            <w:pPr>
              <w:adjustRightInd w:val="0"/>
              <w:snapToGrid w:val="0"/>
              <w:spacing w:line="240" w:lineRule="atLeast"/>
              <w:jc w:val="center"/>
              <w:rPr>
                <w:rFonts w:ascii="Times New Roman" w:hAnsi="Times New Roman"/>
                <w:color w:val="000000"/>
                <w:szCs w:val="21"/>
              </w:rPr>
            </w:pPr>
            <w:r>
              <w:rPr>
                <w:rFonts w:ascii="Times New Roman" w:hAnsi="Times New Roman"/>
                <w:color w:val="000000"/>
                <w:szCs w:val="21"/>
              </w:rPr>
              <w:t>3</w:t>
            </w:r>
          </w:p>
        </w:tc>
      </w:tr>
    </w:tbl>
    <w:p>
      <w:pPr>
        <w:spacing w:line="360" w:lineRule="auto"/>
        <w:ind w:firstLine="480" w:firstLineChars="200"/>
        <w:rPr>
          <w:rFonts w:ascii="Times New Roman" w:hAnsi="Times New Roman"/>
          <w:color w:val="000000"/>
          <w:sz w:val="24"/>
          <w:szCs w:val="24"/>
        </w:rPr>
      </w:pP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（4）噪声</w:t>
      </w:r>
      <w:r>
        <w:rPr>
          <w:rFonts w:ascii="Times New Roman" w:hAnsi="Times New Roman"/>
          <w:b/>
          <w:color w:val="000000"/>
          <w:sz w:val="24"/>
          <w:szCs w:val="24"/>
        </w:rPr>
        <w:t>排放标准</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项目施工期厂界噪声排放执行《建筑施工场界环境噪声排放标准》（GB12523-2011）中的相关要求，标准限值详见表</w:t>
      </w:r>
      <w:r>
        <w:rPr>
          <w:rFonts w:ascii="Times New Roman" w:hAnsi="Times New Roman"/>
          <w:color w:val="000000"/>
          <w:sz w:val="24"/>
          <w:szCs w:val="24"/>
        </w:rPr>
        <w:t>2.5-10</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5-10</w:t>
      </w:r>
      <w:r>
        <w:rPr>
          <w:rFonts w:hint="eastAsia" w:ascii="Times New Roman" w:hAnsi="Times New Roman"/>
          <w:b/>
          <w:color w:val="000000"/>
          <w:sz w:val="24"/>
          <w:szCs w:val="24"/>
        </w:rPr>
        <w:t xml:space="preserve">   建筑施工场界环境噪声排放限值   单位：dB（A）</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b/>
                <w:szCs w:val="21"/>
              </w:rPr>
            </w:pPr>
            <w:r>
              <w:rPr>
                <w:rFonts w:hint="eastAsia" w:ascii="Times New Roman" w:hAnsi="Times New Roman"/>
                <w:b/>
                <w:szCs w:val="21"/>
              </w:rPr>
              <w:t>时段</w:t>
            </w:r>
          </w:p>
        </w:tc>
        <w:tc>
          <w:tcPr>
            <w:tcW w:w="2841" w:type="dxa"/>
            <w:vAlign w:val="center"/>
          </w:tcPr>
          <w:p>
            <w:pPr>
              <w:spacing w:line="240" w:lineRule="atLeast"/>
              <w:jc w:val="center"/>
              <w:rPr>
                <w:rFonts w:ascii="Times New Roman" w:hAnsi="Times New Roman"/>
                <w:b/>
                <w:szCs w:val="21"/>
              </w:rPr>
            </w:pPr>
            <w:r>
              <w:rPr>
                <w:rFonts w:hint="eastAsia" w:ascii="Times New Roman" w:hAnsi="Times New Roman"/>
                <w:b/>
                <w:szCs w:val="21"/>
              </w:rPr>
              <w:t>昼间</w:t>
            </w:r>
          </w:p>
        </w:tc>
        <w:tc>
          <w:tcPr>
            <w:tcW w:w="2841" w:type="dxa"/>
            <w:vAlign w:val="center"/>
          </w:tcPr>
          <w:p>
            <w:pPr>
              <w:spacing w:line="240" w:lineRule="atLeast"/>
              <w:jc w:val="center"/>
              <w:rPr>
                <w:rFonts w:ascii="Times New Roman" w:hAnsi="Times New Roman"/>
                <w:b/>
                <w:szCs w:val="21"/>
              </w:rPr>
            </w:pPr>
            <w:r>
              <w:rPr>
                <w:rFonts w:hint="eastAsia" w:ascii="Times New Roman" w:hAnsi="Times New Roman"/>
                <w:b/>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标准限值</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70</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55</w:t>
            </w:r>
          </w:p>
        </w:tc>
      </w:tr>
    </w:tbl>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项目运营期噪声排放执行《工业企业厂界环境噪声排放标准》（GB12348-2008）中3类标准，标准限值见表2.</w:t>
      </w:r>
      <w:r>
        <w:rPr>
          <w:rFonts w:ascii="Times New Roman" w:hAnsi="Times New Roman"/>
          <w:color w:val="000000"/>
          <w:sz w:val="24"/>
          <w:szCs w:val="24"/>
        </w:rPr>
        <w:t>5-11</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表2.</w:t>
      </w:r>
      <w:r>
        <w:rPr>
          <w:rFonts w:ascii="Times New Roman" w:hAnsi="Times New Roman"/>
          <w:b/>
          <w:color w:val="000000"/>
          <w:sz w:val="24"/>
          <w:szCs w:val="24"/>
        </w:rPr>
        <w:t>5-11</w:t>
      </w:r>
      <w:r>
        <w:rPr>
          <w:rFonts w:hint="eastAsia" w:ascii="Times New Roman" w:hAnsi="Times New Roman"/>
          <w:b/>
          <w:color w:val="000000"/>
          <w:sz w:val="24"/>
          <w:szCs w:val="24"/>
        </w:rPr>
        <w:t xml:space="preserve">   工业企业厂界环境噪声排放标准   单位：dB（A）</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center"/>
          </w:tcPr>
          <w:p>
            <w:pPr>
              <w:spacing w:line="240" w:lineRule="atLeast"/>
              <w:jc w:val="center"/>
              <w:rPr>
                <w:rFonts w:ascii="Times New Roman" w:hAnsi="Times New Roman"/>
                <w:b/>
                <w:szCs w:val="21"/>
              </w:rPr>
            </w:pPr>
            <w:r>
              <w:rPr>
                <w:rFonts w:hint="eastAsia" w:ascii="Times New Roman" w:hAnsi="Times New Roman"/>
                <w:b/>
                <w:szCs w:val="21"/>
              </w:rPr>
              <w:t>厂界外声环境功能类别</w:t>
            </w:r>
          </w:p>
        </w:tc>
        <w:tc>
          <w:tcPr>
            <w:tcW w:w="5682" w:type="dxa"/>
            <w:gridSpan w:val="2"/>
            <w:vAlign w:val="center"/>
          </w:tcPr>
          <w:p>
            <w:pPr>
              <w:spacing w:line="240" w:lineRule="atLeast"/>
              <w:jc w:val="center"/>
              <w:rPr>
                <w:rFonts w:ascii="Times New Roman" w:hAnsi="Times New Roman"/>
                <w:b/>
                <w:szCs w:val="21"/>
              </w:rPr>
            </w:pPr>
            <w:r>
              <w:rPr>
                <w:rFonts w:hint="eastAsia" w:ascii="Times New Roman" w:hAnsi="Times New Roman"/>
                <w:b/>
                <w:szCs w:val="21"/>
              </w:rPr>
              <w:t>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40" w:type="dxa"/>
            <w:vMerge w:val="continue"/>
            <w:vAlign w:val="center"/>
          </w:tcPr>
          <w:p>
            <w:pPr>
              <w:spacing w:line="240" w:lineRule="atLeast"/>
              <w:jc w:val="center"/>
              <w:rPr>
                <w:rFonts w:ascii="Times New Roman" w:hAnsi="Times New Roman"/>
                <w:szCs w:val="21"/>
              </w:rPr>
            </w:pP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昼间</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szCs w:val="21"/>
              </w:rPr>
            </w:pPr>
            <w:r>
              <w:rPr>
                <w:rFonts w:hint="eastAsia" w:ascii="Times New Roman" w:hAnsi="Times New Roman"/>
                <w:szCs w:val="21"/>
              </w:rPr>
              <w:t>3类</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65</w:t>
            </w:r>
          </w:p>
        </w:tc>
        <w:tc>
          <w:tcPr>
            <w:tcW w:w="2841" w:type="dxa"/>
            <w:vAlign w:val="center"/>
          </w:tcPr>
          <w:p>
            <w:pPr>
              <w:spacing w:line="240" w:lineRule="atLeast"/>
              <w:jc w:val="center"/>
              <w:rPr>
                <w:rFonts w:ascii="Times New Roman" w:hAnsi="Times New Roman"/>
                <w:szCs w:val="21"/>
              </w:rPr>
            </w:pPr>
            <w:r>
              <w:rPr>
                <w:rFonts w:hint="eastAsia" w:ascii="Times New Roman" w:hAnsi="Times New Roman"/>
                <w:szCs w:val="21"/>
              </w:rPr>
              <w:t>55</w:t>
            </w:r>
          </w:p>
        </w:tc>
      </w:tr>
    </w:tbl>
    <w:p>
      <w:pPr>
        <w:spacing w:line="360" w:lineRule="auto"/>
        <w:ind w:firstLine="480" w:firstLineChars="200"/>
        <w:rPr>
          <w:rFonts w:ascii="Times New Roman" w:hAnsi="Times New Roman"/>
          <w:color w:val="000000"/>
          <w:sz w:val="24"/>
          <w:szCs w:val="24"/>
        </w:rPr>
      </w:pP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（5）固体</w:t>
      </w:r>
      <w:r>
        <w:rPr>
          <w:rFonts w:ascii="Times New Roman" w:hAnsi="Times New Roman"/>
          <w:b/>
          <w:color w:val="000000"/>
          <w:sz w:val="24"/>
          <w:szCs w:val="24"/>
        </w:rPr>
        <w:t>废物排放标准</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运营期产生的固体废物主要为：锅炉炉渣、生活垃圾、化粪池及污水处理系统污泥；生产过程中产生的固废主要为：废纸中少量的杂质、沙粒、小石子；项目产生的不合格产品，边角废料等都能回用于生产。锅炉炉渣、生活垃圾、化粪池及污水处理系统污泥均为一般固体废物，排放执行《一般工业固体废物贮存、处置场污染控制标准》（GB18599-2001）相应标准和关于发布《一般工业固体废物贮存、处置场污染控制标准》（GB18599-2001）等3项国家污染物控制标准修改单的公告（环境保护部公告2013年第36号）。</w:t>
      </w:r>
    </w:p>
    <w:p>
      <w:pPr>
        <w:pStyle w:val="5"/>
        <w:ind w:firstLine="562"/>
        <w:rPr>
          <w:rFonts w:hAnsi="Times New Roman"/>
        </w:rPr>
      </w:pPr>
      <w:bookmarkStart w:id="87" w:name="_Toc1003"/>
      <w:bookmarkStart w:id="88" w:name="_Toc21859"/>
      <w:r>
        <w:rPr>
          <w:rFonts w:hint="eastAsia" w:hAnsi="Times New Roman"/>
        </w:rPr>
        <w:t>2.6环境</w:t>
      </w:r>
      <w:r>
        <w:rPr>
          <w:rFonts w:hAnsi="Times New Roman"/>
        </w:rPr>
        <w:t>保护目标</w:t>
      </w:r>
      <w:bookmarkEnd w:id="87"/>
      <w:bookmarkEnd w:id="88"/>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环境</w:t>
      </w:r>
      <w:r>
        <w:rPr>
          <w:rFonts w:ascii="Times New Roman" w:hAnsi="Times New Roman"/>
          <w:color w:val="000000"/>
          <w:sz w:val="24"/>
          <w:szCs w:val="24"/>
        </w:rPr>
        <w:t>保护目标见表</w:t>
      </w:r>
      <w:r>
        <w:rPr>
          <w:rFonts w:hint="eastAsia" w:ascii="Times New Roman" w:hAnsi="Times New Roman"/>
          <w:color w:val="000000"/>
          <w:sz w:val="24"/>
          <w:szCs w:val="24"/>
        </w:rPr>
        <w:t>2.6</w:t>
      </w:r>
      <w:r>
        <w:rPr>
          <w:rFonts w:ascii="Times New Roman" w:hAnsi="Times New Roman"/>
          <w:color w:val="000000"/>
          <w:sz w:val="24"/>
          <w:szCs w:val="24"/>
        </w:rPr>
        <w:t>-1</w:t>
      </w:r>
      <w:r>
        <w:rPr>
          <w:rFonts w:hint="eastAsia" w:ascii="Times New Roman" w:hAnsi="Times New Roman"/>
          <w:color w:val="000000"/>
          <w:sz w:val="24"/>
          <w:szCs w:val="24"/>
        </w:rPr>
        <w:t>。</w:t>
      </w:r>
      <w:r>
        <w:rPr>
          <w:rFonts w:ascii="Times New Roman" w:hAnsi="Times New Roman"/>
          <w:color w:val="000000"/>
          <w:sz w:val="24"/>
          <w:szCs w:val="24"/>
        </w:rPr>
        <w:t>保护目标</w:t>
      </w:r>
      <w:r>
        <w:rPr>
          <w:rFonts w:hint="eastAsia" w:ascii="Times New Roman" w:hAnsi="Times New Roman"/>
          <w:color w:val="000000"/>
          <w:sz w:val="24"/>
          <w:szCs w:val="24"/>
        </w:rPr>
        <w:t>相关</w:t>
      </w:r>
      <w:r>
        <w:rPr>
          <w:rFonts w:ascii="Times New Roman" w:hAnsi="Times New Roman"/>
          <w:color w:val="000000"/>
          <w:sz w:val="24"/>
          <w:szCs w:val="24"/>
        </w:rPr>
        <w:t>位置示意图见附图</w:t>
      </w:r>
      <w:r>
        <w:rPr>
          <w:rFonts w:hint="eastAsia" w:ascii="Times New Roman" w:hAnsi="Times New Roman"/>
          <w:color w:val="000000"/>
          <w:sz w:val="24"/>
          <w:szCs w:val="24"/>
        </w:rPr>
        <w:t>二</w:t>
      </w:r>
      <w:r>
        <w:rPr>
          <w:rFonts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表2.6</w:t>
      </w:r>
      <w:r>
        <w:rPr>
          <w:rFonts w:ascii="Times New Roman" w:hAnsi="Times New Roman"/>
          <w:b/>
          <w:color w:val="000000"/>
          <w:sz w:val="24"/>
          <w:szCs w:val="24"/>
        </w:rPr>
        <w:t xml:space="preserve">-1   </w:t>
      </w:r>
      <w:r>
        <w:rPr>
          <w:rFonts w:hint="eastAsia" w:ascii="Times New Roman" w:hAnsi="Times New Roman"/>
          <w:b/>
          <w:color w:val="000000"/>
          <w:sz w:val="24"/>
          <w:szCs w:val="24"/>
        </w:rPr>
        <w:t>项目</w:t>
      </w:r>
      <w:r>
        <w:rPr>
          <w:rFonts w:ascii="Times New Roman" w:hAnsi="Times New Roman"/>
          <w:b/>
          <w:color w:val="000000"/>
          <w:sz w:val="24"/>
          <w:szCs w:val="24"/>
        </w:rPr>
        <w:t>环境保护目标一览表</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153"/>
        <w:gridCol w:w="974"/>
        <w:gridCol w:w="992"/>
        <w:gridCol w:w="992"/>
        <w:gridCol w:w="992"/>
        <w:gridCol w:w="851"/>
        <w:gridCol w:w="18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675"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环境要素</w:t>
            </w:r>
          </w:p>
        </w:tc>
        <w:tc>
          <w:tcPr>
            <w:tcW w:w="1153"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环境保护目标名称</w:t>
            </w:r>
          </w:p>
        </w:tc>
        <w:tc>
          <w:tcPr>
            <w:tcW w:w="1966" w:type="dxa"/>
            <w:gridSpan w:val="2"/>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坐标</w:t>
            </w:r>
          </w:p>
        </w:tc>
        <w:tc>
          <w:tcPr>
            <w:tcW w:w="992"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方位</w:t>
            </w:r>
          </w:p>
        </w:tc>
        <w:tc>
          <w:tcPr>
            <w:tcW w:w="992"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最近距离（m）</w:t>
            </w:r>
          </w:p>
        </w:tc>
        <w:tc>
          <w:tcPr>
            <w:tcW w:w="851"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规模（人）</w:t>
            </w:r>
          </w:p>
        </w:tc>
        <w:tc>
          <w:tcPr>
            <w:tcW w:w="1893"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环境功能及保护级别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75" w:type="dxa"/>
            <w:vMerge w:val="continue"/>
            <w:vAlign w:val="center"/>
          </w:tcPr>
          <w:p>
            <w:pPr>
              <w:spacing w:line="240" w:lineRule="atLeast"/>
              <w:jc w:val="center"/>
              <w:rPr>
                <w:rFonts w:ascii="Times New Roman" w:hAnsi="Times New Roman" w:eastAsia="宋体" w:cs="Times New Roman"/>
                <w:b/>
                <w:kern w:val="0"/>
                <w:sz w:val="20"/>
                <w:szCs w:val="21"/>
              </w:rPr>
            </w:pPr>
          </w:p>
        </w:tc>
        <w:tc>
          <w:tcPr>
            <w:tcW w:w="1153" w:type="dxa"/>
            <w:vMerge w:val="continue"/>
            <w:vAlign w:val="center"/>
          </w:tcPr>
          <w:p>
            <w:pPr>
              <w:spacing w:line="240" w:lineRule="atLeast"/>
              <w:jc w:val="center"/>
              <w:rPr>
                <w:rFonts w:ascii="Times New Roman" w:hAnsi="Times New Roman" w:eastAsia="宋体" w:cs="Times New Roman"/>
                <w:b/>
                <w:kern w:val="0"/>
                <w:sz w:val="20"/>
                <w:szCs w:val="21"/>
              </w:rPr>
            </w:pPr>
          </w:p>
        </w:tc>
        <w:tc>
          <w:tcPr>
            <w:tcW w:w="974" w:type="dxa"/>
            <w:vAlign w:val="center"/>
          </w:tcPr>
          <w:p>
            <w:pPr>
              <w:spacing w:line="240" w:lineRule="atLeast"/>
              <w:jc w:val="center"/>
              <w:rPr>
                <w:rFonts w:ascii="Times New Roman" w:hAnsi="Times New Roman" w:eastAsia="宋体" w:cs="Times New Roman"/>
                <w:b/>
                <w:kern w:val="0"/>
                <w:sz w:val="20"/>
                <w:szCs w:val="21"/>
              </w:rPr>
            </w:pPr>
            <w:r>
              <w:rPr>
                <w:rFonts w:hint="eastAsia" w:ascii="Times New Roman" w:hAnsi="Times New Roman" w:eastAsia="宋体" w:cs="Times New Roman"/>
                <w:b/>
                <w:kern w:val="0"/>
                <w:sz w:val="20"/>
                <w:szCs w:val="21"/>
              </w:rPr>
              <w:t>东经</w:t>
            </w:r>
          </w:p>
        </w:tc>
        <w:tc>
          <w:tcPr>
            <w:tcW w:w="992" w:type="dxa"/>
            <w:vAlign w:val="center"/>
          </w:tcPr>
          <w:p>
            <w:pPr>
              <w:spacing w:line="240" w:lineRule="atLeast"/>
              <w:jc w:val="center"/>
              <w:rPr>
                <w:rFonts w:ascii="Times New Roman" w:hAnsi="Times New Roman" w:eastAsia="宋体" w:cs="Times New Roman"/>
                <w:b/>
                <w:kern w:val="0"/>
                <w:sz w:val="20"/>
                <w:szCs w:val="21"/>
              </w:rPr>
            </w:pPr>
            <w:r>
              <w:rPr>
                <w:rFonts w:hint="eastAsia" w:ascii="Times New Roman" w:hAnsi="Times New Roman" w:eastAsia="宋体" w:cs="Times New Roman"/>
                <w:b/>
                <w:kern w:val="0"/>
                <w:sz w:val="20"/>
                <w:szCs w:val="21"/>
              </w:rPr>
              <w:t>北纬</w:t>
            </w:r>
          </w:p>
        </w:tc>
        <w:tc>
          <w:tcPr>
            <w:tcW w:w="992" w:type="dxa"/>
            <w:vMerge w:val="continue"/>
            <w:vAlign w:val="center"/>
          </w:tcPr>
          <w:p>
            <w:pPr>
              <w:spacing w:line="240" w:lineRule="atLeast"/>
              <w:jc w:val="center"/>
              <w:rPr>
                <w:rFonts w:ascii="Times New Roman" w:hAnsi="Times New Roman" w:eastAsia="宋体" w:cs="Times New Roman"/>
                <w:b/>
                <w:kern w:val="0"/>
                <w:sz w:val="20"/>
                <w:szCs w:val="21"/>
              </w:rPr>
            </w:pPr>
          </w:p>
        </w:tc>
        <w:tc>
          <w:tcPr>
            <w:tcW w:w="992" w:type="dxa"/>
            <w:vMerge w:val="continue"/>
            <w:vAlign w:val="center"/>
          </w:tcPr>
          <w:p>
            <w:pPr>
              <w:spacing w:line="240" w:lineRule="atLeast"/>
              <w:jc w:val="center"/>
              <w:rPr>
                <w:rFonts w:ascii="Times New Roman" w:hAnsi="Times New Roman" w:eastAsia="宋体" w:cs="Times New Roman"/>
                <w:b/>
                <w:kern w:val="0"/>
                <w:sz w:val="20"/>
                <w:szCs w:val="21"/>
              </w:rPr>
            </w:pPr>
          </w:p>
        </w:tc>
        <w:tc>
          <w:tcPr>
            <w:tcW w:w="851" w:type="dxa"/>
            <w:vMerge w:val="continue"/>
            <w:vAlign w:val="center"/>
          </w:tcPr>
          <w:p>
            <w:pPr>
              <w:spacing w:line="240" w:lineRule="atLeast"/>
              <w:jc w:val="center"/>
              <w:rPr>
                <w:rFonts w:ascii="Times New Roman" w:hAnsi="Times New Roman" w:eastAsia="宋体" w:cs="Times New Roman"/>
                <w:b/>
                <w:kern w:val="0"/>
                <w:sz w:val="20"/>
                <w:szCs w:val="21"/>
              </w:rPr>
            </w:pPr>
          </w:p>
        </w:tc>
        <w:tc>
          <w:tcPr>
            <w:tcW w:w="1893" w:type="dxa"/>
            <w:vMerge w:val="continue"/>
            <w:vAlign w:val="center"/>
          </w:tcPr>
          <w:p>
            <w:pPr>
              <w:spacing w:line="240" w:lineRule="atLeast"/>
              <w:jc w:val="center"/>
              <w:rPr>
                <w:rFonts w:ascii="Times New Roman" w:hAnsi="Times New Roman" w:eastAsia="宋体" w:cs="Times New Roman"/>
                <w:b/>
                <w:kern w:val="0"/>
                <w:sz w:val="2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环境空气</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小雷宰村</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101°49'56.04"</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25°51'45.37"</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东偏南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422</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320</w:t>
            </w:r>
          </w:p>
        </w:tc>
        <w:tc>
          <w:tcPr>
            <w:tcW w:w="1893"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《环境空气质量标准》（GB3095-2012）二级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海洛村</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101°52'35.94"</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25°51'21.11"</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东偏南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4865</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957</w:t>
            </w:r>
          </w:p>
        </w:tc>
        <w:tc>
          <w:tcPr>
            <w:tcW w:w="1893"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金雷村</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101°50'36.67"</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25°50'18.40"</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东南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2911</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2739</w:t>
            </w:r>
          </w:p>
        </w:tc>
        <w:tc>
          <w:tcPr>
            <w:tcW w:w="1893"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湾保</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101°48'13.61"</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25°51'18.88"</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西南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2460</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414</w:t>
            </w:r>
          </w:p>
        </w:tc>
        <w:tc>
          <w:tcPr>
            <w:tcW w:w="1893"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物贸乡</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101°47'29.42"</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25°52'12.13""</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西偏北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3597</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800</w:t>
            </w:r>
          </w:p>
        </w:tc>
        <w:tc>
          <w:tcPr>
            <w:tcW w:w="1893"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那化</w:t>
            </w:r>
            <w:r>
              <w:rPr>
                <w:rFonts w:ascii="Times New Roman" w:hAnsi="Times New Roman" w:eastAsia="宋体" w:cs="Times New Roman"/>
                <w:kern w:val="0"/>
                <w:szCs w:val="21"/>
              </w:rPr>
              <w:t>村</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101°48'57.87"</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25°52'01.08"</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西偏北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1038</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301</w:t>
            </w:r>
          </w:p>
        </w:tc>
        <w:tc>
          <w:tcPr>
            <w:tcW w:w="1893"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苴</w:t>
            </w:r>
            <w:r>
              <w:rPr>
                <w:rFonts w:ascii="Times New Roman" w:hAnsi="Times New Roman" w:eastAsia="宋体" w:cs="Times New Roman"/>
                <w:kern w:val="0"/>
                <w:szCs w:val="21"/>
              </w:rPr>
              <w:t>那村</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101°49'56.96"</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25°49'06.09"</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西北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2359</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1360</w:t>
            </w:r>
          </w:p>
        </w:tc>
        <w:tc>
          <w:tcPr>
            <w:tcW w:w="1893"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黑泥</w:t>
            </w:r>
            <w:r>
              <w:rPr>
                <w:rFonts w:ascii="Times New Roman" w:hAnsi="Times New Roman" w:eastAsia="宋体" w:cs="Times New Roman"/>
                <w:kern w:val="0"/>
                <w:szCs w:val="21"/>
              </w:rPr>
              <w:t>坡</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101°51'19.62"</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25°53'42.20"</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东北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4452</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128</w:t>
            </w:r>
          </w:p>
        </w:tc>
        <w:tc>
          <w:tcPr>
            <w:tcW w:w="1893"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丙</w:t>
            </w:r>
            <w:r>
              <w:rPr>
                <w:rFonts w:ascii="Times New Roman" w:hAnsi="Times New Roman" w:eastAsia="宋体" w:cs="Times New Roman"/>
                <w:kern w:val="0"/>
                <w:szCs w:val="21"/>
              </w:rPr>
              <w:t>大浪</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101°51'31.21"</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25°53'32.75"</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东北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4535</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260</w:t>
            </w:r>
          </w:p>
        </w:tc>
        <w:tc>
          <w:tcPr>
            <w:tcW w:w="1893"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大那别</w:t>
            </w:r>
          </w:p>
        </w:tc>
        <w:tc>
          <w:tcPr>
            <w:tcW w:w="974" w:type="dxa"/>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101°51'58.78"</w:t>
            </w:r>
          </w:p>
        </w:tc>
        <w:tc>
          <w:tcPr>
            <w:tcW w:w="992" w:type="dxa"/>
            <w:vAlign w:val="center"/>
          </w:tcPr>
          <w:p>
            <w:pPr>
              <w:spacing w:line="240" w:lineRule="atLeast"/>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25°52'21.30"</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东偏北</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3912</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336</w:t>
            </w:r>
          </w:p>
        </w:tc>
        <w:tc>
          <w:tcPr>
            <w:tcW w:w="1893"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地表水</w:t>
            </w:r>
          </w:p>
        </w:tc>
        <w:tc>
          <w:tcPr>
            <w:tcW w:w="3119" w:type="dxa"/>
            <w:gridSpan w:val="3"/>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蜻蛉河</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西</w:t>
            </w:r>
          </w:p>
        </w:tc>
        <w:tc>
          <w:tcPr>
            <w:tcW w:w="99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440</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小</w:t>
            </w:r>
          </w:p>
        </w:tc>
        <w:tc>
          <w:tcPr>
            <w:tcW w:w="189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《地表水环境质量标准》（GB3838-2002）</w:t>
            </w:r>
          </w:p>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IV类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地下水</w:t>
            </w:r>
          </w:p>
        </w:tc>
        <w:tc>
          <w:tcPr>
            <w:tcW w:w="5954" w:type="dxa"/>
            <w:gridSpan w:val="6"/>
            <w:vAlign w:val="center"/>
          </w:tcPr>
          <w:p>
            <w:pPr>
              <w:spacing w:line="240" w:lineRule="atLeast"/>
              <w:jc w:val="center"/>
              <w:rPr>
                <w:rFonts w:ascii="Times New Roman" w:hAnsi="Times New Roman" w:eastAsia="宋体" w:cs="Times New Roman"/>
                <w:kern w:val="0"/>
                <w:sz w:val="20"/>
                <w:szCs w:val="21"/>
              </w:rPr>
            </w:pPr>
            <w:r>
              <w:rPr>
                <w:rFonts w:hint="eastAsia" w:ascii="Times New Roman" w:hAnsi="Times New Roman" w:eastAsia="宋体" w:cs="Times New Roman"/>
                <w:kern w:val="0"/>
                <w:szCs w:val="21"/>
              </w:rPr>
              <w:t>评价范围</w:t>
            </w:r>
            <w:r>
              <w:rPr>
                <w:rFonts w:ascii="Times New Roman" w:hAnsi="Times New Roman" w:eastAsia="宋体" w:cs="Times New Roman"/>
                <w:kern w:val="0"/>
                <w:szCs w:val="21"/>
              </w:rPr>
              <w:t>内的小雷宰村水井</w:t>
            </w:r>
          </w:p>
        </w:tc>
        <w:tc>
          <w:tcPr>
            <w:tcW w:w="189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《地下水质量</w:t>
            </w:r>
            <w:r>
              <w:rPr>
                <w:rFonts w:ascii="Times New Roman" w:hAnsi="Times New Roman" w:eastAsia="宋体" w:cs="Times New Roman"/>
                <w:kern w:val="0"/>
                <w:szCs w:val="21"/>
              </w:rPr>
              <w:t>标准</w:t>
            </w:r>
            <w:r>
              <w:rPr>
                <w:rFonts w:hint="eastAsia" w:ascii="Times New Roman" w:hAnsi="Times New Roman" w:eastAsia="宋体" w:cs="Times New Roman"/>
                <w:kern w:val="0"/>
                <w:szCs w:val="21"/>
              </w:rPr>
              <w:t>》（GB/T14848-2017）III</w:t>
            </w:r>
            <w:r>
              <w:rPr>
                <w:rFonts w:ascii="Times New Roman" w:hAnsi="Times New Roman" w:eastAsia="宋体" w:cs="Times New Roman"/>
                <w:kern w:val="0"/>
                <w:szCs w:val="21"/>
              </w:rPr>
              <w:t>类标准</w:t>
            </w:r>
          </w:p>
        </w:tc>
      </w:tr>
    </w:tbl>
    <w:p>
      <w:pPr>
        <w:spacing w:line="360" w:lineRule="auto"/>
        <w:ind w:firstLine="480" w:firstLineChars="200"/>
        <w:rPr>
          <w:rFonts w:ascii="Times New Roman" w:hAnsi="Times New Roman"/>
          <w:color w:val="000000"/>
          <w:sz w:val="24"/>
          <w:szCs w:val="24"/>
        </w:rPr>
      </w:pPr>
    </w:p>
    <w:p>
      <w:pPr>
        <w:pStyle w:val="5"/>
        <w:ind w:firstLine="562"/>
        <w:rPr>
          <w:rFonts w:hAnsi="Times New Roman"/>
        </w:rPr>
      </w:pPr>
      <w:bookmarkStart w:id="89" w:name="_Toc23843320"/>
      <w:bookmarkStart w:id="90" w:name="_Toc23431"/>
      <w:bookmarkStart w:id="91" w:name="_Toc13771"/>
      <w:r>
        <w:rPr>
          <w:rFonts w:hint="eastAsia" w:hAnsi="Times New Roman"/>
        </w:rPr>
        <w:t>2.7评价方法和工作程序</w:t>
      </w:r>
      <w:bookmarkEnd w:id="89"/>
      <w:bookmarkEnd w:id="90"/>
      <w:bookmarkEnd w:id="91"/>
    </w:p>
    <w:p>
      <w:pPr>
        <w:pStyle w:val="5"/>
        <w:ind w:firstLine="562"/>
        <w:rPr>
          <w:rFonts w:hAnsi="Times New Roman"/>
          <w:sz w:val="24"/>
          <w:szCs w:val="24"/>
        </w:rPr>
      </w:pPr>
      <w:bookmarkStart w:id="92" w:name="_Toc23843321"/>
      <w:bookmarkStart w:id="93" w:name="_Toc854"/>
      <w:bookmarkStart w:id="94" w:name="_Toc5756"/>
      <w:r>
        <w:rPr>
          <w:rFonts w:hint="eastAsia" w:hAnsi="Times New Roman"/>
          <w:sz w:val="24"/>
          <w:szCs w:val="24"/>
        </w:rPr>
        <w:t>2.7.1评价方法</w:t>
      </w:r>
      <w:bookmarkEnd w:id="92"/>
      <w:bookmarkEnd w:id="93"/>
      <w:bookmarkEnd w:id="94"/>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评价方法以《环境影响评价技术导则》作指导，通过部分监测、收集资料咨询、类比、公众参与、分析整理等方法，对项目进行定量。定性的分析，作出评价。</w:t>
      </w:r>
    </w:p>
    <w:p>
      <w:pPr>
        <w:pStyle w:val="5"/>
        <w:ind w:firstLine="562"/>
        <w:rPr>
          <w:rFonts w:hAnsi="Times New Roman"/>
          <w:sz w:val="24"/>
          <w:szCs w:val="24"/>
        </w:rPr>
      </w:pPr>
      <w:bookmarkStart w:id="95" w:name="_Toc23843322"/>
      <w:bookmarkStart w:id="96" w:name="_Toc14126"/>
      <w:bookmarkStart w:id="97" w:name="_Toc11804"/>
      <w:r>
        <w:rPr>
          <w:rFonts w:hint="eastAsia" w:hAnsi="Times New Roman"/>
          <w:sz w:val="24"/>
          <w:szCs w:val="24"/>
        </w:rPr>
        <w:t>2.7.2评价工作程序</w:t>
      </w:r>
      <w:bookmarkEnd w:id="95"/>
      <w:bookmarkEnd w:id="96"/>
      <w:bookmarkEnd w:id="97"/>
    </w:p>
    <w:p>
      <w:pPr>
        <w:spacing w:line="360" w:lineRule="auto"/>
        <w:ind w:firstLine="480" w:firstLineChars="200"/>
        <w:rPr>
          <w:rFonts w:hint="eastAsia" w:ascii="Times New Roman" w:hAnsi="Times New Roman"/>
          <w:color w:val="000000"/>
          <w:sz w:val="24"/>
          <w:szCs w:val="24"/>
        </w:rPr>
      </w:pPr>
      <w:r>
        <w:rPr>
          <w:rFonts w:hint="eastAsia" w:ascii="Times New Roman" w:hAnsi="Times New Roman"/>
          <w:color w:val="000000"/>
          <w:sz w:val="24"/>
          <w:szCs w:val="24"/>
        </w:rPr>
        <w:t>按照《建设项目环境影响评价技术导则总纲》（HJ2.1-2016），环境影响评价工作程序分为三个阶段，即调查分析和工作方案制定阶段、分析论证和预测评价阶段，环境影响评价文件编制阶段。评价工作程序见图2.7-1。</w:t>
      </w:r>
    </w:p>
    <w:p>
      <w:pPr>
        <w:pStyle w:val="2"/>
        <w:rPr>
          <w:rFonts w:hint="eastAsia" w:ascii="Times New Roman" w:hAnsi="Times New Roman"/>
          <w:color w:val="000000"/>
          <w:sz w:val="24"/>
          <w:szCs w:val="24"/>
        </w:rPr>
      </w:pPr>
    </w:p>
    <w:p>
      <w:pPr>
        <w:pStyle w:val="3"/>
        <w:rPr>
          <w:rFonts w:hint="eastAsia" w:ascii="Times New Roman" w:hAnsi="Times New Roman"/>
          <w:color w:val="000000"/>
          <w:sz w:val="24"/>
          <w:szCs w:val="24"/>
        </w:rPr>
      </w:pPr>
    </w:p>
    <w:p>
      <w:pPr>
        <w:pStyle w:val="3"/>
        <w:rPr>
          <w:rFonts w:hint="eastAsia" w:ascii="Times New Roman" w:hAnsi="Times New Roman"/>
          <w:color w:val="000000"/>
          <w:sz w:val="24"/>
          <w:szCs w:val="24"/>
        </w:rPr>
      </w:pPr>
    </w:p>
    <w:p>
      <w:pPr>
        <w:pStyle w:val="3"/>
        <w:rPr>
          <w:rFonts w:hint="eastAsia" w:ascii="Times New Roman" w:hAnsi="Times New Roman"/>
          <w:color w:val="000000"/>
          <w:sz w:val="24"/>
          <w:szCs w:val="24"/>
        </w:rPr>
      </w:pPr>
    </w:p>
    <w:p>
      <w:pPr>
        <w:spacing w:line="360" w:lineRule="auto"/>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83168" behindDoc="0" locked="0" layoutInCell="1" allowOverlap="1">
                <wp:simplePos x="0" y="0"/>
                <wp:positionH relativeFrom="margin">
                  <wp:posOffset>273685</wp:posOffset>
                </wp:positionH>
                <wp:positionV relativeFrom="paragraph">
                  <wp:posOffset>302260</wp:posOffset>
                </wp:positionV>
                <wp:extent cx="4773295" cy="6198870"/>
                <wp:effectExtent l="0" t="0" r="27305" b="11430"/>
                <wp:wrapNone/>
                <wp:docPr id="292" name="矩形 292"/>
                <wp:cNvGraphicFramePr/>
                <a:graphic xmlns:a="http://schemas.openxmlformats.org/drawingml/2006/main">
                  <a:graphicData uri="http://schemas.microsoft.com/office/word/2010/wordprocessingShape">
                    <wps:wsp>
                      <wps:cNvSpPr/>
                      <wps:spPr>
                        <a:xfrm>
                          <a:off x="0" y="0"/>
                          <a:ext cx="4773295" cy="619887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5pt;margin-top:23.8pt;height:488.1pt;width:375.85pt;mso-position-horizontal-relative:margin;z-index:251783168;v-text-anchor:middle;mso-width-relative:page;mso-height-relative:page;" filled="f" stroked="t" coordsize="21600,21600" o:gfxdata="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UwNg2QAAAAoBAAAP&#10;AAAAAAAAAAEAIAAAACIAAABkcnMvZG93bnJldi54bWxQSwECFAAUAAAACACHTuJAt2JFBFACAACC&#10;BAAADgAAAAAAAAABACAAAAAoAQAAZHJzL2Uyb0RvYy54bWxQSwUGAAAAAAYABgBZAQAA6gUAAAAA&#10;">
                <v:fill on="f" focussize="0,0"/>
                <v:stroke weight="1pt" color="#000000 [3213]" miterlimit="8" joinstyle="miter"/>
                <v:imagedata o:title=""/>
                <o:lock v:ext="edit" aspectratio="f"/>
              </v:rect>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60640" behindDoc="0" locked="0" layoutInCell="1" allowOverlap="1">
                <wp:simplePos x="0" y="0"/>
                <wp:positionH relativeFrom="column">
                  <wp:posOffset>1581150</wp:posOffset>
                </wp:positionH>
                <wp:positionV relativeFrom="paragraph">
                  <wp:posOffset>142875</wp:posOffset>
                </wp:positionV>
                <wp:extent cx="2676525" cy="314325"/>
                <wp:effectExtent l="0" t="0" r="28575" b="28575"/>
                <wp:wrapNone/>
                <wp:docPr id="242" name="Text Box 59"/>
                <wp:cNvGraphicFramePr/>
                <a:graphic xmlns:a="http://schemas.openxmlformats.org/drawingml/2006/main">
                  <a:graphicData uri="http://schemas.microsoft.com/office/word/2010/wordprocessingShape">
                    <wps:wsp>
                      <wps:cNvSpPr txBox="1">
                        <a:spLocks noChangeArrowheads="1"/>
                      </wps:cNvSpPr>
                      <wps:spPr bwMode="auto">
                        <a:xfrm>
                          <a:off x="0" y="0"/>
                          <a:ext cx="2676525" cy="314325"/>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依据相关文件确定环境影响评价文件类型</w:t>
                            </w:r>
                          </w:p>
                        </w:txbxContent>
                      </wps:txbx>
                      <wps:bodyPr rot="0" vert="horz" wrap="square" lIns="91440" tIns="45720" rIns="91440" bIns="45720" anchor="t" anchorCtr="0" upright="1">
                        <a:noAutofit/>
                      </wps:bodyPr>
                    </wps:wsp>
                  </a:graphicData>
                </a:graphic>
              </wp:anchor>
            </w:drawing>
          </mc:Choice>
          <mc:Fallback>
            <w:pict>
              <v:shape id="Text Box 59" o:spid="_x0000_s1026" o:spt="202" type="#_x0000_t202" style="position:absolute;left:0pt;margin-left:124.5pt;margin-top:11.25pt;height:24.75pt;width:210.75pt;z-index:251760640;mso-width-relative:page;mso-height-relative:page;" fillcolor="#FFFFFF" filled="t" stroked="t" coordsize="21600,21600" o:gfxdata="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Vn7wPYAAAACQEAAA8AAAAA&#10;AAAAAQAgAAAAIgAAAGRycy9kb3ducmV2LnhtbFBLAQIUABQAAAAIAIdO4kDi8RV6FAIAADsEAAAO&#10;AAAAAAAAAAEAIAAAACcBAABkcnMvZTJvRG9jLnhtbFBLBQYAAAAABgAGAFkBAACtBQ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依据相关文件确定环境影响评价文件类型</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68832" behindDoc="0" locked="0" layoutInCell="1" allowOverlap="1">
                <wp:simplePos x="0" y="0"/>
                <wp:positionH relativeFrom="column">
                  <wp:posOffset>2924175</wp:posOffset>
                </wp:positionH>
                <wp:positionV relativeFrom="paragraph">
                  <wp:posOffset>167005</wp:posOffset>
                </wp:positionV>
                <wp:extent cx="9525" cy="183515"/>
                <wp:effectExtent l="47625" t="5080" r="57150" b="20955"/>
                <wp:wrapNone/>
                <wp:docPr id="241" name="AutoShape 68"/>
                <wp:cNvGraphicFramePr/>
                <a:graphic xmlns:a="http://schemas.openxmlformats.org/drawingml/2006/main">
                  <a:graphicData uri="http://schemas.microsoft.com/office/word/2010/wordprocessingShape">
                    <wps:wsp>
                      <wps:cNvCnPr>
                        <a:cxnSpLocks noChangeShapeType="1"/>
                      </wps:cNvCnPr>
                      <wps:spPr bwMode="auto">
                        <a:xfrm>
                          <a:off x="0" y="0"/>
                          <a:ext cx="9525" cy="183515"/>
                        </a:xfrm>
                        <a:prstGeom prst="straightConnector1">
                          <a:avLst/>
                        </a:prstGeom>
                        <a:noFill/>
                        <a:ln w="9525">
                          <a:solidFill>
                            <a:srgbClr val="000000"/>
                          </a:solidFill>
                          <a:round/>
                          <a:tailEnd type="triangle" w="med" len="med"/>
                        </a:ln>
                      </wps:spPr>
                      <wps:bodyPr/>
                    </wps:wsp>
                  </a:graphicData>
                </a:graphic>
              </wp:anchor>
            </w:drawing>
          </mc:Choice>
          <mc:Fallback>
            <w:pict>
              <v:shape id="AutoShape 68" o:spid="_x0000_s1026" o:spt="32" type="#_x0000_t32" style="position:absolute;left:0pt;margin-left:230.25pt;margin-top:13.15pt;height:14.45pt;width:0.75pt;z-index:251768832;mso-width-relative:page;mso-height-relative:page;" filled="f" stroked="t" coordsize="21600,21600" o:gfxdata="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4Mh42QAAAAkBAAAPAAAAAAAAAAEA&#10;IAAAACIAAABkcnMvZG93bnJldi54bWxQSwECFAAUAAAACACHTuJA/jidSdUBAACXAwAADgAAAAAA&#10;AAABACAAAAAoAQAAZHJzL2Uyb0RvYy54bWxQSwUGAAAAAAYABgBZAQAAbwUAAAAA&#10;">
                <v:fill on="f" focussize="0,0"/>
                <v:stroke color="#000000" joinstyle="round"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61664" behindDoc="0" locked="0" layoutInCell="1" allowOverlap="1">
                <wp:simplePos x="0" y="0"/>
                <wp:positionH relativeFrom="column">
                  <wp:posOffset>1755140</wp:posOffset>
                </wp:positionH>
                <wp:positionV relativeFrom="paragraph">
                  <wp:posOffset>51435</wp:posOffset>
                </wp:positionV>
                <wp:extent cx="2368550" cy="716280"/>
                <wp:effectExtent l="0" t="0" r="12700" b="27305"/>
                <wp:wrapNone/>
                <wp:docPr id="240" name="Text Box 60"/>
                <wp:cNvGraphicFramePr/>
                <a:graphic xmlns:a="http://schemas.openxmlformats.org/drawingml/2006/main">
                  <a:graphicData uri="http://schemas.microsoft.com/office/word/2010/wordprocessingShape">
                    <wps:wsp>
                      <wps:cNvSpPr txBox="1">
                        <a:spLocks noChangeArrowheads="1"/>
                      </wps:cNvSpPr>
                      <wps:spPr bwMode="auto">
                        <a:xfrm>
                          <a:off x="0" y="0"/>
                          <a:ext cx="2368550" cy="715993"/>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1研究相关技术文件和其他有关文件</w:t>
                            </w:r>
                          </w:p>
                          <w:p>
                            <w:pPr>
                              <w:spacing w:line="240" w:lineRule="atLeast"/>
                              <w:jc w:val="left"/>
                              <w:rPr>
                                <w:szCs w:val="21"/>
                              </w:rPr>
                            </w:pPr>
                            <w:r>
                              <w:rPr>
                                <w:rFonts w:hint="eastAsia"/>
                                <w:szCs w:val="21"/>
                              </w:rPr>
                              <w:t>2进行初步工程分析</w:t>
                            </w:r>
                          </w:p>
                          <w:p>
                            <w:pPr>
                              <w:spacing w:line="240" w:lineRule="atLeast"/>
                              <w:jc w:val="left"/>
                              <w:rPr>
                                <w:szCs w:val="21"/>
                              </w:rPr>
                            </w:pPr>
                            <w:r>
                              <w:rPr>
                                <w:rFonts w:hint="eastAsia"/>
                                <w:szCs w:val="21"/>
                              </w:rPr>
                              <w:t>3开展初步的环境现状调查</w:t>
                            </w:r>
                          </w:p>
                        </w:txbxContent>
                      </wps:txbx>
                      <wps:bodyPr rot="0" vert="horz" wrap="square" lIns="91440" tIns="45720" rIns="91440" bIns="45720" anchor="t" anchorCtr="0" upright="1">
                        <a:noAutofit/>
                      </wps:bodyPr>
                    </wps:wsp>
                  </a:graphicData>
                </a:graphic>
              </wp:anchor>
            </w:drawing>
          </mc:Choice>
          <mc:Fallback>
            <w:pict>
              <v:shape id="Text Box 60" o:spid="_x0000_s1026" o:spt="202" type="#_x0000_t202" style="position:absolute;left:0pt;margin-left:138.2pt;margin-top:4.05pt;height:56.4pt;width:186.5pt;z-index:251761664;mso-width-relative:page;mso-height-relative:page;" fillcolor="#FFFFFF" filled="t" stroked="t" coordsize="21600,21600" o:gfxdata="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FBwXNcAAAAJAQAADwAA&#10;AAAAAAABACAAAAAiAAAAZHJzL2Rvd25yZXYueG1sUEsBAhQAFAAAAAgAh07iQH6ET9AXAgAAOwQA&#10;AA4AAAAAAAAAAQAgAAAAJgEAAGRycy9lMm9Eb2MueG1sUEsFBgAAAAAGAAYAWQEAAK8FAAAAAA==&#10;">
                <v:fill on="t" focussize="0,0"/>
                <v:stroke color="#000000" miterlimit="8" joinstyle="miter"/>
                <v:imagedata o:title=""/>
                <o:lock v:ext="edit" aspectratio="f"/>
                <v:textbox>
                  <w:txbxContent>
                    <w:p>
                      <w:pPr>
                        <w:spacing w:line="240" w:lineRule="atLeast"/>
                        <w:jc w:val="left"/>
                        <w:rPr>
                          <w:szCs w:val="21"/>
                        </w:rPr>
                      </w:pPr>
                      <w:r>
                        <w:rPr>
                          <w:rFonts w:hint="eastAsia"/>
                          <w:szCs w:val="21"/>
                        </w:rPr>
                        <w:t>1研究相关技术文件和其他有关文件</w:t>
                      </w:r>
                    </w:p>
                    <w:p>
                      <w:pPr>
                        <w:spacing w:line="240" w:lineRule="atLeast"/>
                        <w:jc w:val="left"/>
                        <w:rPr>
                          <w:szCs w:val="21"/>
                        </w:rPr>
                      </w:pPr>
                      <w:r>
                        <w:rPr>
                          <w:rFonts w:hint="eastAsia"/>
                          <w:szCs w:val="21"/>
                        </w:rPr>
                        <w:t>2进行初步工程分析</w:t>
                      </w:r>
                    </w:p>
                    <w:p>
                      <w:pPr>
                        <w:spacing w:line="240" w:lineRule="atLeast"/>
                        <w:jc w:val="left"/>
                        <w:rPr>
                          <w:szCs w:val="21"/>
                        </w:rPr>
                      </w:pPr>
                      <w:r>
                        <w:rPr>
                          <w:rFonts w:hint="eastAsia"/>
                          <w:szCs w:val="21"/>
                        </w:rPr>
                        <w:t>3开展初步的环境现状调查</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86240" behindDoc="0" locked="0" layoutInCell="1" allowOverlap="1">
                <wp:simplePos x="0" y="0"/>
                <wp:positionH relativeFrom="column">
                  <wp:posOffset>792480</wp:posOffset>
                </wp:positionH>
                <wp:positionV relativeFrom="paragraph">
                  <wp:posOffset>8255</wp:posOffset>
                </wp:positionV>
                <wp:extent cx="353695" cy="1095375"/>
                <wp:effectExtent l="0" t="0" r="8890" b="9525"/>
                <wp:wrapNone/>
                <wp:docPr id="312" name="Text Box 62"/>
                <wp:cNvGraphicFramePr/>
                <a:graphic xmlns:a="http://schemas.openxmlformats.org/drawingml/2006/main">
                  <a:graphicData uri="http://schemas.microsoft.com/office/word/2010/wordprocessingShape">
                    <wps:wsp>
                      <wps:cNvSpPr txBox="1">
                        <a:spLocks noChangeArrowheads="1"/>
                      </wps:cNvSpPr>
                      <wps:spPr bwMode="auto">
                        <a:xfrm>
                          <a:off x="0" y="0"/>
                          <a:ext cx="353683" cy="1095554"/>
                        </a:xfrm>
                        <a:prstGeom prst="rect">
                          <a:avLst/>
                        </a:prstGeom>
                        <a:solidFill>
                          <a:srgbClr val="FFFFFF"/>
                        </a:solidFill>
                        <a:ln w="9525">
                          <a:noFill/>
                          <a:miter lim="800000"/>
                        </a:ln>
                      </wps:spPr>
                      <wps:txbx>
                        <w:txbxContent>
                          <w:p>
                            <w:pPr>
                              <w:spacing w:line="240" w:lineRule="atLeast"/>
                              <w:jc w:val="center"/>
                              <w:rPr>
                                <w:szCs w:val="21"/>
                              </w:rPr>
                            </w:pPr>
                            <w:r>
                              <w:rPr>
                                <w:rFonts w:hint="eastAsia"/>
                                <w:szCs w:val="21"/>
                              </w:rPr>
                              <w:t>第一</w:t>
                            </w:r>
                            <w:r>
                              <w:rPr>
                                <w:szCs w:val="21"/>
                              </w:rPr>
                              <w:t>阶段</w:t>
                            </w:r>
                          </w:p>
                        </w:txbxContent>
                      </wps:txbx>
                      <wps:bodyPr rot="0" vert="horz" wrap="square" lIns="91440" tIns="45720" rIns="91440" bIns="45720" anchor="t" anchorCtr="0" upright="1">
                        <a:noAutofit/>
                      </wps:bodyPr>
                    </wps:wsp>
                  </a:graphicData>
                </a:graphic>
              </wp:anchor>
            </w:drawing>
          </mc:Choice>
          <mc:Fallback>
            <w:pict>
              <v:shape id="Text Box 62" o:spid="_x0000_s1026" o:spt="202" type="#_x0000_t202" style="position:absolute;left:0pt;margin-left:62.4pt;margin-top:0.65pt;height:86.25pt;width:27.85pt;z-index:251786240;mso-width-relative:page;mso-height-relative:page;" fillcolor="#FFFFFF" filled="t" stroked="f" coordsize="21600,21600" o:gfxdata="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ykBodUAAAAJAQAADwAAAAAA&#10;AAABACAAAAAiAAAAZHJzL2Rvd25yZXYueG1sUEsBAhQAFAAAAAgAh07iQJFt4rwWAgAAEgQAAA4A&#10;AAAAAAAAAQAgAAAAJAEAAGRycy9lMm9Eb2MueG1sUEsFBgAAAAAGAAYAWQEAAKwFAAAAAA==&#10;">
                <v:fill on="t" focussize="0,0"/>
                <v:stroke on="f" miterlimit="8" joinstyle="miter"/>
                <v:imagedata o:title=""/>
                <o:lock v:ext="edit" aspectratio="f"/>
                <v:textbox>
                  <w:txbxContent>
                    <w:p>
                      <w:pPr>
                        <w:spacing w:line="240" w:lineRule="atLeast"/>
                        <w:jc w:val="center"/>
                        <w:rPr>
                          <w:szCs w:val="21"/>
                        </w:rPr>
                      </w:pPr>
                      <w:r>
                        <w:rPr>
                          <w:rFonts w:hint="eastAsia"/>
                          <w:szCs w:val="21"/>
                        </w:rPr>
                        <w:t>第一</w:t>
                      </w:r>
                      <w:r>
                        <w:rPr>
                          <w:szCs w:val="21"/>
                        </w:rPr>
                        <w:t>阶段</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69856" behindDoc="0" locked="0" layoutInCell="1" allowOverlap="1">
                <wp:simplePos x="0" y="0"/>
                <wp:positionH relativeFrom="column">
                  <wp:posOffset>2933700</wp:posOffset>
                </wp:positionH>
                <wp:positionV relativeFrom="paragraph">
                  <wp:posOffset>113665</wp:posOffset>
                </wp:positionV>
                <wp:extent cx="0" cy="212090"/>
                <wp:effectExtent l="57150" t="5080" r="57150" b="20955"/>
                <wp:wrapNone/>
                <wp:docPr id="239" name="AutoShape 69"/>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tailEnd type="triangle" w="med" len="med"/>
                        </a:ln>
                      </wps:spPr>
                      <wps:bodyPr/>
                    </wps:wsp>
                  </a:graphicData>
                </a:graphic>
              </wp:anchor>
            </w:drawing>
          </mc:Choice>
          <mc:Fallback>
            <w:pict>
              <v:shape id="AutoShape 69" o:spid="_x0000_s1026" o:spt="32" type="#_x0000_t32" style="position:absolute;left:0pt;margin-left:231pt;margin-top:8.95pt;height:16.7pt;width:0pt;z-index:251769856;mso-width-relative:page;mso-height-relative:page;" filled="f" stroked="t" coordsize="21600,21600" o:gfxdata="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DTqz2AAAAAkBAAAPAAAAAAAAAAEA&#10;IAAAACIAAABkcnMvZG93bnJldi54bWxQSwECFAAUAAAACACHTuJAjz1Go9YBAACUAwAADgAAAAAA&#10;AAABACAAAAAnAQAAZHJzL2Uyb0RvYy54bWxQSwUGAAAAAAYABgBZAQAAbwUAAAAA&#10;">
                <v:fill on="f" focussize="0,0"/>
                <v:stroke color="#000000" joinstyle="round"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62688" behindDoc="0" locked="0" layoutInCell="1" allowOverlap="1">
                <wp:simplePos x="0" y="0"/>
                <wp:positionH relativeFrom="column">
                  <wp:posOffset>1765300</wp:posOffset>
                </wp:positionH>
                <wp:positionV relativeFrom="paragraph">
                  <wp:posOffset>28575</wp:posOffset>
                </wp:positionV>
                <wp:extent cx="2368550" cy="702310"/>
                <wp:effectExtent l="12700" t="7620" r="9525" b="13970"/>
                <wp:wrapNone/>
                <wp:docPr id="238" name="Text Box 61"/>
                <wp:cNvGraphicFramePr/>
                <a:graphic xmlns:a="http://schemas.openxmlformats.org/drawingml/2006/main">
                  <a:graphicData uri="http://schemas.microsoft.com/office/word/2010/wordprocessingShape">
                    <wps:wsp>
                      <wps:cNvSpPr txBox="1">
                        <a:spLocks noChangeArrowheads="1"/>
                      </wps:cNvSpPr>
                      <wps:spPr bwMode="auto">
                        <a:xfrm>
                          <a:off x="0" y="0"/>
                          <a:ext cx="2368550" cy="70231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1环境影响识别和评价因子筛选</w:t>
                            </w:r>
                          </w:p>
                          <w:p>
                            <w:pPr>
                              <w:spacing w:line="240" w:lineRule="atLeast"/>
                              <w:jc w:val="left"/>
                              <w:rPr>
                                <w:szCs w:val="21"/>
                              </w:rPr>
                            </w:pPr>
                            <w:r>
                              <w:rPr>
                                <w:rFonts w:hint="eastAsia"/>
                                <w:szCs w:val="21"/>
                              </w:rPr>
                              <w:t>2明确评价重点和环境保护目标</w:t>
                            </w:r>
                          </w:p>
                          <w:p>
                            <w:pPr>
                              <w:spacing w:line="240" w:lineRule="atLeast"/>
                              <w:jc w:val="left"/>
                              <w:rPr>
                                <w:szCs w:val="21"/>
                              </w:rPr>
                            </w:pPr>
                            <w:r>
                              <w:rPr>
                                <w:rFonts w:hint="eastAsia"/>
                                <w:szCs w:val="21"/>
                              </w:rPr>
                              <w:t>3确定工作等级、评价范围和评价标准</w:t>
                            </w:r>
                          </w:p>
                        </w:txbxContent>
                      </wps:txbx>
                      <wps:bodyPr rot="0" vert="horz" wrap="square" lIns="91440" tIns="45720" rIns="91440" bIns="45720" anchor="t" anchorCtr="0" upright="1">
                        <a:noAutofit/>
                      </wps:bodyPr>
                    </wps:wsp>
                  </a:graphicData>
                </a:graphic>
              </wp:anchor>
            </w:drawing>
          </mc:Choice>
          <mc:Fallback>
            <w:pict>
              <v:shape id="Text Box 61" o:spid="_x0000_s1026" o:spt="202" type="#_x0000_t202" style="position:absolute;left:0pt;margin-left:139pt;margin-top:2.25pt;height:55.3pt;width:186.5pt;z-index:251762688;mso-width-relative:page;mso-height-relative:page;" fillcolor="#FFFFFF" filled="t" stroked="t" coordsize="21600,21600" o:gfxdata="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NF82NgAAAAJAQAA&#10;DwAAAAAAAAABACAAAAAiAAAAZHJzL2Rvd25yZXYueG1sUEsBAhQAFAAAAAgAh07iQMJArPsZAgAA&#10;OwQAAA4AAAAAAAAAAQAgAAAAJwEAAGRycy9lMm9Eb2MueG1sUEsFBgAAAAAGAAYAWQEAALIFAAAA&#10;AA==&#10;">
                <v:fill on="t" focussize="0,0"/>
                <v:stroke color="#000000" miterlimit="8" joinstyle="miter"/>
                <v:imagedata o:title=""/>
                <o:lock v:ext="edit" aspectratio="f"/>
                <v:textbox>
                  <w:txbxContent>
                    <w:p>
                      <w:pPr>
                        <w:spacing w:line="240" w:lineRule="atLeast"/>
                        <w:jc w:val="left"/>
                        <w:rPr>
                          <w:szCs w:val="21"/>
                        </w:rPr>
                      </w:pPr>
                      <w:r>
                        <w:rPr>
                          <w:rFonts w:hint="eastAsia"/>
                          <w:szCs w:val="21"/>
                        </w:rPr>
                        <w:t>1环境影响识别和评价因子筛选</w:t>
                      </w:r>
                    </w:p>
                    <w:p>
                      <w:pPr>
                        <w:spacing w:line="240" w:lineRule="atLeast"/>
                        <w:jc w:val="left"/>
                        <w:rPr>
                          <w:szCs w:val="21"/>
                        </w:rPr>
                      </w:pPr>
                      <w:r>
                        <w:rPr>
                          <w:rFonts w:hint="eastAsia"/>
                          <w:szCs w:val="21"/>
                        </w:rPr>
                        <w:t>2明确评价重点和环境保护目标</w:t>
                      </w:r>
                    </w:p>
                    <w:p>
                      <w:pPr>
                        <w:spacing w:line="240" w:lineRule="atLeast"/>
                        <w:jc w:val="left"/>
                        <w:rPr>
                          <w:szCs w:val="21"/>
                        </w:rPr>
                      </w:pPr>
                      <w:r>
                        <w:rPr>
                          <w:rFonts w:hint="eastAsia"/>
                          <w:szCs w:val="21"/>
                        </w:rPr>
                        <w:t>3确定工作等级、评价范围和评价标准</w:t>
                      </w:r>
                    </w:p>
                  </w:txbxContent>
                </v:textbox>
              </v:shape>
            </w:pict>
          </mc:Fallback>
        </mc:AlternateContent>
      </w: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70880" behindDoc="0" locked="0" layoutInCell="1" allowOverlap="1">
                <wp:simplePos x="0" y="0"/>
                <wp:positionH relativeFrom="column">
                  <wp:posOffset>2981325</wp:posOffset>
                </wp:positionH>
                <wp:positionV relativeFrom="paragraph">
                  <wp:posOffset>137160</wp:posOffset>
                </wp:positionV>
                <wp:extent cx="0" cy="212090"/>
                <wp:effectExtent l="57150" t="5715" r="57150" b="20320"/>
                <wp:wrapNone/>
                <wp:docPr id="237" name="AutoShape 71"/>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tailEnd type="triangle" w="med" len="med"/>
                        </a:ln>
                      </wps:spPr>
                      <wps:bodyPr/>
                    </wps:wsp>
                  </a:graphicData>
                </a:graphic>
              </wp:anchor>
            </w:drawing>
          </mc:Choice>
          <mc:Fallback>
            <w:pict>
              <v:shape id="AutoShape 71" o:spid="_x0000_s1026" o:spt="32" type="#_x0000_t32" style="position:absolute;left:0pt;margin-left:234.75pt;margin-top:10.8pt;height:16.7pt;width:0pt;z-index:251770880;mso-width-relative:page;mso-height-relative:page;" filled="f" stroked="t" coordsize="21600,21600" o:gfxdata="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w5aIq2AAAAAkBAAAPAAAAAAAAAAEAIAAA&#10;ACIAAABkcnMvZG93bnJldi54bWxQSwECFAAUAAAACACHTuJADbBXZdMBAACUAwAADgAAAAAAAAAB&#10;ACAAAAAnAQAAZHJzL2Uyb0RvYy54bWxQSwUGAAAAAAYABgBZAQAAbAUAAAAA&#10;">
                <v:fill on="f" focussize="0,0"/>
                <v:stroke color="#000000" joinstyle="round"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63712" behindDoc="0" locked="0" layoutInCell="1" allowOverlap="1">
                <wp:simplePos x="0" y="0"/>
                <wp:positionH relativeFrom="column">
                  <wp:posOffset>2466975</wp:posOffset>
                </wp:positionH>
                <wp:positionV relativeFrom="paragraph">
                  <wp:posOffset>52070</wp:posOffset>
                </wp:positionV>
                <wp:extent cx="1028700" cy="283210"/>
                <wp:effectExtent l="9525" t="8255" r="9525" b="13335"/>
                <wp:wrapNone/>
                <wp:docPr id="236" name="Text Box 62"/>
                <wp:cNvGraphicFramePr/>
                <a:graphic xmlns:a="http://schemas.openxmlformats.org/drawingml/2006/main">
                  <a:graphicData uri="http://schemas.microsoft.com/office/word/2010/wordprocessingShape">
                    <wps:wsp>
                      <wps:cNvSpPr txBox="1">
                        <a:spLocks noChangeArrowheads="1"/>
                      </wps:cNvSpPr>
                      <wps:spPr bwMode="auto">
                        <a:xfrm>
                          <a:off x="0" y="0"/>
                          <a:ext cx="1028700" cy="283210"/>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制定工作方案</w:t>
                            </w:r>
                          </w:p>
                        </w:txbxContent>
                      </wps:txbx>
                      <wps:bodyPr rot="0" vert="horz" wrap="square" lIns="91440" tIns="45720" rIns="91440" bIns="45720" anchor="t" anchorCtr="0" upright="1">
                        <a:noAutofit/>
                      </wps:bodyPr>
                    </wps:wsp>
                  </a:graphicData>
                </a:graphic>
              </wp:anchor>
            </w:drawing>
          </mc:Choice>
          <mc:Fallback>
            <w:pict>
              <v:shape id="Text Box 62" o:spid="_x0000_s1026" o:spt="202" type="#_x0000_t202" style="position:absolute;left:0pt;margin-left:194.25pt;margin-top:4.1pt;height:22.3pt;width:81pt;z-index:251763712;mso-width-relative:page;mso-height-relative:page;" fillcolor="#FFFFFF" filled="t" stroked="t" coordsize="21600,21600" o:gfxdata="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9SPhn1wAAAAgBAAAPAAAA&#10;AAAAAAEAIAAAACIAAABkcnMvZG93bnJldi54bWxQSwECFAAUAAAACACHTuJAH2ksihYCAAA7BAAA&#10;DgAAAAAAAAABACAAAAAmAQAAZHJzL2Uyb0RvYy54bWxQSwUGAAAAAAYABgBZAQAArgU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制定工作方案</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84192" behindDoc="0" locked="0" layoutInCell="1" allowOverlap="1">
                <wp:simplePos x="0" y="0"/>
                <wp:positionH relativeFrom="column">
                  <wp:posOffset>294640</wp:posOffset>
                </wp:positionH>
                <wp:positionV relativeFrom="paragraph">
                  <wp:posOffset>83185</wp:posOffset>
                </wp:positionV>
                <wp:extent cx="4764405" cy="26035"/>
                <wp:effectExtent l="0" t="0" r="17145" b="31750"/>
                <wp:wrapNone/>
                <wp:docPr id="310" name="直接连接符 310"/>
                <wp:cNvGraphicFramePr/>
                <a:graphic xmlns:a="http://schemas.openxmlformats.org/drawingml/2006/main">
                  <a:graphicData uri="http://schemas.microsoft.com/office/word/2010/wordprocessingShape">
                    <wps:wsp>
                      <wps:cNvCnPr/>
                      <wps:spPr>
                        <a:xfrm flipV="1">
                          <a:off x="0" y="0"/>
                          <a:ext cx="4764668" cy="25879"/>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3.2pt;margin-top:6.55pt;height:2.05pt;width:375.15pt;z-index:251784192;mso-width-relative:page;mso-height-relative:page;" filled="f" stroked="t" coordsize="21600,21600" o:gfxdata="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2741l1wAAAAgBAAAPAAAAAAAAAAEA&#10;IAAAACIAAABkcnMvZG93bnJldi54bWxQSwECFAAUAAAACACHTuJApUBGidcBAAB2AwAADgAAAAAA&#10;AAABACAAAAAmAQAAZHJzL2Uyb0RvYy54bWxQSwUGAAAAAAYABgBZAQAAbwUAAAAA&#10;">
                <v:fill on="f" focussize="0,0"/>
                <v:stroke color="#000000 [3200]" miterlimit="8" joinstyle="miter" dashstyle="longDash"/>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772928" behindDoc="0" locked="0" layoutInCell="1" allowOverlap="1">
                <wp:simplePos x="0" y="0"/>
                <wp:positionH relativeFrom="column">
                  <wp:posOffset>1971675</wp:posOffset>
                </wp:positionH>
                <wp:positionV relativeFrom="paragraph">
                  <wp:posOffset>200025</wp:posOffset>
                </wp:positionV>
                <wp:extent cx="0" cy="212090"/>
                <wp:effectExtent l="57150" t="5715" r="57150" b="20320"/>
                <wp:wrapNone/>
                <wp:docPr id="235" name="AutoShape 73"/>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tailEnd type="triangle" w="med" len="med"/>
                        </a:ln>
                      </wps:spPr>
                      <wps:bodyPr/>
                    </wps:wsp>
                  </a:graphicData>
                </a:graphic>
              </wp:anchor>
            </w:drawing>
          </mc:Choice>
          <mc:Fallback>
            <w:pict>
              <v:shape id="AutoShape 73" o:spid="_x0000_s1026" o:spt="32" type="#_x0000_t32" style="position:absolute;left:0pt;margin-left:155.25pt;margin-top:15.75pt;height:16.7pt;width:0pt;z-index:251772928;mso-width-relative:page;mso-height-relative:page;" filled="f" stroked="t" coordsize="21600,21600" o:gfxdata="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15zZbXAAAACQEAAA8AAAAAAAAAAQAg&#10;AAAAIgAAAGRycy9kb3ducmV2LnhtbFBLAQIUABQAAAAIAIdO4kDTJjYw1gEAAJQDAAAOAAAAAAAA&#10;AAEAIAAAACYBAABkcnMvZTJvRG9jLnhtbFBLBQYAAAAABgAGAFkBAABuBQ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71904" behindDoc="0" locked="0" layoutInCell="1" allowOverlap="1">
                <wp:simplePos x="0" y="0"/>
                <wp:positionH relativeFrom="column">
                  <wp:posOffset>3971925</wp:posOffset>
                </wp:positionH>
                <wp:positionV relativeFrom="paragraph">
                  <wp:posOffset>200025</wp:posOffset>
                </wp:positionV>
                <wp:extent cx="0" cy="212090"/>
                <wp:effectExtent l="57150" t="5715" r="57150" b="20320"/>
                <wp:wrapNone/>
                <wp:docPr id="234" name="AutoShape 72"/>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tailEnd type="triangle" w="med" len="med"/>
                        </a:ln>
                      </wps:spPr>
                      <wps:bodyPr/>
                    </wps:wsp>
                  </a:graphicData>
                </a:graphic>
              </wp:anchor>
            </w:drawing>
          </mc:Choice>
          <mc:Fallback>
            <w:pict>
              <v:shape id="AutoShape 72" o:spid="_x0000_s1026" o:spt="32" type="#_x0000_t32" style="position:absolute;left:0pt;margin-left:312.75pt;margin-top:15.75pt;height:16.7pt;width:0pt;z-index:251771904;mso-width-relative:page;mso-height-relative:page;" filled="f" stroked="t" coordsize="21600,21600" o:gfxdata="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e68u2AAAAAkBAAAPAAAAAAAAAAEA&#10;IAAAACIAAABkcnMvZG93bnJldi54bWxQSwECFAAUAAAACACHTuJAvO2GGtYBAACUAwAADgAAAAAA&#10;AAABACAAAAAnAQAAZHJzL2Uyb0RvYy54bWxQSwUGAAAAAAYABgBZAQAAbwU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76000" behindDoc="0" locked="0" layoutInCell="1" allowOverlap="1">
                <wp:simplePos x="0" y="0"/>
                <wp:positionH relativeFrom="column">
                  <wp:posOffset>1971675</wp:posOffset>
                </wp:positionH>
                <wp:positionV relativeFrom="paragraph">
                  <wp:posOffset>200025</wp:posOffset>
                </wp:positionV>
                <wp:extent cx="2000250" cy="0"/>
                <wp:effectExtent l="9525" t="5715" r="9525" b="13335"/>
                <wp:wrapNone/>
                <wp:docPr id="233" name="AutoShape 77"/>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ln>
                      </wps:spPr>
                      <wps:bodyPr/>
                    </wps:wsp>
                  </a:graphicData>
                </a:graphic>
              </wp:anchor>
            </w:drawing>
          </mc:Choice>
          <mc:Fallback>
            <w:pict>
              <v:shape id="AutoShape 77" o:spid="_x0000_s1026" o:spt="32" type="#_x0000_t32" style="position:absolute;left:0pt;margin-left:155.25pt;margin-top:15.75pt;height:0pt;width:157.5pt;z-index:251776000;mso-width-relative:page;mso-height-relative:page;" filled="f" stroked="t" coordsize="21600,21600" o:gfxdata="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pgtYNUAAAAJAQAADwAAAAAAAAABACAAAAAiAAAAZHJzL2Rvd25yZXYueG1sUEsBAhQA&#10;FAAAAAgAh07iQDv09/28AQAAZwMAAA4AAAAAAAAAAQAgAAAAJAEAAGRycy9lMm9Eb2MueG1sUEsF&#10;BgAAAAAGAAYAWQEAAFIFAAAAAA==&#10;">
                <v:fill on="f" focussize="0,0"/>
                <v:stroke color="#000000" joinstyle="round"/>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77024" behindDoc="0" locked="0" layoutInCell="1" allowOverlap="1">
                <wp:simplePos x="0" y="0"/>
                <wp:positionH relativeFrom="column">
                  <wp:posOffset>2981325</wp:posOffset>
                </wp:positionH>
                <wp:positionV relativeFrom="paragraph">
                  <wp:posOffset>38100</wp:posOffset>
                </wp:positionV>
                <wp:extent cx="0" cy="161925"/>
                <wp:effectExtent l="9525" t="5715" r="9525" b="13335"/>
                <wp:wrapNone/>
                <wp:docPr id="232" name="AutoShape 78"/>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ln>
                      </wps:spPr>
                      <wps:bodyPr/>
                    </wps:wsp>
                  </a:graphicData>
                </a:graphic>
              </wp:anchor>
            </w:drawing>
          </mc:Choice>
          <mc:Fallback>
            <w:pict>
              <v:shape id="AutoShape 78" o:spid="_x0000_s1026" o:spt="32" type="#_x0000_t32" style="position:absolute;left:0pt;margin-left:234.75pt;margin-top:3pt;height:12.75pt;width:0pt;z-index:251777024;mso-width-relative:page;mso-height-relative:page;" filled="f" stroked="t" coordsize="21600,21600" o:gfxdata="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JoWNbVAAAACAEAAA8AAAAAAAAAAQAgAAAAIgAAAGRycy9kb3ducmV2LnhtbFBLAQIUABQA&#10;AAAIAIdO4kAw/vkWugEAAGYDAAAOAAAAAAAAAAEAIAAAACQBAABkcnMvZTJvRG9jLnhtbFBLBQYA&#10;AAAABgAGAFkBAABQBQAAAAA=&#10;">
                <v:fill on="f" focussize="0,0"/>
                <v:stroke color="#000000" joinstyle="round"/>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87264" behindDoc="0" locked="0" layoutInCell="1" allowOverlap="1">
                <wp:simplePos x="0" y="0"/>
                <wp:positionH relativeFrom="column">
                  <wp:posOffset>758825</wp:posOffset>
                </wp:positionH>
                <wp:positionV relativeFrom="paragraph">
                  <wp:posOffset>59055</wp:posOffset>
                </wp:positionV>
                <wp:extent cx="353060" cy="1095375"/>
                <wp:effectExtent l="0" t="0" r="8890" b="9525"/>
                <wp:wrapNone/>
                <wp:docPr id="313" name="Text Box 62"/>
                <wp:cNvGraphicFramePr/>
                <a:graphic xmlns:a="http://schemas.openxmlformats.org/drawingml/2006/main">
                  <a:graphicData uri="http://schemas.microsoft.com/office/word/2010/wordprocessingShape">
                    <wps:wsp>
                      <wps:cNvSpPr txBox="1">
                        <a:spLocks noChangeArrowheads="1"/>
                      </wps:cNvSpPr>
                      <wps:spPr bwMode="auto">
                        <a:xfrm>
                          <a:off x="0" y="0"/>
                          <a:ext cx="353060" cy="1095375"/>
                        </a:xfrm>
                        <a:prstGeom prst="rect">
                          <a:avLst/>
                        </a:prstGeom>
                        <a:solidFill>
                          <a:srgbClr val="FFFFFF"/>
                        </a:solidFill>
                        <a:ln w="9525">
                          <a:noFill/>
                          <a:miter lim="800000"/>
                        </a:ln>
                      </wps:spPr>
                      <wps:txbx>
                        <w:txbxContent>
                          <w:p>
                            <w:pPr>
                              <w:spacing w:line="240" w:lineRule="atLeast"/>
                              <w:jc w:val="center"/>
                              <w:rPr>
                                <w:szCs w:val="21"/>
                              </w:rPr>
                            </w:pPr>
                            <w:r>
                              <w:rPr>
                                <w:rFonts w:hint="eastAsia"/>
                                <w:szCs w:val="21"/>
                              </w:rPr>
                              <w:t>第二</w:t>
                            </w:r>
                            <w:r>
                              <w:rPr>
                                <w:szCs w:val="21"/>
                              </w:rPr>
                              <w:t>阶段</w:t>
                            </w:r>
                          </w:p>
                        </w:txbxContent>
                      </wps:txbx>
                      <wps:bodyPr rot="0" vert="horz" wrap="square" lIns="91440" tIns="45720" rIns="91440" bIns="45720" anchor="t" anchorCtr="0" upright="1">
                        <a:noAutofit/>
                      </wps:bodyPr>
                    </wps:wsp>
                  </a:graphicData>
                </a:graphic>
              </wp:anchor>
            </w:drawing>
          </mc:Choice>
          <mc:Fallback>
            <w:pict>
              <v:shape id="Text Box 62" o:spid="_x0000_s1026" o:spt="202" type="#_x0000_t202" style="position:absolute;left:0pt;margin-left:59.75pt;margin-top:4.65pt;height:86.25pt;width:27.8pt;z-index:251787264;mso-width-relative:page;mso-height-relative:page;" fillcolor="#FFFFFF" filled="t" stroked="f" coordsize="21600,21600" o:gfxdata="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mwCPvWAAAACQEAAA8AAAAA&#10;AAAAAQAgAAAAIgAAAGRycy9kb3ducmV2LnhtbFBLAQIUABQAAAAIAIdO4kCzldQGFgIAABIEAAAO&#10;AAAAAAAAAAEAIAAAACUBAABkcnMvZTJvRG9jLnhtbFBLBQYAAAAABgAGAFkBAACtBQAAAAA=&#10;">
                <v:fill on="t" focussize="0,0"/>
                <v:stroke on="f" miterlimit="8" joinstyle="miter"/>
                <v:imagedata o:title=""/>
                <o:lock v:ext="edit" aspectratio="f"/>
                <v:textbox>
                  <w:txbxContent>
                    <w:p>
                      <w:pPr>
                        <w:spacing w:line="240" w:lineRule="atLeast"/>
                        <w:jc w:val="center"/>
                        <w:rPr>
                          <w:szCs w:val="21"/>
                        </w:rPr>
                      </w:pPr>
                      <w:r>
                        <w:rPr>
                          <w:rFonts w:hint="eastAsia"/>
                          <w:szCs w:val="21"/>
                        </w:rPr>
                        <w:t>第二</w:t>
                      </w:r>
                      <w:r>
                        <w:rPr>
                          <w:szCs w:val="21"/>
                        </w:rPr>
                        <w:t>阶段</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65760" behindDoc="0" locked="0" layoutInCell="1" allowOverlap="1">
                <wp:simplePos x="0" y="0"/>
                <wp:positionH relativeFrom="column">
                  <wp:posOffset>3562350</wp:posOffset>
                </wp:positionH>
                <wp:positionV relativeFrom="paragraph">
                  <wp:posOffset>114935</wp:posOffset>
                </wp:positionV>
                <wp:extent cx="809625" cy="492760"/>
                <wp:effectExtent l="9525" t="8255" r="9525" b="13335"/>
                <wp:wrapNone/>
                <wp:docPr id="231" name="Text Box 64"/>
                <wp:cNvGraphicFramePr/>
                <a:graphic xmlns:a="http://schemas.openxmlformats.org/drawingml/2006/main">
                  <a:graphicData uri="http://schemas.microsoft.com/office/word/2010/wordprocessingShape">
                    <wps:wsp>
                      <wps:cNvSpPr txBox="1">
                        <a:spLocks noChangeArrowheads="1"/>
                      </wps:cNvSpPr>
                      <wps:spPr bwMode="auto">
                        <a:xfrm>
                          <a:off x="0" y="0"/>
                          <a:ext cx="809625" cy="492760"/>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建设项目工程分析</w:t>
                            </w:r>
                          </w:p>
                        </w:txbxContent>
                      </wps:txbx>
                      <wps:bodyPr rot="0" vert="horz" wrap="square" lIns="91440" tIns="45720" rIns="91440" bIns="45720" anchor="t" anchorCtr="0" upright="1">
                        <a:noAutofit/>
                      </wps:bodyPr>
                    </wps:wsp>
                  </a:graphicData>
                </a:graphic>
              </wp:anchor>
            </w:drawing>
          </mc:Choice>
          <mc:Fallback>
            <w:pict>
              <v:shape id="Text Box 64" o:spid="_x0000_s1026" o:spt="202" type="#_x0000_t202" style="position:absolute;left:0pt;margin-left:280.5pt;margin-top:9.05pt;height:38.8pt;width:63.75pt;z-index:251765760;mso-width-relative:page;mso-height-relative:page;" fillcolor="#FFFFFF" filled="t" stroked="t" coordsize="21600,21600" o:gfxdata="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O+rf9gAAAAJAQAADwAA&#10;AAAAAAABACAAAAAiAAAAZHJzL2Rvd25yZXYueG1sUEsBAhQAFAAAAAgAh07iQI3i0hoWAgAAOgQA&#10;AA4AAAAAAAAAAQAgAAAAJwEAAGRycy9lMm9Eb2MueG1sUEsFBgAAAAAGAAYAWQEAAK8FA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建设项目工程分析</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64736" behindDoc="0" locked="0" layoutInCell="1" allowOverlap="1">
                <wp:simplePos x="0" y="0"/>
                <wp:positionH relativeFrom="column">
                  <wp:posOffset>1466850</wp:posOffset>
                </wp:positionH>
                <wp:positionV relativeFrom="paragraph">
                  <wp:posOffset>114935</wp:posOffset>
                </wp:positionV>
                <wp:extent cx="1009650" cy="492760"/>
                <wp:effectExtent l="9525" t="8255" r="9525" b="13335"/>
                <wp:wrapNone/>
                <wp:docPr id="230" name="Text Box 63"/>
                <wp:cNvGraphicFramePr/>
                <a:graphic xmlns:a="http://schemas.openxmlformats.org/drawingml/2006/main">
                  <a:graphicData uri="http://schemas.microsoft.com/office/word/2010/wordprocessingShape">
                    <wps:wsp>
                      <wps:cNvSpPr txBox="1">
                        <a:spLocks noChangeArrowheads="1"/>
                      </wps:cNvSpPr>
                      <wps:spPr bwMode="auto">
                        <a:xfrm>
                          <a:off x="0" y="0"/>
                          <a:ext cx="1009650" cy="492760"/>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环境现状调查监测与评价</w:t>
                            </w:r>
                          </w:p>
                        </w:txbxContent>
                      </wps:txbx>
                      <wps:bodyPr rot="0" vert="horz" wrap="square" lIns="91440" tIns="45720" rIns="91440" bIns="45720" anchor="t" anchorCtr="0" upright="1">
                        <a:noAutofit/>
                      </wps:bodyPr>
                    </wps:wsp>
                  </a:graphicData>
                </a:graphic>
              </wp:anchor>
            </w:drawing>
          </mc:Choice>
          <mc:Fallback>
            <w:pict>
              <v:shape id="Text Box 63" o:spid="_x0000_s1026" o:spt="202" type="#_x0000_t202" style="position:absolute;left:0pt;margin-left:115.5pt;margin-top:9.05pt;height:38.8pt;width:79.5pt;z-index:251764736;mso-width-relative:page;mso-height-relative:page;" fillcolor="#FFFFFF" filled="t" stroked="t" coordsize="21600,21600" o:gfxdata="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AStTdgAAAAJAQAADwAA&#10;AAAAAAABACAAAAAiAAAAZHJzL2Rvd25yZXYueG1sUEsBAhQAFAAAAAgAh07iQOXseokWAgAAOwQA&#10;AA4AAAAAAAAAAQAgAAAAJwEAAGRycy9lMm9Eb2MueG1sUEsFBgAAAAAGAAYAWQEAAK8FA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环境现状调查监测与评价</w:t>
                      </w:r>
                    </w:p>
                  </w:txbxContent>
                </v:textbox>
              </v:shape>
            </w:pict>
          </mc:Fallback>
        </mc:AlternateContent>
      </w: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73952" behindDoc="0" locked="0" layoutInCell="1" allowOverlap="1">
                <wp:simplePos x="0" y="0"/>
                <wp:positionH relativeFrom="column">
                  <wp:posOffset>2981325</wp:posOffset>
                </wp:positionH>
                <wp:positionV relativeFrom="paragraph">
                  <wp:posOffset>184785</wp:posOffset>
                </wp:positionV>
                <wp:extent cx="0" cy="212090"/>
                <wp:effectExtent l="57150" t="5715" r="57150" b="20320"/>
                <wp:wrapNone/>
                <wp:docPr id="229" name="AutoShape 74"/>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tailEnd type="triangle" w="med" len="med"/>
                        </a:ln>
                      </wps:spPr>
                      <wps:bodyPr/>
                    </wps:wsp>
                  </a:graphicData>
                </a:graphic>
              </wp:anchor>
            </w:drawing>
          </mc:Choice>
          <mc:Fallback>
            <w:pict>
              <v:shape id="AutoShape 74" o:spid="_x0000_s1026" o:spt="32" type="#_x0000_t32" style="position:absolute;left:0pt;margin-left:234.75pt;margin-top:14.55pt;height:16.7pt;width:0pt;z-index:251773952;mso-width-relative:page;mso-height-relative:page;" filled="f" stroked="t" coordsize="21600,21600" o:gfxdata="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twmQO2AAAAAkBAAAPAAAAAAAAAAEA&#10;IAAAACIAAABkcnMvZG93bnJldi54bWxQSwECFAAUAAAACACHTuJAyzOHx9YBAACUAwAADgAAAAAA&#10;AAABACAAAAAnAQAAZHJzL2Uyb0RvYy54bWxQSwUGAAAAAAYABgBZAQAAbwU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80096" behindDoc="0" locked="0" layoutInCell="1" allowOverlap="1">
                <wp:simplePos x="0" y="0"/>
                <wp:positionH relativeFrom="column">
                  <wp:posOffset>4010025</wp:posOffset>
                </wp:positionH>
                <wp:positionV relativeFrom="paragraph">
                  <wp:posOffset>13335</wp:posOffset>
                </wp:positionV>
                <wp:extent cx="0" cy="171450"/>
                <wp:effectExtent l="9525" t="5715" r="9525" b="13335"/>
                <wp:wrapNone/>
                <wp:docPr id="228" name="AutoShape 84"/>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ln>
                      </wps:spPr>
                      <wps:bodyPr/>
                    </wps:wsp>
                  </a:graphicData>
                </a:graphic>
              </wp:anchor>
            </w:drawing>
          </mc:Choice>
          <mc:Fallback>
            <w:pict>
              <v:shape id="AutoShape 84" o:spid="_x0000_s1026" o:spt="32" type="#_x0000_t32" style="position:absolute;left:0pt;margin-left:315.75pt;margin-top:1.05pt;height:13.5pt;width:0pt;z-index:251780096;mso-width-relative:page;mso-height-relative:page;" filled="f" stroked="t" coordsize="21600,21600" o:gfxdata="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1brstUAAAAIAQAADwAAAAAAAAABACAAAAAiAAAAZHJzL2Rvd25yZXYueG1sUEsBAhQA&#10;FAAAAAgAh07iQO/y/vK8AQAAZgMAAA4AAAAAAAAAAQAgAAAAJAEAAGRycy9lMm9Eb2MueG1sUEsF&#10;BgAAAAAGAAYAWQEAAFIFAAAAAA==&#10;">
                <v:fill on="f" focussize="0,0"/>
                <v:stroke color="#000000" joinstyle="round"/>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79072" behindDoc="0" locked="0" layoutInCell="1" allowOverlap="1">
                <wp:simplePos x="0" y="0"/>
                <wp:positionH relativeFrom="column">
                  <wp:posOffset>1981200</wp:posOffset>
                </wp:positionH>
                <wp:positionV relativeFrom="paragraph">
                  <wp:posOffset>13335</wp:posOffset>
                </wp:positionV>
                <wp:extent cx="0" cy="171450"/>
                <wp:effectExtent l="9525" t="5715" r="9525" b="13335"/>
                <wp:wrapNone/>
                <wp:docPr id="227" name="AutoShape 83"/>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ln>
                      </wps:spPr>
                      <wps:bodyPr/>
                    </wps:wsp>
                  </a:graphicData>
                </a:graphic>
              </wp:anchor>
            </w:drawing>
          </mc:Choice>
          <mc:Fallback>
            <w:pict>
              <v:shape id="AutoShape 83" o:spid="_x0000_s1026" o:spt="32" type="#_x0000_t32" style="position:absolute;left:0pt;margin-left:156pt;margin-top:1.05pt;height:13.5pt;width:0pt;z-index:251779072;mso-width-relative:page;mso-height-relative:page;" filled="f" stroked="t" coordsize="21600,21600" o:gfxdata="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zqCjdQAAAAIAQAADwAAAAAAAAABACAAAAAiAAAAZHJzL2Rvd25yZXYueG1sUEsBAhQA&#10;FAAAAAgAh07iQHOr/sW9AQAAZgMAAA4AAAAAAAAAAQAgAAAAIwEAAGRycy9lMm9Eb2MueG1sUEsF&#10;BgAAAAAGAAYAWQEAAFIFAAAAAA==&#10;">
                <v:fill on="f" focussize="0,0"/>
                <v:stroke color="#000000" joinstyle="round"/>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78048" behindDoc="0" locked="0" layoutInCell="1" allowOverlap="1">
                <wp:simplePos x="0" y="0"/>
                <wp:positionH relativeFrom="column">
                  <wp:posOffset>1981200</wp:posOffset>
                </wp:positionH>
                <wp:positionV relativeFrom="paragraph">
                  <wp:posOffset>184785</wp:posOffset>
                </wp:positionV>
                <wp:extent cx="2028825" cy="0"/>
                <wp:effectExtent l="9525" t="5715" r="9525" b="13335"/>
                <wp:wrapNone/>
                <wp:docPr id="226" name="AutoShape 79"/>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straightConnector1">
                          <a:avLst/>
                        </a:prstGeom>
                        <a:noFill/>
                        <a:ln w="9525">
                          <a:solidFill>
                            <a:srgbClr val="000000"/>
                          </a:solidFill>
                          <a:round/>
                        </a:ln>
                      </wps:spPr>
                      <wps:bodyPr/>
                    </wps:wsp>
                  </a:graphicData>
                </a:graphic>
              </wp:anchor>
            </w:drawing>
          </mc:Choice>
          <mc:Fallback>
            <w:pict>
              <v:shape id="AutoShape 79" o:spid="_x0000_s1026" o:spt="32" type="#_x0000_t32" style="position:absolute;left:0pt;margin-left:156pt;margin-top:14.55pt;height:0pt;width:159.75pt;z-index:251778048;mso-width-relative:page;mso-height-relative:page;" filled="f" stroked="t" coordsize="21600,21600" o:gfxdata="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Go/mdcAAAAJAQAADwAAAAAAAAABACAAAAAiAAAAZHJzL2Rvd25yZXYueG1sUEsBAhQA&#10;FAAAAAgAh07iQI3bY2i6AQAAZwMAAA4AAAAAAAAAAQAgAAAAJgEAAGRycy9lMm9Eb2MueG1sUEsF&#10;BgAAAAAGAAYAWQEAAFIFAAAAAA==&#10;">
                <v:fill on="f" focussize="0,0"/>
                <v:stroke color="#000000" joinstyle="round"/>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66784" behindDoc="0" locked="0" layoutInCell="1" allowOverlap="1">
                <wp:simplePos x="0" y="0"/>
                <wp:positionH relativeFrom="column">
                  <wp:posOffset>1866900</wp:posOffset>
                </wp:positionH>
                <wp:positionV relativeFrom="paragraph">
                  <wp:posOffset>97155</wp:posOffset>
                </wp:positionV>
                <wp:extent cx="2228850" cy="492760"/>
                <wp:effectExtent l="9525" t="5715" r="9525" b="6350"/>
                <wp:wrapNone/>
                <wp:docPr id="225" name="Text Box 65"/>
                <wp:cNvGraphicFramePr/>
                <a:graphic xmlns:a="http://schemas.openxmlformats.org/drawingml/2006/main">
                  <a:graphicData uri="http://schemas.microsoft.com/office/word/2010/wordprocessingShape">
                    <wps:wsp>
                      <wps:cNvSpPr txBox="1">
                        <a:spLocks noChangeArrowheads="1"/>
                      </wps:cNvSpPr>
                      <wps:spPr bwMode="auto">
                        <a:xfrm>
                          <a:off x="0" y="0"/>
                          <a:ext cx="2228850" cy="49276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1各环境要素环境影响预测与评价</w:t>
                            </w:r>
                          </w:p>
                          <w:p>
                            <w:pPr>
                              <w:spacing w:line="240" w:lineRule="atLeast"/>
                              <w:jc w:val="left"/>
                              <w:rPr>
                                <w:szCs w:val="21"/>
                              </w:rPr>
                            </w:pPr>
                            <w:r>
                              <w:rPr>
                                <w:rFonts w:hint="eastAsia"/>
                                <w:szCs w:val="21"/>
                              </w:rPr>
                              <w:t>2各专题环境影响分析与评价</w:t>
                            </w:r>
                          </w:p>
                        </w:txbxContent>
                      </wps:txbx>
                      <wps:bodyPr rot="0" vert="horz" wrap="square" lIns="91440" tIns="45720" rIns="91440" bIns="45720" anchor="t" anchorCtr="0" upright="1">
                        <a:noAutofit/>
                      </wps:bodyPr>
                    </wps:wsp>
                  </a:graphicData>
                </a:graphic>
              </wp:anchor>
            </w:drawing>
          </mc:Choice>
          <mc:Fallback>
            <w:pict>
              <v:shape id="Text Box 65" o:spid="_x0000_s1026" o:spt="202" type="#_x0000_t202" style="position:absolute;left:0pt;margin-left:147pt;margin-top:7.65pt;height:38.8pt;width:175.5pt;z-index:251766784;mso-width-relative:page;mso-height-relative:page;" fillcolor="#FFFFFF" filled="t" stroked="t" coordsize="21600,21600" o:gfxdata="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YtVXNkAAAAJAQAADwAA&#10;AAAAAAABACAAAAAiAAAAZHJzL2Rvd25yZXYueG1sUEsBAhQAFAAAAAgAh07iQJfRQ0AVAgAAOwQA&#10;AA4AAAAAAAAAAQAgAAAAKAEAAGRycy9lMm9Eb2MueG1sUEsFBgAAAAAGAAYAWQEAAK8FAAAAAA==&#10;">
                <v:fill on="t" focussize="0,0"/>
                <v:stroke color="#000000" miterlimit="8" joinstyle="miter"/>
                <v:imagedata o:title=""/>
                <o:lock v:ext="edit" aspectratio="f"/>
                <v:textbox>
                  <w:txbxContent>
                    <w:p>
                      <w:pPr>
                        <w:spacing w:line="240" w:lineRule="atLeast"/>
                        <w:jc w:val="left"/>
                        <w:rPr>
                          <w:szCs w:val="21"/>
                        </w:rPr>
                      </w:pPr>
                      <w:r>
                        <w:rPr>
                          <w:rFonts w:hint="eastAsia"/>
                          <w:szCs w:val="21"/>
                        </w:rPr>
                        <w:t>1各环境要素环境影响预测与评价</w:t>
                      </w:r>
                    </w:p>
                    <w:p>
                      <w:pPr>
                        <w:spacing w:line="240" w:lineRule="atLeast"/>
                        <w:jc w:val="left"/>
                        <w:rPr>
                          <w:szCs w:val="21"/>
                        </w:rPr>
                      </w:pPr>
                      <w:r>
                        <w:rPr>
                          <w:rFonts w:hint="eastAsia"/>
                          <w:szCs w:val="21"/>
                        </w:rPr>
                        <w:t>2各专题环境影响分析与评价</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74976" behindDoc="0" locked="0" layoutInCell="1" allowOverlap="1">
                <wp:simplePos x="0" y="0"/>
                <wp:positionH relativeFrom="column">
                  <wp:posOffset>2981325</wp:posOffset>
                </wp:positionH>
                <wp:positionV relativeFrom="paragraph">
                  <wp:posOffset>292735</wp:posOffset>
                </wp:positionV>
                <wp:extent cx="0" cy="212090"/>
                <wp:effectExtent l="57150" t="12700" r="57150" b="22860"/>
                <wp:wrapNone/>
                <wp:docPr id="224" name="AutoShape 75"/>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tailEnd type="triangle" w="med" len="med"/>
                        </a:ln>
                      </wps:spPr>
                      <wps:bodyPr/>
                    </wps:wsp>
                  </a:graphicData>
                </a:graphic>
              </wp:anchor>
            </w:drawing>
          </mc:Choice>
          <mc:Fallback>
            <w:pict>
              <v:shape id="AutoShape 75" o:spid="_x0000_s1026" o:spt="32" type="#_x0000_t32" style="position:absolute;left:0pt;margin-left:234.75pt;margin-top:23.05pt;height:16.7pt;width:0pt;z-index:251774976;mso-width-relative:page;mso-height-relative:page;" filled="f" stroked="t" coordsize="21600,21600" o:gfxdata="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B6I0NcAAAAJAQAADwAAAAAAAAABACAA&#10;AAAiAAAAZHJzL2Rvd25yZXYueG1sUEsBAhQAFAAAAAgAh07iQB0vRcfVAQAAlAMAAA4AAAAAAAAA&#10;AQAgAAAAJgEAAGRycy9lMm9Eb2MueG1sUEsFBgAAAAAGAAYAWQEAAG0FAAAAAA==&#10;">
                <v:fill on="f" focussize="0,0"/>
                <v:stroke color="#000000" joinstyle="round"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85216" behindDoc="0" locked="0" layoutInCell="1" allowOverlap="1">
                <wp:simplePos x="0" y="0"/>
                <wp:positionH relativeFrom="margin">
                  <wp:posOffset>298450</wp:posOffset>
                </wp:positionH>
                <wp:positionV relativeFrom="paragraph">
                  <wp:posOffset>51435</wp:posOffset>
                </wp:positionV>
                <wp:extent cx="4764405" cy="17145"/>
                <wp:effectExtent l="0" t="0" r="17145" b="20955"/>
                <wp:wrapNone/>
                <wp:docPr id="311" name="直接连接符 311"/>
                <wp:cNvGraphicFramePr/>
                <a:graphic xmlns:a="http://schemas.openxmlformats.org/drawingml/2006/main">
                  <a:graphicData uri="http://schemas.microsoft.com/office/word/2010/wordprocessingShape">
                    <wps:wsp>
                      <wps:cNvCnPr/>
                      <wps:spPr>
                        <a:xfrm>
                          <a:off x="0" y="0"/>
                          <a:ext cx="4764405" cy="17145"/>
                        </a:xfrm>
                        <a:prstGeom prst="line">
                          <a:avLst/>
                        </a:prstGeom>
                        <a:ln>
                          <a:solidFill>
                            <a:schemeClr val="tx1"/>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5pt;margin-top:4.05pt;height:1.35pt;width:375.15pt;mso-position-horizontal-relative:margin;z-index:251785216;mso-width-relative:page;mso-height-relative:page;" filled="f" stroked="t" coordsize="21600,21600" o:gfxdata="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BbCl/UAAAABwEAAA8AAAAAAAAAAQAgAAAAIgAAAGRy&#10;cy9kb3ducmV2LnhtbFBLAQIUABQAAAAIAIdO4kBw57eX0AEAAGwDAAAOAAAAAAAAAAEAIAAAACMB&#10;AABkcnMvZTJvRG9jLnhtbFBLBQYAAAAABgAGAFkBAABlBQAAAAA=&#10;">
                <v:fill on="f" focussize="0,0"/>
                <v:stroke weight="0.5pt" color="#000000 [3213]" miterlimit="8" joinstyle="miter" dashstyle="longDash"/>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788288" behindDoc="0" locked="0" layoutInCell="1" allowOverlap="1">
                <wp:simplePos x="0" y="0"/>
                <wp:positionH relativeFrom="column">
                  <wp:posOffset>741680</wp:posOffset>
                </wp:positionH>
                <wp:positionV relativeFrom="paragraph">
                  <wp:posOffset>257810</wp:posOffset>
                </wp:positionV>
                <wp:extent cx="353695" cy="1095375"/>
                <wp:effectExtent l="0" t="0" r="8890" b="9525"/>
                <wp:wrapNone/>
                <wp:docPr id="314" name="Text Box 62"/>
                <wp:cNvGraphicFramePr/>
                <a:graphic xmlns:a="http://schemas.openxmlformats.org/drawingml/2006/main">
                  <a:graphicData uri="http://schemas.microsoft.com/office/word/2010/wordprocessingShape">
                    <wps:wsp>
                      <wps:cNvSpPr txBox="1">
                        <a:spLocks noChangeArrowheads="1"/>
                      </wps:cNvSpPr>
                      <wps:spPr bwMode="auto">
                        <a:xfrm>
                          <a:off x="0" y="0"/>
                          <a:ext cx="353683" cy="1095554"/>
                        </a:xfrm>
                        <a:prstGeom prst="rect">
                          <a:avLst/>
                        </a:prstGeom>
                        <a:solidFill>
                          <a:srgbClr val="FFFFFF"/>
                        </a:solidFill>
                        <a:ln w="9525">
                          <a:noFill/>
                          <a:miter lim="800000"/>
                        </a:ln>
                      </wps:spPr>
                      <wps:txbx>
                        <w:txbxContent>
                          <w:p>
                            <w:pPr>
                              <w:spacing w:line="240" w:lineRule="atLeast"/>
                              <w:jc w:val="center"/>
                              <w:rPr>
                                <w:szCs w:val="21"/>
                              </w:rPr>
                            </w:pPr>
                            <w:r>
                              <w:rPr>
                                <w:rFonts w:hint="eastAsia"/>
                                <w:szCs w:val="21"/>
                              </w:rPr>
                              <w:t>第三</w:t>
                            </w:r>
                            <w:r>
                              <w:rPr>
                                <w:szCs w:val="21"/>
                              </w:rPr>
                              <w:t>阶段</w:t>
                            </w:r>
                          </w:p>
                        </w:txbxContent>
                      </wps:txbx>
                      <wps:bodyPr rot="0" vert="horz" wrap="square" lIns="91440" tIns="45720" rIns="91440" bIns="45720" anchor="t" anchorCtr="0" upright="1">
                        <a:noAutofit/>
                      </wps:bodyPr>
                    </wps:wsp>
                  </a:graphicData>
                </a:graphic>
              </wp:anchor>
            </w:drawing>
          </mc:Choice>
          <mc:Fallback>
            <w:pict>
              <v:shape id="Text Box 62" o:spid="_x0000_s1026" o:spt="202" type="#_x0000_t202" style="position:absolute;left:0pt;margin-left:58.4pt;margin-top:20.3pt;height:86.25pt;width:27.85pt;z-index:251788288;mso-width-relative:page;mso-height-relative:page;" fillcolor="#FFFFFF" filled="t" stroked="f" coordsize="21600,21600" o:gfxdata="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rvak1wAAAAoBAAAPAAAA&#10;AAAAAAEAIAAAACIAAABkcnMvZG93bnJldi54bWxQSwECFAAUAAAACACHTuJAWiNOZhYCAAASBAAA&#10;DgAAAAAAAAABACAAAAAmAQAAZHJzL2Uyb0RvYy54bWxQSwUGAAAAAAYABgBZAQAArgUAAAAA&#10;">
                <v:fill on="t" focussize="0,0"/>
                <v:stroke on="f" miterlimit="8" joinstyle="miter"/>
                <v:imagedata o:title=""/>
                <o:lock v:ext="edit" aspectratio="f"/>
                <v:textbox>
                  <w:txbxContent>
                    <w:p>
                      <w:pPr>
                        <w:spacing w:line="240" w:lineRule="atLeast"/>
                        <w:jc w:val="center"/>
                        <w:rPr>
                          <w:szCs w:val="21"/>
                        </w:rPr>
                      </w:pPr>
                      <w:r>
                        <w:rPr>
                          <w:rFonts w:hint="eastAsia"/>
                          <w:szCs w:val="21"/>
                        </w:rPr>
                        <w:t>第三</w:t>
                      </w:r>
                      <w:r>
                        <w:rPr>
                          <w:szCs w:val="21"/>
                        </w:rPr>
                        <w:t>阶段</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67808" behindDoc="0" locked="0" layoutInCell="1" allowOverlap="1">
                <wp:simplePos x="0" y="0"/>
                <wp:positionH relativeFrom="column">
                  <wp:posOffset>1679575</wp:posOffset>
                </wp:positionH>
                <wp:positionV relativeFrom="paragraph">
                  <wp:posOffset>207645</wp:posOffset>
                </wp:positionV>
                <wp:extent cx="2606675" cy="721360"/>
                <wp:effectExtent l="12700" t="5715" r="9525" b="6350"/>
                <wp:wrapNone/>
                <wp:docPr id="223" name="Text Box 66"/>
                <wp:cNvGraphicFramePr/>
                <a:graphic xmlns:a="http://schemas.openxmlformats.org/drawingml/2006/main">
                  <a:graphicData uri="http://schemas.microsoft.com/office/word/2010/wordprocessingShape">
                    <wps:wsp>
                      <wps:cNvSpPr txBox="1">
                        <a:spLocks noChangeArrowheads="1"/>
                      </wps:cNvSpPr>
                      <wps:spPr bwMode="auto">
                        <a:xfrm>
                          <a:off x="0" y="0"/>
                          <a:ext cx="2606675" cy="72136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1提出环境保护措施，进行技术经济论证</w:t>
                            </w:r>
                          </w:p>
                          <w:p>
                            <w:pPr>
                              <w:spacing w:line="240" w:lineRule="atLeast"/>
                              <w:jc w:val="left"/>
                              <w:rPr>
                                <w:szCs w:val="21"/>
                              </w:rPr>
                            </w:pPr>
                            <w:r>
                              <w:rPr>
                                <w:rFonts w:hint="eastAsia"/>
                                <w:szCs w:val="21"/>
                              </w:rPr>
                              <w:t>2给出污染物排放清单</w:t>
                            </w:r>
                          </w:p>
                          <w:p>
                            <w:pPr>
                              <w:spacing w:line="240" w:lineRule="atLeast"/>
                              <w:jc w:val="left"/>
                              <w:rPr>
                                <w:szCs w:val="21"/>
                              </w:rPr>
                            </w:pPr>
                            <w:r>
                              <w:rPr>
                                <w:rFonts w:hint="eastAsia"/>
                                <w:szCs w:val="21"/>
                              </w:rPr>
                              <w:t>3给出建设项目环境影响评价结论</w:t>
                            </w:r>
                          </w:p>
                        </w:txbxContent>
                      </wps:txbx>
                      <wps:bodyPr rot="0" vert="horz" wrap="square" lIns="91440" tIns="45720" rIns="91440" bIns="45720" anchor="t" anchorCtr="0" upright="1">
                        <a:noAutofit/>
                      </wps:bodyPr>
                    </wps:wsp>
                  </a:graphicData>
                </a:graphic>
              </wp:anchor>
            </w:drawing>
          </mc:Choice>
          <mc:Fallback>
            <w:pict>
              <v:shape id="Text Box 66" o:spid="_x0000_s1026" o:spt="202" type="#_x0000_t202" style="position:absolute;left:0pt;margin-left:132.25pt;margin-top:16.35pt;height:56.8pt;width:205.25pt;z-index:251767808;mso-width-relative:page;mso-height-relative:page;" fillcolor="#FFFFFF" filled="t" stroked="t" coordsize="21600,21600" o:gfxdata="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6pt1tkAAAAKAQAA&#10;DwAAAAAAAAABACAAAAAiAAAAZHJzL2Rvd25yZXYueG1sUEsBAhQAFAAAAAgAh07iQC/82cQYAgAA&#10;OwQAAA4AAAAAAAAAAQAgAAAAKAEAAGRycy9lMm9Eb2MueG1sUEsFBgAAAAAGAAYAWQEAALIFAAAA&#10;AA==&#10;">
                <v:fill on="t" focussize="0,0"/>
                <v:stroke color="#000000" miterlimit="8" joinstyle="miter"/>
                <v:imagedata o:title=""/>
                <o:lock v:ext="edit" aspectratio="f"/>
                <v:textbox>
                  <w:txbxContent>
                    <w:p>
                      <w:pPr>
                        <w:spacing w:line="240" w:lineRule="atLeast"/>
                        <w:jc w:val="left"/>
                        <w:rPr>
                          <w:szCs w:val="21"/>
                        </w:rPr>
                      </w:pPr>
                      <w:r>
                        <w:rPr>
                          <w:rFonts w:hint="eastAsia"/>
                          <w:szCs w:val="21"/>
                        </w:rPr>
                        <w:t>1提出环境保护措施，进行技术经济论证</w:t>
                      </w:r>
                    </w:p>
                    <w:p>
                      <w:pPr>
                        <w:spacing w:line="240" w:lineRule="atLeast"/>
                        <w:jc w:val="left"/>
                        <w:rPr>
                          <w:szCs w:val="21"/>
                        </w:rPr>
                      </w:pPr>
                      <w:r>
                        <w:rPr>
                          <w:rFonts w:hint="eastAsia"/>
                          <w:szCs w:val="21"/>
                        </w:rPr>
                        <w:t>2给出污染物排放清单</w:t>
                      </w:r>
                    </w:p>
                    <w:p>
                      <w:pPr>
                        <w:spacing w:line="240" w:lineRule="atLeast"/>
                        <w:jc w:val="left"/>
                        <w:rPr>
                          <w:szCs w:val="21"/>
                        </w:rPr>
                      </w:pPr>
                      <w:r>
                        <w:rPr>
                          <w:rFonts w:hint="eastAsia"/>
                          <w:szCs w:val="21"/>
                        </w:rPr>
                        <w:t>3给出建设项目环境影响评价结论</w:t>
                      </w:r>
                    </w:p>
                  </w:txbxContent>
                </v:textbox>
              </v:shape>
            </w:pict>
          </mc:Fallback>
        </mc:AlternateContent>
      </w: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81120" behindDoc="0" locked="0" layoutInCell="1" allowOverlap="1">
                <wp:simplePos x="0" y="0"/>
                <wp:positionH relativeFrom="column">
                  <wp:posOffset>2276475</wp:posOffset>
                </wp:positionH>
                <wp:positionV relativeFrom="paragraph">
                  <wp:posOffset>546735</wp:posOffset>
                </wp:positionV>
                <wp:extent cx="1400175" cy="283210"/>
                <wp:effectExtent l="9525" t="5715" r="9525" b="6350"/>
                <wp:wrapNone/>
                <wp:docPr id="222" name="Text Box 67"/>
                <wp:cNvGraphicFramePr/>
                <a:graphic xmlns:a="http://schemas.openxmlformats.org/drawingml/2006/main">
                  <a:graphicData uri="http://schemas.microsoft.com/office/word/2010/wordprocessingShape">
                    <wps:wsp>
                      <wps:cNvSpPr txBox="1">
                        <a:spLocks noChangeArrowheads="1"/>
                      </wps:cNvSpPr>
                      <wps:spPr bwMode="auto">
                        <a:xfrm>
                          <a:off x="0" y="0"/>
                          <a:ext cx="1400175" cy="283210"/>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编制环境影响报告书</w:t>
                            </w:r>
                          </w:p>
                        </w:txbxContent>
                      </wps:txbx>
                      <wps:bodyPr rot="0" vert="horz" wrap="square" lIns="91440" tIns="45720" rIns="91440" bIns="45720" anchor="t" anchorCtr="0" upright="1">
                        <a:noAutofit/>
                      </wps:bodyPr>
                    </wps:wsp>
                  </a:graphicData>
                </a:graphic>
              </wp:anchor>
            </w:drawing>
          </mc:Choice>
          <mc:Fallback>
            <w:pict>
              <v:shape id="Text Box 67" o:spid="_x0000_s1026" o:spt="202" type="#_x0000_t202" style="position:absolute;left:0pt;margin-left:179.25pt;margin-top:43.05pt;height:22.3pt;width:110.25pt;z-index:251781120;mso-width-relative:page;mso-height-relative:page;" fillcolor="#FFFFFF" filled="t" stroked="t" coordsize="21600,21600" o:gfxdata="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o6r32QAAAAoBAAAP&#10;AAAAAAAAAAEAIAAAACIAAABkcnMvZG93bnJldi54bWxQSwECFAAUAAAACACHTuJAtI7X0BcCAAA7&#10;BAAADgAAAAAAAAABACAAAAAoAQAAZHJzL2Uyb0RvYy54bWxQSwUGAAAAAAYABgBZAQAAsQU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编制环境影响报告书</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82144" behindDoc="0" locked="0" layoutInCell="1" allowOverlap="1">
                <wp:simplePos x="0" y="0"/>
                <wp:positionH relativeFrom="column">
                  <wp:posOffset>2981325</wp:posOffset>
                </wp:positionH>
                <wp:positionV relativeFrom="paragraph">
                  <wp:posOffset>334645</wp:posOffset>
                </wp:positionV>
                <wp:extent cx="0" cy="212090"/>
                <wp:effectExtent l="57150" t="12700" r="57150" b="22860"/>
                <wp:wrapNone/>
                <wp:docPr id="221" name="AutoShape 76"/>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tailEnd type="triangle" w="med" len="med"/>
                        </a:ln>
                      </wps:spPr>
                      <wps:bodyPr/>
                    </wps:wsp>
                  </a:graphicData>
                </a:graphic>
              </wp:anchor>
            </w:drawing>
          </mc:Choice>
          <mc:Fallback>
            <w:pict>
              <v:shape id="AutoShape 76" o:spid="_x0000_s1026" o:spt="32" type="#_x0000_t32" style="position:absolute;left:0pt;margin-left:234.75pt;margin-top:26.35pt;height:16.7pt;width:0pt;z-index:251782144;mso-width-relative:page;mso-height-relative:page;" filled="f" stroked="t" coordsize="21600,21600" o:gfxdata="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sHEj2QAAAAkBAAAPAAAAAAAAAAEA&#10;IAAAACIAAABkcnMvZG93bnJldi54bWxQSwECFAAUAAAACACHTuJAUJoVQNUBAACUAwAADgAAAAAA&#10;AAABACAAAAAoAQAAZHJzL2Uyb0RvYy54bWxQSwUGAAAAAAYABgBZAQAAbwUAAAAA&#10;">
                <v:fill on="f" focussize="0,0"/>
                <v:stroke color="#000000" joinstyle="round"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widowControl/>
        <w:jc w:val="left"/>
        <w:rPr>
          <w:rFonts w:ascii="Times New Roman" w:hAnsi="Times New Roman"/>
          <w:color w:val="000000"/>
          <w:sz w:val="24"/>
          <w:szCs w:val="24"/>
        </w:rPr>
      </w:pPr>
      <w:r>
        <w:rPr>
          <w:rFonts w:ascii="Times New Roman" w:hAnsi="Times New Roman"/>
          <w:color w:val="000000"/>
          <w:sz w:val="24"/>
          <w:szCs w:val="24"/>
        </w:rPr>
        <w:br w:type="page"/>
      </w:r>
    </w:p>
    <w:p>
      <w:pPr>
        <w:pStyle w:val="4"/>
        <w:ind w:firstLine="602"/>
      </w:pPr>
      <w:bookmarkStart w:id="98" w:name="_Toc23843323"/>
      <w:bookmarkStart w:id="99" w:name="_Toc13389"/>
      <w:bookmarkStart w:id="100" w:name="_Toc15311"/>
      <w:r>
        <w:rPr>
          <w:rFonts w:hint="eastAsia"/>
        </w:rPr>
        <w:t>3.建设项目工程分析</w:t>
      </w:r>
      <w:bookmarkEnd w:id="98"/>
      <w:bookmarkEnd w:id="99"/>
      <w:bookmarkEnd w:id="100"/>
    </w:p>
    <w:p>
      <w:pPr>
        <w:pStyle w:val="5"/>
        <w:ind w:firstLine="562"/>
        <w:rPr>
          <w:rFonts w:hAnsi="Times New Roman"/>
        </w:rPr>
      </w:pPr>
      <w:bookmarkStart w:id="101" w:name="_Toc23843324"/>
      <w:bookmarkStart w:id="102" w:name="_Toc25522"/>
      <w:bookmarkStart w:id="103" w:name="_Toc20464"/>
      <w:r>
        <w:rPr>
          <w:rFonts w:hint="eastAsia" w:hAnsi="Times New Roman"/>
        </w:rPr>
        <w:t>3.1建设项目概况</w:t>
      </w:r>
      <w:bookmarkEnd w:id="101"/>
      <w:bookmarkEnd w:id="102"/>
      <w:bookmarkEnd w:id="103"/>
    </w:p>
    <w:p>
      <w:pPr>
        <w:pStyle w:val="5"/>
        <w:ind w:firstLine="562"/>
        <w:rPr>
          <w:rFonts w:hAnsi="Times New Roman"/>
          <w:sz w:val="24"/>
          <w:szCs w:val="24"/>
        </w:rPr>
      </w:pPr>
      <w:bookmarkStart w:id="104" w:name="_Toc23843325"/>
      <w:bookmarkStart w:id="105" w:name="_Toc20265"/>
      <w:bookmarkStart w:id="106" w:name="_Toc27407"/>
      <w:r>
        <w:rPr>
          <w:rFonts w:hint="eastAsia" w:hAnsi="Times New Roman"/>
          <w:sz w:val="24"/>
          <w:szCs w:val="24"/>
        </w:rPr>
        <w:t>3.1.1建设项目基本情况</w:t>
      </w:r>
      <w:bookmarkEnd w:id="104"/>
      <w:bookmarkEnd w:id="105"/>
      <w:bookmarkEnd w:id="106"/>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4124325</wp:posOffset>
                </wp:positionH>
                <wp:positionV relativeFrom="paragraph">
                  <wp:posOffset>598170</wp:posOffset>
                </wp:positionV>
                <wp:extent cx="0" cy="0"/>
                <wp:effectExtent l="9525" t="5080" r="9525" b="13970"/>
                <wp:wrapNone/>
                <wp:docPr id="220" name="AutoShape 81"/>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ln>
                      </wps:spPr>
                      <wps:bodyPr/>
                    </wps:wsp>
                  </a:graphicData>
                </a:graphic>
              </wp:anchor>
            </w:drawing>
          </mc:Choice>
          <mc:Fallback>
            <w:pict>
              <v:shape id="AutoShape 81" o:spid="_x0000_s1026" o:spt="32" type="#_x0000_t32" style="position:absolute;left:0pt;margin-left:324.75pt;margin-top:47.1pt;height:0pt;width:0pt;z-index:251659264;mso-width-relative:page;mso-height-relative:page;" filled="f" stroked="t" coordsize="21600,21600" o:gfxdata="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I&#10;pmzVAAAACQEAAA8AAAAAAAAAAQAgAAAAIgAAAGRycy9kb3ducmV2LnhtbFBLAQIUABQAAAAIAIdO&#10;4kDdBen4tAEAAGEDAAAOAAAAAAAAAAEAIAAAACQBAABkcnMvZTJvRG9jLnhtbFBLBQYAAAAABgAG&#10;AFkBAABKBQAAAAA=&#10;">
                <v:fill on="f" focussize="0,0"/>
                <v:stroke color="#000000" joinstyle="round"/>
                <v:imagedata o:title=""/>
                <o:lock v:ext="edit" aspectratio="f"/>
              </v:shape>
            </w:pict>
          </mc:Fallback>
        </mc:AlternateContent>
      </w:r>
      <w:r>
        <w:rPr>
          <w:rFonts w:hint="eastAsia" w:ascii="Times New Roman" w:hAnsi="Times New Roman"/>
          <w:color w:val="000000"/>
          <w:sz w:val="24"/>
          <w:szCs w:val="24"/>
        </w:rPr>
        <w:t>（1）项目名称：新建10万吨/年环保新材料石粉复合果蔬包装纸生产线项目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（2）建设性质：新建</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（3）建设单位：元谋县佳明包装有限责任公司</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（4）建设地点：元谋县工业园区金雷片区，地块中心地理坐标：北纬24</w:t>
      </w:r>
      <w:r>
        <w:rPr>
          <w:rFonts w:ascii="Times New Roman" w:hAnsi="Times New Roman"/>
          <w:color w:val="000000"/>
          <w:sz w:val="24"/>
          <w:szCs w:val="24"/>
        </w:rPr>
        <w:t>°</w:t>
      </w:r>
      <w:r>
        <w:rPr>
          <w:rFonts w:hint="eastAsia" w:ascii="Times New Roman" w:hAnsi="Times New Roman"/>
          <w:color w:val="000000"/>
          <w:sz w:val="24"/>
          <w:szCs w:val="24"/>
        </w:rPr>
        <w:t>55</w:t>
      </w:r>
      <w:r>
        <w:rPr>
          <w:rFonts w:ascii="Times New Roman" w:hAnsi="Times New Roman"/>
          <w:color w:val="000000"/>
          <w:sz w:val="24"/>
          <w:szCs w:val="24"/>
        </w:rPr>
        <w:t>′</w:t>
      </w:r>
      <w:r>
        <w:rPr>
          <w:rFonts w:hint="eastAsia" w:ascii="Times New Roman" w:hAnsi="Times New Roman"/>
          <w:color w:val="000000"/>
          <w:sz w:val="24"/>
          <w:szCs w:val="24"/>
        </w:rPr>
        <w:t>50,6</w:t>
      </w:r>
      <w:r>
        <w:rPr>
          <w:rFonts w:ascii="Times New Roman" w:hAnsi="Times New Roman"/>
          <w:color w:val="000000"/>
          <w:sz w:val="24"/>
          <w:szCs w:val="24"/>
        </w:rPr>
        <w:t>8″</w:t>
      </w:r>
      <w:r>
        <w:rPr>
          <w:rFonts w:hint="eastAsia" w:ascii="Times New Roman" w:hAnsi="Times New Roman"/>
          <w:color w:val="000000"/>
          <w:sz w:val="24"/>
          <w:szCs w:val="24"/>
        </w:rPr>
        <w:t>，东经</w:t>
      </w:r>
      <w:r>
        <w:rPr>
          <w:rFonts w:ascii="Times New Roman" w:hAnsi="Times New Roman"/>
          <w:color w:val="000000"/>
          <w:sz w:val="24"/>
          <w:szCs w:val="24"/>
        </w:rPr>
        <w:t>102°25′42.70″</w:t>
      </w:r>
      <w:r>
        <w:rPr>
          <w:rFonts w:hint="eastAsia" w:ascii="Times New Roman" w:hAnsi="Times New Roman"/>
          <w:color w:val="000000"/>
          <w:sz w:val="24"/>
          <w:szCs w:val="24"/>
        </w:rPr>
        <w:t>，（地理位置图详见附图一）</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（5）建设规模：新建10万吨/年环保新材料石粉复合果蔬包装纸生产线</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（6）占地面积：项目占地面积为</w:t>
      </w:r>
      <w:r>
        <w:rPr>
          <w:rFonts w:ascii="Times New Roman" w:hAnsi="Times New Roman"/>
          <w:color w:val="000000"/>
          <w:sz w:val="24"/>
          <w:szCs w:val="24"/>
        </w:rPr>
        <w:t>23333.5</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，建筑占地面积为</w:t>
      </w:r>
      <w:r>
        <w:rPr>
          <w:rFonts w:ascii="Times New Roman" w:hAnsi="Times New Roman"/>
          <w:color w:val="000000"/>
          <w:sz w:val="24"/>
          <w:szCs w:val="24"/>
        </w:rPr>
        <w:t>8065.66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，总建筑面积为</w:t>
      </w:r>
      <w:r>
        <w:rPr>
          <w:rFonts w:ascii="Times New Roman" w:hAnsi="Times New Roman"/>
          <w:color w:val="000000"/>
          <w:sz w:val="24"/>
          <w:szCs w:val="24"/>
        </w:rPr>
        <w:t>9780.16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（7）投资总额：10176万元</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（8）环保投资：建设项目环保投资220万元，占总投资的2.16%</w:t>
      </w:r>
    </w:p>
    <w:p>
      <w:pPr>
        <w:pStyle w:val="5"/>
        <w:ind w:firstLine="562"/>
        <w:rPr>
          <w:rFonts w:hAnsi="Times New Roman"/>
          <w:sz w:val="24"/>
          <w:szCs w:val="24"/>
        </w:rPr>
      </w:pPr>
      <w:bookmarkStart w:id="107" w:name="_Toc5630"/>
      <w:bookmarkStart w:id="108" w:name="_Toc23843326"/>
      <w:bookmarkStart w:id="109" w:name="_Toc9628"/>
      <w:r>
        <w:rPr>
          <w:rFonts w:hint="eastAsia" w:hAnsi="Times New Roman"/>
          <w:sz w:val="24"/>
          <w:szCs w:val="24"/>
        </w:rPr>
        <w:t>3.1.2项目组成</w:t>
      </w:r>
      <w:bookmarkEnd w:id="107"/>
      <w:bookmarkEnd w:id="108"/>
      <w:bookmarkEnd w:id="109"/>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项目建设在元谋县工业园区金雷片区，项目总占地面积为23333.5m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，建筑占地面积为</w:t>
      </w:r>
      <w:r>
        <w:rPr>
          <w:rFonts w:ascii="Times New Roman" w:hAnsi="Times New Roman"/>
          <w:color w:val="000000"/>
          <w:sz w:val="24"/>
          <w:szCs w:val="24"/>
        </w:rPr>
        <w:t>8065.66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，项目总建筑面积为</w:t>
      </w:r>
      <w:r>
        <w:rPr>
          <w:rFonts w:ascii="Times New Roman" w:hAnsi="Times New Roman"/>
          <w:color w:val="000000"/>
          <w:sz w:val="24"/>
          <w:szCs w:val="24"/>
        </w:rPr>
        <w:t>9780.16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由主体工程、辅助工程、公用工程及环保工程组成，拟新建年产10万吨环保新材料石粉复合果蔬包装纸生产线一条，建设厂房及相应附属设施。根据功能要求本项目主体工程包括生产车间（包括破碎配浆车间、纸机生产车间和成品车间）；辅助工程包括成品仓库、辅助用房（包括原辅料仓库和除尘废水循环沉淀池污泥暂存处）、综合楼（包括办公楼、研发</w:t>
      </w:r>
      <w:r>
        <w:rPr>
          <w:rFonts w:ascii="Times New Roman" w:hAnsi="Times New Roman"/>
          <w:color w:val="000000"/>
          <w:sz w:val="24"/>
          <w:szCs w:val="24"/>
        </w:rPr>
        <w:t>中心、</w:t>
      </w:r>
      <w:r>
        <w:rPr>
          <w:rFonts w:hint="eastAsia" w:ascii="Times New Roman" w:hAnsi="Times New Roman"/>
          <w:color w:val="000000"/>
          <w:sz w:val="24"/>
          <w:szCs w:val="24"/>
        </w:rPr>
        <w:t>职工宿舍、食堂和公厕）、锅炉房、值班室</w:t>
      </w:r>
      <w:r>
        <w:rPr>
          <w:rFonts w:ascii="Times New Roman" w:hAnsi="Times New Roman"/>
          <w:color w:val="000000"/>
          <w:sz w:val="24"/>
          <w:szCs w:val="24"/>
        </w:rPr>
        <w:t>、</w:t>
      </w:r>
      <w:r>
        <w:rPr>
          <w:rFonts w:hint="eastAsia" w:ascii="Times New Roman" w:hAnsi="Times New Roman"/>
          <w:color w:val="000000"/>
          <w:sz w:val="24"/>
          <w:szCs w:val="24"/>
        </w:rPr>
        <w:t>停车位等；公用工程包括供电系统、给排水系统和</w:t>
      </w:r>
      <w:r>
        <w:rPr>
          <w:rFonts w:ascii="Times New Roman" w:hAnsi="Times New Roman"/>
          <w:color w:val="000000"/>
          <w:sz w:val="24"/>
          <w:szCs w:val="24"/>
        </w:rPr>
        <w:t>供气系统</w:t>
      </w:r>
      <w:r>
        <w:rPr>
          <w:rFonts w:hint="eastAsia" w:ascii="Times New Roman" w:hAnsi="Times New Roman"/>
          <w:color w:val="000000"/>
          <w:sz w:val="24"/>
          <w:szCs w:val="24"/>
        </w:rPr>
        <w:t>等；环保工程包括污水处理工程、废气防治设施、噪声控制设施、固体废物收集暂存设施等，具体项目组成详见表3.1-1。</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表3.1-1   项目建设内容一览表</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945"/>
        <w:gridCol w:w="189"/>
        <w:gridCol w:w="2694"/>
        <w:gridCol w:w="23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工程分类</w:t>
            </w:r>
          </w:p>
        </w:tc>
        <w:tc>
          <w:tcPr>
            <w:tcW w:w="1701"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建设名称</w:t>
            </w:r>
          </w:p>
        </w:tc>
        <w:tc>
          <w:tcPr>
            <w:tcW w:w="3828" w:type="dxa"/>
            <w:gridSpan w:val="3"/>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建设内容及规模</w:t>
            </w:r>
          </w:p>
        </w:tc>
        <w:tc>
          <w:tcPr>
            <w:tcW w:w="2318"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主体</w:t>
            </w:r>
            <w:r>
              <w:rPr>
                <w:rFonts w:ascii="Times New Roman" w:hAnsi="Times New Roman" w:eastAsia="宋体" w:cs="Times New Roman"/>
                <w:kern w:val="0"/>
                <w:szCs w:val="21"/>
              </w:rPr>
              <w:t>工程</w:t>
            </w: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生产车间</w:t>
            </w:r>
          </w:p>
        </w:tc>
        <w:tc>
          <w:tcPr>
            <w:tcW w:w="3828" w:type="dxa"/>
            <w:gridSpan w:val="3"/>
            <w:vAlign w:val="center"/>
          </w:tcPr>
          <w:p>
            <w:pPr>
              <w:adjustRightInd w:val="0"/>
              <w:snapToGrid w:val="0"/>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1层</w:t>
            </w:r>
            <w:r>
              <w:rPr>
                <w:rFonts w:ascii="Times New Roman" w:hAnsi="Times New Roman" w:eastAsia="宋体" w:cs="Times New Roman"/>
                <w:kern w:val="0"/>
                <w:szCs w:val="21"/>
              </w:rPr>
              <w:t>建筑，占地面积7000</w:t>
            </w:r>
            <w:r>
              <w:rPr>
                <w:rFonts w:hint="eastAsia" w:ascii="Times New Roman" w:hAnsi="Times New Roman" w:eastAsia="宋体" w:cs="Times New Roman"/>
                <w:kern w:val="0"/>
                <w:szCs w:val="21"/>
              </w:rPr>
              <w:t>m</w:t>
            </w:r>
            <w:r>
              <w:rPr>
                <w:rFonts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位于项目西</w:t>
            </w:r>
            <w:r>
              <w:rPr>
                <w:rFonts w:hint="eastAsia" w:ascii="Times New Roman" w:hAnsi="Times New Roman" w:eastAsia="宋体" w:cs="Times New Roman"/>
                <w:kern w:val="0"/>
                <w:szCs w:val="21"/>
              </w:rPr>
              <w:t>面</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w:t>
            </w:r>
            <w:r>
              <w:rPr>
                <w:rFonts w:ascii="Times New Roman" w:hAnsi="Times New Roman" w:eastAsia="宋体" w:cs="Times New Roman"/>
                <w:kern w:val="0"/>
                <w:szCs w:val="21"/>
              </w:rPr>
              <w:t>车间占地面积</w:t>
            </w:r>
            <w:r>
              <w:rPr>
                <w:rFonts w:hint="eastAsia" w:ascii="Times New Roman" w:hAnsi="Times New Roman" w:eastAsia="宋体" w:cs="Times New Roman"/>
                <w:kern w:val="0"/>
                <w:szCs w:val="21"/>
              </w:rPr>
              <w:t>7000</w:t>
            </w:r>
            <w:r>
              <w:rPr>
                <w:rFonts w:ascii="Times New Roman" w:hAnsi="Times New Roman" w:eastAsia="宋体" w:cs="Times New Roman"/>
                <w:kern w:val="0"/>
                <w:szCs w:val="21"/>
              </w:rPr>
              <w:t>m</w:t>
            </w:r>
            <w:r>
              <w:rPr>
                <w:rFonts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，拟建</w:t>
            </w:r>
            <w:r>
              <w:rPr>
                <w:rFonts w:ascii="Times New Roman" w:hAnsi="Times New Roman" w:eastAsia="宋体" w:cs="Times New Roman"/>
                <w:kern w:val="0"/>
                <w:szCs w:val="21"/>
              </w:rPr>
              <w:t>年产</w:t>
            </w:r>
            <w:r>
              <w:rPr>
                <w:rFonts w:hint="eastAsia" w:ascii="Times New Roman" w:hAnsi="Times New Roman" w:eastAsia="宋体" w:cs="Times New Roman"/>
                <w:kern w:val="0"/>
                <w:szCs w:val="21"/>
              </w:rPr>
              <w:t>10万</w:t>
            </w:r>
            <w:r>
              <w:rPr>
                <w:rFonts w:ascii="Times New Roman" w:hAnsi="Times New Roman" w:eastAsia="宋体" w:cs="Times New Roman"/>
                <w:kern w:val="0"/>
                <w:szCs w:val="21"/>
              </w:rPr>
              <w:t>吨环保新材料石粉纸生产线一条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辅助工程</w:t>
            </w: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成品仓库</w:t>
            </w:r>
          </w:p>
        </w:tc>
        <w:tc>
          <w:tcPr>
            <w:tcW w:w="3828" w:type="dxa"/>
            <w:gridSpan w:val="3"/>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新建单层成品仓库，位于生产车间</w:t>
            </w:r>
            <w:r>
              <w:rPr>
                <w:rFonts w:ascii="Times New Roman" w:hAnsi="Times New Roman" w:eastAsia="宋体" w:cs="Times New Roman"/>
                <w:kern w:val="0"/>
                <w:szCs w:val="21"/>
              </w:rPr>
              <w:t>东侧</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用于存放果蔬包装纸和工程机械用擦油纸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辅助用房</w:t>
            </w:r>
          </w:p>
        </w:tc>
        <w:tc>
          <w:tcPr>
            <w:tcW w:w="3828" w:type="dxa"/>
            <w:gridSpan w:val="3"/>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1层建筑，占地面积</w:t>
            </w:r>
            <w:r>
              <w:rPr>
                <w:rFonts w:ascii="Times New Roman" w:hAnsi="Times New Roman" w:eastAsia="宋体" w:cs="Times New Roman"/>
                <w:kern w:val="0"/>
                <w:szCs w:val="21"/>
              </w:rPr>
              <w:t>192</w:t>
            </w:r>
            <w:r>
              <w:rPr>
                <w:rFonts w:hint="eastAsia" w:ascii="Times New Roman" w:hAnsi="Times New Roman" w:eastAsia="宋体" w:cs="Times New Roman"/>
                <w:kern w:val="0"/>
                <w:szCs w:val="21"/>
              </w:rPr>
              <w:t>m</w:t>
            </w:r>
            <w:r>
              <w:rPr>
                <w:rFonts w:hint="eastAsia"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，位于项目北面</w:t>
            </w:r>
            <w:r>
              <w:rPr>
                <w:rFonts w:ascii="Times New Roman" w:hAnsi="Times New Roman" w:eastAsia="宋体" w:cs="Times New Roman"/>
                <w:kern w:val="0"/>
                <w:szCs w:val="21"/>
              </w:rPr>
              <w:t>锅炉房边</w:t>
            </w:r>
            <w:r>
              <w:rPr>
                <w:rFonts w:hint="eastAsia" w:ascii="Times New Roman" w:hAnsi="Times New Roman" w:eastAsia="宋体" w:cs="Times New Roman"/>
                <w:kern w:val="0"/>
                <w:szCs w:val="21"/>
              </w:rPr>
              <w:t>，包括原辅料仓库，灰尘暂存处</w:t>
            </w:r>
          </w:p>
        </w:tc>
        <w:tc>
          <w:tcPr>
            <w:tcW w:w="2318"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原料仓库包括：石粉仓、废纸、淀粉等原料仓库，除尘废水循环沉淀池污泥暂存处用于堆存锅炉炉渣、除尘废水循环沉淀池污泥，</w:t>
            </w:r>
            <w:r>
              <w:rPr>
                <w:rFonts w:ascii="Times New Roman" w:hAnsi="Times New Roman" w:eastAsia="宋体" w:cs="Times New Roman"/>
                <w:color w:val="FF0000"/>
                <w:kern w:val="0"/>
                <w:szCs w:val="21"/>
              </w:rPr>
              <w:t>位于锅炉房边，</w:t>
            </w:r>
            <w:r>
              <w:rPr>
                <w:rFonts w:hint="eastAsia" w:ascii="Times New Roman" w:hAnsi="Times New Roman" w:eastAsia="宋体" w:cs="Times New Roman"/>
                <w:color w:val="FF0000"/>
                <w:kern w:val="0"/>
                <w:szCs w:val="21"/>
              </w:rPr>
              <w:t>除尘废水循环沉淀池污泥</w:t>
            </w:r>
            <w:r>
              <w:rPr>
                <w:rFonts w:ascii="Times New Roman" w:hAnsi="Times New Roman" w:eastAsia="宋体" w:cs="Times New Roman"/>
                <w:color w:val="FF0000"/>
                <w:kern w:val="0"/>
                <w:szCs w:val="21"/>
              </w:rPr>
              <w:t>和炉渣运输方便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综合楼</w:t>
            </w:r>
          </w:p>
        </w:tc>
        <w:tc>
          <w:tcPr>
            <w:tcW w:w="945" w:type="dxa"/>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办公楼</w:t>
            </w:r>
          </w:p>
        </w:tc>
        <w:tc>
          <w:tcPr>
            <w:tcW w:w="2883" w:type="dxa"/>
            <w:gridSpan w:val="2"/>
            <w:vAlign w:val="center"/>
          </w:tcPr>
          <w:p>
            <w:pPr>
              <w:spacing w:line="24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3</w:t>
            </w:r>
            <w:r>
              <w:rPr>
                <w:rFonts w:hint="eastAsia" w:ascii="Times New Roman" w:hAnsi="Times New Roman" w:eastAsia="宋体" w:cs="Times New Roman"/>
                <w:kern w:val="0"/>
                <w:szCs w:val="21"/>
              </w:rPr>
              <w:t>层建筑，占地</w:t>
            </w:r>
            <w:r>
              <w:rPr>
                <w:rFonts w:ascii="Times New Roman" w:hAnsi="Times New Roman" w:eastAsia="宋体" w:cs="Times New Roman"/>
                <w:kern w:val="0"/>
                <w:szCs w:val="21"/>
              </w:rPr>
              <w:t>面积244.42</w:t>
            </w:r>
            <w:r>
              <w:rPr>
                <w:rFonts w:hint="eastAsia" w:ascii="Times New Roman" w:hAnsi="Times New Roman" w:eastAsia="宋体" w:cs="Times New Roman"/>
                <w:kern w:val="0"/>
                <w:szCs w:val="21"/>
              </w:rPr>
              <w:t>m</w:t>
            </w:r>
            <w:r>
              <w:rPr>
                <w:rFonts w:hint="eastAsia"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，位于项目南面，</w:t>
            </w:r>
          </w:p>
        </w:tc>
        <w:tc>
          <w:tcPr>
            <w:tcW w:w="2318"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用于职工办公、生活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945" w:type="dxa"/>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宿舍</w:t>
            </w:r>
            <w:r>
              <w:rPr>
                <w:rFonts w:ascii="Times New Roman" w:hAnsi="Times New Roman" w:eastAsia="宋体" w:cs="Times New Roman"/>
                <w:kern w:val="0"/>
                <w:szCs w:val="21"/>
              </w:rPr>
              <w:t>楼</w:t>
            </w:r>
          </w:p>
        </w:tc>
        <w:tc>
          <w:tcPr>
            <w:tcW w:w="2883" w:type="dxa"/>
            <w:gridSpan w:val="2"/>
            <w:vAlign w:val="center"/>
          </w:tcPr>
          <w:p>
            <w:pPr>
              <w:spacing w:line="24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4</w:t>
            </w:r>
            <w:r>
              <w:rPr>
                <w:rFonts w:hint="eastAsia" w:ascii="Times New Roman" w:hAnsi="Times New Roman" w:eastAsia="宋体" w:cs="Times New Roman"/>
                <w:kern w:val="0"/>
                <w:szCs w:val="21"/>
              </w:rPr>
              <w:t>层建筑，</w:t>
            </w:r>
            <w:r>
              <w:rPr>
                <w:rFonts w:ascii="Times New Roman" w:hAnsi="Times New Roman" w:eastAsia="宋体" w:cs="Times New Roman"/>
                <w:kern w:val="0"/>
                <w:szCs w:val="21"/>
              </w:rPr>
              <w:t>占地面积285.61</w:t>
            </w:r>
            <w:r>
              <w:rPr>
                <w:rFonts w:hint="eastAsia" w:ascii="Times New Roman" w:hAnsi="Times New Roman" w:eastAsia="宋体" w:cs="Times New Roman"/>
                <w:kern w:val="0"/>
                <w:szCs w:val="21"/>
              </w:rPr>
              <w:t>m</w:t>
            </w:r>
            <w:r>
              <w:rPr>
                <w:rFonts w:hint="eastAsia"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，位于项目东北部，</w:t>
            </w:r>
          </w:p>
        </w:tc>
        <w:tc>
          <w:tcPr>
            <w:tcW w:w="2318"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945" w:type="dxa"/>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食堂</w:t>
            </w:r>
          </w:p>
        </w:tc>
        <w:tc>
          <w:tcPr>
            <w:tcW w:w="2883" w:type="dxa"/>
            <w:gridSpan w:val="2"/>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设置</w:t>
            </w:r>
            <w:r>
              <w:rPr>
                <w:rFonts w:ascii="Times New Roman" w:hAnsi="Times New Roman" w:eastAsia="宋体" w:cs="Times New Roman"/>
                <w:kern w:val="0"/>
                <w:szCs w:val="21"/>
              </w:rPr>
              <w:t>在宿舍楼一楼</w:t>
            </w:r>
          </w:p>
        </w:tc>
        <w:tc>
          <w:tcPr>
            <w:tcW w:w="2318"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研发中心</w:t>
            </w:r>
          </w:p>
        </w:tc>
        <w:tc>
          <w:tcPr>
            <w:tcW w:w="3828" w:type="dxa"/>
            <w:gridSpan w:val="3"/>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3层</w:t>
            </w:r>
            <w:r>
              <w:rPr>
                <w:rFonts w:ascii="Times New Roman" w:hAnsi="Times New Roman" w:eastAsia="宋体" w:cs="Times New Roman"/>
                <w:kern w:val="0"/>
                <w:szCs w:val="21"/>
              </w:rPr>
              <w:t>建筑，占地114.02m</w:t>
            </w:r>
            <w:r>
              <w:rPr>
                <w:rFonts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位于</w:t>
            </w:r>
            <w:r>
              <w:rPr>
                <w:rFonts w:hint="eastAsia" w:ascii="Times New Roman" w:hAnsi="Times New Roman" w:eastAsia="宋体" w:cs="Times New Roman"/>
                <w:kern w:val="0"/>
                <w:szCs w:val="21"/>
              </w:rPr>
              <w:t>办公楼</w:t>
            </w:r>
            <w:r>
              <w:rPr>
                <w:rFonts w:ascii="Times New Roman" w:hAnsi="Times New Roman" w:eastAsia="宋体" w:cs="Times New Roman"/>
                <w:kern w:val="0"/>
                <w:szCs w:val="21"/>
              </w:rPr>
              <w:t>北边</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二期建设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消防</w:t>
            </w:r>
            <w:r>
              <w:rPr>
                <w:rFonts w:ascii="Times New Roman" w:hAnsi="Times New Roman" w:eastAsia="宋体" w:cs="Times New Roman"/>
                <w:kern w:val="0"/>
                <w:szCs w:val="21"/>
              </w:rPr>
              <w:t>水泵房，配电室</w:t>
            </w:r>
          </w:p>
        </w:tc>
        <w:tc>
          <w:tcPr>
            <w:tcW w:w="3828" w:type="dxa"/>
            <w:gridSpan w:val="3"/>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1层</w:t>
            </w:r>
            <w:r>
              <w:rPr>
                <w:rFonts w:ascii="Times New Roman" w:hAnsi="Times New Roman" w:eastAsia="宋体" w:cs="Times New Roman"/>
                <w:kern w:val="0"/>
                <w:szCs w:val="21"/>
              </w:rPr>
              <w:t>建筑，占地14.25m</w:t>
            </w:r>
            <w:r>
              <w:rPr>
                <w:rFonts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位于项目北面锅炉房</w:t>
            </w:r>
            <w:r>
              <w:rPr>
                <w:rFonts w:hint="eastAsia" w:ascii="Times New Roman" w:hAnsi="Times New Roman" w:eastAsia="宋体" w:cs="Times New Roman"/>
                <w:kern w:val="0"/>
                <w:szCs w:val="21"/>
              </w:rPr>
              <w:t>旁</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公厕</w:t>
            </w:r>
          </w:p>
        </w:tc>
        <w:tc>
          <w:tcPr>
            <w:tcW w:w="3828" w:type="dxa"/>
            <w:gridSpan w:val="3"/>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1层</w:t>
            </w:r>
            <w:r>
              <w:rPr>
                <w:rFonts w:ascii="Times New Roman" w:hAnsi="Times New Roman" w:eastAsia="宋体" w:cs="Times New Roman"/>
                <w:kern w:val="0"/>
                <w:szCs w:val="21"/>
              </w:rPr>
              <w:t>建筑，占地</w:t>
            </w:r>
            <w:r>
              <w:rPr>
                <w:rFonts w:hint="eastAsia" w:ascii="Times New Roman" w:hAnsi="Times New Roman" w:eastAsia="宋体" w:cs="Times New Roman"/>
                <w:kern w:val="0"/>
                <w:szCs w:val="21"/>
              </w:rPr>
              <w:t>61.40</w:t>
            </w:r>
            <w:r>
              <w:rPr>
                <w:rFonts w:ascii="Times New Roman" w:hAnsi="Times New Roman" w:eastAsia="宋体" w:cs="Times New Roman"/>
                <w:kern w:val="0"/>
                <w:szCs w:val="21"/>
              </w:rPr>
              <w:t>m</w:t>
            </w:r>
            <w:r>
              <w:rPr>
                <w:rFonts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位于</w:t>
            </w:r>
            <w:r>
              <w:rPr>
                <w:rFonts w:hint="eastAsia" w:ascii="Times New Roman" w:hAnsi="Times New Roman" w:eastAsia="宋体" w:cs="Times New Roman"/>
                <w:kern w:val="0"/>
                <w:szCs w:val="21"/>
              </w:rPr>
              <w:t>宿舍</w:t>
            </w:r>
            <w:r>
              <w:rPr>
                <w:rFonts w:ascii="Times New Roman" w:hAnsi="Times New Roman" w:eastAsia="宋体" w:cs="Times New Roman"/>
                <w:kern w:val="0"/>
                <w:szCs w:val="21"/>
              </w:rPr>
              <w:t>楼</w:t>
            </w:r>
            <w:r>
              <w:rPr>
                <w:rFonts w:hint="eastAsia" w:ascii="Times New Roman" w:hAnsi="Times New Roman" w:eastAsia="宋体" w:cs="Times New Roman"/>
                <w:kern w:val="0"/>
                <w:szCs w:val="21"/>
              </w:rPr>
              <w:t>北面</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锅炉房</w:t>
            </w:r>
          </w:p>
        </w:tc>
        <w:tc>
          <w:tcPr>
            <w:tcW w:w="3828" w:type="dxa"/>
            <w:gridSpan w:val="3"/>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1层建筑，占地面积</w:t>
            </w:r>
            <w:r>
              <w:rPr>
                <w:rFonts w:ascii="Times New Roman" w:hAnsi="Times New Roman" w:eastAsia="宋体" w:cs="Times New Roman"/>
                <w:kern w:val="0"/>
                <w:szCs w:val="21"/>
              </w:rPr>
              <w:t>120</w:t>
            </w:r>
            <w:r>
              <w:rPr>
                <w:rFonts w:hint="eastAsia" w:ascii="Times New Roman" w:hAnsi="Times New Roman" w:eastAsia="宋体" w:cs="Times New Roman"/>
                <w:kern w:val="0"/>
                <w:szCs w:val="21"/>
              </w:rPr>
              <w:t>m</w:t>
            </w:r>
            <w:r>
              <w:rPr>
                <w:rFonts w:hint="eastAsia"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，位于项目北边</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用于安装1台燃</w:t>
            </w:r>
            <w:r>
              <w:rPr>
                <w:rFonts w:ascii="Times New Roman" w:hAnsi="Times New Roman" w:eastAsia="宋体" w:cs="Times New Roman"/>
                <w:kern w:val="0"/>
                <w:szCs w:val="21"/>
              </w:rPr>
              <w:t>生物质燃料的</w:t>
            </w:r>
            <w:r>
              <w:rPr>
                <w:rFonts w:hint="eastAsia" w:ascii="Times New Roman" w:hAnsi="Times New Roman" w:eastAsia="宋体" w:cs="Times New Roman"/>
                <w:kern w:val="0"/>
                <w:szCs w:val="21"/>
              </w:rPr>
              <w:t>锅炉（DZL10-1、25AII）、锅炉软水制备系统及1根4</w:t>
            </w:r>
            <w:r>
              <w:rPr>
                <w:rFonts w:ascii="Times New Roman" w:hAnsi="Times New Roman" w:eastAsia="宋体" w:cs="Times New Roman"/>
                <w:kern w:val="0"/>
                <w:szCs w:val="21"/>
              </w:rPr>
              <w:t>0</w:t>
            </w:r>
            <w:r>
              <w:rPr>
                <w:rFonts w:hint="eastAsia" w:ascii="Times New Roman" w:hAnsi="Times New Roman" w:eastAsia="宋体" w:cs="Times New Roman"/>
                <w:kern w:val="0"/>
                <w:szCs w:val="21"/>
              </w:rPr>
              <w:t>m高的排气筒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值班室</w:t>
            </w:r>
          </w:p>
        </w:tc>
        <w:tc>
          <w:tcPr>
            <w:tcW w:w="3828" w:type="dxa"/>
            <w:gridSpan w:val="3"/>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1层</w:t>
            </w:r>
            <w:r>
              <w:rPr>
                <w:rFonts w:ascii="Times New Roman" w:hAnsi="Times New Roman" w:eastAsia="宋体" w:cs="Times New Roman"/>
                <w:kern w:val="0"/>
                <w:szCs w:val="21"/>
              </w:rPr>
              <w:t>建筑，占地23.96m</w:t>
            </w:r>
            <w:r>
              <w:rPr>
                <w:rFonts w:ascii="Times New Roman" w:hAnsi="Times New Roman" w:eastAsia="宋体" w:cs="Times New Roman"/>
                <w:kern w:val="0"/>
                <w:szCs w:val="21"/>
                <w:vertAlign w:val="superscript"/>
              </w:rPr>
              <w:t>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位于项目</w:t>
            </w:r>
            <w:r>
              <w:rPr>
                <w:rFonts w:hint="eastAsia" w:ascii="Times New Roman" w:hAnsi="Times New Roman" w:eastAsia="宋体" w:cs="Times New Roman"/>
                <w:kern w:val="0"/>
                <w:szCs w:val="21"/>
              </w:rPr>
              <w:t>东南</w:t>
            </w:r>
            <w:r>
              <w:rPr>
                <w:rFonts w:ascii="Times New Roman" w:hAnsi="Times New Roman" w:eastAsia="宋体" w:cs="Times New Roman"/>
                <w:kern w:val="0"/>
                <w:szCs w:val="21"/>
              </w:rPr>
              <w:t>面大门处</w:t>
            </w:r>
          </w:p>
        </w:tc>
        <w:tc>
          <w:tcPr>
            <w:tcW w:w="231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停车位</w:t>
            </w: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停车位</w:t>
            </w:r>
            <w:r>
              <w:rPr>
                <w:rFonts w:ascii="Times New Roman" w:hAnsi="Times New Roman" w:eastAsia="宋体" w:cs="Times New Roman"/>
                <w:kern w:val="0"/>
                <w:szCs w:val="21"/>
              </w:rPr>
              <w:t>27</w:t>
            </w:r>
            <w:r>
              <w:rPr>
                <w:rFonts w:hint="eastAsia" w:ascii="Times New Roman" w:hAnsi="Times New Roman" w:eastAsia="宋体" w:cs="Times New Roman"/>
                <w:kern w:val="0"/>
                <w:szCs w:val="21"/>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公用工程</w:t>
            </w: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供电系统</w:t>
            </w:r>
          </w:p>
        </w:tc>
        <w:tc>
          <w:tcPr>
            <w:tcW w:w="6146" w:type="dxa"/>
            <w:gridSpan w:val="4"/>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生产、生活用电接自</w:t>
            </w:r>
            <w:r>
              <w:rPr>
                <w:rFonts w:hint="eastAsia" w:ascii="宋体" w:hAnsi="宋体" w:eastAsia="宋体" w:cs="Times New Roman"/>
                <w:kern w:val="0"/>
                <w:szCs w:val="21"/>
              </w:rPr>
              <w:t>元谋县工业园区金雷</w:t>
            </w:r>
            <w:r>
              <w:rPr>
                <w:rFonts w:ascii="宋体" w:hAnsi="宋体" w:eastAsia="宋体" w:cs="Times New Roman"/>
                <w:kern w:val="0"/>
                <w:szCs w:val="21"/>
              </w:rPr>
              <w:t>片区</w:t>
            </w:r>
            <w:r>
              <w:rPr>
                <w:rFonts w:hint="eastAsia" w:ascii="宋体" w:hAnsi="宋体" w:eastAsia="宋体" w:cs="Times New Roman"/>
                <w:kern w:val="0"/>
                <w:szCs w:val="21"/>
              </w:rPr>
              <w:t>电力电网</w:t>
            </w:r>
            <w:r>
              <w:rPr>
                <w:rFonts w:hint="eastAsia" w:ascii="Times New Roman" w:hAnsi="Times New Roman" w:eastAsia="宋体" w:cs="Times New Roman"/>
                <w:kern w:val="0"/>
                <w:szCs w:val="21"/>
              </w:rPr>
              <w:t>，厂区设置一台500KVA变压器，对全厂所有设备供电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给水系统</w:t>
            </w:r>
          </w:p>
        </w:tc>
        <w:tc>
          <w:tcPr>
            <w:tcW w:w="6146" w:type="dxa"/>
            <w:gridSpan w:val="4"/>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项目用水为自来水，供水由</w:t>
            </w:r>
            <w:r>
              <w:rPr>
                <w:rFonts w:hint="eastAsia" w:ascii="宋体" w:hAnsi="宋体" w:eastAsia="宋体" w:cs="Times New Roman"/>
                <w:kern w:val="0"/>
                <w:szCs w:val="21"/>
              </w:rPr>
              <w:t>元谋县工业园区金雷</w:t>
            </w:r>
            <w:r>
              <w:rPr>
                <w:rFonts w:ascii="宋体" w:hAnsi="宋体" w:eastAsia="宋体" w:cs="Times New Roman"/>
                <w:kern w:val="0"/>
                <w:szCs w:val="21"/>
              </w:rPr>
              <w:t>片区</w:t>
            </w:r>
            <w:r>
              <w:rPr>
                <w:rFonts w:hint="eastAsia" w:ascii="宋体" w:hAnsi="宋体" w:eastAsia="宋体" w:cs="Times New Roman"/>
                <w:kern w:val="0"/>
                <w:szCs w:val="21"/>
              </w:rPr>
              <w:t>给水管道提供</w:t>
            </w:r>
            <w:r>
              <w:rPr>
                <w:rFonts w:hint="eastAsia" w:ascii="Times New Roman" w:hAnsi="Times New Roman" w:eastAsia="宋体" w:cs="Times New Roman"/>
                <w:kern w:val="0"/>
                <w:szCs w:val="21"/>
              </w:rPr>
              <w:t>，以满足项目区生产和生活的用水需要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项目设置消防泵房1间，位于项目北面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项目设置消防水池1个（9</w:t>
            </w:r>
            <w:r>
              <w:rPr>
                <w:rFonts w:ascii="Times New Roman" w:hAnsi="Times New Roman" w:eastAsia="宋体" w:cs="Times New Roman"/>
                <w:kern w:val="0"/>
                <w:szCs w:val="21"/>
              </w:rPr>
              <w:t>0</w:t>
            </w:r>
            <w:r>
              <w:rPr>
                <w:rFonts w:hint="eastAsia" w:ascii="Times New Roman" w:hAnsi="Times New Roman" w:eastAsia="宋体" w:cs="Times New Roman"/>
                <w:kern w:val="0"/>
                <w:szCs w:val="21"/>
              </w:rPr>
              <w:t>0m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），位于项目厂区南面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排水系统</w:t>
            </w:r>
          </w:p>
        </w:tc>
        <w:tc>
          <w:tcPr>
            <w:tcW w:w="1134" w:type="dxa"/>
            <w:gridSpan w:val="2"/>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雨污分流</w:t>
            </w:r>
          </w:p>
        </w:tc>
        <w:tc>
          <w:tcPr>
            <w:tcW w:w="5012" w:type="dxa"/>
            <w:gridSpan w:val="2"/>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rPr>
              <w:t>雨水经雨水沟排入园区雨水管网；</w:t>
            </w:r>
            <w:r>
              <w:rPr>
                <w:rFonts w:hint="eastAsia" w:ascii="Times New Roman" w:hAnsi="Times New Roman"/>
                <w:color w:val="FF0000"/>
              </w:rPr>
              <w:t>项目造纸废水经循环水池收集后循环使用；水膜除尘废水经循环沉淀池处理后回用，不外排。</w:t>
            </w:r>
            <w:r>
              <w:rPr>
                <w:rFonts w:hint="eastAsia" w:ascii="Times New Roman" w:hAnsi="Times New Roman" w:eastAsia="宋体" w:cs="Times New Roman"/>
                <w:color w:val="FF0000"/>
                <w:kern w:val="0"/>
                <w:szCs w:val="21"/>
              </w:rPr>
              <w:t>生活区食堂废水经隔油池（2m</w:t>
            </w:r>
            <w:r>
              <w:rPr>
                <w:rFonts w:hint="eastAsia" w:ascii="Times New Roman" w:hAnsi="Times New Roman" w:eastAsia="宋体" w:cs="Times New Roman"/>
                <w:color w:val="FF0000"/>
                <w:kern w:val="0"/>
                <w:szCs w:val="21"/>
                <w:vertAlign w:val="superscript"/>
              </w:rPr>
              <w:t>3</w:t>
            </w:r>
            <w:r>
              <w:rPr>
                <w:rFonts w:hint="eastAsia" w:ascii="Times New Roman" w:hAnsi="Times New Roman" w:eastAsia="宋体" w:cs="Times New Roman"/>
                <w:color w:val="FF0000"/>
                <w:kern w:val="0"/>
                <w:szCs w:val="21"/>
              </w:rPr>
              <w:t>）处理后同其他生活污水进入化粪池（5m</w:t>
            </w:r>
            <w:r>
              <w:rPr>
                <w:rFonts w:hint="eastAsia" w:ascii="Times New Roman" w:hAnsi="Times New Roman" w:eastAsia="宋体" w:cs="Times New Roman"/>
                <w:color w:val="FF0000"/>
                <w:kern w:val="0"/>
                <w:szCs w:val="21"/>
                <w:vertAlign w:val="superscript"/>
              </w:rPr>
              <w:t>3</w:t>
            </w:r>
            <w:r>
              <w:rPr>
                <w:rFonts w:hint="eastAsia" w:ascii="Times New Roman" w:hAnsi="Times New Roman" w:eastAsia="宋体" w:cs="Times New Roman"/>
                <w:color w:val="FF0000"/>
                <w:kern w:val="0"/>
                <w:szCs w:val="21"/>
              </w:rPr>
              <w:t>）处理后，通过自建的污水处理设施（处理规模为6m</w:t>
            </w:r>
            <w:r>
              <w:rPr>
                <w:rFonts w:hint="eastAsia" w:ascii="Times New Roman" w:hAnsi="Times New Roman" w:eastAsia="宋体" w:cs="Times New Roman"/>
                <w:color w:val="FF0000"/>
                <w:kern w:val="0"/>
                <w:szCs w:val="21"/>
                <w:vertAlign w:val="superscript"/>
              </w:rPr>
              <w:t>3</w:t>
            </w:r>
            <w:r>
              <w:rPr>
                <w:rFonts w:hint="eastAsia" w:ascii="Times New Roman" w:hAnsi="Times New Roman" w:eastAsia="宋体" w:cs="Times New Roman"/>
                <w:color w:val="FF0000"/>
                <w:kern w:val="0"/>
                <w:szCs w:val="21"/>
              </w:rPr>
              <w:t>/d）处理达标后晴天回用于绿化，雨天回用于生产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供热系统</w:t>
            </w: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1台燃</w:t>
            </w:r>
            <w:r>
              <w:rPr>
                <w:rFonts w:ascii="Times New Roman" w:hAnsi="Times New Roman" w:eastAsia="宋体" w:cs="Times New Roman"/>
                <w:kern w:val="0"/>
                <w:szCs w:val="21"/>
              </w:rPr>
              <w:t>生物质燃料的</w:t>
            </w:r>
            <w:r>
              <w:rPr>
                <w:rFonts w:hint="eastAsia" w:ascii="Times New Roman" w:hAnsi="Times New Roman" w:eastAsia="宋体" w:cs="Times New Roman"/>
                <w:kern w:val="0"/>
                <w:szCs w:val="21"/>
              </w:rPr>
              <w:t>锅炉（DZL10-1、25-AII）供热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场内道路</w:t>
            </w: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项目厂区内设置混凝土道路，路面全部硬化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环保工程</w:t>
            </w:r>
          </w:p>
        </w:tc>
        <w:tc>
          <w:tcPr>
            <w:tcW w:w="1701"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废水治理</w:t>
            </w: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隔油池1个，2m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，用于处理食堂废水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化粪池1个，5m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用于处理生活污水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生产废水循环水池1个，200m</w:t>
            </w:r>
            <w:r>
              <w:rPr>
                <w:rFonts w:hint="eastAsia" w:ascii="Times New Roman" w:hAnsi="Times New Roman" w:eastAsia="宋体" w:cs="Times New Roman"/>
                <w:color w:val="FF0000"/>
                <w:kern w:val="0"/>
                <w:szCs w:val="21"/>
                <w:vertAlign w:val="superscript"/>
              </w:rPr>
              <w:t>3</w:t>
            </w:r>
            <w:r>
              <w:rPr>
                <w:rFonts w:hint="eastAsia" w:ascii="Times New Roman" w:hAnsi="Times New Roman" w:eastAsia="宋体" w:cs="Times New Roman"/>
                <w:color w:val="FF0000"/>
                <w:kern w:val="0"/>
                <w:szCs w:val="21"/>
              </w:rPr>
              <w:t>，用于生产废水循环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水膜除尘废水循环沉淀池150m</w:t>
            </w:r>
            <w:r>
              <w:rPr>
                <w:rFonts w:hint="eastAsia" w:ascii="Times New Roman" w:hAnsi="Times New Roman" w:eastAsia="宋体" w:cs="Times New Roman"/>
                <w:color w:val="FF0000"/>
                <w:kern w:val="0"/>
                <w:szCs w:val="21"/>
                <w:vertAlign w:val="superscript"/>
              </w:rPr>
              <w:t>3</w:t>
            </w:r>
            <w:r>
              <w:rPr>
                <w:rFonts w:hint="eastAsia" w:ascii="Times New Roman" w:hAnsi="Times New Roman" w:eastAsia="宋体" w:cs="Times New Roman"/>
                <w:color w:val="FF0000"/>
                <w:kern w:val="0"/>
                <w:szCs w:val="21"/>
              </w:rPr>
              <w:t>，用于除尘废水循环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应急事故水池1个，</w:t>
            </w:r>
            <w:r>
              <w:rPr>
                <w:rFonts w:ascii="Times New Roman" w:hAnsi="Times New Roman" w:eastAsia="宋体" w:cs="Times New Roman"/>
                <w:kern w:val="0"/>
                <w:szCs w:val="21"/>
              </w:rPr>
              <w:t>900</w:t>
            </w:r>
            <w:r>
              <w:rPr>
                <w:rFonts w:hint="eastAsia" w:ascii="Times New Roman" w:hAnsi="Times New Roman" w:eastAsia="宋体" w:cs="Times New Roman"/>
                <w:kern w:val="0"/>
                <w:szCs w:val="21"/>
              </w:rPr>
              <w:t>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，用于存放</w:t>
            </w:r>
            <w:r>
              <w:rPr>
                <w:rFonts w:hint="eastAsia" w:ascii="Times New Roman" w:hAnsi="Times New Roman" w:eastAsia="宋体" w:cs="Times New Roman"/>
                <w:kern w:val="0"/>
                <w:szCs w:val="21"/>
                <w:lang w:eastAsia="zh-CN"/>
              </w:rPr>
              <w:t>非正常排放的废水</w:t>
            </w:r>
            <w:r>
              <w:rPr>
                <w:rFonts w:hint="eastAsia" w:ascii="Times New Roman" w:hAnsi="Times New Roman" w:eastAsia="宋体" w:cs="Times New Roman"/>
                <w:kern w:val="0"/>
                <w:szCs w:val="21"/>
              </w:rPr>
              <w:t>及消防废水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处理规模为6m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/d的污水处理设施，处理生活污水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废气治理</w:t>
            </w: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rPr>
              <w:t>经水膜除</w:t>
            </w:r>
            <w:r>
              <w:rPr>
                <w:rFonts w:ascii="Times New Roman" w:hAnsi="Times New Roman" w:eastAsia="宋体" w:cs="Times New Roman"/>
                <w:color w:val="FF0000"/>
                <w:kern w:val="0"/>
                <w:szCs w:val="21"/>
              </w:rPr>
              <w:t>尘后</w:t>
            </w:r>
            <w:r>
              <w:rPr>
                <w:rFonts w:hint="eastAsia" w:ascii="Times New Roman" w:hAnsi="Times New Roman" w:eastAsia="宋体" w:cs="Times New Roman"/>
                <w:color w:val="FF0000"/>
                <w:kern w:val="0"/>
                <w:szCs w:val="21"/>
              </w:rPr>
              <w:t>通过1根4</w:t>
            </w:r>
            <w:r>
              <w:rPr>
                <w:rFonts w:ascii="Times New Roman" w:hAnsi="Times New Roman" w:eastAsia="宋体" w:cs="Times New Roman"/>
                <w:color w:val="FF0000"/>
                <w:kern w:val="0"/>
                <w:szCs w:val="21"/>
              </w:rPr>
              <w:t>0</w:t>
            </w:r>
            <w:r>
              <w:rPr>
                <w:rFonts w:hint="eastAsia" w:ascii="Times New Roman" w:hAnsi="Times New Roman" w:eastAsia="宋体" w:cs="Times New Roman"/>
                <w:color w:val="FF0000"/>
                <w:kern w:val="0"/>
                <w:szCs w:val="21"/>
              </w:rPr>
              <w:t>m的排气筒排放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食堂</w:t>
            </w:r>
            <w:r>
              <w:rPr>
                <w:rFonts w:ascii="Times New Roman" w:hAnsi="Times New Roman" w:eastAsia="宋体" w:cs="Times New Roman"/>
                <w:kern w:val="0"/>
                <w:szCs w:val="21"/>
              </w:rPr>
              <w:t>设置一台净化率为</w:t>
            </w:r>
            <w:r>
              <w:rPr>
                <w:rFonts w:hint="eastAsia" w:ascii="Times New Roman" w:hAnsi="Times New Roman" w:eastAsia="宋体" w:cs="Times New Roman"/>
                <w:kern w:val="0"/>
                <w:szCs w:val="21"/>
              </w:rPr>
              <w:t>90</w:t>
            </w:r>
            <w:r>
              <w:rPr>
                <w:rFonts w:ascii="Times New Roman" w:hAnsi="Times New Roman" w:eastAsia="宋体" w:cs="Times New Roman"/>
                <w:kern w:val="0"/>
                <w:szCs w:val="21"/>
              </w:rPr>
              <w:t>%的油烟净化器用于处理食堂油烟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噪声治理</w:t>
            </w: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生产设备选用低噪设备，并安装减震垫，安装于室内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固废治理</w:t>
            </w: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边角废料、不合格产品经收集后返回水力碎浆工序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rPr>
              <w:t>锅炉炉渣经收集后暂存至</w:t>
            </w:r>
            <w:r>
              <w:rPr>
                <w:rFonts w:hint="eastAsia" w:ascii="Times New Roman" w:hAnsi="Times New Roman" w:eastAsia="宋体" w:cs="Times New Roman"/>
                <w:color w:val="FF0000"/>
                <w:kern w:val="0"/>
                <w:szCs w:val="21"/>
                <w:lang w:eastAsia="zh-CN"/>
              </w:rPr>
              <w:t>炉渣</w:t>
            </w:r>
            <w:r>
              <w:rPr>
                <w:rFonts w:hint="eastAsia" w:ascii="Times New Roman" w:hAnsi="Times New Roman" w:eastAsia="宋体" w:cs="Times New Roman"/>
                <w:color w:val="FF0000"/>
                <w:kern w:val="0"/>
                <w:szCs w:val="21"/>
              </w:rPr>
              <w:t>暂存处（50m</w:t>
            </w:r>
            <w:r>
              <w:rPr>
                <w:rFonts w:hint="eastAsia" w:ascii="Times New Roman" w:hAnsi="Times New Roman" w:eastAsia="宋体" w:cs="Times New Roman"/>
                <w:color w:val="FF0000"/>
                <w:kern w:val="0"/>
                <w:szCs w:val="21"/>
                <w:vertAlign w:val="superscript"/>
              </w:rPr>
              <w:t>2</w:t>
            </w:r>
            <w:r>
              <w:rPr>
                <w:rFonts w:hint="eastAsia" w:ascii="Times New Roman" w:hAnsi="Times New Roman" w:eastAsia="宋体" w:cs="Times New Roman"/>
                <w:color w:val="FF0000"/>
                <w:kern w:val="0"/>
                <w:szCs w:val="21"/>
              </w:rPr>
              <w:t>）</w:t>
            </w:r>
            <w:r>
              <w:rPr>
                <w:rFonts w:hint="eastAsia" w:ascii="Times New Roman" w:hAnsi="Times New Roman" w:eastAsia="宋体" w:cs="Times New Roman"/>
                <w:color w:val="FF0000"/>
                <w:kern w:val="0"/>
                <w:szCs w:val="21"/>
                <w:lang w:eastAsia="zh-CN"/>
              </w:rPr>
              <w:t>，</w:t>
            </w:r>
            <w:r>
              <w:rPr>
                <w:rFonts w:hint="eastAsia" w:ascii="Times New Roman" w:hAnsi="Times New Roman" w:eastAsia="宋体" w:cs="Times New Roman"/>
                <w:color w:val="FF0000"/>
                <w:kern w:val="0"/>
                <w:szCs w:val="28"/>
                <w:lang w:eastAsia="zh-CN"/>
              </w:rPr>
              <w:t>炉渣暂存间为</w:t>
            </w:r>
            <w:r>
              <w:rPr>
                <w:rFonts w:hint="eastAsia" w:ascii="Times New Roman" w:hAnsi="Times New Roman" w:eastAsia="宋体" w:cs="Times New Roman"/>
                <w:color w:val="FF0000"/>
                <w:kern w:val="0"/>
                <w:szCs w:val="28"/>
              </w:rPr>
              <w:t>独立封闭的房间</w:t>
            </w:r>
            <w:r>
              <w:rPr>
                <w:rFonts w:hint="eastAsia" w:ascii="Times New Roman" w:hAnsi="Times New Roman" w:eastAsia="宋体" w:cs="Times New Roman"/>
                <w:color w:val="FF0000"/>
                <w:kern w:val="0"/>
                <w:szCs w:val="21"/>
              </w:rPr>
              <w:t>，周边</w:t>
            </w:r>
            <w:r>
              <w:rPr>
                <w:rFonts w:ascii="Times New Roman" w:hAnsi="Times New Roman" w:eastAsia="宋体" w:cs="Times New Roman"/>
                <w:color w:val="FF0000"/>
                <w:kern w:val="0"/>
                <w:szCs w:val="21"/>
              </w:rPr>
              <w:t>农田还田处置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rPr>
              <w:t>水膜除尘废水循环沉淀池产生污泥定期清掏后</w:t>
            </w:r>
            <w:r>
              <w:rPr>
                <w:rFonts w:hint="eastAsia" w:ascii="Times New Roman" w:hAnsi="Times New Roman" w:eastAsia="宋体" w:cs="Times New Roman"/>
                <w:color w:val="FF0000"/>
                <w:kern w:val="0"/>
                <w:szCs w:val="21"/>
                <w:lang w:eastAsia="zh-CN"/>
              </w:rPr>
              <w:t>与炉渣暂存于</w:t>
            </w:r>
            <w:r>
              <w:rPr>
                <w:rFonts w:hint="eastAsia" w:ascii="Times New Roman" w:hAnsi="Times New Roman" w:eastAsia="宋体" w:cs="Times New Roman"/>
                <w:color w:val="FF0000"/>
                <w:kern w:val="0"/>
                <w:szCs w:val="28"/>
                <w:lang w:eastAsia="zh-CN"/>
              </w:rPr>
              <w:t>炉渣暂存间，</w:t>
            </w:r>
            <w:r>
              <w:rPr>
                <w:rFonts w:ascii="Times New Roman" w:hAnsi="Times New Roman" w:eastAsia="宋体" w:cs="Times New Roman"/>
                <w:color w:val="FF0000"/>
                <w:kern w:val="0"/>
                <w:szCs w:val="21"/>
              </w:rPr>
              <w:t>还田</w:t>
            </w:r>
            <w:r>
              <w:rPr>
                <w:rFonts w:hint="eastAsia" w:ascii="Times New Roman" w:hAnsi="Times New Roman" w:eastAsia="宋体" w:cs="Times New Roman"/>
                <w:color w:val="FF0000"/>
                <w:kern w:val="0"/>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生活垃圾统一收集后，清运至环卫部门指定地点，由环卫部门统一处置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Merge w:val="continue"/>
            <w:vAlign w:val="center"/>
          </w:tcPr>
          <w:p>
            <w:pPr>
              <w:spacing w:line="240" w:lineRule="atLeast"/>
              <w:jc w:val="center"/>
              <w:rPr>
                <w:rFonts w:ascii="Times New Roman" w:hAnsi="Times New Roman" w:eastAsia="宋体" w:cs="Times New Roman"/>
                <w:kern w:val="0"/>
                <w:szCs w:val="21"/>
              </w:rPr>
            </w:pP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化粪池、污水处理站污泥委托环卫部门定期清掏处置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1"/>
              </w:rPr>
            </w:pPr>
          </w:p>
        </w:tc>
        <w:tc>
          <w:tcPr>
            <w:tcW w:w="170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绿化工程</w:t>
            </w:r>
          </w:p>
        </w:tc>
        <w:tc>
          <w:tcPr>
            <w:tcW w:w="6146" w:type="dxa"/>
            <w:gridSpan w:val="4"/>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绿化面积</w:t>
            </w:r>
            <w:r>
              <w:rPr>
                <w:rFonts w:ascii="Times New Roman" w:hAnsi="Times New Roman" w:eastAsia="宋体" w:cs="Times New Roman"/>
                <w:kern w:val="0"/>
                <w:szCs w:val="21"/>
              </w:rPr>
              <w:t>3559.07</w:t>
            </w:r>
            <w:r>
              <w:rPr>
                <w:rFonts w:hint="eastAsia" w:ascii="Times New Roman" w:hAnsi="Times New Roman" w:eastAsia="宋体" w:cs="Times New Roman"/>
                <w:kern w:val="0"/>
                <w:szCs w:val="21"/>
              </w:rPr>
              <w:t>m</w:t>
            </w:r>
            <w:r>
              <w:rPr>
                <w:rFonts w:hint="eastAsia" w:ascii="Times New Roman" w:hAnsi="Times New Roman" w:eastAsia="宋体" w:cs="Times New Roman"/>
                <w:kern w:val="0"/>
                <w:szCs w:val="21"/>
                <w:vertAlign w:val="superscript"/>
              </w:rPr>
              <w:t>2</w:t>
            </w:r>
          </w:p>
        </w:tc>
      </w:tr>
    </w:tbl>
    <w:p>
      <w:pPr>
        <w:spacing w:line="360" w:lineRule="auto"/>
        <w:ind w:firstLine="480" w:firstLineChars="200"/>
        <w:rPr>
          <w:rFonts w:ascii="Times New Roman" w:hAnsi="Times New Roman"/>
          <w:color w:val="000000"/>
          <w:sz w:val="24"/>
          <w:szCs w:val="24"/>
        </w:rPr>
      </w:pPr>
    </w:p>
    <w:p>
      <w:pPr>
        <w:pStyle w:val="5"/>
        <w:ind w:firstLine="562"/>
        <w:rPr>
          <w:rFonts w:hAnsi="Times New Roman"/>
          <w:sz w:val="24"/>
          <w:szCs w:val="24"/>
        </w:rPr>
      </w:pPr>
      <w:bookmarkStart w:id="110" w:name="_Toc836"/>
      <w:bookmarkStart w:id="111" w:name="_Toc23843327"/>
      <w:bookmarkStart w:id="112" w:name="_Toc23271"/>
      <w:r>
        <w:rPr>
          <w:rFonts w:hint="eastAsia" w:hAnsi="Times New Roman"/>
          <w:sz w:val="24"/>
          <w:szCs w:val="24"/>
        </w:rPr>
        <w:t>3.1.3产品方案、原辅材料及主要设备</w:t>
      </w:r>
      <w:bookmarkEnd w:id="110"/>
      <w:bookmarkEnd w:id="111"/>
      <w:bookmarkEnd w:id="112"/>
    </w:p>
    <w:p>
      <w:pPr>
        <w:spacing w:line="360" w:lineRule="auto"/>
        <w:ind w:firstLine="482" w:firstLineChars="200"/>
        <w:rPr>
          <w:rFonts w:ascii="Times New Roman" w:hAnsi="Times New Roman"/>
          <w:b/>
          <w:color w:val="FF0000"/>
          <w:sz w:val="24"/>
          <w:szCs w:val="24"/>
        </w:rPr>
      </w:pPr>
      <w:r>
        <w:rPr>
          <w:rFonts w:hint="eastAsia" w:ascii="Times New Roman" w:hAnsi="Times New Roman"/>
          <w:b/>
          <w:color w:val="FF0000"/>
          <w:sz w:val="24"/>
          <w:szCs w:val="24"/>
        </w:rPr>
        <w:t>1、产品方案</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根据元谋县佳明包装有限责任公司目前的经济实力和行业发展规划，确定项目的产品方案及规模，项目建成后产品生产规模为年产环保新材料石粉复合纸100000t，其中果蔬包装纸90000t，工程机械用卫生纸10000t。见表3.1-2。</w:t>
      </w:r>
    </w:p>
    <w:p>
      <w:pPr>
        <w:spacing w:line="360" w:lineRule="auto"/>
        <w:ind w:firstLine="482" w:firstLineChars="200"/>
        <w:jc w:val="center"/>
        <w:rPr>
          <w:rFonts w:ascii="Times New Roman" w:hAnsi="Times New Roman"/>
          <w:b/>
          <w:color w:val="FF0000"/>
          <w:sz w:val="24"/>
          <w:szCs w:val="24"/>
        </w:rPr>
      </w:pPr>
    </w:p>
    <w:p>
      <w:pPr>
        <w:spacing w:line="360" w:lineRule="auto"/>
        <w:ind w:firstLine="482" w:firstLineChars="200"/>
        <w:jc w:val="center"/>
        <w:rPr>
          <w:rFonts w:ascii="Times New Roman" w:hAnsi="Times New Roman"/>
          <w:b/>
          <w:color w:val="FF0000"/>
          <w:sz w:val="24"/>
          <w:szCs w:val="24"/>
        </w:rPr>
      </w:pPr>
    </w:p>
    <w:p>
      <w:pPr>
        <w:spacing w:line="360" w:lineRule="auto"/>
        <w:ind w:firstLine="482" w:firstLineChars="200"/>
        <w:jc w:val="center"/>
        <w:rPr>
          <w:rFonts w:ascii="Times New Roman" w:hAnsi="Times New Roman"/>
          <w:b/>
          <w:color w:val="FF0000"/>
          <w:sz w:val="24"/>
          <w:szCs w:val="24"/>
        </w:rPr>
      </w:pPr>
    </w:p>
    <w:p>
      <w:pPr>
        <w:spacing w:line="360" w:lineRule="auto"/>
        <w:ind w:firstLine="482" w:firstLineChars="200"/>
        <w:jc w:val="center"/>
        <w:rPr>
          <w:rFonts w:ascii="Times New Roman" w:hAnsi="Times New Roman"/>
          <w:b/>
          <w:color w:val="FF0000"/>
          <w:sz w:val="24"/>
          <w:szCs w:val="24"/>
        </w:rPr>
      </w:pPr>
      <w:r>
        <w:rPr>
          <w:rFonts w:hint="eastAsia" w:ascii="Times New Roman" w:hAnsi="Times New Roman"/>
          <w:b/>
          <w:color w:val="FF0000"/>
          <w:sz w:val="24"/>
          <w:szCs w:val="24"/>
        </w:rPr>
        <w:t>表3.1-2   产品规格一览表</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名称</w:t>
            </w:r>
          </w:p>
        </w:tc>
        <w:tc>
          <w:tcPr>
            <w:tcW w:w="5682" w:type="dxa"/>
            <w:gridSpan w:val="2"/>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2841"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单位面积重量（g/m</w:t>
            </w:r>
            <w:r>
              <w:rPr>
                <w:rFonts w:hint="eastAsia" w:ascii="Times New Roman" w:hAnsi="Times New Roman" w:eastAsia="宋体" w:cs="Times New Roman"/>
                <w:color w:val="FF0000"/>
                <w:kern w:val="0"/>
                <w:szCs w:val="21"/>
                <w:vertAlign w:val="superscript"/>
              </w:rPr>
              <w:t>2</w:t>
            </w:r>
            <w:r>
              <w:rPr>
                <w:rFonts w:hint="eastAsia" w:ascii="Times New Roman" w:hAnsi="Times New Roman" w:eastAsia="宋体" w:cs="Times New Roman"/>
                <w:color w:val="FF0000"/>
                <w:kern w:val="0"/>
                <w:szCs w:val="21"/>
              </w:rPr>
              <w:t>）</w:t>
            </w:r>
          </w:p>
        </w:tc>
        <w:tc>
          <w:tcPr>
            <w:tcW w:w="2841"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长度（mm）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果蔬包装纸</w:t>
            </w:r>
          </w:p>
        </w:tc>
        <w:tc>
          <w:tcPr>
            <w:tcW w:w="2841"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80</w:t>
            </w:r>
          </w:p>
        </w:tc>
        <w:tc>
          <w:tcPr>
            <w:tcW w:w="2841"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工程机械用擦油纸</w:t>
            </w:r>
          </w:p>
        </w:tc>
        <w:tc>
          <w:tcPr>
            <w:tcW w:w="2841"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14</w:t>
            </w:r>
          </w:p>
        </w:tc>
        <w:tc>
          <w:tcPr>
            <w:tcW w:w="2841"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连续</w:t>
            </w:r>
          </w:p>
        </w:tc>
      </w:tr>
    </w:tbl>
    <w:p>
      <w:pPr>
        <w:spacing w:line="360" w:lineRule="auto"/>
        <w:ind w:firstLine="482" w:firstLineChars="200"/>
        <w:rPr>
          <w:rFonts w:ascii="Times New Roman" w:hAnsi="Times New Roman"/>
          <w:b/>
          <w:color w:val="FF0000"/>
          <w:sz w:val="24"/>
          <w:szCs w:val="24"/>
        </w:rPr>
      </w:pPr>
      <w:r>
        <w:rPr>
          <w:rFonts w:hint="eastAsia" w:ascii="Times New Roman" w:hAnsi="Times New Roman"/>
          <w:b/>
          <w:color w:val="FF0000"/>
          <w:sz w:val="24"/>
          <w:szCs w:val="24"/>
        </w:rPr>
        <w:t>2、原辅材料</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本项目主要原辅材料消耗指标见表3.1-3。</w:t>
      </w:r>
    </w:p>
    <w:p>
      <w:pPr>
        <w:spacing w:line="360" w:lineRule="auto"/>
        <w:ind w:firstLine="482" w:firstLineChars="200"/>
        <w:jc w:val="center"/>
        <w:rPr>
          <w:rFonts w:ascii="Times New Roman" w:hAnsi="Times New Roman"/>
          <w:b/>
          <w:color w:val="FF0000"/>
          <w:sz w:val="24"/>
          <w:szCs w:val="24"/>
        </w:rPr>
      </w:pPr>
      <w:r>
        <w:rPr>
          <w:rFonts w:hint="eastAsia" w:ascii="Times New Roman" w:hAnsi="Times New Roman"/>
          <w:b/>
          <w:color w:val="FF0000"/>
          <w:sz w:val="24"/>
          <w:szCs w:val="24"/>
        </w:rPr>
        <w:t>表3.1-3   主要原辅材料消耗指标表</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1153"/>
        <w:gridCol w:w="1559"/>
        <w:gridCol w:w="1719"/>
        <w:gridCol w:w="2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b/>
                <w:color w:val="FF0000"/>
                <w:kern w:val="0"/>
                <w:szCs w:val="21"/>
              </w:rPr>
            </w:pPr>
            <w:r>
              <w:rPr>
                <w:rFonts w:hint="eastAsia" w:ascii="Times New Roman" w:hAnsi="Times New Roman" w:eastAsia="宋体" w:cs="Times New Roman"/>
                <w:b/>
                <w:color w:val="FF0000"/>
                <w:kern w:val="0"/>
                <w:szCs w:val="21"/>
              </w:rPr>
              <w:t>序号</w:t>
            </w:r>
          </w:p>
        </w:tc>
        <w:tc>
          <w:tcPr>
            <w:tcW w:w="1862" w:type="dxa"/>
            <w:gridSpan w:val="2"/>
            <w:vAlign w:val="center"/>
          </w:tcPr>
          <w:p>
            <w:pPr>
              <w:spacing w:line="240" w:lineRule="atLeast"/>
              <w:jc w:val="center"/>
              <w:rPr>
                <w:rFonts w:ascii="Times New Roman" w:hAnsi="Times New Roman" w:eastAsia="宋体" w:cs="Times New Roman"/>
                <w:b/>
                <w:color w:val="FF0000"/>
                <w:kern w:val="0"/>
                <w:szCs w:val="21"/>
              </w:rPr>
            </w:pPr>
            <w:r>
              <w:rPr>
                <w:rFonts w:hint="eastAsia" w:ascii="Times New Roman" w:hAnsi="Times New Roman" w:eastAsia="宋体" w:cs="Times New Roman"/>
                <w:b/>
                <w:color w:val="FF0000"/>
                <w:kern w:val="0"/>
                <w:szCs w:val="21"/>
              </w:rPr>
              <w:t>名称</w:t>
            </w:r>
          </w:p>
        </w:tc>
        <w:tc>
          <w:tcPr>
            <w:tcW w:w="1559" w:type="dxa"/>
            <w:vAlign w:val="center"/>
          </w:tcPr>
          <w:p>
            <w:pPr>
              <w:spacing w:line="240" w:lineRule="atLeast"/>
              <w:jc w:val="center"/>
              <w:rPr>
                <w:rFonts w:ascii="Times New Roman" w:hAnsi="Times New Roman" w:eastAsia="宋体" w:cs="Times New Roman"/>
                <w:b/>
                <w:color w:val="FF0000"/>
                <w:kern w:val="0"/>
                <w:szCs w:val="21"/>
              </w:rPr>
            </w:pPr>
            <w:r>
              <w:rPr>
                <w:rFonts w:hint="eastAsia" w:ascii="Times New Roman" w:hAnsi="Times New Roman" w:eastAsia="宋体" w:cs="Times New Roman"/>
                <w:b/>
                <w:color w:val="FF0000"/>
                <w:kern w:val="0"/>
                <w:szCs w:val="21"/>
              </w:rPr>
              <w:t>年用量</w:t>
            </w:r>
          </w:p>
        </w:tc>
        <w:tc>
          <w:tcPr>
            <w:tcW w:w="1719" w:type="dxa"/>
            <w:vAlign w:val="center"/>
          </w:tcPr>
          <w:p>
            <w:pPr>
              <w:spacing w:line="240" w:lineRule="atLeast"/>
              <w:jc w:val="center"/>
              <w:rPr>
                <w:rFonts w:ascii="Times New Roman" w:hAnsi="Times New Roman" w:eastAsia="宋体" w:cs="Times New Roman"/>
                <w:b/>
                <w:color w:val="FF0000"/>
                <w:kern w:val="0"/>
                <w:szCs w:val="21"/>
              </w:rPr>
            </w:pPr>
            <w:r>
              <w:rPr>
                <w:rFonts w:hint="eastAsia" w:ascii="Times New Roman" w:hAnsi="Times New Roman" w:eastAsia="宋体" w:cs="Times New Roman"/>
                <w:b/>
                <w:color w:val="FF0000"/>
                <w:kern w:val="0"/>
                <w:szCs w:val="21"/>
              </w:rPr>
              <w:t>用途</w:t>
            </w:r>
          </w:p>
        </w:tc>
        <w:tc>
          <w:tcPr>
            <w:tcW w:w="2707" w:type="dxa"/>
            <w:vAlign w:val="center"/>
          </w:tcPr>
          <w:p>
            <w:pPr>
              <w:spacing w:line="240" w:lineRule="atLeast"/>
              <w:jc w:val="center"/>
              <w:rPr>
                <w:rFonts w:ascii="Times New Roman" w:hAnsi="Times New Roman" w:eastAsia="宋体" w:cs="Times New Roman"/>
                <w:b/>
                <w:color w:val="FF0000"/>
                <w:kern w:val="0"/>
                <w:szCs w:val="21"/>
              </w:rPr>
            </w:pPr>
            <w:r>
              <w:rPr>
                <w:rFonts w:hint="eastAsia" w:ascii="Times New Roman" w:hAnsi="Times New Roman" w:eastAsia="宋体" w:cs="Times New Roman"/>
                <w:b/>
                <w:color w:val="FF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w:t>
            </w:r>
          </w:p>
        </w:tc>
        <w:tc>
          <w:tcPr>
            <w:tcW w:w="709"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原料</w:t>
            </w:r>
          </w:p>
        </w:tc>
        <w:tc>
          <w:tcPr>
            <w:tcW w:w="1153"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方解石粉</w:t>
            </w:r>
          </w:p>
        </w:tc>
        <w:tc>
          <w:tcPr>
            <w:tcW w:w="1559"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80000 t/a</w:t>
            </w:r>
          </w:p>
        </w:tc>
        <w:tc>
          <w:tcPr>
            <w:tcW w:w="1719"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用于生产石粉纸</w:t>
            </w:r>
          </w:p>
        </w:tc>
        <w:tc>
          <w:tcPr>
            <w:tcW w:w="2707"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直接购买符合项目生产需求的规格，不在项目区破碎，粉料运输车运至项目区后粉料仓储存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w:t>
            </w:r>
          </w:p>
        </w:tc>
        <w:tc>
          <w:tcPr>
            <w:tcW w:w="709" w:type="dxa"/>
            <w:vMerge w:val="restart"/>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辅料</w:t>
            </w:r>
          </w:p>
        </w:tc>
        <w:tc>
          <w:tcPr>
            <w:tcW w:w="1153"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废纸</w:t>
            </w:r>
          </w:p>
        </w:tc>
        <w:tc>
          <w:tcPr>
            <w:tcW w:w="1559"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18</w:t>
            </w:r>
            <w:r>
              <w:rPr>
                <w:rFonts w:ascii="Times New Roman" w:hAnsi="Times New Roman" w:eastAsia="宋体" w:cs="Times New Roman"/>
                <w:color w:val="FF0000"/>
                <w:kern w:val="0"/>
                <w:szCs w:val="21"/>
              </w:rPr>
              <w:t>1</w:t>
            </w:r>
            <w:r>
              <w:rPr>
                <w:rFonts w:hint="eastAsia" w:ascii="Times New Roman" w:hAnsi="Times New Roman" w:eastAsia="宋体" w:cs="Times New Roman"/>
                <w:color w:val="FF0000"/>
                <w:kern w:val="0"/>
                <w:szCs w:val="21"/>
              </w:rPr>
              <w:t>00 t/a</w:t>
            </w:r>
          </w:p>
        </w:tc>
        <w:tc>
          <w:tcPr>
            <w:tcW w:w="1719"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用于生产石粉纸</w:t>
            </w:r>
          </w:p>
        </w:tc>
        <w:tc>
          <w:tcPr>
            <w:tcW w:w="2707" w:type="dxa"/>
            <w:vMerge w:val="restart"/>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外购，堆存于原料仓库，</w:t>
            </w:r>
          </w:p>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原料仓库设置“三防”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3</w:t>
            </w:r>
          </w:p>
        </w:tc>
        <w:tc>
          <w:tcPr>
            <w:tcW w:w="709"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1153"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淀粉</w:t>
            </w:r>
          </w:p>
        </w:tc>
        <w:tc>
          <w:tcPr>
            <w:tcW w:w="1559"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2000 t/a</w:t>
            </w:r>
          </w:p>
        </w:tc>
        <w:tc>
          <w:tcPr>
            <w:tcW w:w="1719"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用于生产石粉纸</w:t>
            </w:r>
          </w:p>
        </w:tc>
        <w:tc>
          <w:tcPr>
            <w:tcW w:w="2707" w:type="dxa"/>
            <w:vMerge w:val="continue"/>
            <w:vAlign w:val="center"/>
          </w:tcPr>
          <w:p>
            <w:pPr>
              <w:spacing w:line="240" w:lineRule="atLeast"/>
              <w:jc w:val="center"/>
              <w:rPr>
                <w:rFonts w:ascii="Times New Roman" w:hAnsi="Times New Roman" w:eastAsia="宋体" w:cs="Times New Roman"/>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w:t>
            </w:r>
          </w:p>
        </w:tc>
        <w:tc>
          <w:tcPr>
            <w:tcW w:w="1862" w:type="dxa"/>
            <w:gridSpan w:val="2"/>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生物质燃料</w:t>
            </w:r>
          </w:p>
        </w:tc>
        <w:tc>
          <w:tcPr>
            <w:tcW w:w="1559"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5000 t/a</w:t>
            </w:r>
          </w:p>
        </w:tc>
        <w:tc>
          <w:tcPr>
            <w:tcW w:w="1719"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锅炉燃烧燃料</w:t>
            </w:r>
          </w:p>
        </w:tc>
        <w:tc>
          <w:tcPr>
            <w:tcW w:w="2707"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外购</w:t>
            </w:r>
          </w:p>
        </w:tc>
      </w:tr>
    </w:tbl>
    <w:p>
      <w:pPr>
        <w:pStyle w:val="5"/>
        <w:ind w:firstLine="562"/>
        <w:rPr>
          <w:rFonts w:hAnsi="Times New Roman"/>
          <w:sz w:val="24"/>
          <w:szCs w:val="24"/>
        </w:rPr>
      </w:pPr>
      <w:bookmarkStart w:id="113" w:name="_Toc7632"/>
      <w:bookmarkStart w:id="114" w:name="_Toc23843328"/>
      <w:bookmarkStart w:id="115" w:name="_Toc12836"/>
      <w:r>
        <w:rPr>
          <w:rFonts w:hint="eastAsia" w:hAnsi="Times New Roman"/>
          <w:sz w:val="24"/>
          <w:szCs w:val="24"/>
        </w:rPr>
        <w:t>3.1.4主要生产设备</w:t>
      </w:r>
      <w:bookmarkEnd w:id="113"/>
      <w:bookmarkEnd w:id="114"/>
      <w:bookmarkEnd w:id="115"/>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本项目主要生产设备见表3.1-4。</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表3.1-4   建设主要设备一览表</w:t>
      </w:r>
    </w:p>
    <w:tbl>
      <w:tblPr>
        <w:tblStyle w:val="1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51"/>
        <w:gridCol w:w="2105"/>
        <w:gridCol w:w="1304"/>
        <w:gridCol w:w="17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tabs>
                <w:tab w:val="left" w:pos="1932"/>
              </w:tabs>
              <w:spacing w:line="240" w:lineRule="atLeast"/>
              <w:jc w:val="center"/>
              <w:rPr>
                <w:rFonts w:ascii="Times New Roman" w:hAnsi="Times New Roman"/>
                <w:b/>
                <w:szCs w:val="21"/>
              </w:rPr>
            </w:pPr>
            <w:r>
              <w:rPr>
                <w:rFonts w:hint="eastAsia" w:ascii="Times New Roman" w:hAnsi="Times New Roman"/>
                <w:b/>
                <w:szCs w:val="21"/>
              </w:rPr>
              <w:t>序号</w:t>
            </w:r>
          </w:p>
        </w:tc>
        <w:tc>
          <w:tcPr>
            <w:tcW w:w="2451" w:type="dxa"/>
            <w:vAlign w:val="center"/>
          </w:tcPr>
          <w:p>
            <w:pPr>
              <w:tabs>
                <w:tab w:val="left" w:pos="1932"/>
              </w:tabs>
              <w:spacing w:line="240" w:lineRule="atLeast"/>
              <w:jc w:val="center"/>
              <w:rPr>
                <w:rFonts w:ascii="Times New Roman" w:hAnsi="Times New Roman"/>
                <w:b/>
                <w:szCs w:val="21"/>
              </w:rPr>
            </w:pPr>
            <w:r>
              <w:rPr>
                <w:rFonts w:hint="eastAsia" w:ascii="Times New Roman" w:hAnsi="Times New Roman"/>
                <w:b/>
                <w:szCs w:val="21"/>
              </w:rPr>
              <w:t>机械项目名称</w:t>
            </w:r>
          </w:p>
        </w:tc>
        <w:tc>
          <w:tcPr>
            <w:tcW w:w="2105" w:type="dxa"/>
            <w:vAlign w:val="center"/>
          </w:tcPr>
          <w:p>
            <w:pPr>
              <w:tabs>
                <w:tab w:val="left" w:pos="1932"/>
              </w:tabs>
              <w:spacing w:line="240" w:lineRule="atLeast"/>
              <w:jc w:val="center"/>
              <w:rPr>
                <w:rFonts w:ascii="Times New Roman" w:hAnsi="Times New Roman"/>
                <w:b/>
                <w:szCs w:val="21"/>
              </w:rPr>
            </w:pPr>
            <w:r>
              <w:rPr>
                <w:rFonts w:hint="eastAsia" w:ascii="Times New Roman" w:hAnsi="Times New Roman"/>
                <w:b/>
                <w:szCs w:val="21"/>
              </w:rPr>
              <w:t>型号</w:t>
            </w:r>
          </w:p>
        </w:tc>
        <w:tc>
          <w:tcPr>
            <w:tcW w:w="1304" w:type="dxa"/>
            <w:vAlign w:val="center"/>
          </w:tcPr>
          <w:p>
            <w:pPr>
              <w:tabs>
                <w:tab w:val="left" w:pos="1932"/>
              </w:tabs>
              <w:spacing w:line="240" w:lineRule="atLeast"/>
              <w:jc w:val="center"/>
              <w:rPr>
                <w:rFonts w:ascii="Times New Roman" w:hAnsi="Times New Roman"/>
                <w:b/>
                <w:szCs w:val="21"/>
              </w:rPr>
            </w:pPr>
            <w:r>
              <w:rPr>
                <w:rFonts w:hint="eastAsia" w:ascii="Times New Roman" w:hAnsi="Times New Roman"/>
                <w:b/>
                <w:szCs w:val="21"/>
              </w:rPr>
              <w:t>数量</w:t>
            </w:r>
          </w:p>
        </w:tc>
        <w:tc>
          <w:tcPr>
            <w:tcW w:w="1703" w:type="dxa"/>
            <w:vAlign w:val="center"/>
          </w:tcPr>
          <w:p>
            <w:pPr>
              <w:tabs>
                <w:tab w:val="left" w:pos="1932"/>
              </w:tabs>
              <w:spacing w:line="240" w:lineRule="atLeast"/>
              <w:jc w:val="center"/>
              <w:rPr>
                <w:rFonts w:ascii="Times New Roman" w:hAnsi="Times New Roman"/>
                <w:b/>
                <w:szCs w:val="21"/>
              </w:rPr>
            </w:pPr>
            <w:r>
              <w:rPr>
                <w:rFonts w:hint="eastAsia" w:ascii="Times New Roman" w:hAnsi="Times New Roman"/>
                <w:b/>
                <w:szCs w:val="21"/>
              </w:rPr>
              <w:t>产地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1</w:t>
            </w:r>
          </w:p>
        </w:tc>
        <w:tc>
          <w:tcPr>
            <w:tcW w:w="2451"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造纸机</w:t>
            </w:r>
          </w:p>
        </w:tc>
        <w:tc>
          <w:tcPr>
            <w:tcW w:w="2105"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ZYA-3600型</w:t>
            </w:r>
          </w:p>
        </w:tc>
        <w:tc>
          <w:tcPr>
            <w:tcW w:w="1304"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4台</w:t>
            </w:r>
          </w:p>
        </w:tc>
        <w:tc>
          <w:tcPr>
            <w:tcW w:w="1703"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山东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2</w:t>
            </w:r>
          </w:p>
        </w:tc>
        <w:tc>
          <w:tcPr>
            <w:tcW w:w="2451"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双盘磨机</w:t>
            </w:r>
          </w:p>
        </w:tc>
        <w:tc>
          <w:tcPr>
            <w:tcW w:w="2105"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ZpmIIB-380型</w:t>
            </w:r>
          </w:p>
        </w:tc>
        <w:tc>
          <w:tcPr>
            <w:tcW w:w="1304"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4台</w:t>
            </w:r>
          </w:p>
        </w:tc>
        <w:tc>
          <w:tcPr>
            <w:tcW w:w="1703"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山东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3</w:t>
            </w:r>
          </w:p>
        </w:tc>
        <w:tc>
          <w:tcPr>
            <w:tcW w:w="2451"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立式精浆除砂机</w:t>
            </w:r>
          </w:p>
        </w:tc>
        <w:tc>
          <w:tcPr>
            <w:tcW w:w="2105"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ZMC-III型</w:t>
            </w:r>
          </w:p>
        </w:tc>
        <w:tc>
          <w:tcPr>
            <w:tcW w:w="1304"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2台</w:t>
            </w:r>
          </w:p>
        </w:tc>
        <w:tc>
          <w:tcPr>
            <w:tcW w:w="1703"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山东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4</w:t>
            </w:r>
          </w:p>
        </w:tc>
        <w:tc>
          <w:tcPr>
            <w:tcW w:w="2451"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水力碎浆机</w:t>
            </w:r>
          </w:p>
        </w:tc>
        <w:tc>
          <w:tcPr>
            <w:tcW w:w="2105"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ZGS-8型</w:t>
            </w:r>
          </w:p>
        </w:tc>
        <w:tc>
          <w:tcPr>
            <w:tcW w:w="1304"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2台</w:t>
            </w:r>
          </w:p>
        </w:tc>
        <w:tc>
          <w:tcPr>
            <w:tcW w:w="1703"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山东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5</w:t>
            </w:r>
          </w:p>
        </w:tc>
        <w:tc>
          <w:tcPr>
            <w:tcW w:w="2451"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其他浆泵及配备</w:t>
            </w:r>
          </w:p>
        </w:tc>
        <w:tc>
          <w:tcPr>
            <w:tcW w:w="2105"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w:t>
            </w:r>
          </w:p>
        </w:tc>
        <w:tc>
          <w:tcPr>
            <w:tcW w:w="1304"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w:t>
            </w:r>
          </w:p>
        </w:tc>
        <w:tc>
          <w:tcPr>
            <w:tcW w:w="1703"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6</w:t>
            </w:r>
          </w:p>
        </w:tc>
        <w:tc>
          <w:tcPr>
            <w:tcW w:w="2451"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蒸汽锅炉</w:t>
            </w:r>
          </w:p>
        </w:tc>
        <w:tc>
          <w:tcPr>
            <w:tcW w:w="2105"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DZL10-1、25-AII</w:t>
            </w:r>
          </w:p>
        </w:tc>
        <w:tc>
          <w:tcPr>
            <w:tcW w:w="1304"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1台</w:t>
            </w:r>
          </w:p>
        </w:tc>
        <w:tc>
          <w:tcPr>
            <w:tcW w:w="1703"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昆明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7</w:t>
            </w:r>
          </w:p>
        </w:tc>
        <w:tc>
          <w:tcPr>
            <w:tcW w:w="2451"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水膜除尘器</w:t>
            </w:r>
          </w:p>
        </w:tc>
        <w:tc>
          <w:tcPr>
            <w:tcW w:w="2105"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w:t>
            </w:r>
          </w:p>
        </w:tc>
        <w:tc>
          <w:tcPr>
            <w:tcW w:w="1304"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1套</w:t>
            </w:r>
          </w:p>
        </w:tc>
        <w:tc>
          <w:tcPr>
            <w:tcW w:w="1703"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昆明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8</w:t>
            </w:r>
          </w:p>
        </w:tc>
        <w:tc>
          <w:tcPr>
            <w:tcW w:w="2451"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变压器</w:t>
            </w:r>
          </w:p>
        </w:tc>
        <w:tc>
          <w:tcPr>
            <w:tcW w:w="2105"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S11型</w:t>
            </w:r>
          </w:p>
        </w:tc>
        <w:tc>
          <w:tcPr>
            <w:tcW w:w="1304"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1台</w:t>
            </w:r>
          </w:p>
        </w:tc>
        <w:tc>
          <w:tcPr>
            <w:tcW w:w="1703" w:type="dxa"/>
            <w:vAlign w:val="center"/>
          </w:tcPr>
          <w:p>
            <w:pPr>
              <w:tabs>
                <w:tab w:val="left" w:pos="1932"/>
              </w:tabs>
              <w:spacing w:line="240" w:lineRule="atLeast"/>
              <w:jc w:val="center"/>
              <w:rPr>
                <w:rFonts w:ascii="Times New Roman" w:hAnsi="Times New Roman"/>
                <w:szCs w:val="21"/>
              </w:rPr>
            </w:pPr>
            <w:r>
              <w:rPr>
                <w:rFonts w:hint="eastAsia" w:ascii="Times New Roman" w:hAnsi="Times New Roman"/>
                <w:szCs w:val="21"/>
              </w:rPr>
              <w:t>通海</w:t>
            </w:r>
          </w:p>
        </w:tc>
      </w:tr>
    </w:tbl>
    <w:p>
      <w:pPr>
        <w:spacing w:line="360" w:lineRule="auto"/>
        <w:ind w:firstLine="480" w:firstLineChars="200"/>
        <w:rPr>
          <w:rFonts w:ascii="Times New Roman" w:hAnsi="Times New Roman"/>
          <w:color w:val="000000"/>
          <w:sz w:val="24"/>
          <w:szCs w:val="24"/>
        </w:rPr>
      </w:pPr>
    </w:p>
    <w:p>
      <w:pPr>
        <w:pStyle w:val="5"/>
        <w:ind w:firstLine="562"/>
        <w:rPr>
          <w:rFonts w:hAnsi="Times New Roman"/>
          <w:sz w:val="24"/>
          <w:szCs w:val="24"/>
        </w:rPr>
      </w:pPr>
      <w:bookmarkStart w:id="116" w:name="_Toc23843329"/>
      <w:bookmarkStart w:id="117" w:name="_Toc28674"/>
      <w:bookmarkStart w:id="118" w:name="_Toc5442"/>
      <w:r>
        <w:rPr>
          <w:rFonts w:hint="eastAsia" w:hAnsi="Times New Roman"/>
          <w:sz w:val="24"/>
          <w:szCs w:val="24"/>
        </w:rPr>
        <w:t>3.1.5劳动定员、工作制度</w:t>
      </w:r>
      <w:bookmarkEnd w:id="116"/>
      <w:bookmarkEnd w:id="117"/>
      <w:bookmarkEnd w:id="118"/>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企业采用连续工作制度，年工作时间为300天，每天三班制，每班8小时；劳动定员为70人，其中生产人员60人，管理人员10人。</w:t>
      </w:r>
    </w:p>
    <w:p>
      <w:pPr>
        <w:pStyle w:val="5"/>
        <w:ind w:firstLine="562"/>
        <w:rPr>
          <w:rFonts w:hAnsi="Times New Roman"/>
          <w:sz w:val="24"/>
          <w:szCs w:val="24"/>
        </w:rPr>
      </w:pPr>
      <w:bookmarkStart w:id="119" w:name="_Toc1749"/>
      <w:bookmarkStart w:id="120" w:name="_Toc30998"/>
      <w:bookmarkStart w:id="121" w:name="_Toc23843330"/>
      <w:r>
        <w:rPr>
          <w:rFonts w:hint="eastAsia" w:hAnsi="Times New Roman"/>
          <w:sz w:val="24"/>
          <w:szCs w:val="24"/>
        </w:rPr>
        <w:t>3.1.6公用工程</w:t>
      </w:r>
      <w:bookmarkEnd w:id="119"/>
      <w:bookmarkEnd w:id="120"/>
      <w:bookmarkEnd w:id="121"/>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1、给水</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本项目用水由元谋县工业园区金雷</w:t>
      </w:r>
      <w:r>
        <w:rPr>
          <w:rFonts w:ascii="Times New Roman" w:hAnsi="Times New Roman"/>
          <w:color w:val="000000"/>
          <w:sz w:val="24"/>
          <w:szCs w:val="24"/>
        </w:rPr>
        <w:t>片区</w:t>
      </w:r>
      <w:r>
        <w:rPr>
          <w:rFonts w:hint="eastAsia" w:ascii="Times New Roman" w:hAnsi="Times New Roman"/>
          <w:color w:val="000000"/>
          <w:sz w:val="24"/>
          <w:szCs w:val="24"/>
        </w:rPr>
        <w:t>给水管道提供，项目用水通过自来水管道直接引进项目区，由水泵供水，水质、水量均可满足项目生产用水和生活用水需求。</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2、排水</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本项目排水系统实施雨污分流，雨水经项目区雨水收集沟渠收集后排入园区雨水管网；项目生活污水经污水处理设施处理达标后晴天回用于绿化，雨天回用于生产；造纸废水经循环水池收集后循环使用；水膜除尘废水经循环沉淀池处理后回用，不外排。</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3、供电</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用电由元谋县工业园区金雷片区电力电网供电，本项目用电主要包括：生活区普通照明用电、生产区照明及设备用电。项目区北面设有一个柴油发电机房，内设一台备用发电机，仅在停电时使用。项目厂区设置一台500KVA变压器，对全厂所有设备供电，可满足生产生活的需要。厂区用电为380V，生活用电为220V。</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4、</w:t>
      </w:r>
      <w:r>
        <w:rPr>
          <w:rFonts w:ascii="Times New Roman" w:hAnsi="Times New Roman"/>
          <w:b/>
          <w:color w:val="000000"/>
          <w:sz w:val="24"/>
          <w:szCs w:val="24"/>
        </w:rPr>
        <w:t>软水制备系统</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锅炉</w:t>
      </w:r>
      <w:r>
        <w:rPr>
          <w:rFonts w:ascii="Times New Roman" w:hAnsi="Times New Roman"/>
          <w:color w:val="000000"/>
          <w:sz w:val="24"/>
          <w:szCs w:val="24"/>
        </w:rPr>
        <w:t>用水为软水，</w:t>
      </w:r>
      <w:r>
        <w:rPr>
          <w:rFonts w:hint="eastAsia" w:ascii="Times New Roman" w:hAnsi="Times New Roman"/>
          <w:color w:val="000000"/>
          <w:sz w:val="24"/>
          <w:szCs w:val="24"/>
        </w:rPr>
        <w:t>水质</w:t>
      </w:r>
      <w:r>
        <w:rPr>
          <w:rFonts w:ascii="Times New Roman" w:hAnsi="Times New Roman"/>
          <w:color w:val="000000"/>
          <w:sz w:val="24"/>
          <w:szCs w:val="24"/>
        </w:rPr>
        <w:t>标准按国家</w:t>
      </w:r>
      <w:r>
        <w:rPr>
          <w:rFonts w:hint="eastAsia" w:ascii="Times New Roman" w:hAnsi="Times New Roman"/>
          <w:color w:val="000000"/>
          <w:sz w:val="24"/>
          <w:szCs w:val="24"/>
        </w:rPr>
        <w:t>《</w:t>
      </w:r>
      <w:r>
        <w:rPr>
          <w:rFonts w:ascii="Times New Roman" w:hAnsi="Times New Roman"/>
          <w:color w:val="000000"/>
          <w:sz w:val="24"/>
          <w:szCs w:val="24"/>
        </w:rPr>
        <w:t>低压锅炉水质标准</w:t>
      </w:r>
      <w:r>
        <w:rPr>
          <w:rFonts w:hint="eastAsia" w:ascii="Times New Roman" w:hAnsi="Times New Roman"/>
          <w:color w:val="000000"/>
          <w:sz w:val="24"/>
          <w:szCs w:val="24"/>
        </w:rPr>
        <w:t>》（GB</w:t>
      </w:r>
      <w:r>
        <w:rPr>
          <w:rFonts w:ascii="Times New Roman" w:hAnsi="Times New Roman"/>
          <w:color w:val="000000"/>
          <w:sz w:val="24"/>
          <w:szCs w:val="24"/>
        </w:rPr>
        <w:t>1576-2001</w:t>
      </w:r>
      <w:r>
        <w:rPr>
          <w:rFonts w:hint="eastAsia" w:ascii="Times New Roman" w:hAnsi="Times New Roman"/>
          <w:color w:val="000000"/>
          <w:sz w:val="24"/>
          <w:szCs w:val="24"/>
        </w:rPr>
        <w:t>）要求</w:t>
      </w:r>
      <w:r>
        <w:rPr>
          <w:rFonts w:ascii="Times New Roman" w:hAnsi="Times New Roman"/>
          <w:color w:val="000000"/>
          <w:sz w:val="24"/>
          <w:szCs w:val="24"/>
        </w:rPr>
        <w:t>设计，总硬度≤0.03mmol/L</w:t>
      </w:r>
      <w:r>
        <w:rPr>
          <w:rFonts w:hint="eastAsia" w:ascii="Times New Roman" w:hAnsi="Times New Roman"/>
          <w:color w:val="000000"/>
          <w:sz w:val="24"/>
          <w:szCs w:val="24"/>
        </w:rPr>
        <w:t>，</w:t>
      </w:r>
      <w:r>
        <w:rPr>
          <w:rFonts w:ascii="Times New Roman" w:hAnsi="Times New Roman"/>
          <w:color w:val="000000"/>
          <w:sz w:val="24"/>
          <w:szCs w:val="24"/>
        </w:rPr>
        <w:t>化学水处理装置选用钠离子交换器，</w:t>
      </w:r>
      <w:r>
        <w:rPr>
          <w:rFonts w:hint="eastAsia" w:ascii="Times New Roman" w:hAnsi="Times New Roman"/>
          <w:color w:val="000000"/>
          <w:sz w:val="24"/>
          <w:szCs w:val="24"/>
        </w:rPr>
        <w:t>出水</w:t>
      </w:r>
      <w:r>
        <w:rPr>
          <w:rFonts w:ascii="Times New Roman" w:hAnsi="Times New Roman"/>
          <w:color w:val="000000"/>
          <w:sz w:val="24"/>
          <w:szCs w:val="24"/>
        </w:rPr>
        <w:t>水质残硬可达到</w:t>
      </w:r>
      <w:r>
        <w:rPr>
          <w:rFonts w:hint="eastAsia" w:ascii="Times New Roman" w:hAnsi="Times New Roman"/>
          <w:color w:val="000000"/>
          <w:sz w:val="24"/>
          <w:szCs w:val="24"/>
        </w:rPr>
        <w:t>0.03mmol/L，</w:t>
      </w:r>
      <w:r>
        <w:rPr>
          <w:rFonts w:ascii="Times New Roman" w:hAnsi="Times New Roman"/>
          <w:color w:val="000000"/>
          <w:sz w:val="24"/>
          <w:szCs w:val="24"/>
        </w:rPr>
        <w:t>完全符合锅炉用水要求。由</w:t>
      </w:r>
      <w:r>
        <w:rPr>
          <w:rFonts w:hint="eastAsia" w:ascii="Times New Roman" w:hAnsi="Times New Roman"/>
          <w:color w:val="000000"/>
          <w:sz w:val="24"/>
          <w:szCs w:val="24"/>
        </w:rPr>
        <w:t>锅炉</w:t>
      </w:r>
      <w:r>
        <w:rPr>
          <w:rFonts w:ascii="Times New Roman" w:hAnsi="Times New Roman"/>
          <w:color w:val="000000"/>
          <w:sz w:val="24"/>
          <w:szCs w:val="24"/>
        </w:rPr>
        <w:t>给水泵送入锅炉使用。</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w:t>
      </w:r>
      <w:r>
        <w:rPr>
          <w:rFonts w:ascii="Times New Roman" w:hAnsi="Times New Roman"/>
          <w:color w:val="000000"/>
          <w:sz w:val="24"/>
          <w:szCs w:val="24"/>
        </w:rPr>
        <w:t>项目采用</w:t>
      </w:r>
      <w:r>
        <w:rPr>
          <w:rFonts w:hint="eastAsia" w:ascii="Times New Roman" w:hAnsi="Times New Roman"/>
          <w:color w:val="000000"/>
          <w:sz w:val="24"/>
          <w:szCs w:val="24"/>
        </w:rPr>
        <w:t>钠离子</w:t>
      </w:r>
      <w:r>
        <w:rPr>
          <w:rFonts w:ascii="Times New Roman" w:hAnsi="Times New Roman"/>
          <w:color w:val="000000"/>
          <w:sz w:val="24"/>
          <w:szCs w:val="24"/>
        </w:rPr>
        <w:t>交换器，工作原理是：水的硬度主要是由其中的阳离子钙（</w:t>
      </w:r>
      <w:r>
        <w:rPr>
          <w:rFonts w:hint="eastAsia" w:ascii="Times New Roman" w:hAnsi="Times New Roman"/>
          <w:color w:val="000000"/>
          <w:sz w:val="24"/>
          <w:szCs w:val="24"/>
        </w:rPr>
        <w:t>G</w:t>
      </w:r>
      <w:r>
        <w:rPr>
          <w:rFonts w:ascii="Times New Roman" w:hAnsi="Times New Roman"/>
          <w:color w:val="000000"/>
          <w:sz w:val="24"/>
          <w:szCs w:val="24"/>
        </w:rPr>
        <w:t>a</w:t>
      </w:r>
      <w:r>
        <w:rPr>
          <w:rFonts w:ascii="Times New Roman" w:hAnsi="Times New Roman"/>
          <w:color w:val="000000"/>
          <w:sz w:val="24"/>
          <w:szCs w:val="24"/>
          <w:vertAlign w:val="superscript"/>
        </w:rPr>
        <w:t>2+</w:t>
      </w:r>
      <w:r>
        <w:rPr>
          <w:rFonts w:ascii="Times New Roman" w:hAnsi="Times New Roman"/>
          <w:color w:val="000000"/>
          <w:sz w:val="24"/>
          <w:szCs w:val="24"/>
        </w:rPr>
        <w:t>）</w:t>
      </w:r>
      <w:r>
        <w:rPr>
          <w:rFonts w:hint="eastAsia" w:ascii="Times New Roman" w:hAnsi="Times New Roman"/>
          <w:color w:val="000000"/>
          <w:sz w:val="24"/>
          <w:szCs w:val="24"/>
        </w:rPr>
        <w:t>、</w:t>
      </w:r>
      <w:r>
        <w:rPr>
          <w:rFonts w:ascii="Times New Roman" w:hAnsi="Times New Roman"/>
          <w:color w:val="000000"/>
          <w:sz w:val="24"/>
          <w:szCs w:val="24"/>
        </w:rPr>
        <w:t>镁（</w:t>
      </w:r>
      <w:r>
        <w:rPr>
          <w:rFonts w:hint="eastAsia" w:ascii="Times New Roman" w:hAnsi="Times New Roman"/>
          <w:color w:val="000000"/>
          <w:sz w:val="24"/>
          <w:szCs w:val="24"/>
        </w:rPr>
        <w:t>M</w:t>
      </w:r>
      <w:r>
        <w:rPr>
          <w:rFonts w:ascii="Times New Roman" w:hAnsi="Times New Roman"/>
          <w:color w:val="000000"/>
          <w:sz w:val="24"/>
          <w:szCs w:val="24"/>
        </w:rPr>
        <w:t>g</w:t>
      </w:r>
      <w:r>
        <w:rPr>
          <w:rFonts w:ascii="Times New Roman" w:hAnsi="Times New Roman"/>
          <w:color w:val="000000"/>
          <w:sz w:val="24"/>
          <w:szCs w:val="24"/>
          <w:vertAlign w:val="superscript"/>
        </w:rPr>
        <w:t>2+</w:t>
      </w:r>
      <w:r>
        <w:rPr>
          <w:rFonts w:ascii="Times New Roman" w:hAnsi="Times New Roman"/>
          <w:color w:val="000000"/>
          <w:sz w:val="24"/>
          <w:szCs w:val="24"/>
        </w:rPr>
        <w:t>）</w:t>
      </w:r>
      <w:r>
        <w:rPr>
          <w:rFonts w:hint="eastAsia" w:ascii="Times New Roman" w:hAnsi="Times New Roman"/>
          <w:color w:val="000000"/>
          <w:sz w:val="24"/>
          <w:szCs w:val="24"/>
        </w:rPr>
        <w:t>离子</w:t>
      </w:r>
      <w:r>
        <w:rPr>
          <w:rFonts w:ascii="Times New Roman" w:hAnsi="Times New Roman"/>
          <w:color w:val="000000"/>
          <w:sz w:val="24"/>
          <w:szCs w:val="24"/>
        </w:rPr>
        <w:t>构成的。</w:t>
      </w:r>
      <w:r>
        <w:rPr>
          <w:rFonts w:hint="eastAsia" w:ascii="Times New Roman" w:hAnsi="Times New Roman"/>
          <w:color w:val="000000"/>
          <w:sz w:val="24"/>
          <w:szCs w:val="24"/>
        </w:rPr>
        <w:t>当</w:t>
      </w:r>
      <w:r>
        <w:rPr>
          <w:rFonts w:ascii="Times New Roman" w:hAnsi="Times New Roman"/>
          <w:color w:val="000000"/>
          <w:sz w:val="24"/>
          <w:szCs w:val="24"/>
        </w:rPr>
        <w:t>含有硬离子的原水通过交换器树脂层时，水中的钙</w:t>
      </w:r>
      <w:r>
        <w:rPr>
          <w:rFonts w:hint="eastAsia" w:ascii="Times New Roman" w:hAnsi="Times New Roman"/>
          <w:color w:val="000000"/>
          <w:sz w:val="24"/>
          <w:szCs w:val="24"/>
        </w:rPr>
        <w:t>、</w:t>
      </w:r>
      <w:r>
        <w:rPr>
          <w:rFonts w:ascii="Times New Roman" w:hAnsi="Times New Roman"/>
          <w:color w:val="000000"/>
          <w:sz w:val="24"/>
          <w:szCs w:val="24"/>
        </w:rPr>
        <w:t>镁</w:t>
      </w:r>
      <w:r>
        <w:rPr>
          <w:rFonts w:hint="eastAsia" w:ascii="Times New Roman" w:hAnsi="Times New Roman"/>
          <w:color w:val="000000"/>
          <w:sz w:val="24"/>
          <w:szCs w:val="24"/>
        </w:rPr>
        <w:t>离子</w:t>
      </w:r>
      <w:r>
        <w:rPr>
          <w:rFonts w:ascii="Times New Roman" w:hAnsi="Times New Roman"/>
          <w:color w:val="000000"/>
          <w:sz w:val="24"/>
          <w:szCs w:val="24"/>
        </w:rPr>
        <w:t>与树脂内的钠离子发生置换，树脂吸附了钙</w:t>
      </w:r>
      <w:r>
        <w:rPr>
          <w:rFonts w:hint="eastAsia" w:ascii="Times New Roman" w:hAnsi="Times New Roman"/>
          <w:color w:val="000000"/>
          <w:sz w:val="24"/>
          <w:szCs w:val="24"/>
        </w:rPr>
        <w:t>、</w:t>
      </w:r>
      <w:r>
        <w:rPr>
          <w:rFonts w:ascii="Times New Roman" w:hAnsi="Times New Roman"/>
          <w:color w:val="000000"/>
          <w:sz w:val="24"/>
          <w:szCs w:val="24"/>
        </w:rPr>
        <w:t>镁</w:t>
      </w:r>
      <w:r>
        <w:rPr>
          <w:rFonts w:hint="eastAsia" w:ascii="Times New Roman" w:hAnsi="Times New Roman"/>
          <w:color w:val="000000"/>
          <w:sz w:val="24"/>
          <w:szCs w:val="24"/>
        </w:rPr>
        <w:t>离子</w:t>
      </w:r>
      <w:r>
        <w:rPr>
          <w:rFonts w:ascii="Times New Roman" w:hAnsi="Times New Roman"/>
          <w:color w:val="000000"/>
          <w:sz w:val="24"/>
          <w:szCs w:val="24"/>
        </w:rPr>
        <w:t>而钠离子进入水中，这样</w:t>
      </w:r>
      <w:r>
        <w:rPr>
          <w:rFonts w:hint="eastAsia" w:ascii="Times New Roman" w:hAnsi="Times New Roman"/>
          <w:color w:val="000000"/>
          <w:sz w:val="24"/>
          <w:szCs w:val="24"/>
        </w:rPr>
        <w:t>从</w:t>
      </w:r>
      <w:r>
        <w:rPr>
          <w:rFonts w:ascii="Times New Roman" w:hAnsi="Times New Roman"/>
          <w:color w:val="000000"/>
          <w:sz w:val="24"/>
          <w:szCs w:val="24"/>
        </w:rPr>
        <w:t>交换器内流出的水就是去除了硬度</w:t>
      </w:r>
      <w:r>
        <w:rPr>
          <w:rFonts w:hint="eastAsia" w:ascii="Times New Roman" w:hAnsi="Times New Roman"/>
          <w:color w:val="000000"/>
          <w:sz w:val="24"/>
          <w:szCs w:val="24"/>
        </w:rPr>
        <w:t>离子</w:t>
      </w:r>
      <w:r>
        <w:rPr>
          <w:rFonts w:ascii="Times New Roman" w:hAnsi="Times New Roman"/>
          <w:color w:val="000000"/>
          <w:sz w:val="24"/>
          <w:szCs w:val="24"/>
        </w:rPr>
        <w:t>的软化水。随着</w:t>
      </w:r>
      <w:r>
        <w:rPr>
          <w:rFonts w:hint="eastAsia" w:ascii="Times New Roman" w:hAnsi="Times New Roman"/>
          <w:color w:val="000000"/>
          <w:sz w:val="24"/>
          <w:szCs w:val="24"/>
        </w:rPr>
        <w:t>交换</w:t>
      </w:r>
      <w:r>
        <w:rPr>
          <w:rFonts w:ascii="Times New Roman" w:hAnsi="Times New Roman"/>
          <w:color w:val="000000"/>
          <w:sz w:val="24"/>
          <w:szCs w:val="24"/>
        </w:rPr>
        <w:t>过程的不断进行，树脂中</w:t>
      </w:r>
      <w:r>
        <w:rPr>
          <w:rFonts w:hint="eastAsia" w:ascii="Times New Roman" w:hAnsi="Times New Roman"/>
          <w:color w:val="000000"/>
          <w:sz w:val="24"/>
          <w:szCs w:val="24"/>
        </w:rPr>
        <w:t>N</w:t>
      </w:r>
      <w:r>
        <w:rPr>
          <w:rFonts w:ascii="Times New Roman" w:hAnsi="Times New Roman"/>
          <w:color w:val="000000"/>
          <w:sz w:val="24"/>
          <w:szCs w:val="24"/>
        </w:rPr>
        <w:t>a+</w:t>
      </w:r>
      <w:r>
        <w:rPr>
          <w:rFonts w:hint="eastAsia" w:ascii="Times New Roman" w:hAnsi="Times New Roman"/>
          <w:color w:val="000000"/>
          <w:sz w:val="24"/>
          <w:szCs w:val="24"/>
        </w:rPr>
        <w:t>全部</w:t>
      </w:r>
      <w:r>
        <w:rPr>
          <w:rFonts w:ascii="Times New Roman" w:hAnsi="Times New Roman"/>
          <w:color w:val="000000"/>
          <w:sz w:val="24"/>
          <w:szCs w:val="24"/>
        </w:rPr>
        <w:t>被置换出来后就失去交换功能，此时</w:t>
      </w:r>
      <w:r>
        <w:rPr>
          <w:rFonts w:hint="eastAsia" w:ascii="Times New Roman" w:hAnsi="Times New Roman"/>
          <w:color w:val="000000"/>
          <w:sz w:val="24"/>
          <w:szCs w:val="24"/>
        </w:rPr>
        <w:t>必须</w:t>
      </w:r>
      <w:r>
        <w:rPr>
          <w:rFonts w:ascii="Times New Roman" w:hAnsi="Times New Roman"/>
          <w:color w:val="000000"/>
          <w:sz w:val="24"/>
          <w:szCs w:val="24"/>
        </w:rPr>
        <w:t>使用</w:t>
      </w:r>
      <w:r>
        <w:rPr>
          <w:rFonts w:hint="eastAsia" w:ascii="Times New Roman" w:hAnsi="Times New Roman"/>
          <w:color w:val="000000"/>
          <w:sz w:val="24"/>
          <w:szCs w:val="24"/>
        </w:rPr>
        <w:t>Na</w:t>
      </w:r>
      <w:r>
        <w:rPr>
          <w:rFonts w:ascii="Times New Roman" w:hAnsi="Times New Roman"/>
          <w:color w:val="000000"/>
          <w:sz w:val="24"/>
          <w:szCs w:val="24"/>
        </w:rPr>
        <w:t>Cl</w:t>
      </w:r>
      <w:r>
        <w:rPr>
          <w:rFonts w:hint="eastAsia" w:ascii="Times New Roman" w:hAnsi="Times New Roman"/>
          <w:color w:val="000000"/>
          <w:sz w:val="24"/>
          <w:szCs w:val="24"/>
        </w:rPr>
        <w:t>溶液</w:t>
      </w:r>
      <w:r>
        <w:rPr>
          <w:rFonts w:ascii="Times New Roman" w:hAnsi="Times New Roman"/>
          <w:color w:val="000000"/>
          <w:sz w:val="24"/>
          <w:szCs w:val="24"/>
        </w:rPr>
        <w:t>对树脂进行再生，将树脂吸附的</w:t>
      </w:r>
      <w:r>
        <w:rPr>
          <w:rFonts w:hint="eastAsia" w:ascii="Times New Roman" w:hAnsi="Times New Roman"/>
          <w:color w:val="000000"/>
          <w:sz w:val="24"/>
          <w:szCs w:val="24"/>
        </w:rPr>
        <w:t>G</w:t>
      </w:r>
      <w:r>
        <w:rPr>
          <w:rFonts w:ascii="Times New Roman" w:hAnsi="Times New Roman"/>
          <w:color w:val="000000"/>
          <w:sz w:val="24"/>
          <w:szCs w:val="24"/>
        </w:rPr>
        <w:t>a2+</w:t>
      </w:r>
      <w:r>
        <w:rPr>
          <w:rFonts w:hint="eastAsia" w:ascii="Times New Roman" w:hAnsi="Times New Roman"/>
          <w:color w:val="000000"/>
          <w:sz w:val="24"/>
          <w:szCs w:val="24"/>
        </w:rPr>
        <w:t>、Mg2+置换</w:t>
      </w:r>
      <w:r>
        <w:rPr>
          <w:rFonts w:ascii="Times New Roman" w:hAnsi="Times New Roman"/>
          <w:color w:val="000000"/>
          <w:sz w:val="24"/>
          <w:szCs w:val="24"/>
        </w:rPr>
        <w:t>下来，树脂重新吸附了钠离子，恢复了软化交换能力。本项目软水制备树脂再生时间为</w:t>
      </w:r>
      <w:r>
        <w:rPr>
          <w:rFonts w:hint="eastAsia" w:ascii="Times New Roman" w:hAnsi="Times New Roman"/>
          <w:color w:val="000000"/>
          <w:sz w:val="24"/>
          <w:szCs w:val="24"/>
        </w:rPr>
        <w:t>1年1次</w:t>
      </w:r>
      <w:r>
        <w:rPr>
          <w:rFonts w:ascii="Times New Roman" w:hAnsi="Times New Roman"/>
          <w:color w:val="000000"/>
          <w:sz w:val="24"/>
          <w:szCs w:val="24"/>
        </w:rPr>
        <w:t>，用量为</w:t>
      </w:r>
      <w:r>
        <w:rPr>
          <w:rFonts w:hint="eastAsia" w:ascii="Times New Roman" w:hAnsi="Times New Roman"/>
          <w:color w:val="000000"/>
          <w:sz w:val="24"/>
          <w:szCs w:val="24"/>
        </w:rPr>
        <w:t>800</w:t>
      </w:r>
      <w:r>
        <w:rPr>
          <w:rFonts w:ascii="Times New Roman" w:hAnsi="Times New Roman"/>
          <w:color w:val="000000"/>
          <w:sz w:val="24"/>
          <w:szCs w:val="24"/>
        </w:rPr>
        <w:t>kg/a</w:t>
      </w:r>
      <w:r>
        <w:rPr>
          <w:rFonts w:hint="eastAsia" w:ascii="Times New Roman" w:hAnsi="Times New Roman"/>
          <w:color w:val="000000"/>
          <w:sz w:val="24"/>
          <w:szCs w:val="24"/>
        </w:rPr>
        <w:t>。</w:t>
      </w:r>
    </w:p>
    <w:p>
      <w:pPr>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5</w:t>
      </w:r>
      <w:r>
        <w:rPr>
          <w:rFonts w:hint="eastAsia" w:ascii="Times New Roman" w:hAnsi="Times New Roman"/>
          <w:b/>
          <w:color w:val="000000"/>
          <w:sz w:val="24"/>
          <w:szCs w:val="24"/>
        </w:rPr>
        <w:t>、蒸汽供应</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项目使用蒸汽锅炉供气，锅炉型号为DZL10-1、25AII，锅炉蒸发量为每小时1</w:t>
      </w:r>
      <w:r>
        <w:rPr>
          <w:rFonts w:ascii="Times New Roman" w:hAnsi="Times New Roman"/>
          <w:color w:val="000000"/>
          <w:sz w:val="24"/>
          <w:szCs w:val="24"/>
        </w:rPr>
        <w:t>2</w:t>
      </w:r>
      <w:r>
        <w:rPr>
          <w:rFonts w:hint="eastAsia" w:ascii="Times New Roman" w:hAnsi="Times New Roman"/>
          <w:color w:val="000000"/>
          <w:sz w:val="24"/>
          <w:szCs w:val="24"/>
        </w:rPr>
        <w:t>t，额定工作压力为1.25MPa，蒸汽饱和温度为193.3℃，给水温度20℃，水压试验压力为1.65MPa。满足生产用汽需求。此外</w:t>
      </w:r>
      <w:r>
        <w:rPr>
          <w:rFonts w:ascii="Times New Roman" w:hAnsi="Times New Roman"/>
          <w:color w:val="000000"/>
          <w:sz w:val="24"/>
          <w:szCs w:val="24"/>
        </w:rPr>
        <w:t>，根据项目方</w:t>
      </w:r>
      <w:r>
        <w:rPr>
          <w:rFonts w:hint="eastAsia" w:ascii="Times New Roman" w:hAnsi="Times New Roman"/>
          <w:color w:val="000000"/>
          <w:sz w:val="24"/>
          <w:szCs w:val="24"/>
        </w:rPr>
        <w:t>核实</w:t>
      </w:r>
      <w:r>
        <w:rPr>
          <w:rFonts w:ascii="Times New Roman" w:hAnsi="Times New Roman"/>
          <w:color w:val="000000"/>
          <w:sz w:val="24"/>
          <w:szCs w:val="24"/>
        </w:rPr>
        <w:t>，项目生产过程中蒸汽拟进行封闭循环使用，其蒸汽冷凝液回收效率可达</w:t>
      </w:r>
      <w:r>
        <w:rPr>
          <w:rFonts w:hint="eastAsia" w:ascii="Times New Roman" w:hAnsi="Times New Roman"/>
          <w:color w:val="000000"/>
          <w:sz w:val="24"/>
          <w:szCs w:val="24"/>
        </w:rPr>
        <w:t>90</w:t>
      </w:r>
      <w:r>
        <w:rPr>
          <w:rFonts w:ascii="Times New Roman" w:hAnsi="Times New Roman"/>
          <w:color w:val="000000"/>
          <w:sz w:val="24"/>
          <w:szCs w:val="24"/>
        </w:rPr>
        <w:t>%左右，回收的冷凝液温度约为</w:t>
      </w:r>
      <w:r>
        <w:rPr>
          <w:rFonts w:hint="eastAsia" w:ascii="Times New Roman" w:hAnsi="Times New Roman"/>
          <w:color w:val="000000"/>
          <w:sz w:val="24"/>
          <w:szCs w:val="24"/>
        </w:rPr>
        <w:t>80</w:t>
      </w:r>
      <w:r>
        <w:rPr>
          <w:rFonts w:ascii="Times New Roman" w:hAnsi="Times New Roman"/>
          <w:color w:val="000000"/>
          <w:sz w:val="24"/>
          <w:szCs w:val="24"/>
        </w:rPr>
        <w:t>~90</w:t>
      </w:r>
      <w:r>
        <w:rPr>
          <w:rFonts w:hint="eastAsia" w:ascii="Times New Roman" w:hAnsi="Times New Roman"/>
          <w:color w:val="000000"/>
          <w:sz w:val="24"/>
          <w:szCs w:val="24"/>
        </w:rPr>
        <w:t>℃</w:t>
      </w:r>
      <w:r>
        <w:rPr>
          <w:rFonts w:ascii="Times New Roman" w:hAnsi="Times New Roman"/>
          <w:color w:val="000000"/>
          <w:sz w:val="24"/>
          <w:szCs w:val="24"/>
        </w:rPr>
        <w:t>，直接通过回收系统送至锅炉内</w:t>
      </w:r>
      <w:r>
        <w:rPr>
          <w:rFonts w:hint="eastAsia" w:ascii="Times New Roman" w:hAnsi="Times New Roman"/>
          <w:color w:val="000000"/>
          <w:sz w:val="24"/>
          <w:szCs w:val="24"/>
        </w:rPr>
        <w:t>重复</w:t>
      </w:r>
      <w:r>
        <w:rPr>
          <w:rFonts w:ascii="Times New Roman" w:hAnsi="Times New Roman"/>
          <w:color w:val="000000"/>
          <w:sz w:val="24"/>
          <w:szCs w:val="24"/>
        </w:rPr>
        <w:t>利用，不但可以减少新鲜水消耗量，</w:t>
      </w:r>
      <w:r>
        <w:rPr>
          <w:rFonts w:hint="eastAsia" w:ascii="Times New Roman" w:hAnsi="Times New Roman"/>
          <w:color w:val="000000"/>
          <w:sz w:val="24"/>
          <w:szCs w:val="24"/>
        </w:rPr>
        <w:t>还可以有效</w:t>
      </w:r>
      <w:r>
        <w:rPr>
          <w:rFonts w:ascii="Times New Roman" w:hAnsi="Times New Roman"/>
          <w:color w:val="000000"/>
          <w:sz w:val="24"/>
          <w:szCs w:val="24"/>
        </w:rPr>
        <w:t>的降低锅炉的燃料用量。</w:t>
      </w:r>
    </w:p>
    <w:p>
      <w:pPr>
        <w:pStyle w:val="6"/>
        <w:spacing w:line="360" w:lineRule="auto"/>
        <w:ind w:firstLine="482" w:firstLineChars="200"/>
        <w:rPr>
          <w:rFonts w:ascii="Times New Roman" w:hAnsi="Times New Roman" w:eastAsia="宋体" w:cs="Times New Roman"/>
          <w:sz w:val="24"/>
        </w:rPr>
      </w:pPr>
      <w:bookmarkStart w:id="122" w:name="_Toc23843331"/>
      <w:bookmarkStart w:id="123" w:name="_Toc8455"/>
      <w:r>
        <w:rPr>
          <w:rFonts w:hint="eastAsia" w:ascii="Times New Roman" w:hAnsi="Times New Roman" w:eastAsia="宋体" w:cs="Times New Roman"/>
          <w:sz w:val="24"/>
        </w:rPr>
        <w:t>3.1.7项目区平面布置</w:t>
      </w:r>
      <w:bookmarkEnd w:id="122"/>
      <w:bookmarkEnd w:id="123"/>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1、总平面布置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项目建设在元谋县工业园区金雷片区，项目总占地面积为23333.5m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，建筑占地面积为</w:t>
      </w:r>
      <w:r>
        <w:rPr>
          <w:rFonts w:ascii="Times New Roman" w:hAnsi="Times New Roman"/>
          <w:color w:val="000000"/>
          <w:sz w:val="24"/>
          <w:szCs w:val="24"/>
        </w:rPr>
        <w:t>8065.66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，项目总建筑面积为</w:t>
      </w:r>
      <w:r>
        <w:rPr>
          <w:rFonts w:ascii="Times New Roman" w:hAnsi="Times New Roman"/>
          <w:color w:val="000000"/>
          <w:sz w:val="24"/>
          <w:szCs w:val="24"/>
        </w:rPr>
        <w:t>9780.16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。厂区整体呈长方形布置，南北走向，厂区的建筑物包括：生产车间、成品仓库、辅助用房、综合楼、锅炉房及辅助设施。本项目总体布置分三块，场区最南面为办公楼、研发</w:t>
      </w:r>
      <w:r>
        <w:rPr>
          <w:rFonts w:ascii="Times New Roman" w:hAnsi="Times New Roman"/>
          <w:color w:val="000000"/>
          <w:sz w:val="24"/>
          <w:szCs w:val="24"/>
        </w:rPr>
        <w:t>中心</w:t>
      </w:r>
      <w:r>
        <w:rPr>
          <w:rFonts w:hint="eastAsia" w:ascii="Times New Roman" w:hAnsi="Times New Roman"/>
          <w:color w:val="000000"/>
          <w:sz w:val="24"/>
          <w:szCs w:val="24"/>
        </w:rPr>
        <w:t>、</w:t>
      </w:r>
      <w:r>
        <w:rPr>
          <w:rFonts w:ascii="Times New Roman" w:hAnsi="Times New Roman"/>
          <w:color w:val="000000"/>
          <w:sz w:val="24"/>
          <w:szCs w:val="24"/>
        </w:rPr>
        <w:t>事故水池</w:t>
      </w:r>
      <w:r>
        <w:rPr>
          <w:rFonts w:hint="eastAsia" w:ascii="Times New Roman" w:hAnsi="Times New Roman"/>
          <w:color w:val="000000"/>
          <w:sz w:val="24"/>
          <w:szCs w:val="24"/>
        </w:rPr>
        <w:t>和值班</w:t>
      </w:r>
      <w:r>
        <w:rPr>
          <w:rFonts w:ascii="Times New Roman" w:hAnsi="Times New Roman"/>
          <w:color w:val="000000"/>
          <w:sz w:val="24"/>
          <w:szCs w:val="24"/>
        </w:rPr>
        <w:t>室</w:t>
      </w:r>
      <w:r>
        <w:rPr>
          <w:rFonts w:hint="eastAsia" w:ascii="Times New Roman" w:hAnsi="Times New Roman"/>
          <w:color w:val="000000"/>
          <w:sz w:val="24"/>
          <w:szCs w:val="24"/>
        </w:rPr>
        <w:t>；研发中心北边为生产车间及库房，</w:t>
      </w:r>
      <w:r>
        <w:rPr>
          <w:rFonts w:ascii="Times New Roman" w:hAnsi="Times New Roman"/>
          <w:color w:val="000000"/>
          <w:sz w:val="24"/>
          <w:szCs w:val="24"/>
        </w:rPr>
        <w:t>职工宿舍位于库房东面</w:t>
      </w:r>
      <w:r>
        <w:rPr>
          <w:rFonts w:hint="eastAsia" w:ascii="Times New Roman" w:hAnsi="Times New Roman"/>
          <w:color w:val="000000"/>
          <w:sz w:val="24"/>
          <w:szCs w:val="24"/>
        </w:rPr>
        <w:t>；最北边为原料</w:t>
      </w:r>
      <w:r>
        <w:rPr>
          <w:rFonts w:ascii="Times New Roman" w:hAnsi="Times New Roman"/>
          <w:color w:val="000000"/>
          <w:sz w:val="24"/>
          <w:szCs w:val="24"/>
        </w:rPr>
        <w:t>仓库、</w:t>
      </w:r>
      <w:r>
        <w:rPr>
          <w:rFonts w:hint="eastAsia" w:ascii="Times New Roman" w:hAnsi="Times New Roman"/>
          <w:color w:val="000000"/>
          <w:sz w:val="24"/>
          <w:szCs w:val="24"/>
        </w:rPr>
        <w:t>锅炉房、变</w:t>
      </w:r>
      <w:r>
        <w:rPr>
          <w:rFonts w:ascii="Times New Roman" w:hAnsi="Times New Roman"/>
          <w:color w:val="000000"/>
          <w:sz w:val="24"/>
          <w:szCs w:val="24"/>
        </w:rPr>
        <w:t>配电室</w:t>
      </w:r>
      <w:r>
        <w:rPr>
          <w:rFonts w:hint="eastAsia" w:ascii="Times New Roman" w:hAnsi="Times New Roman"/>
          <w:color w:val="000000"/>
          <w:sz w:val="24"/>
          <w:szCs w:val="24"/>
        </w:rPr>
        <w:t>及</w:t>
      </w:r>
      <w:r>
        <w:rPr>
          <w:rFonts w:ascii="Times New Roman" w:hAnsi="Times New Roman"/>
          <w:color w:val="000000"/>
          <w:sz w:val="24"/>
          <w:szCs w:val="24"/>
        </w:rPr>
        <w:t>公厕</w:t>
      </w:r>
      <w:r>
        <w:rPr>
          <w:rFonts w:hint="eastAsia" w:ascii="Times New Roman" w:hAnsi="Times New Roman"/>
          <w:color w:val="000000"/>
          <w:sz w:val="24"/>
          <w:szCs w:val="24"/>
        </w:rPr>
        <w:t>。其中辅助生产区占2</w:t>
      </w:r>
      <w:r>
        <w:rPr>
          <w:rFonts w:ascii="Times New Roman" w:hAnsi="Times New Roman"/>
          <w:color w:val="000000"/>
          <w:sz w:val="24"/>
          <w:szCs w:val="24"/>
        </w:rPr>
        <w:t>0%，</w:t>
      </w:r>
      <w:r>
        <w:rPr>
          <w:rFonts w:hint="eastAsia" w:ascii="Times New Roman" w:hAnsi="Times New Roman"/>
          <w:color w:val="000000"/>
          <w:sz w:val="24"/>
          <w:szCs w:val="24"/>
        </w:rPr>
        <w:t>生产</w:t>
      </w:r>
      <w:r>
        <w:rPr>
          <w:rFonts w:ascii="Times New Roman" w:hAnsi="Times New Roman"/>
          <w:color w:val="000000"/>
          <w:sz w:val="24"/>
          <w:szCs w:val="24"/>
        </w:rPr>
        <w:t>区</w:t>
      </w:r>
      <w:r>
        <w:rPr>
          <w:rFonts w:hint="eastAsia" w:ascii="Times New Roman" w:hAnsi="Times New Roman"/>
          <w:color w:val="000000"/>
          <w:sz w:val="24"/>
          <w:szCs w:val="24"/>
        </w:rPr>
        <w:t>及库房占6</w:t>
      </w:r>
      <w:r>
        <w:rPr>
          <w:rFonts w:ascii="Times New Roman" w:hAnsi="Times New Roman"/>
          <w:color w:val="000000"/>
          <w:sz w:val="24"/>
          <w:szCs w:val="24"/>
        </w:rPr>
        <w:t>0%，办公综合区</w:t>
      </w:r>
      <w:r>
        <w:rPr>
          <w:rFonts w:hint="eastAsia" w:ascii="Times New Roman" w:hAnsi="Times New Roman"/>
          <w:color w:val="000000"/>
          <w:sz w:val="24"/>
          <w:szCs w:val="24"/>
        </w:rPr>
        <w:t>占</w:t>
      </w:r>
      <w:r>
        <w:rPr>
          <w:rFonts w:ascii="Times New Roman" w:hAnsi="Times New Roman"/>
          <w:color w:val="000000"/>
          <w:sz w:val="24"/>
          <w:szCs w:val="24"/>
        </w:rPr>
        <w:t>20%。</w:t>
      </w:r>
      <w:r>
        <w:rPr>
          <w:rFonts w:hint="eastAsia" w:ascii="Times New Roman" w:hAnsi="Times New Roman"/>
          <w:color w:val="000000"/>
          <w:sz w:val="24"/>
          <w:szCs w:val="24"/>
        </w:rPr>
        <w:t>生产区</w:t>
      </w:r>
      <w:r>
        <w:rPr>
          <w:rFonts w:ascii="Times New Roman" w:hAnsi="Times New Roman"/>
          <w:color w:val="000000"/>
          <w:sz w:val="24"/>
          <w:szCs w:val="24"/>
        </w:rPr>
        <w:t>50</w:t>
      </w:r>
      <w:r>
        <w:rPr>
          <w:rFonts w:hint="eastAsia" w:ascii="Times New Roman" w:hAnsi="Times New Roman"/>
          <w:color w:val="000000"/>
          <w:sz w:val="24"/>
          <w:szCs w:val="24"/>
        </w:rPr>
        <w:t>%为成品仓库，</w:t>
      </w:r>
      <w:r>
        <w:rPr>
          <w:rFonts w:ascii="Times New Roman" w:hAnsi="Times New Roman"/>
          <w:color w:val="000000"/>
          <w:sz w:val="24"/>
          <w:szCs w:val="24"/>
        </w:rPr>
        <w:t>50%为</w:t>
      </w:r>
      <w:r>
        <w:rPr>
          <w:rFonts w:hint="eastAsia" w:ascii="Times New Roman" w:hAnsi="Times New Roman"/>
          <w:color w:val="000000"/>
          <w:sz w:val="24"/>
          <w:szCs w:val="24"/>
        </w:rPr>
        <w:t>生产车间。厂区南面及东面为工业园区规划道路，以上布置可以使生产区与生活办公区分开，人流、物流分开，又使产品的生产靠近道路，便于运输。项目平面布置详见附图四。</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2、道路及竖向布置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场内道路主要为人员通道、消防通道及运输原辅料、成品、垃圾用，路面型式均采用硬化路面，带盖板明沟排雨水，纵坡不大于2%。根据周围地势，建筑物室内标高应高出周围排水点地面标高0.3m，防止内涝。</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3、绿化设计</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项目拟建绿化面积</w:t>
      </w:r>
      <w:r>
        <w:rPr>
          <w:rFonts w:ascii="Times New Roman" w:hAnsi="Times New Roman"/>
          <w:color w:val="000000"/>
          <w:sz w:val="24"/>
          <w:szCs w:val="24"/>
        </w:rPr>
        <w:t>3559.07</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，绿地率</w:t>
      </w:r>
      <w:r>
        <w:rPr>
          <w:rFonts w:ascii="Times New Roman" w:hAnsi="Times New Roman"/>
          <w:color w:val="000000"/>
          <w:sz w:val="24"/>
          <w:szCs w:val="24"/>
        </w:rPr>
        <w:t>15.26</w:t>
      </w:r>
      <w:r>
        <w:rPr>
          <w:rFonts w:hint="eastAsia" w:ascii="Times New Roman" w:hAnsi="Times New Roman"/>
          <w:color w:val="000000"/>
          <w:sz w:val="24"/>
          <w:szCs w:val="24"/>
        </w:rPr>
        <w:t>%，沿厂房布置绿地，并以种植四季花卉、灌木为主，使厂区环抱在绿地中，形成良好的工作环境。道路两面种植行道树，项目区绿地以种植庭院树木为主，形成良好的生活环境。尽量为厂区营造一个空气清新，适合生活、办公的生态环境。</w:t>
      </w:r>
    </w:p>
    <w:p>
      <w:pPr>
        <w:pStyle w:val="6"/>
        <w:spacing w:line="360" w:lineRule="auto"/>
        <w:ind w:firstLine="482" w:firstLineChars="200"/>
        <w:rPr>
          <w:rFonts w:ascii="Times New Roman" w:hAnsi="Times New Roman" w:eastAsia="宋体" w:cs="Times New Roman"/>
          <w:sz w:val="24"/>
        </w:rPr>
      </w:pPr>
      <w:bookmarkStart w:id="124" w:name="_Toc23843332"/>
      <w:bookmarkStart w:id="125" w:name="_Toc1696"/>
      <w:r>
        <w:rPr>
          <w:rFonts w:hint="eastAsia" w:ascii="Times New Roman" w:hAnsi="Times New Roman" w:eastAsia="宋体" w:cs="Times New Roman"/>
          <w:sz w:val="24"/>
        </w:rPr>
        <w:t>3.1.8项目实施计划</w:t>
      </w:r>
      <w:bookmarkEnd w:id="124"/>
      <w:bookmarkEnd w:id="125"/>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工程严格按照国家有关项目建设程序进行。可行性报告批准后，立即进行初步设计，然后进行设备采购和施工图设计。土建工程施工过程中，在互不影响的条件下，可穿插设备安装工作，工作人员的培训工作应提前结束。</w:t>
      </w:r>
    </w:p>
    <w:p>
      <w:pPr>
        <w:pStyle w:val="6"/>
        <w:spacing w:line="360" w:lineRule="auto"/>
        <w:ind w:firstLine="482" w:firstLineChars="200"/>
        <w:rPr>
          <w:rFonts w:ascii="Times New Roman" w:hAnsi="Times New Roman" w:eastAsia="宋体" w:cs="Times New Roman"/>
          <w:sz w:val="24"/>
        </w:rPr>
      </w:pPr>
      <w:bookmarkStart w:id="126" w:name="_Toc23843333"/>
      <w:bookmarkStart w:id="127" w:name="_Toc30330"/>
      <w:r>
        <w:rPr>
          <w:rFonts w:hint="eastAsia" w:ascii="Times New Roman" w:hAnsi="Times New Roman" w:eastAsia="宋体" w:cs="Times New Roman"/>
          <w:sz w:val="24"/>
        </w:rPr>
        <w:t>3.1.9环保投资</w:t>
      </w:r>
      <w:bookmarkEnd w:id="126"/>
      <w:bookmarkEnd w:id="127"/>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元谋县佳明包装有限责任公司关于年产10万吨环保新材料石粉复合果蔬包装生产线项目总投资估算为10176万元，建设项目环保投资为2</w:t>
      </w:r>
      <w:r>
        <w:rPr>
          <w:rFonts w:ascii="Times New Roman" w:hAnsi="Times New Roman"/>
          <w:color w:val="000000"/>
          <w:sz w:val="24"/>
          <w:szCs w:val="24"/>
        </w:rPr>
        <w:t>06</w:t>
      </w:r>
      <w:r>
        <w:rPr>
          <w:rFonts w:hint="eastAsia" w:ascii="Times New Roman" w:hAnsi="Times New Roman"/>
          <w:color w:val="000000"/>
          <w:sz w:val="24"/>
          <w:szCs w:val="24"/>
        </w:rPr>
        <w:t>万元，占建设总投资的</w:t>
      </w:r>
      <w:r>
        <w:rPr>
          <w:rFonts w:ascii="Times New Roman" w:hAnsi="Times New Roman"/>
          <w:color w:val="000000"/>
          <w:sz w:val="24"/>
          <w:szCs w:val="24"/>
        </w:rPr>
        <w:t>2.02</w:t>
      </w:r>
      <w:r>
        <w:rPr>
          <w:rFonts w:hint="eastAsia" w:ascii="Times New Roman" w:hAnsi="Times New Roman"/>
          <w:color w:val="000000"/>
          <w:sz w:val="24"/>
          <w:szCs w:val="24"/>
        </w:rPr>
        <w:t>%。</w:t>
      </w:r>
    </w:p>
    <w:p>
      <w:pPr>
        <w:pStyle w:val="6"/>
        <w:spacing w:line="360" w:lineRule="auto"/>
        <w:ind w:firstLine="482" w:firstLineChars="200"/>
        <w:rPr>
          <w:rFonts w:ascii="Times New Roman" w:hAnsi="Times New Roman" w:eastAsia="宋体" w:cs="Times New Roman"/>
          <w:sz w:val="24"/>
        </w:rPr>
      </w:pPr>
      <w:bookmarkStart w:id="128" w:name="_Toc23843334"/>
      <w:bookmarkStart w:id="129" w:name="_Toc19815"/>
      <w:r>
        <w:rPr>
          <w:rFonts w:hint="eastAsia" w:ascii="Times New Roman" w:hAnsi="Times New Roman" w:eastAsia="宋体" w:cs="Times New Roman"/>
          <w:sz w:val="24"/>
        </w:rPr>
        <w:t>3.1.10主要技术经济指标</w:t>
      </w:r>
      <w:bookmarkEnd w:id="128"/>
      <w:bookmarkEnd w:id="129"/>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本项目主要技术经济指标见表3.1-5。</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表3.1-5   项目主要经济指标</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977"/>
        <w:gridCol w:w="1701"/>
        <w:gridCol w:w="23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序号</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指标名称</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单位</w:t>
            </w:r>
          </w:p>
        </w:tc>
        <w:tc>
          <w:tcPr>
            <w:tcW w:w="23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总占地面积</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m</w:t>
            </w:r>
            <w:r>
              <w:rPr>
                <w:rFonts w:hint="eastAsia" w:ascii="Times New Roman" w:hAnsi="Times New Roman" w:eastAsia="宋体" w:cs="Times New Roman"/>
                <w:kern w:val="0"/>
                <w:szCs w:val="24"/>
                <w:vertAlign w:val="superscript"/>
              </w:rPr>
              <w:t>2</w:t>
            </w:r>
          </w:p>
        </w:tc>
        <w:tc>
          <w:tcPr>
            <w:tcW w:w="23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23333.45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2</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建筑占地面积</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m</w:t>
            </w:r>
            <w:r>
              <w:rPr>
                <w:rFonts w:hint="eastAsia" w:ascii="Times New Roman" w:hAnsi="Times New Roman" w:eastAsia="宋体" w:cs="Times New Roman"/>
                <w:kern w:val="0"/>
                <w:szCs w:val="24"/>
                <w:vertAlign w:val="superscript"/>
              </w:rPr>
              <w:t>2</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8065.66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3</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总建筑面积</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m</w:t>
            </w:r>
            <w:r>
              <w:rPr>
                <w:rFonts w:hint="eastAsia" w:ascii="Times New Roman" w:hAnsi="Times New Roman" w:eastAsia="宋体" w:cs="Times New Roman"/>
                <w:kern w:val="0"/>
                <w:szCs w:val="24"/>
                <w:vertAlign w:val="superscript"/>
              </w:rPr>
              <w:t>2</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9780.16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4</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道路、</w:t>
            </w:r>
            <w:r>
              <w:rPr>
                <w:rFonts w:ascii="Times New Roman" w:hAnsi="Times New Roman" w:eastAsia="宋体" w:cs="Times New Roman"/>
                <w:kern w:val="0"/>
                <w:szCs w:val="24"/>
              </w:rPr>
              <w:t>场地</w:t>
            </w:r>
            <w:r>
              <w:rPr>
                <w:rFonts w:hint="eastAsia" w:ascii="Times New Roman" w:hAnsi="Times New Roman" w:eastAsia="宋体" w:cs="Times New Roman"/>
                <w:kern w:val="0"/>
                <w:szCs w:val="24"/>
              </w:rPr>
              <w:t>面积</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m</w:t>
            </w:r>
            <w:r>
              <w:rPr>
                <w:rFonts w:hint="eastAsia" w:ascii="Times New Roman" w:hAnsi="Times New Roman" w:eastAsia="宋体" w:cs="Times New Roman"/>
                <w:kern w:val="0"/>
                <w:szCs w:val="24"/>
                <w:vertAlign w:val="superscript"/>
              </w:rPr>
              <w:t>2</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11708.62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5</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绿化面积</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m</w:t>
            </w:r>
            <w:r>
              <w:rPr>
                <w:rFonts w:hint="eastAsia" w:ascii="Times New Roman" w:hAnsi="Times New Roman" w:eastAsia="宋体" w:cs="Times New Roman"/>
                <w:kern w:val="0"/>
                <w:szCs w:val="24"/>
                <w:vertAlign w:val="superscript"/>
              </w:rPr>
              <w:t>2</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3559.07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6</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绿地率</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15.26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7</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停车位</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个</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建筑密度</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34.57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9</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建筑容积率</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0.7119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10</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建设工期</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月</w:t>
            </w:r>
          </w:p>
        </w:tc>
        <w:tc>
          <w:tcPr>
            <w:tcW w:w="23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11</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劳动定员</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人</w:t>
            </w:r>
          </w:p>
        </w:tc>
        <w:tc>
          <w:tcPr>
            <w:tcW w:w="23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12</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项目总投资</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万元</w:t>
            </w:r>
          </w:p>
        </w:tc>
        <w:tc>
          <w:tcPr>
            <w:tcW w:w="23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10176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13</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环保投资</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万元</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14</w:t>
            </w:r>
          </w:p>
        </w:tc>
        <w:tc>
          <w:tcPr>
            <w:tcW w:w="2977"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环保投资比例</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2318" w:type="dxa"/>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2.02</w:t>
            </w:r>
          </w:p>
        </w:tc>
      </w:tr>
    </w:tbl>
    <w:p>
      <w:pPr>
        <w:pStyle w:val="5"/>
        <w:ind w:firstLine="562"/>
        <w:rPr>
          <w:rFonts w:hAnsi="Times New Roman"/>
        </w:rPr>
      </w:pPr>
      <w:bookmarkStart w:id="130" w:name="_Toc28494"/>
      <w:bookmarkStart w:id="131" w:name="_Toc23843335"/>
      <w:bookmarkStart w:id="132" w:name="_Toc31714"/>
      <w:r>
        <w:rPr>
          <w:rFonts w:hint="eastAsia" w:hAnsi="Times New Roman"/>
        </w:rPr>
        <w:t>3.2建设项目污染物影响分析</w:t>
      </w:r>
      <w:bookmarkEnd w:id="130"/>
      <w:bookmarkEnd w:id="131"/>
      <w:bookmarkEnd w:id="132"/>
    </w:p>
    <w:p>
      <w:pPr>
        <w:pStyle w:val="6"/>
        <w:spacing w:line="360" w:lineRule="auto"/>
        <w:ind w:firstLine="482" w:firstLineChars="200"/>
        <w:rPr>
          <w:rFonts w:ascii="Times New Roman" w:hAnsi="Times New Roman" w:eastAsia="宋体" w:cs="Times New Roman"/>
          <w:sz w:val="24"/>
        </w:rPr>
      </w:pPr>
      <w:bookmarkStart w:id="133" w:name="_Toc23843336"/>
      <w:bookmarkStart w:id="134" w:name="_Toc8858"/>
      <w:r>
        <w:rPr>
          <w:rFonts w:hint="eastAsia" w:ascii="Times New Roman" w:hAnsi="Times New Roman" w:eastAsia="宋体" w:cs="Times New Roman"/>
          <w:sz w:val="24"/>
        </w:rPr>
        <w:t>3.2.1施工期污染分析</w:t>
      </w:r>
      <w:bookmarkEnd w:id="133"/>
      <w:bookmarkEnd w:id="134"/>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1、项目施工期流程</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w:t>
      </w:r>
      <w:r>
        <w:rPr>
          <w:rFonts w:ascii="Times New Roman" w:hAnsi="Times New Roman"/>
          <w:color w:val="000000"/>
          <w:sz w:val="24"/>
          <w:szCs w:val="24"/>
        </w:rPr>
        <w:t>现场踏勘，目前项目所在</w:t>
      </w:r>
      <w:r>
        <w:rPr>
          <w:rFonts w:hint="eastAsia" w:ascii="Times New Roman" w:hAnsi="Times New Roman"/>
          <w:color w:val="000000"/>
          <w:sz w:val="24"/>
          <w:szCs w:val="24"/>
        </w:rPr>
        <w:t>场地</w:t>
      </w:r>
      <w:r>
        <w:rPr>
          <w:rFonts w:ascii="Times New Roman" w:hAnsi="Times New Roman"/>
          <w:color w:val="000000"/>
          <w:sz w:val="24"/>
          <w:szCs w:val="24"/>
        </w:rPr>
        <w:t>已经由工业园区进行平整，园区道路及供排水工程已经完成。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w:t>
      </w:r>
      <w:r>
        <w:rPr>
          <w:rFonts w:ascii="Times New Roman" w:hAnsi="Times New Roman"/>
          <w:color w:val="000000"/>
          <w:sz w:val="24"/>
          <w:szCs w:val="24"/>
        </w:rPr>
        <w:t>项目在建设阶段不可避免地将对周围环境产生影响。</w:t>
      </w:r>
      <w:r>
        <w:rPr>
          <w:rFonts w:hint="eastAsia" w:ascii="Times New Roman" w:hAnsi="Times New Roman"/>
          <w:color w:val="000000"/>
          <w:sz w:val="24"/>
          <w:szCs w:val="24"/>
        </w:rPr>
        <w:t>从</w:t>
      </w:r>
      <w:r>
        <w:rPr>
          <w:rFonts w:ascii="Times New Roman" w:hAnsi="Times New Roman"/>
          <w:color w:val="000000"/>
          <w:sz w:val="24"/>
          <w:szCs w:val="24"/>
        </w:rPr>
        <w:t>污染角度分析，建设期主要污染因子有：噪声、施工扬尘、固体废物、施工废水等，项目工程施工期及产污情况见图</w:t>
      </w:r>
      <w:r>
        <w:rPr>
          <w:rFonts w:hint="eastAsia" w:ascii="Times New Roman" w:hAnsi="Times New Roman"/>
          <w:color w:val="000000"/>
          <w:sz w:val="24"/>
          <w:szCs w:val="24"/>
        </w:rPr>
        <w:t>3.2</w:t>
      </w:r>
      <w:r>
        <w:rPr>
          <w:rFonts w:ascii="Times New Roman" w:hAnsi="Times New Roman"/>
          <w:color w:val="000000"/>
          <w:sz w:val="24"/>
          <w:szCs w:val="24"/>
        </w:rPr>
        <w:t>-1</w:t>
      </w:r>
      <w:r>
        <w:rPr>
          <w:rFonts w:hint="eastAsia" w:ascii="Times New Roman" w:hAnsi="Times New Roman"/>
          <w:color w:val="000000"/>
          <w:sz w:val="24"/>
          <w:szCs w:val="24"/>
        </w:rPr>
        <w:t>。</w:t>
      </w:r>
    </w:p>
    <w:p>
      <w:pPr>
        <w:rPr>
          <w:szCs w:val="24"/>
        </w:rPr>
      </w:pPr>
      <w:r>
        <w:drawing>
          <wp:inline distT="0" distB="0" distL="0" distR="0">
            <wp:extent cx="5274310" cy="3646805"/>
            <wp:effectExtent l="0" t="0" r="254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7"/>
                    <a:stretch>
                      <a:fillRect/>
                    </a:stretch>
                  </pic:blipFill>
                  <pic:spPr>
                    <a:xfrm>
                      <a:off x="0" y="0"/>
                      <a:ext cx="5279939" cy="3650859"/>
                    </a:xfrm>
                    <a:prstGeom prst="rect">
                      <a:avLst/>
                    </a:prstGeom>
                  </pic:spPr>
                </pic:pic>
              </a:graphicData>
            </a:graphic>
          </wp:inline>
        </w:drawing>
      </w:r>
    </w:p>
    <w:p>
      <w:pPr>
        <w:ind w:firstLine="482"/>
        <w:jc w:val="center"/>
        <w:rPr>
          <w:rFonts w:ascii="Times New Roman" w:hAnsi="Times New Roman"/>
          <w:b/>
          <w:color w:val="000000"/>
          <w:sz w:val="24"/>
          <w:szCs w:val="24"/>
        </w:rPr>
      </w:pPr>
      <w:r>
        <w:rPr>
          <w:rFonts w:hint="eastAsia" w:ascii="Times New Roman" w:hAnsi="Times New Roman"/>
          <w:b/>
          <w:color w:val="000000"/>
          <w:sz w:val="24"/>
          <w:szCs w:val="24"/>
        </w:rPr>
        <w:t>图3.2-1   施工期工艺流程及产污环节图</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主要</w:t>
      </w:r>
      <w:r>
        <w:rPr>
          <w:rFonts w:ascii="Times New Roman" w:hAnsi="Times New Roman"/>
          <w:b/>
          <w:color w:val="000000"/>
          <w:sz w:val="24"/>
          <w:szCs w:val="24"/>
        </w:rPr>
        <w:t>施工及污染工序：</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工程</w:t>
      </w:r>
      <w:r>
        <w:rPr>
          <w:rFonts w:ascii="Times New Roman" w:hAnsi="Times New Roman"/>
          <w:color w:val="000000"/>
          <w:sz w:val="24"/>
          <w:szCs w:val="24"/>
        </w:rPr>
        <w:t>的施工划分为基础开挖、基础工程、主体工程、配套工程、设备安装、竣工验收、投入使用。</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（1）基础开挖</w:t>
      </w:r>
      <w:r>
        <w:rPr>
          <w:rFonts w:ascii="Times New Roman" w:hAnsi="Times New Roman"/>
          <w:color w:val="000000"/>
          <w:sz w:val="24"/>
          <w:szCs w:val="24"/>
        </w:rPr>
        <w:t>：此过程根据施工设计</w:t>
      </w:r>
      <w:r>
        <w:rPr>
          <w:rFonts w:hint="eastAsia" w:ascii="Times New Roman" w:hAnsi="Times New Roman"/>
          <w:color w:val="000000"/>
          <w:sz w:val="24"/>
          <w:szCs w:val="24"/>
        </w:rPr>
        <w:t>需要</w:t>
      </w:r>
      <w:r>
        <w:rPr>
          <w:rFonts w:ascii="Times New Roman" w:hAnsi="Times New Roman"/>
          <w:color w:val="000000"/>
          <w:sz w:val="24"/>
          <w:szCs w:val="24"/>
        </w:rPr>
        <w:t>对建筑物地基进行开挖并浇筑建筑物基础。</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（2）主体工程</w:t>
      </w:r>
      <w:r>
        <w:rPr>
          <w:rFonts w:ascii="Times New Roman" w:hAnsi="Times New Roman"/>
          <w:color w:val="000000"/>
          <w:sz w:val="24"/>
          <w:szCs w:val="24"/>
        </w:rPr>
        <w:t>：包括基础框架建设；对</w:t>
      </w:r>
      <w:r>
        <w:rPr>
          <w:rFonts w:hint="eastAsia" w:ascii="Times New Roman" w:hAnsi="Times New Roman"/>
          <w:color w:val="000000"/>
          <w:sz w:val="24"/>
          <w:szCs w:val="24"/>
        </w:rPr>
        <w:t>项目</w:t>
      </w:r>
      <w:r>
        <w:rPr>
          <w:rFonts w:ascii="Times New Roman" w:hAnsi="Times New Roman"/>
          <w:color w:val="000000"/>
          <w:sz w:val="24"/>
          <w:szCs w:val="24"/>
        </w:rPr>
        <w:t>各个建筑物框架进行建设；主要建筑物建设；此过程中完成项目主要建筑物建设工作</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（3）配套</w:t>
      </w:r>
      <w:r>
        <w:rPr>
          <w:rFonts w:ascii="Times New Roman" w:hAnsi="Times New Roman"/>
          <w:color w:val="000000"/>
          <w:sz w:val="24"/>
          <w:szCs w:val="24"/>
        </w:rPr>
        <w:t>设施建设：包括道路工程、绿化、供水、排水、电力、通信以及其他相关设施建设</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（4）设备安装</w:t>
      </w:r>
      <w:r>
        <w:rPr>
          <w:rFonts w:ascii="Times New Roman" w:hAnsi="Times New Roman"/>
          <w:color w:val="000000"/>
          <w:sz w:val="24"/>
          <w:szCs w:val="24"/>
        </w:rPr>
        <w:t>：</w:t>
      </w:r>
      <w:r>
        <w:rPr>
          <w:rFonts w:hint="eastAsia" w:ascii="Times New Roman" w:hAnsi="Times New Roman"/>
          <w:color w:val="000000"/>
          <w:sz w:val="24"/>
          <w:szCs w:val="24"/>
        </w:rPr>
        <w:t>进行</w:t>
      </w:r>
      <w:r>
        <w:rPr>
          <w:rFonts w:ascii="Times New Roman" w:hAnsi="Times New Roman"/>
          <w:color w:val="000000"/>
          <w:sz w:val="24"/>
          <w:szCs w:val="24"/>
        </w:rPr>
        <w:t>生产设施安装、各种环保设施安装</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（5）工程</w:t>
      </w:r>
      <w:r>
        <w:rPr>
          <w:rFonts w:ascii="Times New Roman" w:hAnsi="Times New Roman"/>
          <w:color w:val="000000"/>
          <w:sz w:val="24"/>
          <w:szCs w:val="24"/>
        </w:rPr>
        <w:t>结束后，将工程区范围内的临时设施拆除，清理施工迹地，并进行竣工验收。</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（6）验收</w:t>
      </w:r>
      <w:r>
        <w:rPr>
          <w:rFonts w:ascii="Times New Roman" w:hAnsi="Times New Roman"/>
          <w:color w:val="000000"/>
          <w:sz w:val="24"/>
          <w:szCs w:val="24"/>
        </w:rPr>
        <w:t>合格后可投入运营。</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项目施工布置：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（1）施工材料及来源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本项目主要为新建项目，位于工业园区内，项目</w:t>
      </w:r>
      <w:r>
        <w:rPr>
          <w:rFonts w:ascii="Times New Roman" w:hAnsi="Times New Roman"/>
          <w:color w:val="000000"/>
          <w:sz w:val="24"/>
          <w:szCs w:val="24"/>
        </w:rPr>
        <w:t>场地</w:t>
      </w:r>
      <w:r>
        <w:rPr>
          <w:rFonts w:hint="eastAsia" w:ascii="Times New Roman" w:hAnsi="Times New Roman"/>
          <w:color w:val="000000"/>
          <w:sz w:val="24"/>
          <w:szCs w:val="24"/>
        </w:rPr>
        <w:t>平整已完成，消防水池的开挖，不需要进行大规模的土石方开挖；拟建建筑物主要为一层建筑，不需要大规模的基底开挖；建筑内容主要对钢架结构生产车间、生活辅助用房搭建，建筑主要为钢构建筑。项目建设所需的建筑材料根据就近原则全部就近外购，工程建设所需的砂、石料购于当地具有合法开采权的砂、石料场，工程建设不设置砂、石料场，工程建设所需混凝土全部由建设方以商品的形式购入，不设混凝土拌合场。</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（2）施工布置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1）施工营地</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项目位于元谋县工业园区内，项目区域西面设置临时用房供施工人员食宿。</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2）施工场地</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通过现场踏勘和咨询建设单位，项目建设不需要进行大规模的混凝土拌合，工程建设所需混凝土全部由施工方以商品的形式购入。</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3）施工交通</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项目位于元谋县工业园区金雷片区内，项目东面为园区道路小雷宰公路，项目区周边交通辐射能力强，路网连接较好，交通便利。</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（3）施工条件</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1）施工用水</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施工期间的生产用水均由元谋</w:t>
      </w:r>
      <w:r>
        <w:rPr>
          <w:rFonts w:ascii="Times New Roman" w:hAnsi="Times New Roman"/>
          <w:color w:val="000000"/>
          <w:sz w:val="24"/>
          <w:szCs w:val="24"/>
        </w:rPr>
        <w:t>工业园区金雷片区</w:t>
      </w:r>
      <w:r>
        <w:rPr>
          <w:rFonts w:hint="eastAsia" w:ascii="Times New Roman" w:hAnsi="Times New Roman"/>
          <w:color w:val="000000"/>
          <w:sz w:val="24"/>
          <w:szCs w:val="24"/>
        </w:rPr>
        <w:t>供水管网接入提供。</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2）施工期排水</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施工期间设置临时截排水沟，将地表雨水收集</w:t>
      </w:r>
      <w:r>
        <w:rPr>
          <w:rFonts w:ascii="Times New Roman" w:hAnsi="Times New Roman"/>
          <w:color w:val="000000"/>
          <w:sz w:val="24"/>
          <w:szCs w:val="24"/>
        </w:rPr>
        <w:t>后进入临时沉淀池沉淀后</w:t>
      </w:r>
      <w:r>
        <w:rPr>
          <w:rFonts w:hint="eastAsia" w:ascii="Times New Roman" w:hAnsi="Times New Roman"/>
          <w:color w:val="000000"/>
          <w:sz w:val="24"/>
          <w:szCs w:val="24"/>
        </w:rPr>
        <w:t>排入周边园区雨水管网内；施工人员产生的生活废水设置临时沉淀池收集后，回用于区域内洒水降尘，不外排；另外项目区设置1个临时旱厕作为施工人员如厕使用，旱厕定期清掏至表土堆场覆土腐熟、后期作用于绿化施肥，施工结束后进行回填；施工期间的施工废水经临时沉淀池收集后回用于洒水降尘，不外排。</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3）施工通讯</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施工通讯可由当地电信、移动部门提供，满足通讯需求。</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4）“三场”布置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项目施工期砂石料外购，不设置砂、石料场、取弃土场，项目采用商品混凝土，不设混凝土拌合场。本项目建设过程中 土石方可用作回填及后期绿化覆土，项目区南面设置1个占地面积约为150m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的临时表土堆场，用于项目绿化区。临时表土堆场，进行洒水增湿。施工所需砂石料采取即拉即填，如需临时堆存的则考虑采用篷布临时覆盖措施进行防护，待工程结束后用于景观绿化覆土。</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3、施工期污染源分析</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（1）施工期大气污染物分析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项目建设主要包括生产车间、成品仓库、辅助用房、综合楼、锅炉房及其配套设施建筑等，本项目施工期废气主要来源于运输车辆及其它燃油机械施工时产生的尾气，其中的污染物主要有扬尘、NO</w:t>
      </w:r>
      <w:r>
        <w:rPr>
          <w:rFonts w:hint="eastAsia" w:ascii="Times New Roman" w:hAnsi="Times New Roman"/>
          <w:color w:val="000000"/>
          <w:sz w:val="24"/>
          <w:szCs w:val="24"/>
          <w:vertAlign w:val="subscript"/>
        </w:rPr>
        <w:t>X</w:t>
      </w:r>
      <w:r>
        <w:rPr>
          <w:rFonts w:hint="eastAsia" w:ascii="Times New Roman" w:hAnsi="Times New Roman"/>
          <w:color w:val="000000"/>
          <w:sz w:val="24"/>
          <w:szCs w:val="24"/>
        </w:rPr>
        <w:t>、CO及CH等。施工期的废气为无组织间断排放，会对环境空气造成一定影响。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1）扬尘</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拟建工程在建设过程中将进行土方开挖等施工活动，土石方填埋形成裸露土面将会产生部分扬尘，施工作业等也将产生粉尘。另外，施工运输车辆在道路上运送材料也会引起较大的扬尘。</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施工期的扬尘主要为无组织排放，其中大部分扬尘颗粒粒径较大的形成降尘，少部分粒径较小的形成飘尘。施工扬尘排放量较大，对环境的影响除与排放量有关外，还与空气湿度、风速、风向等气象条件有关。</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施工扬尘源排放量可参照《扬尘源颗粒物排放清单编制技术指南》整个工地的扬尘总体估算方法进行计算，施工扬尘源包括土方开挖、地基建设、土方回填、主体建设、装饰装修等过程产生的扬尘。</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施工扬尘源中颗粒物排放量的总体计算公式如下：</w:t>
      </w:r>
    </w:p>
    <w:p>
      <w:pPr>
        <w:ind w:firstLine="600"/>
        <w:jc w:val="center"/>
        <w:rPr>
          <w:rFonts w:ascii="Times New Roman" w:hAnsi="Times New Roman" w:cs="Times New Roman"/>
          <w:sz w:val="30"/>
          <w:szCs w:val="30"/>
        </w:rPr>
      </w:pPr>
      <w:r>
        <w:rPr>
          <w:rFonts w:ascii="Times New Roman" w:hAnsi="Times New Roman" w:cs="Times New Roman"/>
          <w:i/>
          <w:sz w:val="30"/>
          <w:szCs w:val="30"/>
        </w:rPr>
        <w:t>Wci</w:t>
      </w:r>
      <w:r>
        <w:rPr>
          <w:rFonts w:ascii="Times New Roman" w:hAnsi="Times New Roman" w:cs="Times New Roman"/>
          <w:sz w:val="30"/>
          <w:szCs w:val="30"/>
        </w:rPr>
        <w:t>=</w:t>
      </w:r>
      <w:r>
        <w:rPr>
          <w:rFonts w:ascii="Times New Roman" w:hAnsi="Times New Roman" w:cs="Times New Roman"/>
          <w:i/>
          <w:sz w:val="30"/>
          <w:szCs w:val="30"/>
        </w:rPr>
        <w:t>Eci</w:t>
      </w:r>
      <w:r>
        <w:rPr>
          <w:rFonts w:ascii="Times New Roman" w:hAnsi="Times New Roman" w:cs="Times New Roman"/>
          <w:sz w:val="30"/>
          <w:szCs w:val="30"/>
        </w:rPr>
        <w:t>×</w:t>
      </w:r>
      <w:r>
        <w:rPr>
          <w:rFonts w:ascii="Times New Roman" w:hAnsi="Times New Roman" w:cs="Times New Roman"/>
          <w:i/>
          <w:sz w:val="30"/>
          <w:szCs w:val="30"/>
        </w:rPr>
        <w:t>Ac</w:t>
      </w:r>
      <w:r>
        <w:rPr>
          <w:rFonts w:ascii="Times New Roman" w:hAnsi="Times New Roman" w:cs="Times New Roman"/>
          <w:sz w:val="30"/>
          <w:szCs w:val="30"/>
        </w:rPr>
        <w:t>×</w:t>
      </w:r>
      <w:r>
        <w:rPr>
          <w:rFonts w:ascii="Times New Roman" w:hAnsi="Times New Roman" w:cs="Times New Roman"/>
          <w:i/>
          <w:sz w:val="30"/>
          <w:szCs w:val="30"/>
        </w:rPr>
        <w:t>T</w:t>
      </w:r>
    </w:p>
    <w:p>
      <w:pPr>
        <w:ind w:firstLine="600"/>
        <w:jc w:val="center"/>
        <w:rPr>
          <w:rFonts w:ascii="Times New Roman" w:hAnsi="Times New Roman" w:cs="Times New Roman"/>
          <w:sz w:val="30"/>
          <w:szCs w:val="30"/>
        </w:rPr>
      </w:pPr>
      <w:r>
        <w:rPr>
          <w:rFonts w:ascii="Times New Roman" w:hAnsi="Times New Roman" w:cs="Times New Roman"/>
          <w:i/>
          <w:sz w:val="30"/>
          <w:szCs w:val="30"/>
        </w:rPr>
        <w:t>Eci</w:t>
      </w:r>
      <w:r>
        <w:rPr>
          <w:rFonts w:ascii="Times New Roman" w:hAnsi="Times New Roman" w:cs="Times New Roman"/>
          <w:sz w:val="30"/>
          <w:szCs w:val="30"/>
        </w:rPr>
        <w:t>=2.69×10</w:t>
      </w:r>
      <w:r>
        <w:rPr>
          <w:rFonts w:ascii="Times New Roman" w:hAnsi="Times New Roman" w:cs="Times New Roman"/>
          <w:sz w:val="30"/>
          <w:szCs w:val="30"/>
          <w:vertAlign w:val="superscript"/>
        </w:rPr>
        <w:t>-4</w:t>
      </w:r>
      <w:r>
        <w:rPr>
          <w:rFonts w:ascii="Times New Roman" w:hAnsi="Times New Roman" w:cs="Times New Roman"/>
          <w:sz w:val="30"/>
          <w:szCs w:val="30"/>
        </w:rPr>
        <w:t>×（1-</w:t>
      </w:r>
      <w:r>
        <w:rPr>
          <w:rFonts w:ascii="Times New Roman" w:hAnsi="Times New Roman" w:cs="Times New Roman"/>
          <w:i/>
          <w:sz w:val="30"/>
          <w:szCs w:val="30"/>
        </w:rPr>
        <w:t>η</w:t>
      </w:r>
      <w:r>
        <w:rPr>
          <w:rFonts w:ascii="Times New Roman" w:hAnsi="Times New Roman" w:cs="Times New Roman"/>
          <w:sz w:val="30"/>
          <w:szCs w:val="30"/>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该公式适用于总体估算整个建筑施工区域的排放量，颗粒物、PM</w:t>
      </w:r>
      <w:r>
        <w:rPr>
          <w:rFonts w:hint="eastAsia" w:ascii="Times New Roman" w:hAnsi="Times New Roman"/>
          <w:color w:val="000000"/>
          <w:sz w:val="24"/>
          <w:szCs w:val="24"/>
          <w:vertAlign w:val="subscript"/>
        </w:rPr>
        <w:t>10</w:t>
      </w:r>
      <w:r>
        <w:rPr>
          <w:rFonts w:hint="eastAsia" w:ascii="Times New Roman" w:hAnsi="Times New Roman"/>
          <w:color w:val="000000"/>
          <w:sz w:val="24"/>
          <w:szCs w:val="24"/>
        </w:rPr>
        <w:t>和PM</w:t>
      </w:r>
      <w:r>
        <w:rPr>
          <w:rFonts w:hint="eastAsia" w:ascii="Times New Roman" w:hAnsi="Times New Roman"/>
          <w:color w:val="000000"/>
          <w:sz w:val="24"/>
          <w:szCs w:val="24"/>
          <w:vertAlign w:val="subscript"/>
        </w:rPr>
        <w:t>2.5</w:t>
      </w:r>
      <w:r>
        <w:rPr>
          <w:rFonts w:hint="eastAsia" w:ascii="Times New Roman" w:hAnsi="Times New Roman"/>
          <w:color w:val="000000"/>
          <w:sz w:val="24"/>
          <w:szCs w:val="24"/>
        </w:rPr>
        <w:t>排放量根据施工积尘的粒径分布情况估算获得。</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式中：</w:t>
      </w:r>
    </w:p>
    <w:p>
      <w:pPr>
        <w:spacing w:line="360" w:lineRule="auto"/>
        <w:ind w:firstLine="480" w:firstLineChars="200"/>
        <w:rPr>
          <w:rFonts w:ascii="Times New Roman" w:hAnsi="Times New Roman"/>
          <w:color w:val="000000"/>
          <w:sz w:val="24"/>
          <w:szCs w:val="24"/>
        </w:rPr>
      </w:pPr>
      <w:r>
        <w:rPr>
          <w:rFonts w:hint="eastAsia" w:ascii="Times New Roman" w:hAnsi="Times New Roman"/>
          <w:i/>
          <w:color w:val="000000"/>
          <w:sz w:val="24"/>
          <w:szCs w:val="24"/>
        </w:rPr>
        <w:t>Wci</w:t>
      </w:r>
      <w:r>
        <w:rPr>
          <w:rFonts w:hint="eastAsia" w:ascii="Times New Roman" w:hAnsi="Times New Roman"/>
          <w:color w:val="000000"/>
          <w:sz w:val="24"/>
          <w:szCs w:val="24"/>
        </w:rPr>
        <w:t>为施工扬尘源中PMi总排放量，t/a</w:t>
      </w:r>
    </w:p>
    <w:p>
      <w:pPr>
        <w:spacing w:line="360" w:lineRule="auto"/>
        <w:ind w:firstLine="480" w:firstLineChars="200"/>
        <w:rPr>
          <w:rFonts w:ascii="Times New Roman" w:hAnsi="Times New Roman"/>
          <w:color w:val="000000"/>
          <w:sz w:val="24"/>
          <w:szCs w:val="24"/>
        </w:rPr>
      </w:pPr>
      <w:r>
        <w:rPr>
          <w:rFonts w:hint="eastAsia" w:ascii="Times New Roman" w:hAnsi="Times New Roman"/>
          <w:i/>
          <w:color w:val="000000"/>
          <w:sz w:val="24"/>
          <w:szCs w:val="24"/>
        </w:rPr>
        <w:t>Eci</w:t>
      </w:r>
      <w:r>
        <w:rPr>
          <w:rFonts w:hint="eastAsia" w:ascii="Times New Roman" w:hAnsi="Times New Roman"/>
          <w:color w:val="000000"/>
          <w:sz w:val="24"/>
          <w:szCs w:val="24"/>
        </w:rPr>
        <w:t>为整个施工工地PMi的评价排放系数，t/（m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·月）</w:t>
      </w:r>
    </w:p>
    <w:p>
      <w:pPr>
        <w:spacing w:line="360" w:lineRule="auto"/>
        <w:ind w:firstLine="480" w:firstLineChars="200"/>
        <w:rPr>
          <w:rFonts w:ascii="Times New Roman" w:hAnsi="Times New Roman"/>
          <w:color w:val="000000"/>
          <w:sz w:val="24"/>
          <w:szCs w:val="24"/>
        </w:rPr>
      </w:pPr>
      <w:r>
        <w:rPr>
          <w:rFonts w:hint="eastAsia" w:ascii="Times New Roman" w:hAnsi="Times New Roman"/>
          <w:i/>
          <w:color w:val="000000"/>
          <w:sz w:val="24"/>
          <w:szCs w:val="24"/>
        </w:rPr>
        <w:t>Ac</w:t>
      </w:r>
      <w:r>
        <w:rPr>
          <w:rFonts w:hint="eastAsia" w:ascii="Times New Roman" w:hAnsi="Times New Roman"/>
          <w:color w:val="000000"/>
          <w:sz w:val="24"/>
          <w:szCs w:val="24"/>
        </w:rPr>
        <w:t>为施工区域面积，m2。（23333.45m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i/>
          <w:color w:val="000000"/>
          <w:sz w:val="24"/>
          <w:szCs w:val="24"/>
        </w:rPr>
        <w:t>T</w:t>
      </w:r>
      <w:r>
        <w:rPr>
          <w:rFonts w:hint="eastAsia" w:ascii="Times New Roman" w:hAnsi="Times New Roman"/>
          <w:color w:val="000000"/>
          <w:sz w:val="24"/>
          <w:szCs w:val="24"/>
        </w:rPr>
        <w:t>为工地的施工月份数，一般按施工天数/30计算。（6个月）</w:t>
      </w:r>
    </w:p>
    <w:p>
      <w:pPr>
        <w:spacing w:line="360" w:lineRule="auto"/>
        <w:ind w:firstLine="480" w:firstLineChars="200"/>
        <w:rPr>
          <w:rFonts w:ascii="Times New Roman" w:hAnsi="Times New Roman"/>
          <w:color w:val="000000"/>
          <w:sz w:val="24"/>
          <w:szCs w:val="24"/>
        </w:rPr>
      </w:pPr>
      <w:r>
        <w:rPr>
          <w:rFonts w:ascii="Times New Roman" w:hAnsi="Times New Roman"/>
          <w:i/>
          <w:color w:val="000000"/>
          <w:sz w:val="24"/>
          <w:szCs w:val="24"/>
        </w:rPr>
        <w:t>η</w:t>
      </w:r>
      <w:r>
        <w:rPr>
          <w:rFonts w:hint="eastAsia" w:ascii="Times New Roman" w:hAnsi="Times New Roman"/>
          <w:color w:val="000000"/>
          <w:sz w:val="24"/>
          <w:szCs w:val="24"/>
        </w:rPr>
        <w:t>为污染控制技术对扬尘的去除效率，%（根据各类控制措施的控制效率颗粒物取96%、PM</w:t>
      </w:r>
      <w:r>
        <w:rPr>
          <w:rFonts w:hint="eastAsia" w:ascii="Times New Roman" w:hAnsi="Times New Roman"/>
          <w:color w:val="000000"/>
          <w:sz w:val="24"/>
          <w:szCs w:val="24"/>
          <w:vertAlign w:val="subscript"/>
        </w:rPr>
        <w:t>10</w:t>
      </w:r>
      <w:r>
        <w:rPr>
          <w:rFonts w:hint="eastAsia" w:ascii="Times New Roman" w:hAnsi="Times New Roman"/>
          <w:color w:val="000000"/>
          <w:sz w:val="24"/>
          <w:szCs w:val="24"/>
        </w:rPr>
        <w:t>取80%、PM</w:t>
      </w:r>
      <w:r>
        <w:rPr>
          <w:rFonts w:hint="eastAsia" w:ascii="Times New Roman" w:hAnsi="Times New Roman"/>
          <w:color w:val="000000"/>
          <w:sz w:val="24"/>
          <w:szCs w:val="24"/>
          <w:vertAlign w:val="subscript"/>
        </w:rPr>
        <w:t>2.5</w:t>
      </w:r>
      <w:r>
        <w:rPr>
          <w:rFonts w:hint="eastAsia" w:ascii="Times New Roman" w:hAnsi="Times New Roman"/>
          <w:color w:val="000000"/>
          <w:sz w:val="24"/>
          <w:szCs w:val="24"/>
        </w:rPr>
        <w:t>取70%）。</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根据上述公式可计算项目整个施工场地厂界扬尘产生量，项目施工时间为6个月，占地面积为23333.45m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，项目位于元谋县，根据基础资料，常年风速为2.5m/s，计算得出项目区施工扬尘总产生量为20.33t/a，在距施工现场边界1m处，扬尘浓度最大达到0.005mg/m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w:t>
      </w:r>
    </w:p>
    <w:p>
      <w:pPr>
        <w:spacing w:line="360" w:lineRule="auto"/>
        <w:ind w:firstLine="482" w:firstLineChars="200"/>
        <w:rPr>
          <w:rFonts w:ascii="Times New Roman" w:hAnsi="Times New Roman"/>
          <w:b/>
          <w:color w:val="000000"/>
          <w:sz w:val="24"/>
          <w:szCs w:val="24"/>
        </w:rPr>
      </w:pPr>
      <w:bookmarkStart w:id="135" w:name="_Toc26363"/>
      <w:r>
        <w:rPr>
          <w:rFonts w:hint="eastAsia" w:ascii="Times New Roman" w:hAnsi="Times New Roman"/>
          <w:b/>
          <w:color w:val="000000"/>
          <w:sz w:val="24"/>
          <w:szCs w:val="24"/>
        </w:rPr>
        <w:t>（2）施工期水污染物分析</w:t>
      </w:r>
      <w:bookmarkEnd w:id="135"/>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项目施工期废水主要为施工废水、施工人员生活污水及雨季形成的地表径流。</w:t>
      </w:r>
    </w:p>
    <w:p>
      <w:pPr>
        <w:spacing w:line="360" w:lineRule="auto"/>
        <w:ind w:firstLine="480" w:firstLineChars="200"/>
        <w:rPr>
          <w:rFonts w:ascii="Times New Roman" w:hAnsi="Times New Roman"/>
          <w:color w:val="000000"/>
          <w:sz w:val="24"/>
          <w:szCs w:val="24"/>
        </w:rPr>
      </w:pPr>
      <w:bookmarkStart w:id="136" w:name="_Toc1255"/>
      <w:r>
        <w:rPr>
          <w:rFonts w:hint="eastAsia" w:ascii="Times New Roman" w:hAnsi="Times New Roman"/>
          <w:color w:val="000000"/>
          <w:sz w:val="24"/>
          <w:szCs w:val="24"/>
        </w:rPr>
        <w:t>1）施工废水</w:t>
      </w:r>
      <w:bookmarkEnd w:id="136"/>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根据《云南省地方标准用水定额》（DB53/T168-2019）建筑业用水定额，本项目建筑结构为框架与砖混结构，主要使用商品砼，用水定额为0.8m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，本项目总建筑面积为</w:t>
      </w:r>
      <w:r>
        <w:rPr>
          <w:rFonts w:ascii="Times New Roman" w:hAnsi="Times New Roman"/>
          <w:color w:val="000000"/>
          <w:sz w:val="24"/>
          <w:szCs w:val="24"/>
        </w:rPr>
        <w:t>8065.66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，施工用水量为</w:t>
      </w:r>
      <w:r>
        <w:rPr>
          <w:rFonts w:ascii="Times New Roman" w:hAnsi="Times New Roman"/>
          <w:color w:val="000000"/>
          <w:sz w:val="24"/>
          <w:szCs w:val="24"/>
        </w:rPr>
        <w:t>6452.528</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。根据经验类比，施工废水产生量约为用水量的5%，则施工废水量约为</w:t>
      </w:r>
      <w:r>
        <w:rPr>
          <w:rFonts w:ascii="Times New Roman" w:hAnsi="Times New Roman"/>
          <w:color w:val="000000"/>
          <w:sz w:val="24"/>
          <w:szCs w:val="24"/>
        </w:rPr>
        <w:t>322.63</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。项目建设周期约为6个月，每天的施工废水量约1.</w:t>
      </w:r>
      <w:r>
        <w:rPr>
          <w:rFonts w:ascii="Times New Roman" w:hAnsi="Times New Roman"/>
          <w:color w:val="000000"/>
          <w:sz w:val="24"/>
          <w:szCs w:val="24"/>
        </w:rPr>
        <w:t>80</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/d。这部分污水主要污染物为泥沙，废水悬浮物浓度较大，主要污染物为SS，SS约3000mg/L，通过设置临时沉淀池处理后回用于项目区洒水降尘，不外排。</w:t>
      </w:r>
    </w:p>
    <w:p>
      <w:pPr>
        <w:spacing w:line="360" w:lineRule="auto"/>
        <w:ind w:firstLine="480" w:firstLineChars="200"/>
        <w:rPr>
          <w:rFonts w:ascii="Times New Roman" w:hAnsi="Times New Roman"/>
          <w:color w:val="000000"/>
          <w:sz w:val="24"/>
          <w:szCs w:val="24"/>
        </w:rPr>
      </w:pPr>
      <w:bookmarkStart w:id="137" w:name="_Toc8314"/>
      <w:r>
        <w:rPr>
          <w:rFonts w:hint="eastAsia" w:ascii="Times New Roman" w:hAnsi="Times New Roman"/>
          <w:color w:val="000000"/>
          <w:sz w:val="24"/>
          <w:szCs w:val="24"/>
        </w:rPr>
        <w:t>2）施工人员生活污水</w:t>
      </w:r>
      <w:bookmarkEnd w:id="137"/>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项目位于元谋县工业园区金雷片区内，根据项目情况，在项目施工过程中，施工人员高峰期约</w:t>
      </w:r>
      <w:r>
        <w:rPr>
          <w:rFonts w:ascii="Times New Roman" w:hAnsi="Times New Roman"/>
          <w:color w:val="000000"/>
          <w:sz w:val="24"/>
          <w:szCs w:val="24"/>
        </w:rPr>
        <w:t>30</w:t>
      </w:r>
      <w:r>
        <w:rPr>
          <w:rFonts w:hint="eastAsia" w:ascii="Times New Roman" w:hAnsi="Times New Roman"/>
          <w:color w:val="000000"/>
          <w:sz w:val="24"/>
          <w:szCs w:val="24"/>
        </w:rPr>
        <w:t>人/d，项目内设置施工营地，施工人员均在场内食宿。根据《云南省地方标准用水定额》（DB53/T168-2019），生活用水以80L/（人·d）计算，项目生活用水量为</w:t>
      </w:r>
      <w:r>
        <w:rPr>
          <w:rFonts w:ascii="Times New Roman" w:hAnsi="Times New Roman"/>
          <w:color w:val="000000"/>
          <w:sz w:val="24"/>
          <w:szCs w:val="24"/>
        </w:rPr>
        <w:t>2.4</w:t>
      </w:r>
      <w:r>
        <w:rPr>
          <w:rFonts w:hint="eastAsia" w:ascii="Times New Roman" w:hAnsi="Times New Roman"/>
          <w:color w:val="000000"/>
          <w:sz w:val="24"/>
          <w:szCs w:val="24"/>
        </w:rPr>
        <w:t>m3/d，生活污水产生量按用水量80%计，则生活污水产生量为</w:t>
      </w:r>
      <w:r>
        <w:rPr>
          <w:rFonts w:ascii="Times New Roman" w:hAnsi="Times New Roman"/>
          <w:color w:val="000000"/>
          <w:sz w:val="24"/>
          <w:szCs w:val="24"/>
        </w:rPr>
        <w:t>1.92</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/d，项目内员工产生的生活废水包含了厨房废水，项目厨房废水约占生活废水的30%，则厨房废水产生量为</w:t>
      </w:r>
      <w:r>
        <w:rPr>
          <w:rFonts w:ascii="Times New Roman" w:hAnsi="Times New Roman"/>
          <w:color w:val="000000"/>
          <w:sz w:val="24"/>
          <w:szCs w:val="24"/>
        </w:rPr>
        <w:t>0.576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/d，厨房废水经泔水收集桶收集</w:t>
      </w:r>
      <w:r>
        <w:rPr>
          <w:rFonts w:ascii="Times New Roman" w:hAnsi="Times New Roman"/>
          <w:color w:val="000000"/>
          <w:sz w:val="24"/>
          <w:szCs w:val="24"/>
        </w:rPr>
        <w:t>后委托有资质单位进行清运处置</w:t>
      </w:r>
      <w:r>
        <w:rPr>
          <w:rFonts w:hint="eastAsia" w:ascii="Times New Roman" w:hAnsi="Times New Roman"/>
          <w:color w:val="000000"/>
          <w:sz w:val="24"/>
          <w:szCs w:val="24"/>
        </w:rPr>
        <w:t>。其他生活污水经临时沉淀池收集沉淀，用于项目区洒水降尘。</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类比同类工程，施工期生活污水水质及主要污染物产生量见表3.2-1。</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表3.2-1   施工期生活污水污染物排放参数</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42"/>
        <w:gridCol w:w="993"/>
        <w:gridCol w:w="1134"/>
        <w:gridCol w:w="1134"/>
        <w:gridCol w:w="1134"/>
        <w:gridCol w:w="1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废水量</w:t>
            </w:r>
          </w:p>
        </w:tc>
        <w:tc>
          <w:tcPr>
            <w:tcW w:w="184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污染物</w:t>
            </w:r>
          </w:p>
        </w:tc>
        <w:tc>
          <w:tcPr>
            <w:tcW w:w="9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COD</w:t>
            </w:r>
          </w:p>
        </w:tc>
        <w:tc>
          <w:tcPr>
            <w:tcW w:w="113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BOD</w:t>
            </w:r>
            <w:r>
              <w:rPr>
                <w:rFonts w:hint="eastAsia" w:ascii="Times New Roman" w:hAnsi="Times New Roman" w:eastAsia="宋体" w:cs="Times New Roman"/>
                <w:kern w:val="0"/>
                <w:szCs w:val="24"/>
                <w:vertAlign w:val="subscript"/>
              </w:rPr>
              <w:t>5</w:t>
            </w:r>
          </w:p>
        </w:tc>
        <w:tc>
          <w:tcPr>
            <w:tcW w:w="113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SS</w:t>
            </w:r>
          </w:p>
        </w:tc>
        <w:tc>
          <w:tcPr>
            <w:tcW w:w="113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氨氮</w:t>
            </w:r>
          </w:p>
        </w:tc>
        <w:tc>
          <w:tcPr>
            <w:tcW w:w="118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磷酸盐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spacing w:line="240" w:lineRule="atLeast"/>
              <w:jc w:val="center"/>
              <w:rPr>
                <w:rFonts w:ascii="Times New Roman" w:hAnsi="Times New Roman" w:eastAsia="宋体" w:cs="Times New Roman"/>
                <w:kern w:val="0"/>
                <w:szCs w:val="24"/>
              </w:rPr>
            </w:pPr>
            <w:r>
              <w:rPr>
                <w:rFonts w:ascii="Times New Roman" w:hAnsi="Times New Roman" w:eastAsia="宋体" w:cs="Times New Roman"/>
                <w:kern w:val="0"/>
                <w:szCs w:val="24"/>
              </w:rPr>
              <w:t>1.8</w:t>
            </w:r>
            <w:r>
              <w:rPr>
                <w:rFonts w:hint="eastAsia" w:ascii="Times New Roman" w:hAnsi="Times New Roman" w:eastAsia="宋体" w:cs="Times New Roman"/>
                <w:kern w:val="0"/>
                <w:szCs w:val="24"/>
              </w:rPr>
              <w:t>m</w:t>
            </w:r>
            <w:r>
              <w:rPr>
                <w:rFonts w:hint="eastAsia" w:ascii="Times New Roman" w:hAnsi="Times New Roman" w:eastAsia="宋体" w:cs="Times New Roman"/>
                <w:kern w:val="0"/>
                <w:szCs w:val="24"/>
                <w:vertAlign w:val="superscript"/>
              </w:rPr>
              <w:t>3</w:t>
            </w:r>
            <w:r>
              <w:rPr>
                <w:rFonts w:hint="eastAsia" w:ascii="Times New Roman" w:hAnsi="Times New Roman" w:eastAsia="宋体" w:cs="Times New Roman"/>
                <w:kern w:val="0"/>
                <w:szCs w:val="24"/>
              </w:rPr>
              <w:t>/d</w:t>
            </w:r>
          </w:p>
        </w:tc>
        <w:tc>
          <w:tcPr>
            <w:tcW w:w="184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浓度（mg/L）</w:t>
            </w:r>
          </w:p>
        </w:tc>
        <w:tc>
          <w:tcPr>
            <w:tcW w:w="9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300</w:t>
            </w:r>
          </w:p>
        </w:tc>
        <w:tc>
          <w:tcPr>
            <w:tcW w:w="113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100</w:t>
            </w:r>
          </w:p>
        </w:tc>
        <w:tc>
          <w:tcPr>
            <w:tcW w:w="113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400</w:t>
            </w:r>
          </w:p>
        </w:tc>
        <w:tc>
          <w:tcPr>
            <w:tcW w:w="113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15</w:t>
            </w:r>
          </w:p>
        </w:tc>
        <w:tc>
          <w:tcPr>
            <w:tcW w:w="118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spacing w:line="240" w:lineRule="atLeast"/>
              <w:jc w:val="center"/>
              <w:rPr>
                <w:rFonts w:ascii="Times New Roman" w:hAnsi="Times New Roman" w:eastAsia="宋体" w:cs="Times New Roman"/>
                <w:kern w:val="0"/>
                <w:szCs w:val="24"/>
              </w:rPr>
            </w:pPr>
          </w:p>
        </w:tc>
        <w:tc>
          <w:tcPr>
            <w:tcW w:w="184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产生量（kg/d）</w:t>
            </w:r>
          </w:p>
        </w:tc>
        <w:tc>
          <w:tcPr>
            <w:tcW w:w="9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0.00</w:t>
            </w:r>
            <w:r>
              <w:rPr>
                <w:rFonts w:ascii="Times New Roman" w:hAnsi="Times New Roman" w:eastAsia="宋体" w:cs="Times New Roman"/>
                <w:kern w:val="0"/>
                <w:szCs w:val="24"/>
              </w:rPr>
              <w:t>054</w:t>
            </w:r>
          </w:p>
        </w:tc>
        <w:tc>
          <w:tcPr>
            <w:tcW w:w="113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0.000</w:t>
            </w:r>
            <w:r>
              <w:rPr>
                <w:rFonts w:ascii="Times New Roman" w:hAnsi="Times New Roman" w:eastAsia="宋体" w:cs="Times New Roman"/>
                <w:kern w:val="0"/>
                <w:szCs w:val="24"/>
              </w:rPr>
              <w:t>18</w:t>
            </w:r>
          </w:p>
        </w:tc>
        <w:tc>
          <w:tcPr>
            <w:tcW w:w="113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0.00</w:t>
            </w:r>
            <w:r>
              <w:rPr>
                <w:rFonts w:ascii="Times New Roman" w:hAnsi="Times New Roman" w:eastAsia="宋体" w:cs="Times New Roman"/>
                <w:kern w:val="0"/>
                <w:szCs w:val="24"/>
              </w:rPr>
              <w:t>072</w:t>
            </w:r>
          </w:p>
        </w:tc>
        <w:tc>
          <w:tcPr>
            <w:tcW w:w="113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0.0000</w:t>
            </w:r>
            <w:r>
              <w:rPr>
                <w:rFonts w:ascii="Times New Roman" w:hAnsi="Times New Roman" w:eastAsia="宋体" w:cs="Times New Roman"/>
                <w:kern w:val="0"/>
                <w:szCs w:val="24"/>
              </w:rPr>
              <w:t>27</w:t>
            </w:r>
          </w:p>
        </w:tc>
        <w:tc>
          <w:tcPr>
            <w:tcW w:w="1184"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0.00000</w:t>
            </w:r>
            <w:r>
              <w:rPr>
                <w:rFonts w:ascii="Times New Roman" w:hAnsi="Times New Roman" w:eastAsia="宋体" w:cs="Times New Roman"/>
                <w:kern w:val="0"/>
                <w:szCs w:val="24"/>
              </w:rPr>
              <w:t>36</w:t>
            </w:r>
          </w:p>
        </w:tc>
      </w:tr>
    </w:tbl>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根据以上分析，施工期间生活污水产生量为</w:t>
      </w:r>
      <w:r>
        <w:rPr>
          <w:rFonts w:ascii="Times New Roman" w:hAnsi="Times New Roman"/>
          <w:color w:val="000000"/>
          <w:sz w:val="24"/>
          <w:szCs w:val="24"/>
        </w:rPr>
        <w:t>1.92</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/d，施工时长6个月，生活污水产生总量为</w:t>
      </w:r>
      <w:r>
        <w:rPr>
          <w:rFonts w:ascii="Times New Roman" w:hAnsi="Times New Roman"/>
          <w:color w:val="000000"/>
          <w:sz w:val="24"/>
          <w:szCs w:val="24"/>
        </w:rPr>
        <w:t>345.6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。食堂废水经泔水桶收集后委托有</w:t>
      </w:r>
      <w:r>
        <w:rPr>
          <w:rFonts w:ascii="Times New Roman" w:hAnsi="Times New Roman"/>
          <w:color w:val="000000"/>
          <w:sz w:val="24"/>
          <w:szCs w:val="24"/>
        </w:rPr>
        <w:t>资质单位</w:t>
      </w:r>
      <w:r>
        <w:rPr>
          <w:rFonts w:hint="eastAsia" w:ascii="Times New Roman" w:hAnsi="Times New Roman"/>
          <w:color w:val="000000"/>
          <w:sz w:val="24"/>
          <w:szCs w:val="24"/>
        </w:rPr>
        <w:t>进行</w:t>
      </w:r>
      <w:r>
        <w:rPr>
          <w:rFonts w:ascii="Times New Roman" w:hAnsi="Times New Roman"/>
          <w:color w:val="000000"/>
          <w:sz w:val="24"/>
          <w:szCs w:val="24"/>
        </w:rPr>
        <w:t>清运处置</w:t>
      </w:r>
      <w:r>
        <w:rPr>
          <w:rFonts w:hint="eastAsia" w:ascii="Times New Roman" w:hAnsi="Times New Roman"/>
          <w:color w:val="000000"/>
          <w:sz w:val="24"/>
          <w:szCs w:val="24"/>
        </w:rPr>
        <w:t>，生活污水排入项目区设置的临时沉淀池中，回用于洒水降尘。此外施工单位设置临时旱厕1个，用于施工人员如厕需要，旱厕定期清掏至表土堆场覆土腐熟、后期用作绿化施肥，施工结束后回填。</w:t>
      </w:r>
    </w:p>
    <w:p>
      <w:pPr>
        <w:spacing w:line="360" w:lineRule="auto"/>
        <w:ind w:firstLine="480" w:firstLineChars="200"/>
        <w:rPr>
          <w:rFonts w:ascii="Times New Roman" w:hAnsi="Times New Roman"/>
          <w:color w:val="000000"/>
          <w:sz w:val="24"/>
          <w:szCs w:val="24"/>
        </w:rPr>
      </w:pPr>
      <w:bookmarkStart w:id="138" w:name="_Toc8495"/>
      <w:r>
        <w:rPr>
          <w:rFonts w:hint="eastAsia" w:ascii="Times New Roman" w:hAnsi="Times New Roman"/>
          <w:color w:val="000000"/>
          <w:sz w:val="24"/>
          <w:szCs w:val="24"/>
        </w:rPr>
        <w:t>3）暴雨地表径流</w:t>
      </w:r>
      <w:bookmarkEnd w:id="138"/>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暴雨地表径流主要指冲刷浮土、建筑砂石、垃圾等高浊度废水，不但会夹杂大量泥沙，而且会携带泥沙等各种污染物。</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项目地为荒山林地，土壤径流系数取0.8，项目集水区面积约为23333.45m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，元谋县多年平均降雨量为613.8mm，采用以下公式进行核算：</w:t>
      </w:r>
    </w:p>
    <w:p>
      <w:pPr>
        <w:ind w:firstLine="480"/>
        <w:jc w:val="center"/>
        <w:rPr>
          <w:rFonts w:ascii="Times New Roman" w:hAnsi="Times New Roman" w:cs="Times New Roman"/>
          <w:i/>
          <w:sz w:val="28"/>
          <w:szCs w:val="28"/>
          <w:vertAlign w:val="superscript"/>
        </w:rPr>
      </w:pPr>
      <w:r>
        <w:rPr>
          <w:rFonts w:ascii="Times New Roman" w:hAnsi="Times New Roman" w:cs="Times New Roman"/>
          <w:i/>
          <w:sz w:val="28"/>
          <w:szCs w:val="28"/>
        </w:rPr>
        <w:t>Q</w:t>
      </w:r>
      <w:r>
        <w:rPr>
          <w:rFonts w:ascii="Times New Roman" w:hAnsi="Times New Roman" w:cs="Times New Roman"/>
          <w:i/>
          <w:sz w:val="28"/>
          <w:szCs w:val="28"/>
          <w:vertAlign w:val="subscript"/>
        </w:rPr>
        <w:t>m</w:t>
      </w:r>
      <w:r>
        <w:rPr>
          <w:rFonts w:ascii="Times New Roman" w:hAnsi="Times New Roman" w:cs="Times New Roman"/>
          <w:i/>
          <w:sz w:val="28"/>
          <w:szCs w:val="28"/>
        </w:rPr>
        <w:t>=C×Q×A×10</w:t>
      </w:r>
      <w:r>
        <w:rPr>
          <w:rFonts w:ascii="Times New Roman" w:hAnsi="Times New Roman" w:cs="Times New Roman"/>
          <w:i/>
          <w:sz w:val="28"/>
          <w:szCs w:val="28"/>
          <w:vertAlign w:val="superscript"/>
        </w:rPr>
        <w:t>-3</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式中：</w:t>
      </w:r>
    </w:p>
    <w:p>
      <w:pPr>
        <w:spacing w:line="360" w:lineRule="auto"/>
        <w:ind w:firstLine="480" w:firstLineChars="200"/>
        <w:rPr>
          <w:rFonts w:ascii="Times New Roman" w:hAnsi="Times New Roman"/>
          <w:color w:val="000000"/>
          <w:sz w:val="24"/>
          <w:szCs w:val="24"/>
        </w:rPr>
      </w:pPr>
      <w:r>
        <w:rPr>
          <w:rFonts w:hint="eastAsia" w:ascii="Times New Roman" w:hAnsi="Times New Roman"/>
          <w:i/>
          <w:color w:val="000000"/>
          <w:sz w:val="24"/>
          <w:szCs w:val="24"/>
        </w:rPr>
        <w:t>Qm</w:t>
      </w:r>
      <w:r>
        <w:rPr>
          <w:rFonts w:ascii="Times New Roman" w:hAnsi="Times New Roman"/>
          <w:color w:val="000000"/>
          <w:sz w:val="24"/>
          <w:szCs w:val="24"/>
        </w:rPr>
        <w:t>——</w:t>
      </w:r>
      <w:r>
        <w:rPr>
          <w:rFonts w:hint="eastAsia" w:ascii="Times New Roman" w:hAnsi="Times New Roman"/>
          <w:color w:val="000000"/>
          <w:sz w:val="24"/>
          <w:szCs w:val="24"/>
        </w:rPr>
        <w:t>降雨产生的路面水量，m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/a；</w:t>
      </w:r>
    </w:p>
    <w:p>
      <w:pPr>
        <w:spacing w:line="360" w:lineRule="auto"/>
        <w:ind w:firstLine="480" w:firstLineChars="200"/>
        <w:rPr>
          <w:rFonts w:ascii="Times New Roman" w:hAnsi="Times New Roman"/>
          <w:color w:val="000000"/>
          <w:sz w:val="24"/>
          <w:szCs w:val="24"/>
        </w:rPr>
      </w:pPr>
      <w:r>
        <w:rPr>
          <w:rFonts w:hint="eastAsia" w:ascii="Times New Roman" w:hAnsi="Times New Roman"/>
          <w:i/>
          <w:color w:val="000000"/>
          <w:sz w:val="24"/>
          <w:szCs w:val="24"/>
        </w:rPr>
        <w:t>C</w:t>
      </w:r>
      <w:r>
        <w:rPr>
          <w:rFonts w:ascii="Times New Roman" w:hAnsi="Times New Roman"/>
          <w:color w:val="000000"/>
          <w:sz w:val="24"/>
          <w:szCs w:val="24"/>
        </w:rPr>
        <w:t>——</w:t>
      </w:r>
      <w:r>
        <w:rPr>
          <w:rFonts w:hint="eastAsia" w:ascii="Times New Roman" w:hAnsi="Times New Roman"/>
          <w:color w:val="000000"/>
          <w:sz w:val="24"/>
          <w:szCs w:val="24"/>
        </w:rPr>
        <w:t>集水区径流系数；</w:t>
      </w:r>
    </w:p>
    <w:p>
      <w:pPr>
        <w:spacing w:line="360" w:lineRule="auto"/>
        <w:ind w:firstLine="480" w:firstLineChars="200"/>
        <w:rPr>
          <w:rFonts w:ascii="Times New Roman" w:hAnsi="Times New Roman"/>
          <w:color w:val="000000"/>
          <w:sz w:val="24"/>
          <w:szCs w:val="24"/>
        </w:rPr>
      </w:pPr>
      <w:r>
        <w:rPr>
          <w:rFonts w:ascii="Times New Roman" w:hAnsi="Times New Roman"/>
          <w:i/>
          <w:color w:val="000000"/>
          <w:sz w:val="24"/>
          <w:szCs w:val="24"/>
        </w:rPr>
        <w:t>Q</w:t>
      </w:r>
      <w:r>
        <w:rPr>
          <w:rFonts w:ascii="Times New Roman" w:hAnsi="Times New Roman"/>
          <w:color w:val="000000"/>
          <w:sz w:val="24"/>
          <w:szCs w:val="24"/>
        </w:rPr>
        <w:t>——</w:t>
      </w:r>
      <w:r>
        <w:rPr>
          <w:rFonts w:hint="eastAsia" w:ascii="Times New Roman" w:hAnsi="Times New Roman"/>
          <w:color w:val="000000"/>
          <w:sz w:val="24"/>
          <w:szCs w:val="24"/>
        </w:rPr>
        <w:t>集水区多年平均降雨量，</w:t>
      </w:r>
      <w:r>
        <w:rPr>
          <w:rFonts w:ascii="Times New Roman" w:hAnsi="Times New Roman"/>
          <w:color w:val="000000"/>
          <w:sz w:val="24"/>
          <w:szCs w:val="24"/>
        </w:rPr>
        <w:t>mm</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ascii="Times New Roman" w:hAnsi="Times New Roman"/>
          <w:i/>
          <w:color w:val="000000"/>
          <w:sz w:val="24"/>
          <w:szCs w:val="24"/>
        </w:rPr>
        <w:t>A</w:t>
      </w:r>
      <w:r>
        <w:rPr>
          <w:rFonts w:ascii="Times New Roman" w:hAnsi="Times New Roman"/>
          <w:color w:val="000000"/>
          <w:sz w:val="24"/>
          <w:szCs w:val="24"/>
        </w:rPr>
        <w:t>——</w:t>
      </w:r>
      <w:r>
        <w:rPr>
          <w:rFonts w:hint="eastAsia" w:ascii="Times New Roman" w:hAnsi="Times New Roman"/>
          <w:color w:val="000000"/>
          <w:sz w:val="24"/>
          <w:szCs w:val="24"/>
        </w:rPr>
        <w:t>集水区地表面积，m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经过核算项目区域产生的路面雨水量为11457.66m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/a（31.82m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/d），根据施工方案及建设区域地势要求，建设单位将拟在项目区周边修建临时排水沟，小部分地表径流经过临时设置的沉淀池处理后，部分回用于洒水抑尘，另一部分排入园区雨水管网内。</w:t>
      </w:r>
    </w:p>
    <w:p>
      <w:pPr>
        <w:spacing w:line="360" w:lineRule="auto"/>
        <w:ind w:firstLine="482" w:firstLineChars="200"/>
        <w:rPr>
          <w:rFonts w:ascii="Times New Roman" w:hAnsi="Times New Roman"/>
          <w:b/>
          <w:color w:val="000000"/>
          <w:sz w:val="24"/>
          <w:szCs w:val="24"/>
        </w:rPr>
      </w:pPr>
      <w:bookmarkStart w:id="139" w:name="_Toc19062"/>
      <w:r>
        <w:rPr>
          <w:rFonts w:hint="eastAsia" w:ascii="Times New Roman" w:hAnsi="Times New Roman"/>
          <w:b/>
          <w:color w:val="000000"/>
          <w:sz w:val="24"/>
          <w:szCs w:val="24"/>
        </w:rPr>
        <w:t>（3）施工期噪声源强分析</w:t>
      </w:r>
      <w:bookmarkEnd w:id="139"/>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期对声环境的影响主要是施工噪声，噪声主要来源于施工机械、施工作业和运输车辆。施工机械产生的噪声与各施工阶段所使用的机械类型、数量有关。这些机械产生的噪声对环境造成不利影响。各施工阶段使用不同的施工机械，其数量、地点常发生变化，作业时间也不定，从而导致噪声产生的随机性、无组织性，属性不连续产生。运输车辆的噪声更具不规律性。</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现场噪声主要为机械噪声和施工作业噪声。机械噪声主要由施工机械所造成，如挖土机械、平地机、压路机等，以点声源为主；施工作业噪声主要指一些零星的敲打声、装卸车辆的撞击声、吆喝声、拆卸模板的撞击声等，多以瞬时噪声为主。在这些施工噪声中，对声环境影响最大的是机械噪声。</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参照《环境噪声与振动工程技术导则》（HJ2034-2013）及类似施工过程的调查，本项目各施工机械噪声源强5m处A声级见表3.2-2。</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表3.2-2   施工期主要噪声源强  单位dB（A）</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3118"/>
        <w:gridCol w:w="3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序号</w:t>
            </w:r>
          </w:p>
        </w:tc>
        <w:tc>
          <w:tcPr>
            <w:tcW w:w="3118"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设备名称</w:t>
            </w:r>
          </w:p>
        </w:tc>
        <w:tc>
          <w:tcPr>
            <w:tcW w:w="3311"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噪声源5m处A声级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w:t>
            </w:r>
          </w:p>
        </w:tc>
        <w:tc>
          <w:tcPr>
            <w:tcW w:w="31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推土机</w:t>
            </w:r>
          </w:p>
        </w:tc>
        <w:tc>
          <w:tcPr>
            <w:tcW w:w="331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2</w:t>
            </w:r>
          </w:p>
        </w:tc>
        <w:tc>
          <w:tcPr>
            <w:tcW w:w="31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压路机</w:t>
            </w:r>
          </w:p>
        </w:tc>
        <w:tc>
          <w:tcPr>
            <w:tcW w:w="331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3</w:t>
            </w:r>
          </w:p>
        </w:tc>
        <w:tc>
          <w:tcPr>
            <w:tcW w:w="31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摊铺机</w:t>
            </w:r>
          </w:p>
        </w:tc>
        <w:tc>
          <w:tcPr>
            <w:tcW w:w="331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87~88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4</w:t>
            </w:r>
          </w:p>
        </w:tc>
        <w:tc>
          <w:tcPr>
            <w:tcW w:w="31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平地机</w:t>
            </w:r>
          </w:p>
        </w:tc>
        <w:tc>
          <w:tcPr>
            <w:tcW w:w="331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5</w:t>
            </w:r>
          </w:p>
        </w:tc>
        <w:tc>
          <w:tcPr>
            <w:tcW w:w="31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挖掘机</w:t>
            </w:r>
          </w:p>
        </w:tc>
        <w:tc>
          <w:tcPr>
            <w:tcW w:w="331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6</w:t>
            </w:r>
          </w:p>
        </w:tc>
        <w:tc>
          <w:tcPr>
            <w:tcW w:w="31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混凝土输送泵</w:t>
            </w:r>
          </w:p>
        </w:tc>
        <w:tc>
          <w:tcPr>
            <w:tcW w:w="331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88~95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7</w:t>
            </w:r>
          </w:p>
        </w:tc>
        <w:tc>
          <w:tcPr>
            <w:tcW w:w="31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电焊机</w:t>
            </w:r>
          </w:p>
        </w:tc>
        <w:tc>
          <w:tcPr>
            <w:tcW w:w="331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w:t>
            </w:r>
          </w:p>
        </w:tc>
        <w:tc>
          <w:tcPr>
            <w:tcW w:w="31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电锯</w:t>
            </w:r>
          </w:p>
        </w:tc>
        <w:tc>
          <w:tcPr>
            <w:tcW w:w="331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93~99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9</w:t>
            </w:r>
          </w:p>
        </w:tc>
        <w:tc>
          <w:tcPr>
            <w:tcW w:w="3118"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电锤</w:t>
            </w:r>
          </w:p>
        </w:tc>
        <w:tc>
          <w:tcPr>
            <w:tcW w:w="331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100~105</w:t>
            </w:r>
          </w:p>
        </w:tc>
      </w:tr>
    </w:tbl>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bookmarkStart w:id="140" w:name="_Toc7004"/>
      <w:r>
        <w:rPr>
          <w:rFonts w:hint="eastAsia" w:ascii="Times New Roman" w:hAnsi="Times New Roman"/>
          <w:color w:val="000000"/>
          <w:sz w:val="24"/>
          <w:szCs w:val="24"/>
        </w:rPr>
        <w:t>（4）施工期固体废物污染分析</w:t>
      </w:r>
      <w:bookmarkEnd w:id="140"/>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施工期项目固体废物主要是开挖的土石方、建筑垃圾及施工人员的生活垃圾。</w:t>
      </w:r>
    </w:p>
    <w:p>
      <w:pPr>
        <w:spacing w:line="360" w:lineRule="auto"/>
        <w:ind w:firstLine="480" w:firstLineChars="200"/>
        <w:rPr>
          <w:rFonts w:ascii="Times New Roman" w:hAnsi="Times New Roman"/>
          <w:color w:val="000000"/>
          <w:sz w:val="24"/>
          <w:szCs w:val="24"/>
        </w:rPr>
      </w:pPr>
      <w:bookmarkStart w:id="141" w:name="_Toc5545"/>
      <w:r>
        <w:rPr>
          <w:rFonts w:hint="eastAsia" w:ascii="Times New Roman" w:hAnsi="Times New Roman"/>
          <w:color w:val="000000"/>
          <w:sz w:val="24"/>
          <w:szCs w:val="24"/>
        </w:rPr>
        <w:t>1）开挖土石方</w:t>
      </w:r>
      <w:bookmarkEnd w:id="141"/>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根据主体设计资料，本项目建设过程中共产生土石方量4.9万m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，其中剥离表土1.25万m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，基础开挖3.65万m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。项目4.9万m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土石方全部回填、绿化，无弃土外排。</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a.建构筑物区</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建构筑物区施工活动主要集中于生产车间、成品仓库、辅助用房、综合楼、锅炉房及其它辅助设施区等建筑物的基础开挖和回填。根据主体设计资料，项目区内建筑物楼层办公楼和</w:t>
      </w:r>
      <w:r>
        <w:rPr>
          <w:rFonts w:ascii="Times New Roman" w:hAnsi="Times New Roman"/>
          <w:color w:val="000000"/>
          <w:sz w:val="24"/>
          <w:szCs w:val="24"/>
        </w:rPr>
        <w:t>宿舍楼</w:t>
      </w:r>
      <w:r>
        <w:rPr>
          <w:rFonts w:hint="eastAsia" w:ascii="Times New Roman" w:hAnsi="Times New Roman"/>
          <w:color w:val="000000"/>
          <w:sz w:val="24"/>
          <w:szCs w:val="24"/>
        </w:rPr>
        <w:t>为4层砖混结构建筑，研发</w:t>
      </w:r>
      <w:r>
        <w:rPr>
          <w:rFonts w:ascii="Times New Roman" w:hAnsi="Times New Roman"/>
          <w:color w:val="000000"/>
          <w:sz w:val="24"/>
          <w:szCs w:val="24"/>
        </w:rPr>
        <w:t>中心</w:t>
      </w:r>
      <w:r>
        <w:rPr>
          <w:rFonts w:hint="eastAsia" w:ascii="Times New Roman" w:hAnsi="Times New Roman"/>
          <w:color w:val="000000"/>
          <w:sz w:val="24"/>
          <w:szCs w:val="24"/>
        </w:rPr>
        <w:t>为</w:t>
      </w:r>
      <w:r>
        <w:rPr>
          <w:rFonts w:ascii="Times New Roman" w:hAnsi="Times New Roman"/>
          <w:color w:val="000000"/>
          <w:sz w:val="24"/>
          <w:szCs w:val="24"/>
        </w:rPr>
        <w:t>3</w:t>
      </w:r>
      <w:r>
        <w:rPr>
          <w:rFonts w:hint="eastAsia" w:ascii="Times New Roman" w:hAnsi="Times New Roman"/>
          <w:color w:val="000000"/>
          <w:sz w:val="24"/>
          <w:szCs w:val="24"/>
        </w:rPr>
        <w:t>层砖混结构建筑，</w:t>
      </w:r>
      <w:r>
        <w:rPr>
          <w:rFonts w:ascii="Times New Roman" w:hAnsi="Times New Roman"/>
          <w:color w:val="000000"/>
          <w:sz w:val="24"/>
          <w:szCs w:val="24"/>
        </w:rPr>
        <w:t>锅炉房</w:t>
      </w:r>
      <w:r>
        <w:rPr>
          <w:rFonts w:hint="eastAsia" w:ascii="Times New Roman" w:hAnsi="Times New Roman"/>
          <w:color w:val="000000"/>
          <w:sz w:val="24"/>
          <w:szCs w:val="24"/>
        </w:rPr>
        <w:t>、值班</w:t>
      </w:r>
      <w:r>
        <w:rPr>
          <w:rFonts w:ascii="Times New Roman" w:hAnsi="Times New Roman"/>
          <w:color w:val="000000"/>
          <w:sz w:val="24"/>
          <w:szCs w:val="24"/>
        </w:rPr>
        <w:t>室</w:t>
      </w:r>
      <w:r>
        <w:rPr>
          <w:rFonts w:hint="eastAsia" w:ascii="Times New Roman" w:hAnsi="Times New Roman"/>
          <w:color w:val="000000"/>
          <w:sz w:val="24"/>
          <w:szCs w:val="24"/>
        </w:rPr>
        <w:t>和公厕为1层</w:t>
      </w:r>
      <w:r>
        <w:rPr>
          <w:rFonts w:ascii="Times New Roman" w:hAnsi="Times New Roman"/>
          <w:color w:val="000000"/>
          <w:sz w:val="24"/>
          <w:szCs w:val="24"/>
        </w:rPr>
        <w:t>砖混结构建筑</w:t>
      </w:r>
      <w:r>
        <w:rPr>
          <w:rFonts w:hint="eastAsia" w:ascii="Times New Roman" w:hAnsi="Times New Roman"/>
          <w:color w:val="000000"/>
          <w:sz w:val="24"/>
          <w:szCs w:val="24"/>
        </w:rPr>
        <w:t>外，其他建筑均为1层钢架结构，基础开挖量小，开挖深度约为1m，松土系数以1.3计，建构筑物区基础开挖产生的土石方除了部分回填建筑区外，排弃土方调入道路及硬化区的回填。项目区建构筑物区开挖土石方量2.57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，回填利用方2.2万m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，临时土方0.37万m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，调入道路及硬化区的回填，无弃土外排。</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b.道路及硬化区</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道路及硬化区在施工期间需要进行一定程度的开挖和回填，土石方主要产生于道路路基开挖，尽量做到挖填平衡，根据主体设计资料；该区将累计产生开挖土方为0.69万m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，回填1.06万m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，不够的土石方从建构筑物区回填后剩余部分调入0.37万m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，无弃土外排。</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c.绿化区</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项目绿化区基本不存在较大程度的扰动，共产生挖方0.39万m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，就地回填利用0.39万m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，无弃土外排。</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综上所述，项目各分区土石方在项目区内调配，挖填基本平衡，无弃土外排；项目区剥离表土临时堆放于场地绿化区临时表土堆场，进行洒水增湿并用篷布遮盖，以便后期绿化覆土时直接使用。具体土石方平衡及流向分析见表3.2-3。</w:t>
      </w:r>
    </w:p>
    <w:p>
      <w:pPr>
        <w:ind w:firstLine="480"/>
        <w:jc w:val="center"/>
        <w:rPr>
          <w:rFonts w:ascii="Times New Roman" w:hAnsi="Times New Roman"/>
          <w:b/>
          <w:color w:val="000000"/>
          <w:sz w:val="24"/>
          <w:szCs w:val="24"/>
        </w:rPr>
      </w:pPr>
    </w:p>
    <w:p>
      <w:pPr>
        <w:ind w:firstLine="480"/>
        <w:jc w:val="center"/>
        <w:rPr>
          <w:rFonts w:ascii="Times New Roman" w:hAnsi="Times New Roman"/>
          <w:b/>
          <w:color w:val="000000"/>
          <w:sz w:val="24"/>
          <w:szCs w:val="24"/>
        </w:rPr>
      </w:pPr>
    </w:p>
    <w:p>
      <w:pPr>
        <w:ind w:firstLine="480"/>
        <w:jc w:val="center"/>
        <w:rPr>
          <w:rFonts w:ascii="Times New Roman" w:hAnsi="Times New Roman"/>
          <w:b/>
          <w:color w:val="000000"/>
          <w:sz w:val="24"/>
          <w:szCs w:val="24"/>
        </w:rPr>
      </w:pPr>
    </w:p>
    <w:p>
      <w:pPr>
        <w:ind w:firstLine="480"/>
        <w:jc w:val="center"/>
        <w:rPr>
          <w:rFonts w:ascii="Times New Roman" w:hAnsi="Times New Roman"/>
          <w:b/>
          <w:color w:val="000000"/>
          <w:sz w:val="24"/>
          <w:szCs w:val="24"/>
        </w:rPr>
      </w:pPr>
    </w:p>
    <w:p>
      <w:pPr>
        <w:ind w:firstLine="480"/>
        <w:jc w:val="center"/>
        <w:rPr>
          <w:rFonts w:ascii="Times New Roman" w:hAnsi="Times New Roman"/>
          <w:b/>
          <w:color w:val="000000"/>
          <w:sz w:val="24"/>
          <w:szCs w:val="24"/>
        </w:rPr>
      </w:pPr>
    </w:p>
    <w:p>
      <w:pPr>
        <w:ind w:firstLine="480"/>
        <w:jc w:val="center"/>
        <w:rPr>
          <w:rFonts w:ascii="Times New Roman" w:hAnsi="Times New Roman"/>
          <w:b/>
          <w:color w:val="000000"/>
          <w:sz w:val="24"/>
          <w:szCs w:val="24"/>
        </w:rPr>
      </w:pPr>
    </w:p>
    <w:p>
      <w:pPr>
        <w:ind w:firstLine="480"/>
        <w:jc w:val="center"/>
        <w:rPr>
          <w:rFonts w:ascii="Times New Roman" w:hAnsi="Times New Roman"/>
          <w:b/>
          <w:color w:val="000000"/>
          <w:sz w:val="24"/>
          <w:szCs w:val="24"/>
        </w:rPr>
      </w:pPr>
      <w:r>
        <w:rPr>
          <w:rFonts w:hint="eastAsia" w:ascii="Times New Roman" w:hAnsi="Times New Roman"/>
          <w:b/>
          <w:color w:val="000000"/>
          <w:sz w:val="24"/>
          <w:szCs w:val="24"/>
        </w:rPr>
        <w:t>表3.2-3   土石方平衡及弃渣流向表  单位：m</w:t>
      </w:r>
      <w:r>
        <w:rPr>
          <w:rFonts w:hint="eastAsia" w:ascii="Times New Roman" w:hAnsi="Times New Roman"/>
          <w:b/>
          <w:color w:val="000000"/>
          <w:sz w:val="24"/>
          <w:szCs w:val="24"/>
          <w:vertAlign w:val="superscript"/>
        </w:rPr>
        <w:t>3</w:t>
      </w:r>
      <w:r>
        <w:rPr>
          <w:rFonts w:hint="eastAsia" w:ascii="Times New Roman" w:hAnsi="Times New Roman"/>
          <w:b/>
          <w:color w:val="000000"/>
          <w:sz w:val="24"/>
          <w:szCs w:val="24"/>
        </w:rPr>
        <w:t>（自然方）</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23"/>
        <w:gridCol w:w="1151"/>
        <w:gridCol w:w="584"/>
        <w:gridCol w:w="584"/>
        <w:gridCol w:w="696"/>
        <w:gridCol w:w="584"/>
        <w:gridCol w:w="584"/>
        <w:gridCol w:w="584"/>
        <w:gridCol w:w="699"/>
        <w:gridCol w:w="426"/>
        <w:gridCol w:w="426"/>
        <w:gridCol w:w="426"/>
        <w:gridCol w:w="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 w:type="pct"/>
            <w:vMerge w:val="restar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序号</w:t>
            </w:r>
          </w:p>
        </w:tc>
        <w:tc>
          <w:tcPr>
            <w:tcW w:w="599" w:type="pct"/>
            <w:vMerge w:val="restar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分区</w:t>
            </w:r>
          </w:p>
        </w:tc>
        <w:tc>
          <w:tcPr>
            <w:tcW w:w="1400" w:type="pct"/>
            <w:gridSpan w:val="3"/>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开挖</w:t>
            </w:r>
          </w:p>
        </w:tc>
        <w:tc>
          <w:tcPr>
            <w:tcW w:w="466" w:type="pct"/>
            <w:vMerge w:val="restar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回填</w:t>
            </w:r>
          </w:p>
        </w:tc>
        <w:tc>
          <w:tcPr>
            <w:tcW w:w="733" w:type="pct"/>
            <w:gridSpan w:val="2"/>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调入</w:t>
            </w:r>
          </w:p>
        </w:tc>
        <w:tc>
          <w:tcPr>
            <w:tcW w:w="799" w:type="pct"/>
            <w:gridSpan w:val="2"/>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调出</w:t>
            </w:r>
          </w:p>
        </w:tc>
        <w:tc>
          <w:tcPr>
            <w:tcW w:w="799" w:type="pct"/>
            <w:gridSpan w:val="4"/>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废土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 w:type="pct"/>
            <w:vMerge w:val="continue"/>
            <w:vAlign w:val="center"/>
          </w:tcPr>
          <w:p>
            <w:pPr>
              <w:spacing w:line="240" w:lineRule="atLeast"/>
              <w:jc w:val="center"/>
              <w:rPr>
                <w:rFonts w:ascii="Times New Roman" w:hAnsi="Times New Roman" w:cs="Times New Roman"/>
                <w:kern w:val="0"/>
                <w:szCs w:val="24"/>
              </w:rPr>
            </w:pPr>
          </w:p>
        </w:tc>
        <w:tc>
          <w:tcPr>
            <w:tcW w:w="599" w:type="pct"/>
            <w:vMerge w:val="continue"/>
            <w:vAlign w:val="center"/>
          </w:tcPr>
          <w:p>
            <w:pPr>
              <w:spacing w:line="240" w:lineRule="atLeast"/>
              <w:jc w:val="center"/>
              <w:rPr>
                <w:rFonts w:ascii="Times New Roman" w:hAnsi="Times New Roman" w:cs="Times New Roman"/>
                <w:kern w:val="0"/>
                <w:szCs w:val="24"/>
              </w:rPr>
            </w:pPr>
          </w:p>
        </w:tc>
        <w:tc>
          <w:tcPr>
            <w:tcW w:w="7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场地平整、基础及管线开挖</w:t>
            </w:r>
          </w:p>
        </w:tc>
        <w:tc>
          <w:tcPr>
            <w:tcW w:w="332"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表土剥离</w:t>
            </w:r>
          </w:p>
        </w:tc>
        <w:tc>
          <w:tcPr>
            <w:tcW w:w="3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小计</w:t>
            </w:r>
          </w:p>
        </w:tc>
        <w:tc>
          <w:tcPr>
            <w:tcW w:w="466" w:type="pct"/>
            <w:vMerge w:val="continue"/>
            <w:vAlign w:val="center"/>
          </w:tcPr>
          <w:p>
            <w:pPr>
              <w:spacing w:line="240" w:lineRule="atLeast"/>
              <w:jc w:val="center"/>
              <w:rPr>
                <w:rFonts w:ascii="Times New Roman" w:hAnsi="Times New Roman" w:cs="Times New Roman"/>
                <w:kern w:val="0"/>
                <w:szCs w:val="24"/>
              </w:rPr>
            </w:pPr>
          </w:p>
        </w:tc>
        <w:tc>
          <w:tcPr>
            <w:tcW w:w="3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数量</w:t>
            </w:r>
          </w:p>
        </w:tc>
        <w:tc>
          <w:tcPr>
            <w:tcW w:w="400"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来源</w:t>
            </w:r>
          </w:p>
        </w:tc>
        <w:tc>
          <w:tcPr>
            <w:tcW w:w="332"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数量</w:t>
            </w:r>
          </w:p>
        </w:tc>
        <w:tc>
          <w:tcPr>
            <w:tcW w:w="467"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去向</w:t>
            </w:r>
          </w:p>
        </w:tc>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数量</w:t>
            </w:r>
          </w:p>
        </w:tc>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去向</w:t>
            </w:r>
          </w:p>
        </w:tc>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弃渣</w:t>
            </w:r>
          </w:p>
        </w:tc>
        <w:tc>
          <w:tcPr>
            <w:tcW w:w="201"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1</w:t>
            </w:r>
          </w:p>
        </w:tc>
        <w:tc>
          <w:tcPr>
            <w:tcW w:w="5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建构筑物区</w:t>
            </w:r>
          </w:p>
        </w:tc>
        <w:tc>
          <w:tcPr>
            <w:tcW w:w="7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2.57</w:t>
            </w:r>
          </w:p>
        </w:tc>
        <w:tc>
          <w:tcPr>
            <w:tcW w:w="332" w:type="pct"/>
            <w:vAlign w:val="center"/>
          </w:tcPr>
          <w:p>
            <w:pPr>
              <w:spacing w:line="240" w:lineRule="atLeast"/>
              <w:jc w:val="center"/>
              <w:rPr>
                <w:rFonts w:ascii="Times New Roman" w:hAnsi="Times New Roman" w:cs="Times New Roman"/>
                <w:kern w:val="0"/>
                <w:szCs w:val="24"/>
              </w:rPr>
            </w:pPr>
          </w:p>
        </w:tc>
        <w:tc>
          <w:tcPr>
            <w:tcW w:w="3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2.57</w:t>
            </w:r>
          </w:p>
        </w:tc>
        <w:tc>
          <w:tcPr>
            <w:tcW w:w="466"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2.2</w:t>
            </w:r>
          </w:p>
        </w:tc>
        <w:tc>
          <w:tcPr>
            <w:tcW w:w="333" w:type="pct"/>
            <w:vAlign w:val="center"/>
          </w:tcPr>
          <w:p>
            <w:pPr>
              <w:spacing w:line="240" w:lineRule="atLeast"/>
              <w:jc w:val="center"/>
              <w:rPr>
                <w:rFonts w:ascii="Times New Roman" w:hAnsi="Times New Roman" w:cs="Times New Roman"/>
                <w:kern w:val="0"/>
                <w:szCs w:val="24"/>
              </w:rPr>
            </w:pPr>
          </w:p>
        </w:tc>
        <w:tc>
          <w:tcPr>
            <w:tcW w:w="400" w:type="pct"/>
            <w:vAlign w:val="center"/>
          </w:tcPr>
          <w:p>
            <w:pPr>
              <w:spacing w:line="240" w:lineRule="atLeast"/>
              <w:jc w:val="center"/>
              <w:rPr>
                <w:rFonts w:ascii="Times New Roman" w:hAnsi="Times New Roman" w:cs="Times New Roman"/>
                <w:kern w:val="0"/>
                <w:szCs w:val="24"/>
              </w:rPr>
            </w:pPr>
          </w:p>
        </w:tc>
        <w:tc>
          <w:tcPr>
            <w:tcW w:w="332"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0.37</w:t>
            </w:r>
          </w:p>
        </w:tc>
        <w:tc>
          <w:tcPr>
            <w:tcW w:w="467"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道路及硬化区</w:t>
            </w:r>
          </w:p>
        </w:tc>
        <w:tc>
          <w:tcPr>
            <w:tcW w:w="199"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201" w:type="pct"/>
            <w:vAlign w:val="center"/>
          </w:tcPr>
          <w:p>
            <w:pPr>
              <w:spacing w:line="240" w:lineRule="atLeast"/>
              <w:jc w:val="center"/>
              <w:rPr>
                <w:rFonts w:ascii="Times New Roman" w:hAnsi="Times New Roman" w:cs="Times New Roman"/>
                <w:kern w:val="0"/>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2</w:t>
            </w:r>
          </w:p>
        </w:tc>
        <w:tc>
          <w:tcPr>
            <w:tcW w:w="5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道路及硬化区</w:t>
            </w:r>
          </w:p>
        </w:tc>
        <w:tc>
          <w:tcPr>
            <w:tcW w:w="7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0.69</w:t>
            </w:r>
          </w:p>
        </w:tc>
        <w:tc>
          <w:tcPr>
            <w:tcW w:w="332" w:type="pct"/>
            <w:vAlign w:val="center"/>
          </w:tcPr>
          <w:p>
            <w:pPr>
              <w:spacing w:line="240" w:lineRule="atLeast"/>
              <w:jc w:val="center"/>
              <w:rPr>
                <w:rFonts w:ascii="Times New Roman" w:hAnsi="Times New Roman" w:cs="Times New Roman"/>
                <w:kern w:val="0"/>
                <w:szCs w:val="24"/>
              </w:rPr>
            </w:pPr>
          </w:p>
        </w:tc>
        <w:tc>
          <w:tcPr>
            <w:tcW w:w="3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0.69</w:t>
            </w:r>
          </w:p>
        </w:tc>
        <w:tc>
          <w:tcPr>
            <w:tcW w:w="466"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1.06</w:t>
            </w:r>
          </w:p>
        </w:tc>
        <w:tc>
          <w:tcPr>
            <w:tcW w:w="3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0.37</w:t>
            </w:r>
          </w:p>
        </w:tc>
        <w:tc>
          <w:tcPr>
            <w:tcW w:w="400"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建构筑物区</w:t>
            </w:r>
          </w:p>
        </w:tc>
        <w:tc>
          <w:tcPr>
            <w:tcW w:w="332" w:type="pct"/>
            <w:vAlign w:val="center"/>
          </w:tcPr>
          <w:p>
            <w:pPr>
              <w:spacing w:line="240" w:lineRule="atLeast"/>
              <w:jc w:val="center"/>
              <w:rPr>
                <w:rFonts w:ascii="Times New Roman" w:hAnsi="Times New Roman" w:cs="Times New Roman"/>
                <w:kern w:val="0"/>
                <w:szCs w:val="24"/>
              </w:rPr>
            </w:pPr>
          </w:p>
        </w:tc>
        <w:tc>
          <w:tcPr>
            <w:tcW w:w="467"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201" w:type="pct"/>
            <w:vAlign w:val="center"/>
          </w:tcPr>
          <w:p>
            <w:pPr>
              <w:spacing w:line="240" w:lineRule="atLeast"/>
              <w:jc w:val="center"/>
              <w:rPr>
                <w:rFonts w:ascii="Times New Roman" w:hAnsi="Times New Roman" w:cs="Times New Roman"/>
                <w:kern w:val="0"/>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3</w:t>
            </w:r>
          </w:p>
        </w:tc>
        <w:tc>
          <w:tcPr>
            <w:tcW w:w="5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绿化区</w:t>
            </w:r>
          </w:p>
        </w:tc>
        <w:tc>
          <w:tcPr>
            <w:tcW w:w="7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0.39</w:t>
            </w:r>
          </w:p>
        </w:tc>
        <w:tc>
          <w:tcPr>
            <w:tcW w:w="332" w:type="pct"/>
            <w:vAlign w:val="center"/>
          </w:tcPr>
          <w:p>
            <w:pPr>
              <w:spacing w:line="240" w:lineRule="atLeast"/>
              <w:jc w:val="center"/>
              <w:rPr>
                <w:rFonts w:ascii="Times New Roman" w:hAnsi="Times New Roman" w:cs="Times New Roman"/>
                <w:kern w:val="0"/>
                <w:szCs w:val="24"/>
              </w:rPr>
            </w:pPr>
          </w:p>
        </w:tc>
        <w:tc>
          <w:tcPr>
            <w:tcW w:w="3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0.39</w:t>
            </w:r>
          </w:p>
        </w:tc>
        <w:tc>
          <w:tcPr>
            <w:tcW w:w="466"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0.39</w:t>
            </w:r>
          </w:p>
        </w:tc>
        <w:tc>
          <w:tcPr>
            <w:tcW w:w="333" w:type="pct"/>
            <w:vAlign w:val="center"/>
          </w:tcPr>
          <w:p>
            <w:pPr>
              <w:spacing w:line="240" w:lineRule="atLeast"/>
              <w:jc w:val="center"/>
              <w:rPr>
                <w:rFonts w:ascii="Times New Roman" w:hAnsi="Times New Roman" w:cs="Times New Roman"/>
                <w:kern w:val="0"/>
                <w:szCs w:val="24"/>
              </w:rPr>
            </w:pPr>
          </w:p>
        </w:tc>
        <w:tc>
          <w:tcPr>
            <w:tcW w:w="400" w:type="pct"/>
            <w:vAlign w:val="center"/>
          </w:tcPr>
          <w:p>
            <w:pPr>
              <w:spacing w:line="240" w:lineRule="atLeast"/>
              <w:jc w:val="center"/>
              <w:rPr>
                <w:rFonts w:ascii="Times New Roman" w:hAnsi="Times New Roman" w:cs="Times New Roman"/>
                <w:kern w:val="0"/>
                <w:szCs w:val="24"/>
              </w:rPr>
            </w:pPr>
          </w:p>
        </w:tc>
        <w:tc>
          <w:tcPr>
            <w:tcW w:w="332" w:type="pct"/>
            <w:vAlign w:val="center"/>
          </w:tcPr>
          <w:p>
            <w:pPr>
              <w:spacing w:line="240" w:lineRule="atLeast"/>
              <w:jc w:val="center"/>
              <w:rPr>
                <w:rFonts w:ascii="Times New Roman" w:hAnsi="Times New Roman" w:cs="Times New Roman"/>
                <w:kern w:val="0"/>
                <w:szCs w:val="24"/>
              </w:rPr>
            </w:pPr>
          </w:p>
        </w:tc>
        <w:tc>
          <w:tcPr>
            <w:tcW w:w="467"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w:t>
            </w:r>
          </w:p>
        </w:tc>
        <w:tc>
          <w:tcPr>
            <w:tcW w:w="201" w:type="pct"/>
            <w:vAlign w:val="center"/>
          </w:tcPr>
          <w:p>
            <w:pPr>
              <w:spacing w:line="240" w:lineRule="atLeast"/>
              <w:jc w:val="center"/>
              <w:rPr>
                <w:rFonts w:ascii="Times New Roman" w:hAnsi="Times New Roman" w:cs="Times New Roman"/>
                <w:kern w:val="0"/>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4</w:t>
            </w:r>
          </w:p>
        </w:tc>
        <w:tc>
          <w:tcPr>
            <w:tcW w:w="5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表土剥离</w:t>
            </w:r>
          </w:p>
        </w:tc>
        <w:tc>
          <w:tcPr>
            <w:tcW w:w="733" w:type="pct"/>
            <w:vAlign w:val="center"/>
          </w:tcPr>
          <w:p>
            <w:pPr>
              <w:spacing w:line="240" w:lineRule="atLeast"/>
              <w:jc w:val="center"/>
              <w:rPr>
                <w:rFonts w:ascii="Times New Roman" w:hAnsi="Times New Roman" w:cs="Times New Roman"/>
                <w:kern w:val="0"/>
                <w:szCs w:val="24"/>
              </w:rPr>
            </w:pPr>
          </w:p>
        </w:tc>
        <w:tc>
          <w:tcPr>
            <w:tcW w:w="332"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1.25</w:t>
            </w:r>
          </w:p>
        </w:tc>
        <w:tc>
          <w:tcPr>
            <w:tcW w:w="3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1.25</w:t>
            </w:r>
          </w:p>
        </w:tc>
        <w:tc>
          <w:tcPr>
            <w:tcW w:w="466"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1.25绿化覆土</w:t>
            </w:r>
          </w:p>
        </w:tc>
        <w:tc>
          <w:tcPr>
            <w:tcW w:w="333" w:type="pct"/>
            <w:vAlign w:val="center"/>
          </w:tcPr>
          <w:p>
            <w:pPr>
              <w:spacing w:line="240" w:lineRule="atLeast"/>
              <w:jc w:val="center"/>
              <w:rPr>
                <w:rFonts w:ascii="Times New Roman" w:hAnsi="Times New Roman" w:cs="Times New Roman"/>
                <w:kern w:val="0"/>
                <w:szCs w:val="24"/>
              </w:rPr>
            </w:pPr>
          </w:p>
        </w:tc>
        <w:tc>
          <w:tcPr>
            <w:tcW w:w="400" w:type="pct"/>
            <w:vAlign w:val="center"/>
          </w:tcPr>
          <w:p>
            <w:pPr>
              <w:spacing w:line="240" w:lineRule="atLeast"/>
              <w:jc w:val="center"/>
              <w:rPr>
                <w:rFonts w:ascii="Times New Roman" w:hAnsi="Times New Roman" w:cs="Times New Roman"/>
                <w:kern w:val="0"/>
                <w:szCs w:val="24"/>
              </w:rPr>
            </w:pPr>
          </w:p>
        </w:tc>
        <w:tc>
          <w:tcPr>
            <w:tcW w:w="332" w:type="pct"/>
            <w:vAlign w:val="center"/>
          </w:tcPr>
          <w:p>
            <w:pPr>
              <w:spacing w:line="240" w:lineRule="atLeast"/>
              <w:jc w:val="center"/>
              <w:rPr>
                <w:rFonts w:ascii="Times New Roman" w:hAnsi="Times New Roman" w:cs="Times New Roman"/>
                <w:kern w:val="0"/>
                <w:szCs w:val="24"/>
              </w:rPr>
            </w:pPr>
          </w:p>
        </w:tc>
        <w:tc>
          <w:tcPr>
            <w:tcW w:w="467"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w:t>
            </w:r>
          </w:p>
        </w:tc>
        <w:tc>
          <w:tcPr>
            <w:tcW w:w="201" w:type="pct"/>
            <w:vAlign w:val="center"/>
          </w:tcPr>
          <w:p>
            <w:pPr>
              <w:spacing w:line="240" w:lineRule="atLeast"/>
              <w:jc w:val="center"/>
              <w:rPr>
                <w:rFonts w:ascii="Times New Roman" w:hAnsi="Times New Roman" w:cs="Times New Roman"/>
                <w:kern w:val="0"/>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5</w:t>
            </w:r>
          </w:p>
        </w:tc>
        <w:tc>
          <w:tcPr>
            <w:tcW w:w="5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合计</w:t>
            </w:r>
          </w:p>
        </w:tc>
        <w:tc>
          <w:tcPr>
            <w:tcW w:w="7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3.65</w:t>
            </w:r>
          </w:p>
        </w:tc>
        <w:tc>
          <w:tcPr>
            <w:tcW w:w="332"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1.25</w:t>
            </w:r>
          </w:p>
        </w:tc>
        <w:tc>
          <w:tcPr>
            <w:tcW w:w="3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4.9</w:t>
            </w:r>
          </w:p>
        </w:tc>
        <w:tc>
          <w:tcPr>
            <w:tcW w:w="466"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4.9</w:t>
            </w:r>
          </w:p>
        </w:tc>
        <w:tc>
          <w:tcPr>
            <w:tcW w:w="333"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0.37</w:t>
            </w:r>
          </w:p>
        </w:tc>
        <w:tc>
          <w:tcPr>
            <w:tcW w:w="400" w:type="pct"/>
            <w:vAlign w:val="center"/>
          </w:tcPr>
          <w:p>
            <w:pPr>
              <w:spacing w:line="240" w:lineRule="atLeast"/>
              <w:jc w:val="center"/>
              <w:rPr>
                <w:rFonts w:ascii="Times New Roman" w:hAnsi="Times New Roman" w:cs="Times New Roman"/>
                <w:kern w:val="0"/>
                <w:szCs w:val="24"/>
              </w:rPr>
            </w:pPr>
          </w:p>
        </w:tc>
        <w:tc>
          <w:tcPr>
            <w:tcW w:w="332"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0.37</w:t>
            </w:r>
          </w:p>
        </w:tc>
        <w:tc>
          <w:tcPr>
            <w:tcW w:w="467"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p>
        </w:tc>
        <w:tc>
          <w:tcPr>
            <w:tcW w:w="199" w:type="pct"/>
            <w:vAlign w:val="center"/>
          </w:tcPr>
          <w:p>
            <w:pPr>
              <w:spacing w:line="240" w:lineRule="atLeast"/>
              <w:jc w:val="center"/>
              <w:rPr>
                <w:rFonts w:ascii="Times New Roman" w:hAnsi="Times New Roman" w:cs="Times New Roman"/>
                <w:kern w:val="0"/>
                <w:szCs w:val="24"/>
              </w:rPr>
            </w:pPr>
            <w:r>
              <w:rPr>
                <w:rFonts w:hint="eastAsia" w:ascii="Times New Roman" w:hAnsi="Times New Roman" w:cs="Times New Roman"/>
                <w:kern w:val="0"/>
                <w:szCs w:val="24"/>
              </w:rPr>
              <w:t>0</w:t>
            </w:r>
          </w:p>
        </w:tc>
        <w:tc>
          <w:tcPr>
            <w:tcW w:w="199" w:type="pct"/>
            <w:vAlign w:val="center"/>
          </w:tcPr>
          <w:p>
            <w:pPr>
              <w:spacing w:line="240" w:lineRule="atLeast"/>
              <w:jc w:val="center"/>
              <w:rPr>
                <w:rFonts w:ascii="Times New Roman" w:hAnsi="Times New Roman" w:cs="Times New Roman"/>
                <w:kern w:val="0"/>
                <w:szCs w:val="24"/>
              </w:rPr>
            </w:pPr>
          </w:p>
        </w:tc>
        <w:tc>
          <w:tcPr>
            <w:tcW w:w="201" w:type="pct"/>
            <w:vAlign w:val="center"/>
          </w:tcPr>
          <w:p>
            <w:pPr>
              <w:spacing w:line="240" w:lineRule="atLeast"/>
              <w:jc w:val="center"/>
              <w:rPr>
                <w:rFonts w:ascii="Times New Roman" w:hAnsi="Times New Roman" w:cs="Times New Roman"/>
                <w:kern w:val="0"/>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14"/>
            <w:vAlign w:val="center"/>
          </w:tcPr>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注：1、表土土石方均为自然方</w:t>
            </w:r>
          </w:p>
          <w:p>
            <w:pPr>
              <w:spacing w:line="240"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2、剥离表土临时堆放于临时表土堆场，进行洒水增湿并用篷布遮盖，用于项目建设后期绿化覆土</w:t>
            </w:r>
          </w:p>
          <w:p>
            <w:pPr>
              <w:spacing w:line="240" w:lineRule="atLeast"/>
              <w:jc w:val="left"/>
              <w:rPr>
                <w:rFonts w:ascii="Times New Roman" w:hAnsi="Times New Roman" w:cs="Times New Roman"/>
                <w:kern w:val="0"/>
                <w:szCs w:val="24"/>
              </w:rPr>
            </w:pPr>
            <w:r>
              <w:rPr>
                <w:rFonts w:hint="eastAsia" w:ascii="Times New Roman" w:hAnsi="Times New Roman" w:cs="Times New Roman"/>
                <w:kern w:val="0"/>
                <w:szCs w:val="24"/>
              </w:rPr>
              <w:t>3、本项目建设过程中外无借土石方</w:t>
            </w:r>
          </w:p>
          <w:p>
            <w:pPr>
              <w:spacing w:line="240" w:lineRule="atLeast"/>
              <w:jc w:val="left"/>
              <w:rPr>
                <w:rFonts w:ascii="Times New Roman" w:hAnsi="Times New Roman" w:cs="Times New Roman"/>
                <w:kern w:val="0"/>
                <w:szCs w:val="24"/>
              </w:rPr>
            </w:pPr>
            <w:r>
              <w:rPr>
                <w:rFonts w:hint="eastAsia" w:ascii="Times New Roman" w:hAnsi="Times New Roman" w:cs="Times New Roman"/>
                <w:kern w:val="0"/>
                <w:szCs w:val="24"/>
              </w:rPr>
              <w:t>4、土石方平衡计算公式：开挖（4.9m</w:t>
            </w:r>
            <w:r>
              <w:rPr>
                <w:rFonts w:hint="eastAsia" w:ascii="Times New Roman" w:hAnsi="Times New Roman" w:cs="Times New Roman"/>
                <w:kern w:val="0"/>
                <w:szCs w:val="24"/>
                <w:vertAlign w:val="superscript"/>
              </w:rPr>
              <w:t>3</w:t>
            </w:r>
            <w:r>
              <w:rPr>
                <w:rFonts w:hint="eastAsia" w:ascii="Times New Roman" w:hAnsi="Times New Roman" w:cs="Times New Roman"/>
                <w:kern w:val="0"/>
                <w:szCs w:val="24"/>
              </w:rPr>
              <w:t>）+调入（0.37m</w:t>
            </w:r>
            <w:r>
              <w:rPr>
                <w:rFonts w:hint="eastAsia" w:ascii="Times New Roman" w:hAnsi="Times New Roman" w:cs="Times New Roman"/>
                <w:kern w:val="0"/>
                <w:szCs w:val="24"/>
                <w:vertAlign w:val="superscript"/>
              </w:rPr>
              <w:t>3</w:t>
            </w:r>
            <w:r>
              <w:rPr>
                <w:rFonts w:hint="eastAsia" w:ascii="Times New Roman" w:hAnsi="Times New Roman" w:cs="Times New Roman"/>
                <w:kern w:val="0"/>
                <w:szCs w:val="24"/>
              </w:rPr>
              <w:t>）+外借（0）=回填（4.9万m</w:t>
            </w:r>
            <w:r>
              <w:rPr>
                <w:rFonts w:hint="eastAsia" w:ascii="Times New Roman" w:hAnsi="Times New Roman" w:cs="Times New Roman"/>
                <w:kern w:val="0"/>
                <w:szCs w:val="24"/>
                <w:vertAlign w:val="superscript"/>
              </w:rPr>
              <w:t>3</w:t>
            </w:r>
            <w:r>
              <w:rPr>
                <w:rFonts w:hint="eastAsia" w:ascii="Times New Roman" w:hAnsi="Times New Roman" w:cs="Times New Roman"/>
                <w:kern w:val="0"/>
                <w:szCs w:val="24"/>
              </w:rPr>
              <w:t>）+调出（0.37m</w:t>
            </w:r>
            <w:r>
              <w:rPr>
                <w:rFonts w:hint="eastAsia" w:ascii="Times New Roman" w:hAnsi="Times New Roman" w:cs="Times New Roman"/>
                <w:kern w:val="0"/>
                <w:szCs w:val="24"/>
                <w:vertAlign w:val="superscript"/>
              </w:rPr>
              <w:t>3</w:t>
            </w:r>
            <w:r>
              <w:rPr>
                <w:rFonts w:hint="eastAsia" w:ascii="Times New Roman" w:hAnsi="Times New Roman" w:cs="Times New Roman"/>
                <w:kern w:val="0"/>
                <w:szCs w:val="24"/>
              </w:rPr>
              <w:t>）+废弃（0）</w:t>
            </w:r>
          </w:p>
        </w:tc>
      </w:tr>
    </w:tbl>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27872" behindDoc="0" locked="0" layoutInCell="1" allowOverlap="1">
                <wp:simplePos x="0" y="0"/>
                <wp:positionH relativeFrom="column">
                  <wp:posOffset>1200150</wp:posOffset>
                </wp:positionH>
                <wp:positionV relativeFrom="paragraph">
                  <wp:posOffset>200660</wp:posOffset>
                </wp:positionV>
                <wp:extent cx="876300" cy="304800"/>
                <wp:effectExtent l="9525" t="8890" r="9525" b="10160"/>
                <wp:wrapNone/>
                <wp:docPr id="188" name="Text Box 125"/>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建构筑物区</w:t>
                            </w:r>
                          </w:p>
                        </w:txbxContent>
                      </wps:txbx>
                      <wps:bodyPr rot="0" vert="horz" wrap="square" lIns="91440" tIns="45720" rIns="91440" bIns="45720" anchor="t" anchorCtr="0" upright="1">
                        <a:noAutofit/>
                      </wps:bodyPr>
                    </wps:wsp>
                  </a:graphicData>
                </a:graphic>
              </wp:anchor>
            </w:drawing>
          </mc:Choice>
          <mc:Fallback>
            <w:pict>
              <v:shape id="Text Box 125" o:spid="_x0000_s1026" o:spt="202" type="#_x0000_t202" style="position:absolute;left:0pt;margin-left:94.5pt;margin-top:15.8pt;height:24pt;width:69pt;z-index:251727872;mso-width-relative:page;mso-height-relative:page;" fillcolor="#FFFFFF" filled="t" stroked="t" coordsize="21600,21600" o:gfxdata="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C8dDrXAAAACQEAAA8AAAAAAAAA&#10;AQAgAAAAIgAAAGRycy9kb3ducmV2LnhtbFBLAQIUABQAAAAIAIdO4kCx8s7vEgIAADsEAAAOAAAA&#10;AAAAAAEAIAAAACYBAABkcnMvZTJvRG9jLnhtbFBLBQYAAAAABgAGAFkBAACqBQAAAAA=&#10;">
                <v:fill on="t" focussize="0,0"/>
                <v:stroke color="#000000" miterlimit="8" joinstyle="miter"/>
                <v:imagedata o:title=""/>
                <o:lock v:ext="edit" aspectratio="f"/>
                <v:textbox>
                  <w:txbxContent>
                    <w:p>
                      <w:pPr>
                        <w:spacing w:line="240" w:lineRule="atLeast"/>
                        <w:jc w:val="left"/>
                        <w:rPr>
                          <w:szCs w:val="21"/>
                        </w:rPr>
                      </w:pPr>
                      <w:r>
                        <w:rPr>
                          <w:rFonts w:hint="eastAsia"/>
                          <w:szCs w:val="21"/>
                        </w:rPr>
                        <w:t>建构筑物区</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31968" behindDoc="0" locked="0" layoutInCell="1" allowOverlap="1">
                <wp:simplePos x="0" y="0"/>
                <wp:positionH relativeFrom="column">
                  <wp:posOffset>2600325</wp:posOffset>
                </wp:positionH>
                <wp:positionV relativeFrom="paragraph">
                  <wp:posOffset>191135</wp:posOffset>
                </wp:positionV>
                <wp:extent cx="1066800" cy="304800"/>
                <wp:effectExtent l="9525" t="8890" r="9525" b="10160"/>
                <wp:wrapNone/>
                <wp:docPr id="187" name="Text Box 129"/>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挖方2.57万m</w:t>
                            </w:r>
                            <w:r>
                              <w:rPr>
                                <w:rFonts w:hint="eastAsia"/>
                                <w:szCs w:val="21"/>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29" o:spid="_x0000_s1026" o:spt="202" type="#_x0000_t202" style="position:absolute;left:0pt;margin-left:204.75pt;margin-top:15.05pt;height:24pt;width:84pt;z-index:251731968;mso-width-relative:page;mso-height-relative:page;" fillcolor="#FFFFFF" filled="t" stroked="t" coordsize="21600,21600" o:gfxdata="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kEGm2AAAAAkBAAAPAAAA&#10;AAAAAAEAIAAAACIAAABkcnMvZG93bnJldi54bWxQSwECFAAUAAAACACHTuJAuKMLnhUCAAA8BAAA&#10;DgAAAAAAAAABACAAAAAnAQAAZHJzL2Uyb0RvYy54bWxQSwUGAAAAAAYABgBZAQAArgUAAAAA&#10;">
                <v:fill on="t" focussize="0,0"/>
                <v:stroke color="#000000" miterlimit="8" joinstyle="miter"/>
                <v:imagedata o:title=""/>
                <o:lock v:ext="edit" aspectratio="f"/>
                <v:textbox>
                  <w:txbxContent>
                    <w:p>
                      <w:pPr>
                        <w:spacing w:line="240" w:lineRule="atLeast"/>
                        <w:jc w:val="left"/>
                        <w:rPr>
                          <w:szCs w:val="21"/>
                        </w:rPr>
                      </w:pPr>
                      <w:r>
                        <w:rPr>
                          <w:rFonts w:hint="eastAsia"/>
                          <w:szCs w:val="21"/>
                        </w:rPr>
                        <w:t>挖方2.57万m</w:t>
                      </w:r>
                      <w:r>
                        <w:rPr>
                          <w:rFonts w:hint="eastAsia"/>
                          <w:szCs w:val="21"/>
                          <w:vertAlign w:val="superscript"/>
                        </w:rPr>
                        <w:t>3</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36064" behindDoc="0" locked="0" layoutInCell="1" allowOverlap="1">
                <wp:simplePos x="0" y="0"/>
                <wp:positionH relativeFrom="column">
                  <wp:posOffset>4219575</wp:posOffset>
                </wp:positionH>
                <wp:positionV relativeFrom="paragraph">
                  <wp:posOffset>191135</wp:posOffset>
                </wp:positionV>
                <wp:extent cx="1066800" cy="304800"/>
                <wp:effectExtent l="9525" t="8890" r="9525" b="10160"/>
                <wp:wrapNone/>
                <wp:docPr id="186" name="Text Box 133"/>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填方2.2万m</w:t>
                            </w:r>
                            <w:r>
                              <w:rPr>
                                <w:rFonts w:hint="eastAsia"/>
                                <w:szCs w:val="21"/>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33" o:spid="_x0000_s1026" o:spt="202" type="#_x0000_t202" style="position:absolute;left:0pt;margin-left:332.25pt;margin-top:15.05pt;height:24pt;width:84pt;z-index:251736064;mso-width-relative:page;mso-height-relative:page;" fillcolor="#FFFFFF" filled="t" stroked="t" coordsize="21600,21600" o:gfxdata="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EVVW2QAAAAkBAAAPAAAA&#10;AAAAAAEAIAAAACIAAABkcnMvZG93bnJldi54bWxQSwECFAAUAAAACACHTuJACkfwYRQCAAA8BAAA&#10;DgAAAAAAAAABACAAAAAoAQAAZHJzL2Uyb0RvYy54bWxQSwUGAAAAAAYABgBZAQAArgUAAAAA&#10;">
                <v:fill on="t" focussize="0,0"/>
                <v:stroke color="#000000" miterlimit="8" joinstyle="miter"/>
                <v:imagedata o:title=""/>
                <o:lock v:ext="edit" aspectratio="f"/>
                <v:textbox>
                  <w:txbxContent>
                    <w:p>
                      <w:pPr>
                        <w:spacing w:line="240" w:lineRule="atLeast"/>
                        <w:jc w:val="left"/>
                        <w:rPr>
                          <w:szCs w:val="21"/>
                        </w:rPr>
                      </w:pPr>
                      <w:r>
                        <w:rPr>
                          <w:rFonts w:hint="eastAsia"/>
                          <w:szCs w:val="21"/>
                        </w:rPr>
                        <w:t>填方2.2万m</w:t>
                      </w:r>
                      <w:r>
                        <w:rPr>
                          <w:rFonts w:hint="eastAsia"/>
                          <w:szCs w:val="21"/>
                          <w:vertAlign w:val="superscript"/>
                        </w:rPr>
                        <w:t>3</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57568" behindDoc="0" locked="0" layoutInCell="1" allowOverlap="1">
                <wp:simplePos x="0" y="0"/>
                <wp:positionH relativeFrom="column">
                  <wp:posOffset>3472180</wp:posOffset>
                </wp:positionH>
                <wp:positionV relativeFrom="paragraph">
                  <wp:posOffset>271780</wp:posOffset>
                </wp:positionV>
                <wp:extent cx="766445" cy="304800"/>
                <wp:effectExtent l="5080" t="5715" r="9525" b="13335"/>
                <wp:wrapNone/>
                <wp:docPr id="185" name="Text Box 158"/>
                <wp:cNvGraphicFramePr/>
                <a:graphic xmlns:a="http://schemas.openxmlformats.org/drawingml/2006/main">
                  <a:graphicData uri="http://schemas.microsoft.com/office/word/2010/wordprocessingShape">
                    <wps:wsp>
                      <wps:cNvSpPr txBox="1">
                        <a:spLocks noChangeArrowheads="1"/>
                      </wps:cNvSpPr>
                      <wps:spPr bwMode="auto">
                        <a:xfrm>
                          <a:off x="0" y="0"/>
                          <a:ext cx="766445" cy="304800"/>
                        </a:xfrm>
                        <a:prstGeom prst="rect">
                          <a:avLst/>
                        </a:prstGeom>
                        <a:solidFill>
                          <a:srgbClr val="FFFFFF">
                            <a:alpha val="0"/>
                          </a:srgbClr>
                        </a:solidFill>
                        <a:ln w="9525">
                          <a:solidFill>
                            <a:schemeClr val="bg1">
                              <a:lumMod val="100000"/>
                              <a:lumOff val="0"/>
                            </a:schemeClr>
                          </a:solidFill>
                          <a:miter lim="800000"/>
                        </a:ln>
                      </wps:spPr>
                      <wps:txbx>
                        <w:txbxContent>
                          <w:p>
                            <w:pPr>
                              <w:spacing w:line="240" w:lineRule="atLeast"/>
                              <w:jc w:val="left"/>
                              <w:rPr>
                                <w:szCs w:val="21"/>
                              </w:rPr>
                            </w:pPr>
                            <w:r>
                              <w:rPr>
                                <w:rFonts w:hint="eastAsia"/>
                                <w:szCs w:val="21"/>
                              </w:rPr>
                              <w:t>0.37万m</w:t>
                            </w:r>
                            <w:r>
                              <w:rPr>
                                <w:rFonts w:hint="eastAsia"/>
                                <w:szCs w:val="21"/>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58" o:spid="_x0000_s1026" o:spt="202" type="#_x0000_t202" style="position:absolute;left:0pt;margin-left:273.4pt;margin-top:21.4pt;height:24pt;width:60.35pt;z-index:251757568;mso-width-relative:page;mso-height-relative:page;" fillcolor="#FFFFFF" filled="t" stroked="t" coordsize="21600,21600" o:gfxdata="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qwFANoAAAAJAQAADwAAAAAAAAABACAAAAAiAAAAZHJzL2Rvd25yZXYu&#10;eG1sUEsBAhQAFAAAAAgAh07iQC/pTLcyAgAAjgQAAA4AAAAAAAAAAQAgAAAAKQEAAGRycy9lMm9E&#10;b2MueG1sUEsFBgAAAAAGAAYAWQEAAM0FAAAAAA==&#10;">
                <v:fill on="t" opacity="0f" focussize="0,0"/>
                <v:stroke color="#FFFFFF [3228]" miterlimit="8" joinstyle="miter"/>
                <v:imagedata o:title=""/>
                <o:lock v:ext="edit" aspectratio="f"/>
                <v:textbox>
                  <w:txbxContent>
                    <w:p>
                      <w:pPr>
                        <w:spacing w:line="240" w:lineRule="atLeast"/>
                        <w:jc w:val="left"/>
                        <w:rPr>
                          <w:szCs w:val="21"/>
                        </w:rPr>
                      </w:pPr>
                      <w:r>
                        <w:rPr>
                          <w:rFonts w:hint="eastAsia"/>
                          <w:szCs w:val="21"/>
                        </w:rPr>
                        <w:t>0.37万m</w:t>
                      </w:r>
                      <w:r>
                        <w:rPr>
                          <w:rFonts w:hint="eastAsia"/>
                          <w:szCs w:val="21"/>
                          <w:vertAlign w:val="superscript"/>
                        </w:rPr>
                        <w:t>3</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53472" behindDoc="0" locked="0" layoutInCell="1" allowOverlap="1">
                <wp:simplePos x="0" y="0"/>
                <wp:positionH relativeFrom="column">
                  <wp:posOffset>3094355</wp:posOffset>
                </wp:positionH>
                <wp:positionV relativeFrom="paragraph">
                  <wp:posOffset>198755</wp:posOffset>
                </wp:positionV>
                <wp:extent cx="6985" cy="318770"/>
                <wp:effectExtent l="8255" t="8890" r="13335" b="5715"/>
                <wp:wrapNone/>
                <wp:docPr id="184" name="AutoShape 152"/>
                <wp:cNvGraphicFramePr/>
                <a:graphic xmlns:a="http://schemas.openxmlformats.org/drawingml/2006/main">
                  <a:graphicData uri="http://schemas.microsoft.com/office/word/2010/wordprocessingShape">
                    <wps:wsp>
                      <wps:cNvCnPr>
                        <a:cxnSpLocks noChangeShapeType="1"/>
                      </wps:cNvCnPr>
                      <wps:spPr bwMode="auto">
                        <a:xfrm>
                          <a:off x="0" y="0"/>
                          <a:ext cx="6985" cy="318770"/>
                        </a:xfrm>
                        <a:prstGeom prst="straightConnector1">
                          <a:avLst/>
                        </a:prstGeom>
                        <a:noFill/>
                        <a:ln w="9525">
                          <a:solidFill>
                            <a:srgbClr val="000000"/>
                          </a:solidFill>
                          <a:prstDash val="dash"/>
                          <a:round/>
                        </a:ln>
                      </wps:spPr>
                      <wps:bodyPr/>
                    </wps:wsp>
                  </a:graphicData>
                </a:graphic>
              </wp:anchor>
            </w:drawing>
          </mc:Choice>
          <mc:Fallback>
            <w:pict>
              <v:shape id="AutoShape 152" o:spid="_x0000_s1026" o:spt="32" type="#_x0000_t32" style="position:absolute;left:0pt;margin-left:243.65pt;margin-top:15.65pt;height:25.1pt;width:0.55pt;z-index:251753472;mso-width-relative:page;mso-height-relative:page;" filled="f" stroked="t" coordsize="21600,21600" o:gfxdata="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0V1kdkAAAAJAQAADwAAAAAAAAABACAAAAAiAAAA&#10;ZHJzL2Rvd25yZXYueG1sUEsBAhQAFAAAAAgAh07iQLZYATnNAQAAggMAAA4AAAAAAAAAAQAgAAAA&#10;KAEAAGRycy9lMm9Eb2MueG1sUEsFBgAAAAAGAAYAWQEAAGcFAAAAAA==&#10;">
                <v:fill on="f" focussize="0,0"/>
                <v:stroke color="#000000" joinstyle="round" dashstyle="dash"/>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52448" behindDoc="0" locked="0" layoutInCell="1" allowOverlap="1">
                <wp:simplePos x="0" y="0"/>
                <wp:positionH relativeFrom="column">
                  <wp:posOffset>1026160</wp:posOffset>
                </wp:positionH>
                <wp:positionV relativeFrom="paragraph">
                  <wp:posOffset>31750</wp:posOffset>
                </wp:positionV>
                <wp:extent cx="179705" cy="6985"/>
                <wp:effectExtent l="6985" t="60960" r="22860" b="46355"/>
                <wp:wrapNone/>
                <wp:docPr id="183" name="AutoShape 149"/>
                <wp:cNvGraphicFramePr/>
                <a:graphic xmlns:a="http://schemas.openxmlformats.org/drawingml/2006/main">
                  <a:graphicData uri="http://schemas.microsoft.com/office/word/2010/wordprocessingShape">
                    <wps:wsp>
                      <wps:cNvCnPr>
                        <a:cxnSpLocks noChangeShapeType="1"/>
                      </wps:cNvCnPr>
                      <wps:spPr bwMode="auto">
                        <a:xfrm flipV="1">
                          <a:off x="0" y="0"/>
                          <a:ext cx="179705" cy="6985"/>
                        </a:xfrm>
                        <a:prstGeom prst="straightConnector1">
                          <a:avLst/>
                        </a:prstGeom>
                        <a:noFill/>
                        <a:ln w="9525">
                          <a:solidFill>
                            <a:srgbClr val="000000"/>
                          </a:solidFill>
                          <a:round/>
                          <a:tailEnd type="triangle" w="med" len="med"/>
                        </a:ln>
                      </wps:spPr>
                      <wps:bodyPr/>
                    </wps:wsp>
                  </a:graphicData>
                </a:graphic>
              </wp:anchor>
            </w:drawing>
          </mc:Choice>
          <mc:Fallback>
            <w:pict>
              <v:shape id="AutoShape 149" o:spid="_x0000_s1026" o:spt="32" type="#_x0000_t32" style="position:absolute;left:0pt;flip:y;margin-left:80.8pt;margin-top:2.5pt;height:0.55pt;width:14.15pt;z-index:251752448;mso-width-relative:page;mso-height-relative:page;" filled="f" stroked="t" coordsize="21600,21600" o:gfxdata="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NNix9YAAAAHAQAADwAA&#10;AAAAAAABACAAAAAiAAAAZHJzL2Rvd25yZXYueG1sUEsBAhQAFAAAAAgAh07iQH+Rvs/fAQAAogMA&#10;AA4AAAAAAAAAAQAgAAAAJQEAAGRycy9lMm9Eb2MueG1sUEsFBgAAAAAGAAYAWQEAAHYFA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48352" behindDoc="0" locked="0" layoutInCell="1" allowOverlap="1">
                <wp:simplePos x="0" y="0"/>
                <wp:positionH relativeFrom="column">
                  <wp:posOffset>1020445</wp:posOffset>
                </wp:positionH>
                <wp:positionV relativeFrom="paragraph">
                  <wp:posOffset>36195</wp:posOffset>
                </wp:positionV>
                <wp:extent cx="0" cy="1952625"/>
                <wp:effectExtent l="10795" t="8255" r="8255" b="10795"/>
                <wp:wrapNone/>
                <wp:docPr id="182" name="AutoShape 145"/>
                <wp:cNvGraphicFramePr/>
                <a:graphic xmlns:a="http://schemas.openxmlformats.org/drawingml/2006/main">
                  <a:graphicData uri="http://schemas.microsoft.com/office/word/2010/wordprocessingShape">
                    <wps:wsp>
                      <wps:cNvCnPr>
                        <a:cxnSpLocks noChangeShapeType="1"/>
                      </wps:cNvCnPr>
                      <wps:spPr bwMode="auto">
                        <a:xfrm>
                          <a:off x="0" y="0"/>
                          <a:ext cx="0" cy="1952625"/>
                        </a:xfrm>
                        <a:prstGeom prst="straightConnector1">
                          <a:avLst/>
                        </a:prstGeom>
                        <a:noFill/>
                        <a:ln w="9525">
                          <a:solidFill>
                            <a:srgbClr val="000000"/>
                          </a:solidFill>
                          <a:round/>
                        </a:ln>
                      </wps:spPr>
                      <wps:bodyPr/>
                    </wps:wsp>
                  </a:graphicData>
                </a:graphic>
              </wp:anchor>
            </w:drawing>
          </mc:Choice>
          <mc:Fallback>
            <w:pict>
              <v:shape id="AutoShape 145" o:spid="_x0000_s1026" o:spt="32" type="#_x0000_t32" style="position:absolute;left:0pt;margin-left:80.35pt;margin-top:2.85pt;height:153.75pt;width:0pt;z-index:251748352;mso-width-relative:page;mso-height-relative:page;" filled="f" stroked="t" coordsize="21600,21600" o:gfxdata="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guwYjWAAAACQEAAA8AAAAAAAAAAQAgAAAAIgAAAGRycy9kb3ducmV2LnhtbFBLAQIU&#10;ABQAAAAIAIdO4kDhbgsivAEAAGgDAAAOAAAAAAAAAAEAIAAAACUBAABkcnMvZTJvRG9jLnhtbFBL&#10;BQYAAAAABgAGAFkBAABTBQAAAAA=&#10;">
                <v:fill on="f" focussize="0,0"/>
                <v:stroke color="#000000" joinstyle="round"/>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40160" behindDoc="0" locked="0" layoutInCell="1" allowOverlap="1">
                <wp:simplePos x="0" y="0"/>
                <wp:positionH relativeFrom="column">
                  <wp:posOffset>2076450</wp:posOffset>
                </wp:positionH>
                <wp:positionV relativeFrom="paragraph">
                  <wp:posOffset>43180</wp:posOffset>
                </wp:positionV>
                <wp:extent cx="542925" cy="0"/>
                <wp:effectExtent l="9525" t="53340" r="19050" b="60960"/>
                <wp:wrapNone/>
                <wp:docPr id="181" name="AutoShape 137"/>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tailEnd type="triangle" w="med" len="med"/>
                        </a:ln>
                      </wps:spPr>
                      <wps:bodyPr/>
                    </wps:wsp>
                  </a:graphicData>
                </a:graphic>
              </wp:anchor>
            </w:drawing>
          </mc:Choice>
          <mc:Fallback>
            <w:pict>
              <v:shape id="AutoShape 137" o:spid="_x0000_s1026" o:spt="32" type="#_x0000_t32" style="position:absolute;left:0pt;margin-left:163.5pt;margin-top:3.4pt;height:0pt;width:42.75pt;z-index:251740160;mso-width-relative:page;mso-height-relative:page;" filled="f" stroked="t" coordsize="21600,21600" o:gfxdata="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lfDCq1gAAAAcBAAAPAAAAAAAAAAEAIAAA&#10;ACIAAABkcnMvZG93bnJldi54bWxQSwECFAAUAAAACACHTuJA0HEjDtUBAACVAwAADgAAAAAAAAAB&#10;ACAAAAAlAQAAZHJzL2Uyb0RvYy54bWxQSwUGAAAAAAYABgBZAQAAbAU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44256" behindDoc="0" locked="0" layoutInCell="1" allowOverlap="1">
                <wp:simplePos x="0" y="0"/>
                <wp:positionH relativeFrom="column">
                  <wp:posOffset>3667125</wp:posOffset>
                </wp:positionH>
                <wp:positionV relativeFrom="paragraph">
                  <wp:posOffset>36195</wp:posOffset>
                </wp:positionV>
                <wp:extent cx="552450" cy="0"/>
                <wp:effectExtent l="9525" t="55880" r="19050" b="58420"/>
                <wp:wrapNone/>
                <wp:docPr id="180" name="AutoShape 141"/>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tailEnd type="triangle" w="med" len="med"/>
                        </a:ln>
                      </wps:spPr>
                      <wps:bodyPr/>
                    </wps:wsp>
                  </a:graphicData>
                </a:graphic>
              </wp:anchor>
            </w:drawing>
          </mc:Choice>
          <mc:Fallback>
            <w:pict>
              <v:shape id="AutoShape 141" o:spid="_x0000_s1026" o:spt="32" type="#_x0000_t32" style="position:absolute;left:0pt;margin-left:288.75pt;margin-top:2.85pt;height:0pt;width:43.5pt;z-index:251744256;mso-width-relative:page;mso-height-relative:page;" filled="f" stroked="t" coordsize="21600,21600" o:gfxdata="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LXnINUAAAAHAQAADwAAAAAAAAABACAAAAAi&#10;AAAAZHJzL2Rvd25yZXYueG1sUEsBAhQAFAAAAAgAh07iQDOcr1rUAQAAlQMAAA4AAAAAAAAAAQAg&#10;AAAAJAEAAGRycy9lMm9Eb2MueG1sUEsFBgAAAAAGAAYAWQEAAGoFAAAAAA==&#10;">
                <v:fill on="f" focussize="0,0"/>
                <v:stroke color="#000000" joinstyle="round"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55520" behindDoc="0" locked="0" layoutInCell="1" allowOverlap="1">
                <wp:simplePos x="0" y="0"/>
                <wp:positionH relativeFrom="column">
                  <wp:posOffset>4739005</wp:posOffset>
                </wp:positionH>
                <wp:positionV relativeFrom="paragraph">
                  <wp:posOffset>220345</wp:posOffset>
                </wp:positionV>
                <wp:extent cx="0" cy="164465"/>
                <wp:effectExtent l="52705" t="13335" r="61595" b="22225"/>
                <wp:wrapNone/>
                <wp:docPr id="179" name="AutoShape 154"/>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AutoShape 154" o:spid="_x0000_s1026" o:spt="32" type="#_x0000_t32" style="position:absolute;left:0pt;margin-left:373.15pt;margin-top:17.35pt;height:12.95pt;width:0pt;z-index:251755520;mso-width-relative:page;mso-height-relative:page;" filled="f" stroked="t" coordsize="21600,21600" o:gfxdata="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1m/ADVAAAACQEAAA8A&#10;AAAAAAAAAQAgAAAAIgAAAGRycy9kb3ducmV2LnhtbFBLAQIUABQAAAAIAIdO4kCbS6Nh4QEAAK0D&#10;AAAOAAAAAAAAAAEAIAAAACQBAABkcnMvZTJvRG9jLnhtbFBLBQYAAAAABgAGAFkBAAB3BQAAAAA=&#10;">
                <v:fill on="f" focussize="0,0"/>
                <v:stroke color="#000000" joinstyle="round" dashstyle="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54496" behindDoc="0" locked="0" layoutInCell="1" allowOverlap="1">
                <wp:simplePos x="0" y="0"/>
                <wp:positionH relativeFrom="column">
                  <wp:posOffset>3094355</wp:posOffset>
                </wp:positionH>
                <wp:positionV relativeFrom="paragraph">
                  <wp:posOffset>220345</wp:posOffset>
                </wp:positionV>
                <wp:extent cx="1644650" cy="0"/>
                <wp:effectExtent l="8255" t="13335" r="13970" b="5715"/>
                <wp:wrapNone/>
                <wp:docPr id="178" name="AutoShape 153"/>
                <wp:cNvGraphicFramePr/>
                <a:graphic xmlns:a="http://schemas.openxmlformats.org/drawingml/2006/main">
                  <a:graphicData uri="http://schemas.microsoft.com/office/word/2010/wordprocessingShape">
                    <wps:wsp>
                      <wps:cNvCnPr>
                        <a:cxnSpLocks noChangeShapeType="1"/>
                      </wps:cNvCnPr>
                      <wps:spPr bwMode="auto">
                        <a:xfrm>
                          <a:off x="0" y="0"/>
                          <a:ext cx="1644650" cy="0"/>
                        </a:xfrm>
                        <a:prstGeom prst="straightConnector1">
                          <a:avLst/>
                        </a:prstGeom>
                        <a:noFill/>
                        <a:ln w="9525">
                          <a:solidFill>
                            <a:srgbClr val="000000"/>
                          </a:solidFill>
                          <a:prstDash val="dash"/>
                          <a:round/>
                        </a:ln>
                      </wps:spPr>
                      <wps:bodyPr/>
                    </wps:wsp>
                  </a:graphicData>
                </a:graphic>
              </wp:anchor>
            </w:drawing>
          </mc:Choice>
          <mc:Fallback>
            <w:pict>
              <v:shape id="AutoShape 153" o:spid="_x0000_s1026" o:spt="32" type="#_x0000_t32" style="position:absolute;left:0pt;margin-left:243.65pt;margin-top:17.35pt;height:0pt;width:129.5pt;z-index:251754496;mso-width-relative:page;mso-height-relative:page;" filled="f" stroked="t" coordsize="21600,21600" o:gfxdata="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sI4Eh1wAAAAkBAAAPAAAAAAAAAAEAIAAAACIAAABkcnMvZG93&#10;bnJldi54bWxQSwECFAAUAAAACACHTuJAFtp5usgBAACAAwAADgAAAAAAAAABACAAAAAmAQAAZHJz&#10;L2Uyb0RvYy54bWxQSwUGAAAAAAYABgBZAQAAYAUAAAAA&#10;">
                <v:fill on="f" focussize="0,0"/>
                <v:stroke color="#000000" joinstyle="round" dashstyle="dash"/>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51424" behindDoc="0" locked="0" layoutInCell="1" allowOverlap="1">
                <wp:simplePos x="0" y="0"/>
                <wp:positionH relativeFrom="column">
                  <wp:posOffset>1019175</wp:posOffset>
                </wp:positionH>
                <wp:positionV relativeFrom="paragraph">
                  <wp:posOffset>247650</wp:posOffset>
                </wp:positionV>
                <wp:extent cx="179705" cy="6985"/>
                <wp:effectExtent l="9525" t="61595" r="20320" b="45720"/>
                <wp:wrapNone/>
                <wp:docPr id="177" name="AutoShape 148"/>
                <wp:cNvGraphicFramePr/>
                <a:graphic xmlns:a="http://schemas.openxmlformats.org/drawingml/2006/main">
                  <a:graphicData uri="http://schemas.microsoft.com/office/word/2010/wordprocessingShape">
                    <wps:wsp>
                      <wps:cNvCnPr>
                        <a:cxnSpLocks noChangeShapeType="1"/>
                      </wps:cNvCnPr>
                      <wps:spPr bwMode="auto">
                        <a:xfrm flipV="1">
                          <a:off x="0" y="0"/>
                          <a:ext cx="179705" cy="6985"/>
                        </a:xfrm>
                        <a:prstGeom prst="straightConnector1">
                          <a:avLst/>
                        </a:prstGeom>
                        <a:noFill/>
                        <a:ln w="9525">
                          <a:solidFill>
                            <a:srgbClr val="000000"/>
                          </a:solidFill>
                          <a:round/>
                          <a:tailEnd type="triangle" w="med" len="med"/>
                        </a:ln>
                      </wps:spPr>
                      <wps:bodyPr/>
                    </wps:wsp>
                  </a:graphicData>
                </a:graphic>
              </wp:anchor>
            </w:drawing>
          </mc:Choice>
          <mc:Fallback>
            <w:pict>
              <v:shape id="AutoShape 148" o:spid="_x0000_s1026" o:spt="32" type="#_x0000_t32" style="position:absolute;left:0pt;flip:y;margin-left:80.25pt;margin-top:19.5pt;height:0.55pt;width:14.15pt;z-index:251751424;mso-width-relative:page;mso-height-relative:page;" filled="f" stroked="t" coordsize="21600,21600" o:gfxdata="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aiBKnXAAAACQEAAA8A&#10;AAAAAAAAAQAgAAAAIgAAAGRycy9kb3ducmV2LnhtbFBLAQIUABQAAAAIAIdO4kBqQ0kt3wEAAKID&#10;AAAOAAAAAAAAAAEAIAAAACYBAABkcnMvZTJvRG9jLnhtbFBLBQYAAAAABgAGAFkBAAB3BQ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45280" behindDoc="0" locked="0" layoutInCell="1" allowOverlap="1">
                <wp:simplePos x="0" y="0"/>
                <wp:positionH relativeFrom="column">
                  <wp:posOffset>3676650</wp:posOffset>
                </wp:positionH>
                <wp:positionV relativeFrom="paragraph">
                  <wp:posOffset>238125</wp:posOffset>
                </wp:positionV>
                <wp:extent cx="561975" cy="6985"/>
                <wp:effectExtent l="9525" t="61595" r="19050" b="45720"/>
                <wp:wrapNone/>
                <wp:docPr id="176" name="AutoShape 142"/>
                <wp:cNvGraphicFramePr/>
                <a:graphic xmlns:a="http://schemas.openxmlformats.org/drawingml/2006/main">
                  <a:graphicData uri="http://schemas.microsoft.com/office/word/2010/wordprocessingShape">
                    <wps:wsp>
                      <wps:cNvCnPr>
                        <a:cxnSpLocks noChangeShapeType="1"/>
                      </wps:cNvCnPr>
                      <wps:spPr bwMode="auto">
                        <a:xfrm flipV="1">
                          <a:off x="0" y="0"/>
                          <a:ext cx="561975" cy="6985"/>
                        </a:xfrm>
                        <a:prstGeom prst="straightConnector1">
                          <a:avLst/>
                        </a:prstGeom>
                        <a:noFill/>
                        <a:ln w="9525">
                          <a:solidFill>
                            <a:srgbClr val="000000"/>
                          </a:solidFill>
                          <a:round/>
                          <a:tailEnd type="triangle" w="med" len="med"/>
                        </a:ln>
                      </wps:spPr>
                      <wps:bodyPr/>
                    </wps:wsp>
                  </a:graphicData>
                </a:graphic>
              </wp:anchor>
            </w:drawing>
          </mc:Choice>
          <mc:Fallback>
            <w:pict>
              <v:shape id="AutoShape 142" o:spid="_x0000_s1026" o:spt="32" type="#_x0000_t32" style="position:absolute;left:0pt;flip:y;margin-left:289.5pt;margin-top:18.75pt;height:0.55pt;width:44.25pt;z-index:251745280;mso-width-relative:page;mso-height-relative:page;" filled="f" stroked="t" coordsize="21600,21600" o:gfxdata="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jeQoNkAAAAJAQAA&#10;DwAAAAAAAAABACAAAAAiAAAAZHJzL2Rvd25yZXYueG1sUEsBAhQAFAAAAAgAh07iQB6AkdbfAQAA&#10;ogMAAA4AAAAAAAAAAQAgAAAAKAEAAGRycy9lMm9Eb2MueG1sUEsFBgAAAAAGAAYAWQEAAHkFAAAA&#10;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41184" behindDoc="0" locked="0" layoutInCell="1" allowOverlap="1">
                <wp:simplePos x="0" y="0"/>
                <wp:positionH relativeFrom="column">
                  <wp:posOffset>2286000</wp:posOffset>
                </wp:positionH>
                <wp:positionV relativeFrom="paragraph">
                  <wp:posOffset>245110</wp:posOffset>
                </wp:positionV>
                <wp:extent cx="333375" cy="0"/>
                <wp:effectExtent l="9525" t="59055" r="19050" b="55245"/>
                <wp:wrapNone/>
                <wp:docPr id="175" name="AutoShape 138"/>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AutoShape 138" o:spid="_x0000_s1026" o:spt="32" type="#_x0000_t32" style="position:absolute;left:0pt;margin-left:180pt;margin-top:19.3pt;height:0pt;width:26.25pt;z-index:251741184;mso-width-relative:page;mso-height-relative:page;" filled="f" stroked="t" coordsize="21600,21600" o:gfxdata="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LaPSPZAAAACQEAAA8AAAAAAAAAAQAg&#10;AAAAIgAAAGRycy9kb3ducmV2LnhtbFBLAQIUABQAAAAIAIdO4kAfOWox1AEAAJUDAAAOAAAAAAAA&#10;AAEAIAAAACgBAABkcnMvZTJvRG9jLnhtbFBLBQYAAAAABgAGAFkBAABuBQ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37088" behindDoc="0" locked="0" layoutInCell="1" allowOverlap="1">
                <wp:simplePos x="0" y="0"/>
                <wp:positionH relativeFrom="column">
                  <wp:posOffset>4229100</wp:posOffset>
                </wp:positionH>
                <wp:positionV relativeFrom="paragraph">
                  <wp:posOffset>87630</wp:posOffset>
                </wp:positionV>
                <wp:extent cx="1066800" cy="304800"/>
                <wp:effectExtent l="9525" t="6350" r="9525" b="12700"/>
                <wp:wrapNone/>
                <wp:docPr id="174" name="Text Box 134"/>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填方1.06万m</w:t>
                            </w:r>
                            <w:r>
                              <w:rPr>
                                <w:rFonts w:hint="eastAsia"/>
                                <w:szCs w:val="21"/>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34" o:spid="_x0000_s1026" o:spt="202" type="#_x0000_t202" style="position:absolute;left:0pt;margin-left:333pt;margin-top:6.9pt;height:24pt;width:84pt;z-index:251737088;mso-width-relative:page;mso-height-relative:page;" fillcolor="#FFFFFF" filled="t" stroked="t" coordsize="21600,21600" o:gfxdata="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tAWE1wAAAAkBAAAPAAAA&#10;AAAAAAEAIAAAACIAAABkcnMvZG93bnJldi54bWxQSwECFAAUAAAACACHTuJAjw+o2xYCAAA8BAAA&#10;DgAAAAAAAAABACAAAAAmAQAAZHJzL2Uyb0RvYy54bWxQSwUGAAAAAAYABgBZAQAArgUAAAAA&#10;">
                <v:fill on="t" focussize="0,0"/>
                <v:stroke color="#000000" miterlimit="8" joinstyle="miter"/>
                <v:imagedata o:title=""/>
                <o:lock v:ext="edit" aspectratio="f"/>
                <v:textbox>
                  <w:txbxContent>
                    <w:p>
                      <w:pPr>
                        <w:spacing w:line="240" w:lineRule="atLeast"/>
                        <w:jc w:val="left"/>
                        <w:rPr>
                          <w:szCs w:val="21"/>
                        </w:rPr>
                      </w:pPr>
                      <w:r>
                        <w:rPr>
                          <w:rFonts w:hint="eastAsia"/>
                          <w:szCs w:val="21"/>
                        </w:rPr>
                        <w:t>填方1.06万m</w:t>
                      </w:r>
                      <w:r>
                        <w:rPr>
                          <w:rFonts w:hint="eastAsia"/>
                          <w:szCs w:val="21"/>
                          <w:vertAlign w:val="superscript"/>
                        </w:rPr>
                        <w:t>3</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32992" behindDoc="0" locked="0" layoutInCell="1" allowOverlap="1">
                <wp:simplePos x="0" y="0"/>
                <wp:positionH relativeFrom="column">
                  <wp:posOffset>2609850</wp:posOffset>
                </wp:positionH>
                <wp:positionV relativeFrom="paragraph">
                  <wp:posOffset>87630</wp:posOffset>
                </wp:positionV>
                <wp:extent cx="1066800" cy="304800"/>
                <wp:effectExtent l="9525" t="6350" r="9525" b="12700"/>
                <wp:wrapNone/>
                <wp:docPr id="173" name="Text Box 130"/>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挖方0.69万m</w:t>
                            </w:r>
                            <w:r>
                              <w:rPr>
                                <w:rFonts w:hint="eastAsia"/>
                                <w:szCs w:val="21"/>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30" o:spid="_x0000_s1026" o:spt="202" type="#_x0000_t202" style="position:absolute;left:0pt;margin-left:205.5pt;margin-top:6.9pt;height:24pt;width:84pt;z-index:251732992;mso-width-relative:page;mso-height-relative:page;" fillcolor="#FFFFFF" filled="t" stroked="t" coordsize="21600,21600" o:gfxdata="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QcyG2AAAAAkBAAAPAAAA&#10;AAAAAAEAIAAAACIAAABkcnMvZG93bnJldi54bWxQSwECFAAUAAAACACHTuJANYn+pBUCAAA8BAAA&#10;DgAAAAAAAAABACAAAAAnAQAAZHJzL2Uyb0RvYy54bWxQSwUGAAAAAAYABgBZAQAArgUAAAAA&#10;">
                <v:fill on="t" focussize="0,0"/>
                <v:stroke color="#000000" miterlimit="8" joinstyle="miter"/>
                <v:imagedata o:title=""/>
                <o:lock v:ext="edit" aspectratio="f"/>
                <v:textbox>
                  <w:txbxContent>
                    <w:p>
                      <w:pPr>
                        <w:spacing w:line="240" w:lineRule="atLeast"/>
                        <w:jc w:val="left"/>
                        <w:rPr>
                          <w:szCs w:val="21"/>
                        </w:rPr>
                      </w:pPr>
                      <w:r>
                        <w:rPr>
                          <w:rFonts w:hint="eastAsia"/>
                          <w:szCs w:val="21"/>
                        </w:rPr>
                        <w:t>挖方0.69万m</w:t>
                      </w:r>
                      <w:r>
                        <w:rPr>
                          <w:rFonts w:hint="eastAsia"/>
                          <w:szCs w:val="21"/>
                          <w:vertAlign w:val="superscript"/>
                        </w:rPr>
                        <w:t>3</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28896" behindDoc="0" locked="0" layoutInCell="1" allowOverlap="1">
                <wp:simplePos x="0" y="0"/>
                <wp:positionH relativeFrom="column">
                  <wp:posOffset>1200150</wp:posOffset>
                </wp:positionH>
                <wp:positionV relativeFrom="paragraph">
                  <wp:posOffset>97155</wp:posOffset>
                </wp:positionV>
                <wp:extent cx="1085850" cy="304800"/>
                <wp:effectExtent l="9525" t="6350" r="9525" b="12700"/>
                <wp:wrapNone/>
                <wp:docPr id="172" name="Text Box 126"/>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道路及硬化区</w:t>
                            </w:r>
                          </w:p>
                        </w:txbxContent>
                      </wps:txbx>
                      <wps:bodyPr rot="0" vert="horz" wrap="square" lIns="91440" tIns="45720" rIns="91440" bIns="45720" anchor="t" anchorCtr="0" upright="1">
                        <a:noAutofit/>
                      </wps:bodyPr>
                    </wps:wsp>
                  </a:graphicData>
                </a:graphic>
              </wp:anchor>
            </w:drawing>
          </mc:Choice>
          <mc:Fallback>
            <w:pict>
              <v:shape id="Text Box 126" o:spid="_x0000_s1026" o:spt="202" type="#_x0000_t202" style="position:absolute;left:0pt;margin-left:94.5pt;margin-top:7.65pt;height:24pt;width:85.5pt;z-index:251728896;mso-width-relative:page;mso-height-relative:page;" fillcolor="#FFFFFF" filled="t" stroked="t" coordsize="21600,21600" o:gfxdata="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pEWc2AAAAAkBAAAP&#10;AAAAAAAAAAEAIAAAACIAAABkcnMvZG93bnJldi54bWxQSwECFAAUAAAACACHTuJAv5iGjBgCAAA8&#10;BAAADgAAAAAAAAABACAAAAAnAQAAZHJzL2Uyb0RvYy54bWxQSwUGAAAAAAYABgBZAQAAsQUAAAAA&#10;">
                <v:fill on="t" focussize="0,0"/>
                <v:stroke color="#000000" miterlimit="8" joinstyle="miter"/>
                <v:imagedata o:title=""/>
                <o:lock v:ext="edit" aspectratio="f"/>
                <v:textbox>
                  <w:txbxContent>
                    <w:p>
                      <w:pPr>
                        <w:spacing w:line="240" w:lineRule="atLeast"/>
                        <w:jc w:val="left"/>
                        <w:rPr>
                          <w:szCs w:val="21"/>
                        </w:rPr>
                      </w:pPr>
                      <w:r>
                        <w:rPr>
                          <w:rFonts w:hint="eastAsia"/>
                          <w:szCs w:val="21"/>
                        </w:rPr>
                        <w:t>道路及硬化区</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26848" behindDoc="0" locked="0" layoutInCell="1" allowOverlap="1">
                <wp:simplePos x="0" y="0"/>
                <wp:positionH relativeFrom="column">
                  <wp:posOffset>-28575</wp:posOffset>
                </wp:positionH>
                <wp:positionV relativeFrom="paragraph">
                  <wp:posOffset>238125</wp:posOffset>
                </wp:positionV>
                <wp:extent cx="876300" cy="304800"/>
                <wp:effectExtent l="9525" t="13970" r="9525" b="5080"/>
                <wp:wrapNone/>
                <wp:docPr id="171" name="Text Box 124"/>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工程建设区</w:t>
                            </w:r>
                          </w:p>
                        </w:txbxContent>
                      </wps:txbx>
                      <wps:bodyPr rot="0" vert="horz" wrap="square" lIns="91440" tIns="45720" rIns="91440" bIns="45720" anchor="t" anchorCtr="0" upright="1">
                        <a:noAutofit/>
                      </wps:bodyPr>
                    </wps:wsp>
                  </a:graphicData>
                </a:graphic>
              </wp:anchor>
            </w:drawing>
          </mc:Choice>
          <mc:Fallback>
            <w:pict>
              <v:shape id="Text Box 124" o:spid="_x0000_s1026" o:spt="202" type="#_x0000_t202" style="position:absolute;left:0pt;margin-left:-2.25pt;margin-top:18.75pt;height:24pt;width:69pt;z-index:251726848;mso-width-relative:page;mso-height-relative:page;" fillcolor="#FFFFFF" filled="t" stroked="t" coordsize="21600,21600" o:gfxdata="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HTFa9cAAAAIAQAADwAAAAAA&#10;AAABACAAAAAiAAAAZHJzL2Rvd25yZXYueG1sUEsBAhQAFAAAAAgAh07iQPF1mMcUAgAAOwQAAA4A&#10;AAAAAAAAAQAgAAAAJgEAAGRycy9lMm9Eb2MueG1sUEsFBgAAAAAGAAYAWQEAAKwFAAAAAA==&#10;">
                <v:fill on="t" focussize="0,0"/>
                <v:stroke color="#000000" miterlimit="8" joinstyle="miter"/>
                <v:imagedata o:title=""/>
                <o:lock v:ext="edit" aspectratio="f"/>
                <v:textbox>
                  <w:txbxContent>
                    <w:p>
                      <w:pPr>
                        <w:spacing w:line="240" w:lineRule="atLeast"/>
                        <w:jc w:val="left"/>
                        <w:rPr>
                          <w:szCs w:val="21"/>
                        </w:rPr>
                      </w:pPr>
                      <w:r>
                        <w:rPr>
                          <w:rFonts w:hint="eastAsia"/>
                          <w:szCs w:val="21"/>
                        </w:rPr>
                        <w:t>工程建设区</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38112" behindDoc="0" locked="0" layoutInCell="1" allowOverlap="1">
                <wp:simplePos x="0" y="0"/>
                <wp:positionH relativeFrom="column">
                  <wp:posOffset>4238625</wp:posOffset>
                </wp:positionH>
                <wp:positionV relativeFrom="paragraph">
                  <wp:posOffset>288290</wp:posOffset>
                </wp:positionV>
                <wp:extent cx="1066800" cy="304800"/>
                <wp:effectExtent l="9525" t="8890" r="9525" b="10160"/>
                <wp:wrapNone/>
                <wp:docPr id="170" name="Text Box 135"/>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填方1.64万m</w:t>
                            </w:r>
                            <w:r>
                              <w:rPr>
                                <w:rFonts w:hint="eastAsia"/>
                                <w:szCs w:val="21"/>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35" o:spid="_x0000_s1026" o:spt="202" type="#_x0000_t202" style="position:absolute;left:0pt;margin-left:333.75pt;margin-top:22.7pt;height:24pt;width:84pt;z-index:251738112;mso-width-relative:page;mso-height-relative:page;" fillcolor="#FFFFFF" filled="t" stroked="t" coordsize="21600,21600" o:gfxdata="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LZ759kAAAAJAQAADwAA&#10;AAAAAAABACAAAAAiAAAAZHJzL2Rvd25yZXYueG1sUEsBAhQAFAAAAAgAh07iQAIFRoUVAgAAPAQA&#10;AA4AAAAAAAAAAQAgAAAAKAEAAGRycy9lMm9Eb2MueG1sUEsFBgAAAAAGAAYAWQEAAK8FAAAAAA==&#10;">
                <v:fill on="t" focussize="0,0"/>
                <v:stroke color="#000000" miterlimit="8" joinstyle="miter"/>
                <v:imagedata o:title=""/>
                <o:lock v:ext="edit" aspectratio="f"/>
                <v:textbox>
                  <w:txbxContent>
                    <w:p>
                      <w:pPr>
                        <w:spacing w:line="240" w:lineRule="atLeast"/>
                        <w:jc w:val="left"/>
                        <w:rPr>
                          <w:szCs w:val="21"/>
                        </w:rPr>
                      </w:pPr>
                      <w:r>
                        <w:rPr>
                          <w:rFonts w:hint="eastAsia"/>
                          <w:szCs w:val="21"/>
                        </w:rPr>
                        <w:t>填方1.64万m</w:t>
                      </w:r>
                      <w:r>
                        <w:rPr>
                          <w:rFonts w:hint="eastAsia"/>
                          <w:szCs w:val="21"/>
                          <w:vertAlign w:val="superscript"/>
                        </w:rPr>
                        <w:t>3</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50400" behindDoc="0" locked="0" layoutInCell="1" allowOverlap="1">
                <wp:simplePos x="0" y="0"/>
                <wp:positionH relativeFrom="column">
                  <wp:posOffset>1026160</wp:posOffset>
                </wp:positionH>
                <wp:positionV relativeFrom="paragraph">
                  <wp:posOffset>149225</wp:posOffset>
                </wp:positionV>
                <wp:extent cx="179705" cy="6985"/>
                <wp:effectExtent l="6985" t="62230" r="22860" b="45085"/>
                <wp:wrapNone/>
                <wp:docPr id="169" name="AutoShape 147"/>
                <wp:cNvGraphicFramePr/>
                <a:graphic xmlns:a="http://schemas.openxmlformats.org/drawingml/2006/main">
                  <a:graphicData uri="http://schemas.microsoft.com/office/word/2010/wordprocessingShape">
                    <wps:wsp>
                      <wps:cNvCnPr>
                        <a:cxnSpLocks noChangeShapeType="1"/>
                      </wps:cNvCnPr>
                      <wps:spPr bwMode="auto">
                        <a:xfrm flipV="1">
                          <a:off x="0" y="0"/>
                          <a:ext cx="179705" cy="6985"/>
                        </a:xfrm>
                        <a:prstGeom prst="straightConnector1">
                          <a:avLst/>
                        </a:prstGeom>
                        <a:noFill/>
                        <a:ln w="9525">
                          <a:solidFill>
                            <a:srgbClr val="000000"/>
                          </a:solidFill>
                          <a:round/>
                          <a:tailEnd type="triangle" w="med" len="med"/>
                        </a:ln>
                      </wps:spPr>
                      <wps:bodyPr/>
                    </wps:wsp>
                  </a:graphicData>
                </a:graphic>
              </wp:anchor>
            </w:drawing>
          </mc:Choice>
          <mc:Fallback>
            <w:pict>
              <v:shape id="AutoShape 147" o:spid="_x0000_s1026" o:spt="32" type="#_x0000_t32" style="position:absolute;left:0pt;flip:y;margin-left:80.8pt;margin-top:11.75pt;height:0.55pt;width:14.15pt;z-index:251750400;mso-width-relative:page;mso-height-relative:page;" filled="f" stroked="t" coordsize="21600,21600" o:gfxdata="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1taLP2AAAAAkBAAAP&#10;AAAAAAAAAAEAIAAAACIAAABkcnMvZG93bnJldi54bWxQSwECFAAUAAAACACHTuJAH1560N8BAACi&#10;AwAADgAAAAAAAAABACAAAAAnAQAAZHJzL2Uyb0RvYy54bWxQSwUGAAAAAAYABgBZAQAAeAU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46304" behindDoc="0" locked="0" layoutInCell="1" allowOverlap="1">
                <wp:simplePos x="0" y="0"/>
                <wp:positionH relativeFrom="column">
                  <wp:posOffset>3686175</wp:posOffset>
                </wp:positionH>
                <wp:positionV relativeFrom="paragraph">
                  <wp:posOffset>142875</wp:posOffset>
                </wp:positionV>
                <wp:extent cx="552450" cy="0"/>
                <wp:effectExtent l="9525" t="55880" r="19050" b="58420"/>
                <wp:wrapNone/>
                <wp:docPr id="168" name="AutoShape 143"/>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tailEnd type="triangle" w="med" len="med"/>
                        </a:ln>
                      </wps:spPr>
                      <wps:bodyPr/>
                    </wps:wsp>
                  </a:graphicData>
                </a:graphic>
              </wp:anchor>
            </w:drawing>
          </mc:Choice>
          <mc:Fallback>
            <w:pict>
              <v:shape id="AutoShape 143" o:spid="_x0000_s1026" o:spt="32" type="#_x0000_t32" style="position:absolute;left:0pt;margin-left:290.25pt;margin-top:11.25pt;height:0pt;width:43.5pt;z-index:251746304;mso-width-relative:page;mso-height-relative:page;" filled="f" stroked="t" coordsize="21600,21600" o:gfxdata="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bRu5fXAAAACQEAAA8AAAAAAAAAAQAg&#10;AAAAIgAAAGRycy9kb3ducmV2LnhtbFBLAQIUABQAAAAIAIdO4kAObXwS1gEAAJUDAAAOAAAAAAAA&#10;AAEAIAAAACYBAABkcnMvZTJvRG9jLnhtbFBLBQYAAAAABgAGAFkBAABuBQ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42208" behindDoc="0" locked="0" layoutInCell="1" allowOverlap="1">
                <wp:simplePos x="0" y="0"/>
                <wp:positionH relativeFrom="column">
                  <wp:posOffset>2076450</wp:posOffset>
                </wp:positionH>
                <wp:positionV relativeFrom="paragraph">
                  <wp:posOffset>142875</wp:posOffset>
                </wp:positionV>
                <wp:extent cx="542925" cy="0"/>
                <wp:effectExtent l="9525" t="55880" r="19050" b="58420"/>
                <wp:wrapNone/>
                <wp:docPr id="167" name="AutoShape 139"/>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tailEnd type="triangle" w="med" len="med"/>
                        </a:ln>
                      </wps:spPr>
                      <wps:bodyPr/>
                    </wps:wsp>
                  </a:graphicData>
                </a:graphic>
              </wp:anchor>
            </w:drawing>
          </mc:Choice>
          <mc:Fallback>
            <w:pict>
              <v:shape id="AutoShape 139" o:spid="_x0000_s1026" o:spt="32" type="#_x0000_t32" style="position:absolute;left:0pt;margin-left:163.5pt;margin-top:11.25pt;height:0pt;width:42.75pt;z-index:251742208;mso-width-relative:page;mso-height-relative:page;" filled="f" stroked="t" coordsize="21600,21600" o:gfxdata="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9waxf2QAAAAkBAAAPAAAAAAAAAAEA&#10;IAAAACIAAABkcnMvZG93bnJldi54bWxQSwECFAAUAAAACACHTuJApLagINUBAACVAwAADgAAAAAA&#10;AAABACAAAAAoAQAAZHJzL2Uyb0RvYy54bWxQSwUGAAAAAAYABgBZAQAAbwU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34016" behindDoc="0" locked="0" layoutInCell="1" allowOverlap="1">
                <wp:simplePos x="0" y="0"/>
                <wp:positionH relativeFrom="column">
                  <wp:posOffset>2619375</wp:posOffset>
                </wp:positionH>
                <wp:positionV relativeFrom="paragraph">
                  <wp:posOffset>-1905</wp:posOffset>
                </wp:positionV>
                <wp:extent cx="1066800" cy="304800"/>
                <wp:effectExtent l="9525" t="6350" r="9525" b="12700"/>
                <wp:wrapNone/>
                <wp:docPr id="166" name="Text Box 131"/>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挖方0.39万m</w:t>
                            </w:r>
                            <w:r>
                              <w:rPr>
                                <w:rFonts w:hint="eastAsia"/>
                                <w:szCs w:val="21"/>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31" o:spid="_x0000_s1026" o:spt="202" type="#_x0000_t202" style="position:absolute;left:0pt;margin-left:206.25pt;margin-top:-0.15pt;height:24pt;width:84pt;z-index:251734016;mso-width-relative:page;mso-height-relative:page;" fillcolor="#FFFFFF" filled="t" stroked="t" coordsize="21600,21600" o:gfxdata="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zJw1tcAAAAIAQAADwAA&#10;AAAAAAABACAAAAAiAAAAZHJzL2Rvd25yZXYueG1sUEsBAhQAFAAAAAgAh07iQEfuFyYXAgAAPAQA&#10;AA4AAAAAAAAAAQAgAAAAJgEAAGRycy9lMm9Eb2MueG1sUEsFBgAAAAAGAAYAWQEAAK8FAAAAAA==&#10;">
                <v:fill on="t" focussize="0,0"/>
                <v:stroke color="#000000" miterlimit="8" joinstyle="miter"/>
                <v:imagedata o:title=""/>
                <o:lock v:ext="edit" aspectratio="f"/>
                <v:textbox>
                  <w:txbxContent>
                    <w:p>
                      <w:pPr>
                        <w:spacing w:line="240" w:lineRule="atLeast"/>
                        <w:jc w:val="left"/>
                        <w:rPr>
                          <w:szCs w:val="21"/>
                        </w:rPr>
                      </w:pPr>
                      <w:r>
                        <w:rPr>
                          <w:rFonts w:hint="eastAsia"/>
                          <w:szCs w:val="21"/>
                        </w:rPr>
                        <w:t>挖方0.39万m</w:t>
                      </w:r>
                      <w:r>
                        <w:rPr>
                          <w:rFonts w:hint="eastAsia"/>
                          <w:szCs w:val="21"/>
                          <w:vertAlign w:val="superscript"/>
                        </w:rPr>
                        <w:t>3</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29920" behindDoc="0" locked="0" layoutInCell="1" allowOverlap="1">
                <wp:simplePos x="0" y="0"/>
                <wp:positionH relativeFrom="column">
                  <wp:posOffset>1200150</wp:posOffset>
                </wp:positionH>
                <wp:positionV relativeFrom="paragraph">
                  <wp:posOffset>-1905</wp:posOffset>
                </wp:positionV>
                <wp:extent cx="876300" cy="304800"/>
                <wp:effectExtent l="9525" t="6350" r="9525" b="12700"/>
                <wp:wrapNone/>
                <wp:docPr id="165"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绿化区</w:t>
                            </w: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94.5pt;margin-top:-0.15pt;height:24pt;width:69pt;z-index:251729920;mso-width-relative:page;mso-height-relative:page;" fillcolor="#FFFFFF" filled="t" stroked="t" coordsize="21600,21600" o:gfxdata="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CurNcAAAAIAQAADwAAAAAA&#10;AAABACAAAAAiAAAAZHJzL2Rvd25yZXYueG1sUEsBAhQAFAAAAAgAh07iQATGRFkUAgAAOwQAAA4A&#10;AAAAAAAAAQAgAAAAJgEAAGRycy9lMm9Eb2MueG1sUEsFBgAAAAAGAAYAWQEAAKwFA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绿化区</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58592" behindDoc="0" locked="0" layoutInCell="1" allowOverlap="1">
                <wp:simplePos x="0" y="0"/>
                <wp:positionH relativeFrom="column">
                  <wp:posOffset>4029710</wp:posOffset>
                </wp:positionH>
                <wp:positionV relativeFrom="paragraph">
                  <wp:posOffset>27940</wp:posOffset>
                </wp:positionV>
                <wp:extent cx="856615" cy="304800"/>
                <wp:effectExtent l="10160" t="9525" r="9525" b="9525"/>
                <wp:wrapNone/>
                <wp:docPr id="164" name="Text Box 159"/>
                <wp:cNvGraphicFramePr/>
                <a:graphic xmlns:a="http://schemas.openxmlformats.org/drawingml/2006/main">
                  <a:graphicData uri="http://schemas.microsoft.com/office/word/2010/wordprocessingShape">
                    <wps:wsp>
                      <wps:cNvSpPr txBox="1">
                        <a:spLocks noChangeArrowheads="1"/>
                      </wps:cNvSpPr>
                      <wps:spPr bwMode="auto">
                        <a:xfrm>
                          <a:off x="0" y="0"/>
                          <a:ext cx="856615" cy="304800"/>
                        </a:xfrm>
                        <a:prstGeom prst="rect">
                          <a:avLst/>
                        </a:prstGeom>
                        <a:solidFill>
                          <a:srgbClr val="FFFFFF">
                            <a:alpha val="0"/>
                          </a:srgbClr>
                        </a:solidFill>
                        <a:ln w="9525">
                          <a:solidFill>
                            <a:schemeClr val="bg1">
                              <a:lumMod val="100000"/>
                              <a:lumOff val="0"/>
                            </a:schemeClr>
                          </a:solidFill>
                          <a:miter lim="800000"/>
                        </a:ln>
                      </wps:spPr>
                      <wps:txbx>
                        <w:txbxContent>
                          <w:p>
                            <w:pPr>
                              <w:spacing w:line="240" w:lineRule="atLeast"/>
                              <w:jc w:val="left"/>
                              <w:rPr>
                                <w:szCs w:val="21"/>
                              </w:rPr>
                            </w:pPr>
                            <w:r>
                              <w:rPr>
                                <w:rFonts w:hint="eastAsia"/>
                                <w:szCs w:val="21"/>
                              </w:rPr>
                              <w:t>1.25万m</w:t>
                            </w:r>
                            <w:r>
                              <w:rPr>
                                <w:rFonts w:hint="eastAsia"/>
                                <w:szCs w:val="21"/>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59" o:spid="_x0000_s1026" o:spt="202" type="#_x0000_t202" style="position:absolute;left:0pt;margin-left:317.3pt;margin-top:2.2pt;height:24pt;width:67.45pt;z-index:251758592;mso-width-relative:page;mso-height-relative:page;" fillcolor="#FFFFFF" filled="t" stroked="t" coordsize="21600,21600" o:gfxdata="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mxv7f2AAAAAgBAAAPAAAAAAAAAAEAIAAAACIAAABkcnMvZG93bnJldi54bWxQ&#10;SwECFAAUAAAACACHTuJAPMhDPTACAACOBAAADgAAAAAAAAABACAAAAAnAQAAZHJzL2Uyb0RvYy54&#10;bWxQSwUGAAAAAAYABgBZAQAAyQUAAAAA&#10;">
                <v:fill on="t" opacity="0f" focussize="0,0"/>
                <v:stroke color="#FFFFFF [3228]" miterlimit="8" joinstyle="miter"/>
                <v:imagedata o:title=""/>
                <o:lock v:ext="edit" aspectratio="f"/>
                <v:textbox>
                  <w:txbxContent>
                    <w:p>
                      <w:pPr>
                        <w:spacing w:line="240" w:lineRule="atLeast"/>
                        <w:jc w:val="left"/>
                        <w:rPr>
                          <w:szCs w:val="21"/>
                        </w:rPr>
                      </w:pPr>
                      <w:r>
                        <w:rPr>
                          <w:rFonts w:hint="eastAsia"/>
                          <w:szCs w:val="21"/>
                        </w:rPr>
                        <w:t>1.25万m</w:t>
                      </w:r>
                      <w:r>
                        <w:rPr>
                          <w:rFonts w:hint="eastAsia"/>
                          <w:szCs w:val="21"/>
                          <w:vertAlign w:val="superscript"/>
                        </w:rPr>
                        <w:t>3</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56544" behindDoc="0" locked="0" layoutInCell="1" allowOverlap="1">
                <wp:simplePos x="0" y="0"/>
                <wp:positionH relativeFrom="column">
                  <wp:posOffset>4739005</wp:posOffset>
                </wp:positionH>
                <wp:positionV relativeFrom="paragraph">
                  <wp:posOffset>5715</wp:posOffset>
                </wp:positionV>
                <wp:extent cx="0" cy="337820"/>
                <wp:effectExtent l="52705" t="15875" r="61595" b="8255"/>
                <wp:wrapNone/>
                <wp:docPr id="163" name="AutoShape 157"/>
                <wp:cNvGraphicFramePr/>
                <a:graphic xmlns:a="http://schemas.openxmlformats.org/drawingml/2006/main">
                  <a:graphicData uri="http://schemas.microsoft.com/office/word/2010/wordprocessingShape">
                    <wps:wsp>
                      <wps:cNvCnPr>
                        <a:cxnSpLocks noChangeShapeType="1"/>
                      </wps:cNvCnPr>
                      <wps:spPr bwMode="auto">
                        <a:xfrm flipV="1">
                          <a:off x="0" y="0"/>
                          <a:ext cx="0" cy="337820"/>
                        </a:xfrm>
                        <a:prstGeom prst="straightConnector1">
                          <a:avLst/>
                        </a:prstGeom>
                        <a:noFill/>
                        <a:ln w="9525">
                          <a:solidFill>
                            <a:srgbClr val="000000"/>
                          </a:solidFill>
                          <a:prstDash val="dash"/>
                          <a:round/>
                          <a:tailEnd type="triangle" w="med" len="med"/>
                        </a:ln>
                      </wps:spPr>
                      <wps:bodyPr/>
                    </wps:wsp>
                  </a:graphicData>
                </a:graphic>
              </wp:anchor>
            </w:drawing>
          </mc:Choice>
          <mc:Fallback>
            <w:pict>
              <v:shape id="AutoShape 157" o:spid="_x0000_s1026" o:spt="32" type="#_x0000_t32" style="position:absolute;left:0pt;flip:y;margin-left:373.15pt;margin-top:0.45pt;height:26.6pt;width:0pt;z-index:251756544;mso-width-relative:page;mso-height-relative:page;" filled="f" stroked="t" coordsize="21600,21600" o:gfxdata="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6y25OdEAAAAHAQAA&#10;DwAAAAAAAAABACAAAAAiAAAAZHJzL2Rvd25yZXYueG1sUEsBAhQAFAAAAAgAh07iQLrZx7nnAQAA&#10;twMAAA4AAAAAAAAAAQAgAAAAIAEAAGRycy9lMm9Eb2MueG1sUEsFBgAAAAAGAAYAWQEAAHkFAAAA&#10;AA==&#10;">
                <v:fill on="f" focussize="0,0"/>
                <v:stroke color="#000000" joinstyle="round" dashstyle="dash"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49376" behindDoc="0" locked="0" layoutInCell="1" allowOverlap="1">
                <wp:simplePos x="0" y="0"/>
                <wp:positionH relativeFrom="column">
                  <wp:posOffset>1020445</wp:posOffset>
                </wp:positionH>
                <wp:positionV relativeFrom="paragraph">
                  <wp:posOffset>198755</wp:posOffset>
                </wp:positionV>
                <wp:extent cx="179705" cy="6985"/>
                <wp:effectExtent l="10795" t="58420" r="19050" b="48895"/>
                <wp:wrapNone/>
                <wp:docPr id="162" name="AutoShape 146"/>
                <wp:cNvGraphicFramePr/>
                <a:graphic xmlns:a="http://schemas.openxmlformats.org/drawingml/2006/main">
                  <a:graphicData uri="http://schemas.microsoft.com/office/word/2010/wordprocessingShape">
                    <wps:wsp>
                      <wps:cNvCnPr>
                        <a:cxnSpLocks noChangeShapeType="1"/>
                      </wps:cNvCnPr>
                      <wps:spPr bwMode="auto">
                        <a:xfrm flipV="1">
                          <a:off x="0" y="0"/>
                          <a:ext cx="179705" cy="6985"/>
                        </a:xfrm>
                        <a:prstGeom prst="straightConnector1">
                          <a:avLst/>
                        </a:prstGeom>
                        <a:noFill/>
                        <a:ln w="9525">
                          <a:solidFill>
                            <a:srgbClr val="000000"/>
                          </a:solidFill>
                          <a:round/>
                          <a:tailEnd type="triangle" w="med" len="med"/>
                        </a:ln>
                      </wps:spPr>
                      <wps:bodyPr/>
                    </wps:wsp>
                  </a:graphicData>
                </a:graphic>
              </wp:anchor>
            </w:drawing>
          </mc:Choice>
          <mc:Fallback>
            <w:pict>
              <v:shape id="AutoShape 146" o:spid="_x0000_s1026" o:spt="32" type="#_x0000_t32" style="position:absolute;left:0pt;flip:y;margin-left:80.35pt;margin-top:15.65pt;height:0.55pt;width:14.15pt;z-index:251749376;mso-width-relative:page;mso-height-relative:page;" filled="f" stroked="t" coordsize="21600,21600" o:gfxdata="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UoYb2AAAAAkBAAAP&#10;AAAAAAAAAAEAIAAAACIAAABkcnMvZG93bnJldi54bWxQSwECFAAUAAAACACHTuJASdg86d8BAACi&#10;AwAADgAAAAAAAAABACAAAAAnAQAAZHJzL2Uyb0RvYy54bWxQSwUGAAAAAAYABgBZAQAAeAU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39136" behindDoc="0" locked="0" layoutInCell="1" allowOverlap="1">
                <wp:simplePos x="0" y="0"/>
                <wp:positionH relativeFrom="column">
                  <wp:posOffset>4238625</wp:posOffset>
                </wp:positionH>
                <wp:positionV relativeFrom="paragraph">
                  <wp:posOffset>46355</wp:posOffset>
                </wp:positionV>
                <wp:extent cx="1066800" cy="304800"/>
                <wp:effectExtent l="9525" t="10795" r="9525" b="8255"/>
                <wp:wrapNone/>
                <wp:docPr id="161" name="Text Box 136"/>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表土临时堆场</w:t>
                            </w:r>
                          </w:p>
                        </w:txbxContent>
                      </wps:txbx>
                      <wps:bodyPr rot="0" vert="horz" wrap="square" lIns="91440" tIns="45720" rIns="91440" bIns="45720" anchor="t" anchorCtr="0" upright="1">
                        <a:noAutofit/>
                      </wps:bodyPr>
                    </wps:wsp>
                  </a:graphicData>
                </a:graphic>
              </wp:anchor>
            </w:drawing>
          </mc:Choice>
          <mc:Fallback>
            <w:pict>
              <v:shape id="Text Box 136" o:spid="_x0000_s1026" o:spt="202" type="#_x0000_t202" style="position:absolute;left:0pt;margin-left:333.75pt;margin-top:3.65pt;height:24pt;width:84pt;z-index:251739136;mso-width-relative:page;mso-height-relative:page;" fillcolor="#FFFFFF" filled="t" stroked="t" coordsize="21600,21600" o:gfxdata="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P1bXAAAACAEAAA8AAAAA&#10;AAAAAQAgAAAAIgAAAGRycy9kb3ducmV2LnhtbFBLAQIUABQAAAAIAIdO4kA8IxioFQIAADwEAAAO&#10;AAAAAAAAAAEAIAAAACYBAABkcnMvZTJvRG9jLnhtbFBLBQYAAAAABgAGAFkBAACtBQ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表土临时堆场</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47328" behindDoc="0" locked="0" layoutInCell="1" allowOverlap="1">
                <wp:simplePos x="0" y="0"/>
                <wp:positionH relativeFrom="column">
                  <wp:posOffset>3981450</wp:posOffset>
                </wp:positionH>
                <wp:positionV relativeFrom="paragraph">
                  <wp:posOffset>198755</wp:posOffset>
                </wp:positionV>
                <wp:extent cx="257175" cy="0"/>
                <wp:effectExtent l="9525" t="58420" r="19050" b="55880"/>
                <wp:wrapNone/>
                <wp:docPr id="160" name="AutoShape 144"/>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tailEnd type="triangle" w="med" len="med"/>
                        </a:ln>
                      </wps:spPr>
                      <wps:bodyPr/>
                    </wps:wsp>
                  </a:graphicData>
                </a:graphic>
              </wp:anchor>
            </w:drawing>
          </mc:Choice>
          <mc:Fallback>
            <w:pict>
              <v:shape id="AutoShape 144" o:spid="_x0000_s1026" o:spt="32" type="#_x0000_t32" style="position:absolute;left:0pt;margin-left:313.5pt;margin-top:15.65pt;height:0pt;width:20.25pt;z-index:251747328;mso-width-relative:page;mso-height-relative:page;" filled="f" stroked="t" coordsize="21600,21600" o:gfxdata="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DXA3bZAAAACQEAAA8AAAAAAAAA&#10;AQAgAAAAIgAAAGRycy9kb3ducmV2LnhtbFBLAQIUABQAAAAIAIdO4kDp6OUW1wEAAJUDAAAOAAAA&#10;AAAAAAEAIAAAACgBAABkcnMvZTJvRG9jLnhtbFBLBQYAAAAABgAGAFkBAABxBQ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43232" behindDoc="0" locked="0" layoutInCell="1" allowOverlap="1">
                <wp:simplePos x="0" y="0"/>
                <wp:positionH relativeFrom="column">
                  <wp:posOffset>2076450</wp:posOffset>
                </wp:positionH>
                <wp:positionV relativeFrom="paragraph">
                  <wp:posOffset>205740</wp:posOffset>
                </wp:positionV>
                <wp:extent cx="542925" cy="0"/>
                <wp:effectExtent l="9525" t="55880" r="19050" b="58420"/>
                <wp:wrapNone/>
                <wp:docPr id="159" name="AutoShape 140"/>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tailEnd type="triangle" w="med" len="med"/>
                        </a:ln>
                      </wps:spPr>
                      <wps:bodyPr/>
                    </wps:wsp>
                  </a:graphicData>
                </a:graphic>
              </wp:anchor>
            </w:drawing>
          </mc:Choice>
          <mc:Fallback>
            <w:pict>
              <v:shape id="AutoShape 140" o:spid="_x0000_s1026" o:spt="32" type="#_x0000_t32" style="position:absolute;left:0pt;margin-left:163.5pt;margin-top:16.2pt;height:0pt;width:42.75pt;z-index:251743232;mso-width-relative:page;mso-height-relative:page;" filled="f" stroked="t" coordsize="21600,21600" o:gfxdata="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zrbA/ZAAAACQEAAA8AAAAAAAAAAQAg&#10;AAAAIgAAAGRycy9kb3ducmV2LnhtbFBLAQIUABQAAAAIAIdO4kDWwfnu1AEAAJUDAAAOAAAAAAAA&#10;AAEAIAAAACgBAABkcnMvZTJvRG9jLnhtbFBLBQYAAAAABgAGAFkBAABuBQAAAAA=&#10;">
                <v:fill on="f" focussize="0,0"/>
                <v:stroke color="#000000" joinstyle="round"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35040" behindDoc="0" locked="0" layoutInCell="1" allowOverlap="1">
                <wp:simplePos x="0" y="0"/>
                <wp:positionH relativeFrom="column">
                  <wp:posOffset>2609850</wp:posOffset>
                </wp:positionH>
                <wp:positionV relativeFrom="paragraph">
                  <wp:posOffset>60960</wp:posOffset>
                </wp:positionV>
                <wp:extent cx="1371600" cy="304800"/>
                <wp:effectExtent l="9525" t="6350" r="9525" b="12700"/>
                <wp:wrapNone/>
                <wp:docPr id="158" name="Text Box 132"/>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solidFill>
                          <a:srgbClr val="FFFFFF"/>
                        </a:solidFill>
                        <a:ln w="9525">
                          <a:solidFill>
                            <a:srgbClr val="000000"/>
                          </a:solidFill>
                          <a:miter lim="800000"/>
                        </a:ln>
                      </wps:spPr>
                      <wps:txbx>
                        <w:txbxContent>
                          <w:p>
                            <w:pPr>
                              <w:spacing w:line="240" w:lineRule="atLeast"/>
                              <w:jc w:val="left"/>
                              <w:rPr>
                                <w:szCs w:val="21"/>
                              </w:rPr>
                            </w:pPr>
                            <w:r>
                              <w:rPr>
                                <w:rFonts w:hint="eastAsia"/>
                                <w:szCs w:val="21"/>
                              </w:rPr>
                              <w:t>剥离表土1.25万m</w:t>
                            </w:r>
                            <w:r>
                              <w:rPr>
                                <w:rFonts w:hint="eastAsia"/>
                                <w:szCs w:val="21"/>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32" o:spid="_x0000_s1026" o:spt="202" type="#_x0000_t202" style="position:absolute;left:0pt;margin-left:205.5pt;margin-top:4.8pt;height:24pt;width:108pt;z-index:251735040;mso-width-relative:page;mso-height-relative:page;" fillcolor="#FFFFFF" filled="t" stroked="t" coordsize="21600,21600" o:gfxdata="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BeTm1wAAAAgBAAAPAAAA&#10;AAAAAAEAIAAAACIAAABkcnMvZG93bnJldi54bWxQSwECFAAUAAAACACHTuJABzAe5RYCAAA8BAAA&#10;DgAAAAAAAAABACAAAAAmAQAAZHJzL2Uyb0RvYy54bWxQSwUGAAAAAAYABgBZAQAArgUAAAAA&#10;">
                <v:fill on="t" focussize="0,0"/>
                <v:stroke color="#000000" miterlimit="8" joinstyle="miter"/>
                <v:imagedata o:title=""/>
                <o:lock v:ext="edit" aspectratio="f"/>
                <v:textbox>
                  <w:txbxContent>
                    <w:p>
                      <w:pPr>
                        <w:spacing w:line="240" w:lineRule="atLeast"/>
                        <w:jc w:val="left"/>
                        <w:rPr>
                          <w:szCs w:val="21"/>
                        </w:rPr>
                      </w:pPr>
                      <w:r>
                        <w:rPr>
                          <w:rFonts w:hint="eastAsia"/>
                          <w:szCs w:val="21"/>
                        </w:rPr>
                        <w:t>剥离表土1.25万m</w:t>
                      </w:r>
                      <w:r>
                        <w:rPr>
                          <w:rFonts w:hint="eastAsia"/>
                          <w:szCs w:val="21"/>
                          <w:vertAlign w:val="superscript"/>
                        </w:rPr>
                        <w:t>3</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30944" behindDoc="0" locked="0" layoutInCell="1" allowOverlap="1">
                <wp:simplePos x="0" y="0"/>
                <wp:positionH relativeFrom="column">
                  <wp:posOffset>1200150</wp:posOffset>
                </wp:positionH>
                <wp:positionV relativeFrom="paragraph">
                  <wp:posOffset>60960</wp:posOffset>
                </wp:positionV>
                <wp:extent cx="876300" cy="304800"/>
                <wp:effectExtent l="9525" t="6350" r="9525" b="12700"/>
                <wp:wrapNone/>
                <wp:docPr id="157" name="Text Box 128"/>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场地平整</w:t>
                            </w:r>
                          </w:p>
                        </w:txbxContent>
                      </wps:txbx>
                      <wps:bodyPr rot="0" vert="horz" wrap="square" lIns="91440" tIns="45720" rIns="91440" bIns="45720" anchor="t" anchorCtr="0" upright="1">
                        <a:noAutofit/>
                      </wps:bodyPr>
                    </wps:wsp>
                  </a:graphicData>
                </a:graphic>
              </wp:anchor>
            </w:drawing>
          </mc:Choice>
          <mc:Fallback>
            <w:pict>
              <v:shape id="Text Box 128" o:spid="_x0000_s1026" o:spt="202" type="#_x0000_t202" style="position:absolute;left:0pt;margin-left:94.5pt;margin-top:4.8pt;height:24pt;width:69pt;z-index:251730944;mso-width-relative:page;mso-height-relative:page;" fillcolor="#FFFFFF" filled="t" stroked="t" coordsize="21600,21600" o:gfxdata="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CXZRdcAAAAIAQAADwAAAAAA&#10;AAABACAAAAAiAAAAZHJzL2Rvd25yZXYueG1sUEsBAhQAFAAAAAgAh07iQGMWWBgUAgAAOwQAAA4A&#10;AAAAAAAAAQAgAAAAJgEAAGRycy9lMm9Eb2MueG1sUEsFBgAAAAAGAAYAWQEAAKwFA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场地平整</w:t>
                      </w:r>
                    </w:p>
                  </w:txbxContent>
                </v:textbox>
              </v:shape>
            </w:pict>
          </mc:Fallback>
        </mc:AlternateContent>
      </w:r>
    </w:p>
    <w:p>
      <w:pPr>
        <w:spacing w:line="360" w:lineRule="auto"/>
        <w:ind w:firstLine="480" w:firstLineChars="200"/>
        <w:rPr>
          <w:rFonts w:ascii="Times New Roman" w:hAnsi="Times New Roman"/>
          <w:color w:val="000000"/>
          <w:sz w:val="24"/>
          <w:szCs w:val="24"/>
        </w:rPr>
      </w:pPr>
    </w:p>
    <w:p>
      <w:pPr>
        <w:ind w:firstLine="480"/>
        <w:jc w:val="center"/>
        <w:rPr>
          <w:rFonts w:ascii="Times New Roman" w:hAnsi="Times New Roman"/>
          <w:b/>
          <w:color w:val="000000"/>
          <w:sz w:val="24"/>
          <w:szCs w:val="24"/>
        </w:rPr>
      </w:pPr>
      <w:r>
        <w:rPr>
          <w:rFonts w:hint="eastAsia" w:ascii="Times New Roman" w:hAnsi="Times New Roman"/>
          <w:b/>
          <w:color w:val="000000"/>
          <w:sz w:val="24"/>
          <w:szCs w:val="24"/>
        </w:rPr>
        <w:t>图3.2-2   土石方平衡图</w:t>
      </w:r>
    </w:p>
    <w:p>
      <w:pPr>
        <w:spacing w:line="360" w:lineRule="auto"/>
        <w:ind w:firstLine="480" w:firstLineChars="200"/>
        <w:rPr>
          <w:rFonts w:ascii="Times New Roman" w:hAnsi="Times New Roman"/>
          <w:color w:val="000000"/>
          <w:sz w:val="24"/>
          <w:szCs w:val="24"/>
        </w:rPr>
      </w:pPr>
      <w:bookmarkStart w:id="142" w:name="_Toc9782"/>
      <w:r>
        <w:rPr>
          <w:rFonts w:hint="eastAsia" w:ascii="Times New Roman" w:hAnsi="Times New Roman"/>
          <w:color w:val="000000"/>
          <w:sz w:val="24"/>
          <w:szCs w:val="24"/>
        </w:rPr>
        <w:t>2）建筑垃圾</w:t>
      </w:r>
      <w:bookmarkEnd w:id="142"/>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项目施工期产生建筑废弃材料，主要包括砂石、石块、碎砖、废金属、废钢筋等杂物等。根据《环境卫生工程》（2006年vol.14  No.4）中《建筑垃圾的产生与循环利用》，单位面积施工固体废物的产生系数为20~50kg/m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，拟建项目建筑以砖混结构及框架结构为主，本环评取20kg/m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，施工总建筑面积为</w:t>
      </w:r>
      <w:r>
        <w:rPr>
          <w:rFonts w:ascii="Times New Roman" w:hAnsi="Times New Roman"/>
          <w:color w:val="000000"/>
          <w:sz w:val="24"/>
          <w:szCs w:val="24"/>
        </w:rPr>
        <w:t>9780.16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，工程产生的建筑垃圾为</w:t>
      </w:r>
      <w:r>
        <w:rPr>
          <w:rFonts w:ascii="Times New Roman" w:hAnsi="Times New Roman"/>
          <w:color w:val="000000"/>
          <w:sz w:val="24"/>
          <w:szCs w:val="24"/>
        </w:rPr>
        <w:t>195.60</w:t>
      </w:r>
      <w:r>
        <w:rPr>
          <w:rFonts w:hint="eastAsia" w:ascii="Times New Roman" w:hAnsi="Times New Roman"/>
          <w:color w:val="000000"/>
          <w:sz w:val="24"/>
          <w:szCs w:val="24"/>
        </w:rPr>
        <w:t>t，按可回收利用率40%计算，可回收部分约为</w:t>
      </w:r>
      <w:r>
        <w:rPr>
          <w:rFonts w:ascii="Times New Roman" w:hAnsi="Times New Roman"/>
          <w:color w:val="000000"/>
          <w:sz w:val="24"/>
          <w:szCs w:val="24"/>
        </w:rPr>
        <w:t>78.24</w:t>
      </w:r>
      <w:r>
        <w:rPr>
          <w:rFonts w:hint="eastAsia" w:ascii="Times New Roman" w:hAnsi="Times New Roman"/>
          <w:color w:val="000000"/>
          <w:sz w:val="24"/>
          <w:szCs w:val="24"/>
        </w:rPr>
        <w:t>t，剩余不可回收利用部分为</w:t>
      </w:r>
      <w:r>
        <w:rPr>
          <w:rFonts w:ascii="Times New Roman" w:hAnsi="Times New Roman"/>
          <w:color w:val="000000"/>
          <w:sz w:val="24"/>
          <w:szCs w:val="24"/>
        </w:rPr>
        <w:t>117.36</w:t>
      </w:r>
      <w:r>
        <w:rPr>
          <w:rFonts w:hint="eastAsia" w:ascii="Times New Roman" w:hAnsi="Times New Roman"/>
          <w:color w:val="000000"/>
          <w:sz w:val="24"/>
          <w:szCs w:val="24"/>
        </w:rPr>
        <w:t>t。可回收部分回收利用，可回收部分作用项目建设场地填平及进场道路铺设，剩余部分由施工方清运至主管部门指定地点堆放。建筑垃圾处置率可达100%。</w:t>
      </w:r>
    </w:p>
    <w:p>
      <w:pPr>
        <w:spacing w:line="360" w:lineRule="auto"/>
        <w:ind w:firstLine="480" w:firstLineChars="200"/>
        <w:rPr>
          <w:rFonts w:ascii="Times New Roman" w:hAnsi="Times New Roman"/>
          <w:color w:val="000000"/>
          <w:sz w:val="24"/>
          <w:szCs w:val="24"/>
        </w:rPr>
      </w:pPr>
      <w:bookmarkStart w:id="143" w:name="_Toc25315"/>
      <w:r>
        <w:rPr>
          <w:rFonts w:hint="eastAsia" w:ascii="Times New Roman" w:hAnsi="Times New Roman"/>
          <w:color w:val="000000"/>
          <w:sz w:val="24"/>
          <w:szCs w:val="24"/>
        </w:rPr>
        <w:t>3）生活垃圾</w:t>
      </w:r>
      <w:bookmarkEnd w:id="143"/>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项目施工人员生活垃圾产量按0.5kg/人·d计，根据业主提供资料，项目施工高峰期人员为</w:t>
      </w:r>
      <w:r>
        <w:rPr>
          <w:rFonts w:ascii="Times New Roman" w:hAnsi="Times New Roman"/>
          <w:color w:val="000000"/>
          <w:sz w:val="24"/>
          <w:szCs w:val="24"/>
        </w:rPr>
        <w:t>30</w:t>
      </w:r>
      <w:r>
        <w:rPr>
          <w:rFonts w:hint="eastAsia" w:ascii="Times New Roman" w:hAnsi="Times New Roman"/>
          <w:color w:val="000000"/>
          <w:sz w:val="24"/>
          <w:szCs w:val="24"/>
        </w:rPr>
        <w:t>人，则项目工程施工人员生活垃圾产生量为</w:t>
      </w:r>
      <w:r>
        <w:rPr>
          <w:rFonts w:ascii="Times New Roman" w:hAnsi="Times New Roman"/>
          <w:color w:val="000000"/>
          <w:sz w:val="24"/>
          <w:szCs w:val="24"/>
        </w:rPr>
        <w:t>15</w:t>
      </w:r>
      <w:r>
        <w:rPr>
          <w:rFonts w:hint="eastAsia" w:ascii="Times New Roman" w:hAnsi="Times New Roman"/>
          <w:color w:val="000000"/>
          <w:sz w:val="24"/>
          <w:szCs w:val="24"/>
        </w:rPr>
        <w:t>kg/d。该部分垃圾统一收集后委托环卫部门定期清运，同时加强对施工人员的环保教育，杜绝乱丢乱弃现象。根据类比，粪便产生量按0.25kg/人·d计算，产生粪便量共计</w:t>
      </w:r>
      <w:r>
        <w:rPr>
          <w:rFonts w:ascii="Times New Roman" w:hAnsi="Times New Roman"/>
          <w:color w:val="000000"/>
          <w:sz w:val="24"/>
          <w:szCs w:val="24"/>
        </w:rPr>
        <w:t>7.5</w:t>
      </w:r>
      <w:r>
        <w:rPr>
          <w:rFonts w:hint="eastAsia" w:ascii="Times New Roman" w:hAnsi="Times New Roman"/>
          <w:color w:val="000000"/>
          <w:sz w:val="24"/>
          <w:szCs w:val="24"/>
        </w:rPr>
        <w:t>kg/d，项目区拟设置临时旱厕1个，旱厕定期清掏至表土堆场覆土腐熟、后期用作于绿化施肥，施工期结束后进行回填。</w:t>
      </w:r>
    </w:p>
    <w:p>
      <w:pPr>
        <w:spacing w:line="360" w:lineRule="auto"/>
        <w:ind w:firstLine="480" w:firstLineChars="200"/>
        <w:rPr>
          <w:rFonts w:ascii="Times New Roman" w:hAnsi="Times New Roman"/>
          <w:color w:val="000000"/>
          <w:sz w:val="24"/>
          <w:szCs w:val="24"/>
        </w:rPr>
      </w:pPr>
      <w:bookmarkStart w:id="144" w:name="_Toc23500"/>
      <w:r>
        <w:rPr>
          <w:rFonts w:hint="eastAsia" w:ascii="Times New Roman" w:hAnsi="Times New Roman"/>
          <w:color w:val="000000"/>
          <w:sz w:val="24"/>
          <w:szCs w:val="24"/>
        </w:rPr>
        <w:t>（5）生态环境</w:t>
      </w:r>
      <w:bookmarkEnd w:id="144"/>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施工期生态环境影响表现为水土流失影响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水土流失因素主要包括以下两个方面：第一、场地平整过程中土石方挖填及基础开挖，造成土体松散，增加了水土流失危险性；第二、地表植被的破坏，增加了裸露面，地表在无地表植被的情况下，容易产生水土流失；</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施工避开雨天，建设截排水沟、开挖地面及时进行地面硬化，土石方要及时遮盖，同时加强占地以外周围地区植被保护。雨水经临时沉淀池处理后，用于项目区施工期洒水降尘，回用不完的排入周边雨水管网内。本项目施工期土地平整时，做好分区施工，减少施工的随意性，计划好土石方开挖和回填的衔接，在落实以上措施后水土流失可得到有效控制，水土流失对环境影响是暂时的、轻微的、可接受的。</w:t>
      </w:r>
    </w:p>
    <w:p>
      <w:pPr>
        <w:pStyle w:val="6"/>
        <w:spacing w:line="360" w:lineRule="auto"/>
        <w:ind w:firstLine="482" w:firstLineChars="200"/>
        <w:rPr>
          <w:rFonts w:ascii="Times New Roman" w:hAnsi="Times New Roman" w:eastAsia="宋体" w:cs="Times New Roman"/>
          <w:sz w:val="24"/>
        </w:rPr>
      </w:pPr>
      <w:bookmarkStart w:id="145" w:name="_Toc13940"/>
      <w:bookmarkStart w:id="146" w:name="_Toc23843337"/>
      <w:bookmarkStart w:id="147" w:name="_Toc29734"/>
      <w:r>
        <w:rPr>
          <w:rFonts w:hint="eastAsia" w:ascii="Times New Roman" w:hAnsi="Times New Roman" w:eastAsia="宋体" w:cs="Times New Roman"/>
          <w:sz w:val="24"/>
        </w:rPr>
        <w:t>3.2.2运营期污染分析</w:t>
      </w:r>
      <w:bookmarkEnd w:id="145"/>
      <w:bookmarkEnd w:id="146"/>
      <w:bookmarkEnd w:id="147"/>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由建设单位提供资料可知，项目拟新建一条年产10万吨环保新材料石粉复合果蔬包装纸生产线。</w:t>
      </w:r>
    </w:p>
    <w:p>
      <w:pPr>
        <w:spacing w:line="360" w:lineRule="auto"/>
        <w:ind w:firstLine="480" w:firstLineChars="200"/>
        <w:rPr>
          <w:rFonts w:ascii="Times New Roman" w:hAnsi="Times New Roman"/>
          <w:color w:val="000000"/>
          <w:sz w:val="24"/>
          <w:szCs w:val="24"/>
        </w:rPr>
      </w:pPr>
      <w:bookmarkStart w:id="148" w:name="_Toc8131"/>
      <w:r>
        <w:rPr>
          <w:rFonts w:hint="eastAsia" w:ascii="Times New Roman" w:hAnsi="Times New Roman"/>
          <w:color w:val="000000"/>
          <w:sz w:val="24"/>
          <w:szCs w:val="24"/>
        </w:rPr>
        <w:t>1、运营期生产工艺流程及产污节点</w:t>
      </w:r>
      <w:bookmarkEnd w:id="148"/>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建设方提供资料，本项目利用方解石粉和废纸为原料，配浆部分属于机械破碎配浆。添加方解石粉，原料废纸选检，水力碎浆、粗碎、磨碎，除砂、除杂物；加入胶料并配木浆成为高分散度的细浆，进入大型联动的抄纸机，网部脱水、压榨脱水、干燥、压光整饰，最后卷取或裁剪成为纸产品。</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项目生产工艺流程及产污节点详见图3.2-3。</w:t>
      </w: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21728" behindDoc="0" locked="0" layoutInCell="1" allowOverlap="1">
                <wp:simplePos x="0" y="0"/>
                <wp:positionH relativeFrom="column">
                  <wp:posOffset>1390650</wp:posOffset>
                </wp:positionH>
                <wp:positionV relativeFrom="paragraph">
                  <wp:posOffset>676275</wp:posOffset>
                </wp:positionV>
                <wp:extent cx="390525" cy="0"/>
                <wp:effectExtent l="38100" t="76200" r="0" b="95250"/>
                <wp:wrapNone/>
                <wp:docPr id="154" name="直接箭头连接符 154"/>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9.5pt;margin-top:53.25pt;height:0pt;width:30.75pt;z-index:251721728;mso-width-relative:page;mso-height-relative:page;" filled="f" stroked="t" coordsize="21600,21600" o:gfxdata="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jXGC/YAAAACwEAAA8AAAAAAAAAAQAgAAAAIgAAAGRycy9kb3ducmV2LnhtbFBLAQIU&#10;ABQAAAAIAIdO4kDw5YvS8wEAAKEDAAAOAAAAAAAAAAEAIAAAACcBAABkcnMvZTJvRG9jLnhtbFBL&#10;BQYAAAAABgAGAFkBAACMBQ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18656" behindDoc="0" locked="0" layoutInCell="1" allowOverlap="1">
                <wp:simplePos x="0" y="0"/>
                <wp:positionH relativeFrom="column">
                  <wp:posOffset>2962275</wp:posOffset>
                </wp:positionH>
                <wp:positionV relativeFrom="paragraph">
                  <wp:posOffset>1619250</wp:posOffset>
                </wp:positionV>
                <wp:extent cx="942975" cy="292100"/>
                <wp:effectExtent l="0" t="0" r="9525" b="0"/>
                <wp:wrapNone/>
                <wp:docPr id="150"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942975" cy="292100"/>
                        </a:xfrm>
                        <a:prstGeom prst="rect">
                          <a:avLst/>
                        </a:prstGeom>
                        <a:solidFill>
                          <a:srgbClr val="FFFFFF"/>
                        </a:solidFill>
                        <a:ln w="9525">
                          <a:noFill/>
                          <a:miter lim="800000"/>
                        </a:ln>
                      </wps:spPr>
                      <wps:txbx>
                        <w:txbxContent>
                          <w:p>
                            <w:pPr>
                              <w:spacing w:line="240" w:lineRule="atLeast"/>
                              <w:jc w:val="center"/>
                            </w:pPr>
                            <w:r>
                              <w:rPr>
                                <w:rFonts w:hint="eastAsia"/>
                              </w:rPr>
                              <w:t>设备</w:t>
                            </w:r>
                            <w:r>
                              <w:t>噪声</w:t>
                            </w:r>
                            <w:r>
                              <w:rPr>
                                <w:rFonts w:hint="eastAsia"/>
                                <w:color w:val="FF0000"/>
                              </w:rPr>
                              <w:t>N1</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33.25pt;margin-top:127.5pt;height:23pt;width:74.25pt;z-index:251718656;mso-width-relative:page;mso-height-relative:page;" fillcolor="#FFFFFF" filled="t" stroked="f" coordsize="21600,21600" o:gfxdata="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pYfl9gAAAALAQAADwAAAAAA&#10;AAABACAAAAAiAAAAZHJzL2Rvd25yZXYueG1sUEsBAhQAFAAAAAgAh07iQN4R8G0TAgAAEgQAAA4A&#10;AAAAAAAAAQAgAAAAJwEAAGRycy9lMm9Eb2MueG1sUEsFBgAAAAAGAAYAWQEAAKwFAAAAAA==&#10;">
                <v:fill on="t" focussize="0,0"/>
                <v:stroke on="f" miterlimit="8" joinstyle="miter"/>
                <v:imagedata o:title=""/>
                <o:lock v:ext="edit" aspectratio="f"/>
                <v:textbox>
                  <w:txbxContent>
                    <w:p>
                      <w:pPr>
                        <w:spacing w:line="240" w:lineRule="atLeast"/>
                        <w:jc w:val="center"/>
                      </w:pPr>
                      <w:r>
                        <w:rPr>
                          <w:rFonts w:hint="eastAsia"/>
                        </w:rPr>
                        <w:t>设备</w:t>
                      </w:r>
                      <w:r>
                        <w:t>噪声</w:t>
                      </w:r>
                      <w:r>
                        <w:rPr>
                          <w:rFonts w:hint="eastAsia"/>
                          <w:color w:val="FF0000"/>
                        </w:rPr>
                        <w:t>N1</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20704" behindDoc="0" locked="0" layoutInCell="1" allowOverlap="1">
                <wp:simplePos x="0" y="0"/>
                <wp:positionH relativeFrom="column">
                  <wp:posOffset>2638425</wp:posOffset>
                </wp:positionH>
                <wp:positionV relativeFrom="paragraph">
                  <wp:posOffset>1771650</wp:posOffset>
                </wp:positionV>
                <wp:extent cx="438150" cy="200025"/>
                <wp:effectExtent l="0" t="38100" r="57150" b="28575"/>
                <wp:wrapNone/>
                <wp:docPr id="153" name="直接箭头连接符 153"/>
                <wp:cNvGraphicFramePr/>
                <a:graphic xmlns:a="http://schemas.openxmlformats.org/drawingml/2006/main">
                  <a:graphicData uri="http://schemas.microsoft.com/office/word/2010/wordprocessingShape">
                    <wps:wsp>
                      <wps:cNvCnPr/>
                      <wps:spPr>
                        <a:xfrm flipV="1">
                          <a:off x="0" y="0"/>
                          <a:ext cx="438150" cy="20002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7.75pt;margin-top:139.5pt;height:15.75pt;width:34.5pt;z-index:251720704;mso-width-relative:page;mso-height-relative:page;" filled="f" stroked="t" coordsize="21600,21600" o:gfxdata="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bN0cdsAAAALAQAADwAAAAAAAAABACAAAAAiAAAAZHJzL2Rvd25yZXYueG1s&#10;UEsBAhQAFAAAAAgAh07iQBpdkDX1AQAApgMAAA4AAAAAAAAAAQAgAAAAKgEAAGRycy9lMm9Eb2Mu&#10;eG1sUEsFBgAAAAAGAAYAWQEAAJEFA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19680" behindDoc="0" locked="0" layoutInCell="1" allowOverlap="1">
                <wp:simplePos x="0" y="0"/>
                <wp:positionH relativeFrom="column">
                  <wp:posOffset>2628900</wp:posOffset>
                </wp:positionH>
                <wp:positionV relativeFrom="paragraph">
                  <wp:posOffset>1276350</wp:posOffset>
                </wp:positionV>
                <wp:extent cx="419100" cy="161925"/>
                <wp:effectExtent l="0" t="38100" r="57150" b="28575"/>
                <wp:wrapNone/>
                <wp:docPr id="152" name="直接箭头连接符 152"/>
                <wp:cNvGraphicFramePr/>
                <a:graphic xmlns:a="http://schemas.openxmlformats.org/drawingml/2006/main">
                  <a:graphicData uri="http://schemas.microsoft.com/office/word/2010/wordprocessingShape">
                    <wps:wsp>
                      <wps:cNvCnPr/>
                      <wps:spPr>
                        <a:xfrm flipV="1">
                          <a:off x="0" y="0"/>
                          <a:ext cx="419100" cy="16192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7pt;margin-top:100.5pt;height:12.75pt;width:33pt;z-index:251719680;mso-width-relative:page;mso-height-relative:page;" filled="f" stroked="t" coordsize="21600,21600" o:gfxdata="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VJX7aAAAACwEAAA8AAAAAAAAAAQAgAAAAIgAAAGRycy9kb3ducmV2Lnht&#10;bFBLAQIUABQAAAAIAIdO4kAoK6br9wEAAKYDAAAOAAAAAAAAAAEAIAAAACkBAABkcnMvZTJvRG9j&#10;LnhtbFBLBQYAAAAABgAGAFkBAACSBQ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17632" behindDoc="0" locked="0" layoutInCell="1" allowOverlap="1">
                <wp:simplePos x="0" y="0"/>
                <wp:positionH relativeFrom="column">
                  <wp:posOffset>2923540</wp:posOffset>
                </wp:positionH>
                <wp:positionV relativeFrom="paragraph">
                  <wp:posOffset>1143000</wp:posOffset>
                </wp:positionV>
                <wp:extent cx="981075" cy="292735"/>
                <wp:effectExtent l="0" t="0" r="9525" b="0"/>
                <wp:wrapNone/>
                <wp:docPr id="149"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981075" cy="292608"/>
                        </a:xfrm>
                        <a:prstGeom prst="rect">
                          <a:avLst/>
                        </a:prstGeom>
                        <a:solidFill>
                          <a:srgbClr val="FFFFFF"/>
                        </a:solidFill>
                        <a:ln w="9525">
                          <a:noFill/>
                          <a:miter lim="800000"/>
                        </a:ln>
                      </wps:spPr>
                      <wps:txbx>
                        <w:txbxContent>
                          <w:p>
                            <w:pPr>
                              <w:spacing w:line="240" w:lineRule="atLeast"/>
                              <w:jc w:val="center"/>
                            </w:pPr>
                            <w:r>
                              <w:rPr>
                                <w:rFonts w:hint="eastAsia"/>
                              </w:rPr>
                              <w:t>废塑料等</w:t>
                            </w:r>
                            <w:r>
                              <w:rPr>
                                <w:rFonts w:hint="eastAsia"/>
                                <w:color w:val="FF0000"/>
                              </w:rPr>
                              <w:t>S2</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30.2pt;margin-top:90pt;height:23.05pt;width:77.25pt;z-index:251717632;mso-width-relative:page;mso-height-relative:page;" fillcolor="#FFFFFF" filled="t" stroked="f" coordsize="21600,21600" o:gfxdata="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e2Wk2AAAAAsBAAAPAAAA&#10;AAAAAAEAIAAAACIAAABkcnMvZG93bnJldi54bWxQSwECFAAUAAAACACHTuJAUTTSkBUCAAASBAAA&#10;DgAAAAAAAAABACAAAAAnAQAAZHJzL2Uyb0RvYy54bWxQSwUGAAAAAAYABgBZAQAArgUAAAAA&#10;">
                <v:fill on="t" focussize="0,0"/>
                <v:stroke on="f" miterlimit="8" joinstyle="miter"/>
                <v:imagedata o:title=""/>
                <o:lock v:ext="edit" aspectratio="f"/>
                <v:textbox>
                  <w:txbxContent>
                    <w:p>
                      <w:pPr>
                        <w:spacing w:line="240" w:lineRule="atLeast"/>
                        <w:jc w:val="center"/>
                      </w:pPr>
                      <w:r>
                        <w:rPr>
                          <w:rFonts w:hint="eastAsia"/>
                        </w:rPr>
                        <w:t>废塑料等</w:t>
                      </w:r>
                      <w:r>
                        <w:rPr>
                          <w:rFonts w:hint="eastAsia"/>
                          <w:color w:val="FF0000"/>
                        </w:rPr>
                        <w:t>S2</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16608" behindDoc="0" locked="0" layoutInCell="1" allowOverlap="1">
                <wp:simplePos x="0" y="0"/>
                <wp:positionH relativeFrom="column">
                  <wp:posOffset>714375</wp:posOffset>
                </wp:positionH>
                <wp:positionV relativeFrom="paragraph">
                  <wp:posOffset>523240</wp:posOffset>
                </wp:positionV>
                <wp:extent cx="857250" cy="292735"/>
                <wp:effectExtent l="0" t="0" r="0" b="0"/>
                <wp:wrapNone/>
                <wp:docPr id="148"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92608"/>
                        </a:xfrm>
                        <a:prstGeom prst="rect">
                          <a:avLst/>
                        </a:prstGeom>
                        <a:solidFill>
                          <a:srgbClr val="FFFFFF"/>
                        </a:solidFill>
                        <a:ln w="9525">
                          <a:noFill/>
                          <a:miter lim="800000"/>
                        </a:ln>
                      </wps:spPr>
                      <wps:txbx>
                        <w:txbxContent>
                          <w:p>
                            <w:pPr>
                              <w:spacing w:line="240" w:lineRule="atLeast"/>
                              <w:jc w:val="center"/>
                            </w:pPr>
                            <w:r>
                              <w:rPr>
                                <w:rFonts w:hint="eastAsia"/>
                              </w:rPr>
                              <w:t>杂物</w:t>
                            </w:r>
                            <w:r>
                              <w:rPr>
                                <w:rFonts w:hint="eastAsia"/>
                                <w:color w:val="FF0000"/>
                              </w:rPr>
                              <w:t>S1</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56.25pt;margin-top:41.2pt;height:23.05pt;width:67.5pt;z-index:251716608;mso-width-relative:page;mso-height-relative:page;" fillcolor="#FFFFFF" filled="t" stroked="f" coordsize="21600,21600" o:gfxdata="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loPnE1wAAAAoBAAAPAAAAAAAA&#10;AAEAIAAAACIAAABkcnMvZG93bnJldi54bWxQSwECFAAUAAAACACHTuJAKmT+URMCAAASBAAADgAA&#10;AAAAAAABACAAAAAmAQAAZHJzL2Uyb0RvYy54bWxQSwUGAAAAAAYABgBZAQAAqwUAAAAA&#10;">
                <v:fill on="t" focussize="0,0"/>
                <v:stroke on="f" miterlimit="8" joinstyle="miter"/>
                <v:imagedata o:title=""/>
                <o:lock v:ext="edit" aspectratio="f"/>
                <v:textbox>
                  <w:txbxContent>
                    <w:p>
                      <w:pPr>
                        <w:spacing w:line="240" w:lineRule="atLeast"/>
                        <w:jc w:val="center"/>
                      </w:pPr>
                      <w:r>
                        <w:rPr>
                          <w:rFonts w:hint="eastAsia"/>
                        </w:rPr>
                        <w:t>杂物</w:t>
                      </w:r>
                      <w:r>
                        <w:rPr>
                          <w:rFonts w:hint="eastAsia"/>
                          <w:color w:val="FF0000"/>
                        </w:rPr>
                        <w:t>S1</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3360" behindDoc="0" locked="0" layoutInCell="1" allowOverlap="1">
                <wp:simplePos x="0" y="0"/>
                <wp:positionH relativeFrom="margin">
                  <wp:posOffset>200025</wp:posOffset>
                </wp:positionH>
                <wp:positionV relativeFrom="paragraph">
                  <wp:posOffset>2035175</wp:posOffset>
                </wp:positionV>
                <wp:extent cx="438150" cy="1057275"/>
                <wp:effectExtent l="0" t="0" r="0" b="9525"/>
                <wp:wrapNone/>
                <wp:docPr id="147"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438150" cy="1057275"/>
                        </a:xfrm>
                        <a:prstGeom prst="rect">
                          <a:avLst/>
                        </a:prstGeom>
                        <a:solidFill>
                          <a:srgbClr val="FFFFFF"/>
                        </a:solidFill>
                        <a:ln w="9525">
                          <a:noFill/>
                          <a:miter lim="800000"/>
                        </a:ln>
                      </wps:spPr>
                      <wps:txbx>
                        <w:txbxContent>
                          <w:p>
                            <w:pPr>
                              <w:spacing w:line="240" w:lineRule="atLeast"/>
                              <w:jc w:val="center"/>
                            </w:pPr>
                            <w:r>
                              <w:rPr>
                                <w:rFonts w:hint="eastAsia"/>
                              </w:rPr>
                              <w:t>边角料</w:t>
                            </w:r>
                            <w:r>
                              <w:rPr>
                                <w:rFonts w:hint="eastAsia"/>
                                <w:color w:val="FF0000"/>
                              </w:rPr>
                              <w:t>S3</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5.75pt;margin-top:160.25pt;height:83.25pt;width:34.5pt;mso-position-horizontal-relative:margin;z-index:251663360;mso-width-relative:page;mso-height-relative:page;" fillcolor="#FFFFFF" filled="t" stroked="f" coordsize="21600,21600" o:gfxdata="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zQCPXAAAACgEAAA8AAAAA&#10;AAAAAQAgAAAAIgAAAGRycy9kb3ducmV2LnhtbFBLAQIUABQAAAAIAIdO4kCNxfusFQIAABMEAAAO&#10;AAAAAAAAAAEAIAAAACYBAABkcnMvZTJvRG9jLnhtbFBLBQYAAAAABgAGAFkBAACtBQAAAAA=&#10;">
                <v:fill on="t" focussize="0,0"/>
                <v:stroke on="f" miterlimit="8" joinstyle="miter"/>
                <v:imagedata o:title=""/>
                <o:lock v:ext="edit" aspectratio="f"/>
                <v:textbox>
                  <w:txbxContent>
                    <w:p>
                      <w:pPr>
                        <w:spacing w:line="240" w:lineRule="atLeast"/>
                        <w:jc w:val="center"/>
                      </w:pPr>
                      <w:r>
                        <w:rPr>
                          <w:rFonts w:hint="eastAsia"/>
                        </w:rPr>
                        <w:t>边角料</w:t>
                      </w:r>
                      <w:r>
                        <w:rPr>
                          <w:rFonts w:hint="eastAsia"/>
                          <w:color w:val="FF0000"/>
                        </w:rPr>
                        <w:t>S3</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4384" behindDoc="0" locked="0" layoutInCell="1" allowOverlap="1">
                <wp:simplePos x="0" y="0"/>
                <wp:positionH relativeFrom="margin">
                  <wp:posOffset>914400</wp:posOffset>
                </wp:positionH>
                <wp:positionV relativeFrom="paragraph">
                  <wp:posOffset>1943100</wp:posOffset>
                </wp:positionV>
                <wp:extent cx="438150" cy="1144270"/>
                <wp:effectExtent l="0" t="0" r="0" b="17780"/>
                <wp:wrapNone/>
                <wp:docPr id="146"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438150" cy="1144270"/>
                        </a:xfrm>
                        <a:prstGeom prst="rect">
                          <a:avLst/>
                        </a:prstGeom>
                        <a:solidFill>
                          <a:srgbClr val="FFFFFF"/>
                        </a:solidFill>
                        <a:ln w="9525">
                          <a:noFill/>
                          <a:miter lim="800000"/>
                        </a:ln>
                      </wps:spPr>
                      <wps:txbx>
                        <w:txbxContent>
                          <w:p>
                            <w:pPr>
                              <w:spacing w:line="240" w:lineRule="atLeast"/>
                              <w:jc w:val="center"/>
                            </w:pPr>
                            <w:r>
                              <w:rPr>
                                <w:rFonts w:hint="eastAsia"/>
                              </w:rPr>
                              <w:t>造纸废水</w:t>
                            </w:r>
                            <w:r>
                              <w:rPr>
                                <w:rFonts w:hint="eastAsia"/>
                                <w:color w:val="FF0000"/>
                              </w:rPr>
                              <w:t>W1</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72pt;margin-top:153pt;height:90.1pt;width:34.5pt;mso-position-horizontal-relative:margin;z-index:251664384;mso-width-relative:page;mso-height-relative:page;" fillcolor="#FFFFFF" filled="t" stroked="f" coordsize="21600,21600" o:gfxdata="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u6I2AAAAAsBAAAPAAAA&#10;AAAAAAEAIAAAACIAAABkcnMvZG93bnJldi54bWxQSwECFAAUAAAACACHTuJAMKedVxUCAAATBAAA&#10;DgAAAAAAAAABACAAAAAnAQAAZHJzL2Uyb0RvYy54bWxQSwUGAAAAAAYABgBZAQAArgUAAAAA&#10;">
                <v:fill on="t" focussize="0,0"/>
                <v:stroke on="f" miterlimit="8" joinstyle="miter"/>
                <v:imagedata o:title=""/>
                <o:lock v:ext="edit" aspectratio="f"/>
                <v:textbox>
                  <w:txbxContent>
                    <w:p>
                      <w:pPr>
                        <w:spacing w:line="240" w:lineRule="atLeast"/>
                        <w:jc w:val="center"/>
                      </w:pPr>
                      <w:r>
                        <w:rPr>
                          <w:rFonts w:hint="eastAsia"/>
                        </w:rPr>
                        <w:t>造纸废水</w:t>
                      </w:r>
                      <w:r>
                        <w:rPr>
                          <w:rFonts w:hint="eastAsia"/>
                          <w:color w:val="FF0000"/>
                        </w:rPr>
                        <w:t>W1</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1557020</wp:posOffset>
                </wp:positionH>
                <wp:positionV relativeFrom="paragraph">
                  <wp:posOffset>1211580</wp:posOffset>
                </wp:positionV>
                <wp:extent cx="1286510" cy="3317240"/>
                <wp:effectExtent l="0" t="0" r="27940" b="16510"/>
                <wp:wrapNone/>
                <wp:docPr id="132" name="矩形 132"/>
                <wp:cNvGraphicFramePr/>
                <a:graphic xmlns:a="http://schemas.openxmlformats.org/drawingml/2006/main">
                  <a:graphicData uri="http://schemas.microsoft.com/office/word/2010/wordprocessingShape">
                    <wps:wsp>
                      <wps:cNvSpPr/>
                      <wps:spPr>
                        <a:xfrm>
                          <a:off x="0" y="0"/>
                          <a:ext cx="1286539" cy="3317358"/>
                        </a:xfrm>
                        <a:prstGeom prst="rect">
                          <a:avLst/>
                        </a:prstGeom>
                        <a:ln>
                          <a:solidFill>
                            <a:srgbClr val="FF0000"/>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6pt;margin-top:95.4pt;height:261.2pt;width:101.3pt;z-index:251665408;v-text-anchor:middle;mso-width-relative:page;mso-height-relative:page;" fillcolor="#FFFFFF [3201]" filled="t" stroked="t" coordsize="21600,21600" o:gfxdata="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K4g3tkA&#10;AAALAQAADwAAAAAAAAABACAAAAAiAAAAZHJzL2Rvd25yZXYueG1sUEsBAhQAFAAAAAgAh07iQIlY&#10;pqdXAgAArAQAAA4AAAAAAAAAAQAgAAAAKAEAAGRycy9lMm9Eb2MueG1sUEsFBgAAAAAGAAYAWQEA&#10;APEFAAAAAA==&#10;">
                <v:fill on="t" focussize="0,0"/>
                <v:stroke weight="1pt" color="#FF0000 [3209]" miterlimit="8" joinstyle="miter" dashstyle="longDash"/>
                <v:imagedata o:title=""/>
                <o:lock v:ext="edit" aspectratio="f"/>
              </v:rect>
            </w:pict>
          </mc:Fallback>
        </mc:AlternateContent>
      </w:r>
      <w:r>
        <w:rPr>
          <w:rFonts w:ascii="Times New Roman" w:hAnsi="Times New Roman"/>
          <w:color w:val="000000"/>
          <w:sz w:val="24"/>
          <w:szCs w:val="24"/>
        </w:rPr>
        <mc:AlternateContent>
          <mc:Choice Requires="wps">
            <w:drawing>
              <wp:anchor distT="0" distB="0" distL="114300" distR="114300" simplePos="0" relativeHeight="251692032" behindDoc="0" locked="0" layoutInCell="1" allowOverlap="1">
                <wp:simplePos x="0" y="0"/>
                <wp:positionH relativeFrom="column">
                  <wp:posOffset>4561205</wp:posOffset>
                </wp:positionH>
                <wp:positionV relativeFrom="paragraph">
                  <wp:posOffset>3324860</wp:posOffset>
                </wp:positionV>
                <wp:extent cx="0" cy="219075"/>
                <wp:effectExtent l="76200" t="0" r="57150" b="47625"/>
                <wp:wrapNone/>
                <wp:docPr id="31" name="直接箭头连接符 31"/>
                <wp:cNvGraphicFramePr/>
                <a:graphic xmlns:a="http://schemas.openxmlformats.org/drawingml/2006/main">
                  <a:graphicData uri="http://schemas.microsoft.com/office/word/2010/wordprocessingShape">
                    <wps:wsp>
                      <wps:cNvCnPr/>
                      <wps:spPr>
                        <a:xfrm>
                          <a:off x="0" y="0"/>
                          <a:ext cx="0" cy="21907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9.15pt;margin-top:261.8pt;height:17.25pt;width:0pt;z-index:251692032;mso-width-relative:page;mso-height-relative:page;" filled="f" stroked="t" coordsize="21600,21600" o:gfxdata="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Iho&#10;jNYAAAALAQAADwAAAAAAAAABACAAAAAiAAAAZHJzL2Rvd25yZXYueG1sUEsBAhQAFAAAAAgAh07i&#10;QFaKYfrrAQAAlQMAAA4AAAAAAAAAAQAgAAAAJQEAAGRycy9lMm9Eb2MueG1sUEsFBgAAAAAGAAYA&#10;WQEAAIIFA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06368" behindDoc="0" locked="0" layoutInCell="1" allowOverlap="1">
                <wp:simplePos x="0" y="0"/>
                <wp:positionH relativeFrom="column">
                  <wp:posOffset>2941955</wp:posOffset>
                </wp:positionH>
                <wp:positionV relativeFrom="paragraph">
                  <wp:posOffset>741680</wp:posOffset>
                </wp:positionV>
                <wp:extent cx="314960" cy="0"/>
                <wp:effectExtent l="0" t="0" r="28575" b="19050"/>
                <wp:wrapNone/>
                <wp:docPr id="131" name="直接连接符 131"/>
                <wp:cNvGraphicFramePr/>
                <a:graphic xmlns:a="http://schemas.openxmlformats.org/drawingml/2006/main">
                  <a:graphicData uri="http://schemas.microsoft.com/office/word/2010/wordprocessingShape">
                    <wps:wsp>
                      <wps:cNvCnPr/>
                      <wps:spPr>
                        <a:xfrm>
                          <a:off x="0" y="0"/>
                          <a:ext cx="3146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1.65pt;margin-top:58.4pt;height:0pt;width:24.8pt;z-index:251706368;mso-width-relative:page;mso-height-relative:page;" filled="f" stroked="t" coordsize="21600,21600" o:gfxdata="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sKgKW1wAAAAsBAAAPAAAAAAAAAAEAIAAAACIAAABkcnMvZG93&#10;bnJldi54bWxQSwECFAAUAAAACACHTuJAT7asScgBAABmAwAADgAAAAAAAAABACAAAAAmAQAAZHJz&#10;L2Uyb0RvYy54bWxQSwUGAAAAAAYABgBZAQAAYAU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705344" behindDoc="0" locked="0" layoutInCell="1" allowOverlap="1">
                <wp:simplePos x="0" y="0"/>
                <wp:positionH relativeFrom="column">
                  <wp:posOffset>2941320</wp:posOffset>
                </wp:positionH>
                <wp:positionV relativeFrom="paragraph">
                  <wp:posOffset>741680</wp:posOffset>
                </wp:positionV>
                <wp:extent cx="0" cy="297180"/>
                <wp:effectExtent l="0" t="0" r="19050" b="27305"/>
                <wp:wrapNone/>
                <wp:docPr id="130" name="直接连接符 130"/>
                <wp:cNvGraphicFramePr/>
                <a:graphic xmlns:a="http://schemas.openxmlformats.org/drawingml/2006/main">
                  <a:graphicData uri="http://schemas.microsoft.com/office/word/2010/wordprocessingShape">
                    <wps:wsp>
                      <wps:cNvCnPr/>
                      <wps:spPr>
                        <a:xfrm flipV="1">
                          <a:off x="0" y="0"/>
                          <a:ext cx="0" cy="2968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31.6pt;margin-top:58.4pt;height:23.4pt;width:0pt;z-index:251705344;mso-width-relative:page;mso-height-relative:page;" filled="f" stroked="t" coordsize="21600,21600" o:gfxdata="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eCZbtYAAAALAQAADwAAAAAAAAABACAAAAAiAAAAZHJz&#10;L2Rvd25yZXYueG1sUEsBAhQAFAAAAAgAh07iQMbTEXDNAQAAcAMAAA4AAAAAAAAAAQAgAAAAJQEA&#10;AGRycy9lMm9Eb2MueG1sUEsFBgAAAAAGAAYAWQEAAGQFA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704320" behindDoc="0" locked="0" layoutInCell="1" allowOverlap="1">
                <wp:simplePos x="0" y="0"/>
                <wp:positionH relativeFrom="column">
                  <wp:posOffset>2199640</wp:posOffset>
                </wp:positionH>
                <wp:positionV relativeFrom="paragraph">
                  <wp:posOffset>1038860</wp:posOffset>
                </wp:positionV>
                <wp:extent cx="742315" cy="6350"/>
                <wp:effectExtent l="19050" t="57150" r="0" b="89535"/>
                <wp:wrapNone/>
                <wp:docPr id="129" name="直接箭头连接符 129"/>
                <wp:cNvGraphicFramePr/>
                <a:graphic xmlns:a="http://schemas.openxmlformats.org/drawingml/2006/main">
                  <a:graphicData uri="http://schemas.microsoft.com/office/word/2010/wordprocessingShape">
                    <wps:wsp>
                      <wps:cNvCnPr/>
                      <wps:spPr>
                        <a:xfrm flipH="1">
                          <a:off x="0" y="0"/>
                          <a:ext cx="742208" cy="60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3.2pt;margin-top:81.8pt;height:0.5pt;width:58.45pt;z-index:251704320;mso-width-relative:page;mso-height-relative:page;" filled="f" stroked="t" coordsize="21600,21600" o:gfxdata="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rzBadkAAAALAQAADwAAAAAAAAABACAAAAAiAAAAZHJzL2Rvd25yZXYueG1sUEsB&#10;AhQAFAAAAAgAh07iQHS+Dr/0AQAAowMAAA4AAAAAAAAAAQAgAAAAKAEAAGRycy9lMm9Eb2MueG1s&#10;UEsFBgAAAAAGAAYAWQEAAI4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03296" behindDoc="0" locked="0" layoutInCell="1" allowOverlap="1">
                <wp:simplePos x="0" y="0"/>
                <wp:positionH relativeFrom="column">
                  <wp:posOffset>1938020</wp:posOffset>
                </wp:positionH>
                <wp:positionV relativeFrom="paragraph">
                  <wp:posOffset>1109980</wp:posOffset>
                </wp:positionV>
                <wp:extent cx="5715" cy="189865"/>
                <wp:effectExtent l="76200" t="0" r="70485" b="57785"/>
                <wp:wrapNone/>
                <wp:docPr id="255" name="直接箭头连接符 255"/>
                <wp:cNvGraphicFramePr/>
                <a:graphic xmlns:a="http://schemas.openxmlformats.org/drawingml/2006/main">
                  <a:graphicData uri="http://schemas.microsoft.com/office/word/2010/wordprocessingShape">
                    <wps:wsp>
                      <wps:cNvCnPr/>
                      <wps:spPr>
                        <a:xfrm>
                          <a:off x="0" y="0"/>
                          <a:ext cx="5938" cy="190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2.6pt;margin-top:87.4pt;height:14.95pt;width:0.45pt;z-index:251703296;mso-width-relative:page;mso-height-relative:page;" filled="f" stroked="t" coordsize="21600,21600" o:gfxdata="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OtYAtgAAAALAQAADwAAAAAAAAABACAAAAAiAAAAZHJzL2Rvd25yZXYueG1sUEsBAhQAFAAA&#10;AAgAh07iQDxbDn3vAQAAmQMAAA4AAAAAAAAAAQAgAAAAJwEAAGRycy9lMm9Eb2MueG1sUEsFBgAA&#10;AAAGAAYAWQEAAIg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02272" behindDoc="0" locked="0" layoutInCell="1" allowOverlap="1">
                <wp:simplePos x="0" y="0"/>
                <wp:positionH relativeFrom="column">
                  <wp:posOffset>269875</wp:posOffset>
                </wp:positionH>
                <wp:positionV relativeFrom="paragraph">
                  <wp:posOffset>1109980</wp:posOffset>
                </wp:positionV>
                <wp:extent cx="1668780" cy="12065"/>
                <wp:effectExtent l="0" t="0" r="27305" b="26670"/>
                <wp:wrapNone/>
                <wp:docPr id="254" name="直接连接符 254"/>
                <wp:cNvGraphicFramePr/>
                <a:graphic xmlns:a="http://schemas.openxmlformats.org/drawingml/2006/main">
                  <a:graphicData uri="http://schemas.microsoft.com/office/word/2010/wordprocessingShape">
                    <wps:wsp>
                      <wps:cNvCnPr/>
                      <wps:spPr>
                        <a:xfrm flipV="1">
                          <a:off x="0" y="0"/>
                          <a:ext cx="1668483"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1.25pt;margin-top:87.4pt;height:0.95pt;width:131.4pt;z-index:251702272;mso-width-relative:page;mso-height-relative:page;" filled="f" stroked="t" coordsize="21600,21600" o:gfxdata="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ycYT3XAAAACgEAAA8AAAAAAAAAAQAg&#10;AAAAIgAAAGRycy9kb3ducmV2LnhtbFBLAQIUABQAAAAIAIdO4kDZNT0x1gEAAHUDAAAOAAAAAAAA&#10;AAEAIAAAACYBAABkcnMvZTJvRG9jLnhtbFBLBQYAAAAABgAGAFkBAABuBQ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701248" behindDoc="0" locked="0" layoutInCell="1" allowOverlap="1">
                <wp:simplePos x="0" y="0"/>
                <wp:positionH relativeFrom="column">
                  <wp:posOffset>264160</wp:posOffset>
                </wp:positionH>
                <wp:positionV relativeFrom="paragraph">
                  <wp:posOffset>1122045</wp:posOffset>
                </wp:positionV>
                <wp:extent cx="0" cy="3146425"/>
                <wp:effectExtent l="0" t="0" r="19050" b="15875"/>
                <wp:wrapNone/>
                <wp:docPr id="253" name="直接连接符 253"/>
                <wp:cNvGraphicFramePr/>
                <a:graphic xmlns:a="http://schemas.openxmlformats.org/drawingml/2006/main">
                  <a:graphicData uri="http://schemas.microsoft.com/office/word/2010/wordprocessingShape">
                    <wps:wsp>
                      <wps:cNvCnPr/>
                      <wps:spPr>
                        <a:xfrm flipV="1">
                          <a:off x="0" y="0"/>
                          <a:ext cx="0" cy="31465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0.8pt;margin-top:88.35pt;height:247.75pt;width:0pt;z-index:251701248;mso-width-relative:page;mso-height-relative:page;" filled="f" stroked="t" coordsize="21600,21600" o:gfxdata="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VT9kv1gAAAAkBAAAPAAAAAAAAAAEAIAAAACIAAABk&#10;cnMvZG93bnJldi54bWxQSwECFAAUAAAACACHTuJAiiyE3s8BAABxAwAADgAAAAAAAAABACAAAAAl&#10;AQAAZHJzL2Uyb0RvYy54bWxQSwUGAAAAAAYABgBZAQAAZgU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700224" behindDoc="0" locked="0" layoutInCell="1" allowOverlap="1">
                <wp:simplePos x="0" y="0"/>
                <wp:positionH relativeFrom="column">
                  <wp:posOffset>257810</wp:posOffset>
                </wp:positionH>
                <wp:positionV relativeFrom="paragraph">
                  <wp:posOffset>4257040</wp:posOffset>
                </wp:positionV>
                <wp:extent cx="1513840" cy="12065"/>
                <wp:effectExtent l="0" t="0" r="10160" b="26670"/>
                <wp:wrapNone/>
                <wp:docPr id="252" name="直接连接符 252"/>
                <wp:cNvGraphicFramePr/>
                <a:graphic xmlns:a="http://schemas.openxmlformats.org/drawingml/2006/main">
                  <a:graphicData uri="http://schemas.microsoft.com/office/word/2010/wordprocessingShape">
                    <wps:wsp>
                      <wps:cNvCnPr/>
                      <wps:spPr>
                        <a:xfrm flipH="1">
                          <a:off x="0" y="0"/>
                          <a:ext cx="1514104"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0.3pt;margin-top:335.2pt;height:0.95pt;width:119.2pt;z-index:251700224;mso-width-relative:page;mso-height-relative:page;" filled="f" stroked="t" coordsize="21600,21600" o:gfxdata="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jqRP7YAAAACgEAAA8AAAAAAAAAAQAg&#10;AAAAIgAAAGRycy9kb3ducmV2LnhtbFBLAQIUABQAAAAIAIdO4kC3Q1lA1QEAAHUDAAAOAAAAAAAA&#10;AAEAIAAAACcBAABkcnMvZTJvRG9jLnhtbFBLBQYAAAAABgAGAFkBAABuBQ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699200" behindDoc="0" locked="0" layoutInCell="1" allowOverlap="1">
                <wp:simplePos x="0" y="0"/>
                <wp:positionH relativeFrom="column">
                  <wp:posOffset>1000125</wp:posOffset>
                </wp:positionH>
                <wp:positionV relativeFrom="paragraph">
                  <wp:posOffset>1436370</wp:posOffset>
                </wp:positionV>
                <wp:extent cx="772160" cy="0"/>
                <wp:effectExtent l="0" t="76200" r="9525" b="95250"/>
                <wp:wrapNone/>
                <wp:docPr id="251" name="直接箭头连接符 251"/>
                <wp:cNvGraphicFramePr/>
                <a:graphic xmlns:a="http://schemas.openxmlformats.org/drawingml/2006/main">
                  <a:graphicData uri="http://schemas.microsoft.com/office/word/2010/wordprocessingShape">
                    <wps:wsp>
                      <wps:cNvCnPr/>
                      <wps:spPr>
                        <a:xfrm>
                          <a:off x="0" y="0"/>
                          <a:ext cx="771896" cy="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8.75pt;margin-top:113.1pt;height:0pt;width:60.8pt;z-index:251699200;mso-width-relative:page;mso-height-relative:page;" filled="f" stroked="t" coordsize="21600,21600" o:gfxdata="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RO//XYAAAACwEAAA8AAAAAAAAAAQAgAAAAIgAAAGRycy9kb3ducmV2LnhtbFBLAQIUABQA&#10;AAAIAIdO4kDu9Isk8AEAAJYDAAAOAAAAAAAAAAEAIAAAACcBAABkcnMvZTJvRG9jLnhtbFBLBQYA&#10;AAAABgAGAFkBAACJBQAAAAA=&#10;">
                <v:fill on="f" focussize="0,0"/>
                <v:stroke weight="0.5pt" color="#00B0F0 [3204]"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98176" behindDoc="0" locked="0" layoutInCell="1" allowOverlap="1">
                <wp:simplePos x="0" y="0"/>
                <wp:positionH relativeFrom="column">
                  <wp:posOffset>1000125</wp:posOffset>
                </wp:positionH>
                <wp:positionV relativeFrom="paragraph">
                  <wp:posOffset>1436370</wp:posOffset>
                </wp:positionV>
                <wp:extent cx="5715" cy="2089785"/>
                <wp:effectExtent l="0" t="0" r="32385" b="24765"/>
                <wp:wrapNone/>
                <wp:docPr id="250" name="直接连接符 250"/>
                <wp:cNvGraphicFramePr/>
                <a:graphic xmlns:a="http://schemas.openxmlformats.org/drawingml/2006/main">
                  <a:graphicData uri="http://schemas.microsoft.com/office/word/2010/wordprocessingShape">
                    <wps:wsp>
                      <wps:cNvCnPr/>
                      <wps:spPr>
                        <a:xfrm flipH="1" flipV="1">
                          <a:off x="0" y="0"/>
                          <a:ext cx="5938" cy="2090057"/>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78.75pt;margin-top:113.1pt;height:164.55pt;width:0.45pt;z-index:251698176;mso-width-relative:page;mso-height-relative:page;" filled="f" stroked="t" coordsize="21600,21600" o:gfxdata="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05ny9kAAAALAQAADwAA&#10;AAAAAAABACAAAAAiAAAAZHJzL2Rvd25yZXYueG1sUEsBAhQAFAAAAAgAh07iQGCOoYPcAQAAfgMA&#10;AA4AAAAAAAAAAQAgAAAAKAEAAGRycy9lMm9Eb2MueG1sUEsFBgAAAAAGAAYAWQEAAHYFAAAAAA==&#10;">
                <v:fill on="f" focussize="0,0"/>
                <v:stroke weight="0.5pt" color="#00B0F0 [3204]"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697152" behindDoc="0" locked="0" layoutInCell="1" allowOverlap="1">
                <wp:simplePos x="0" y="0"/>
                <wp:positionH relativeFrom="column">
                  <wp:posOffset>1421765</wp:posOffset>
                </wp:positionH>
                <wp:positionV relativeFrom="paragraph">
                  <wp:posOffset>3657600</wp:posOffset>
                </wp:positionV>
                <wp:extent cx="350520" cy="0"/>
                <wp:effectExtent l="38100" t="76200" r="0" b="95250"/>
                <wp:wrapNone/>
                <wp:docPr id="249" name="直接箭头连接符 249"/>
                <wp:cNvGraphicFramePr/>
                <a:graphic xmlns:a="http://schemas.openxmlformats.org/drawingml/2006/main">
                  <a:graphicData uri="http://schemas.microsoft.com/office/word/2010/wordprocessingShape">
                    <wps:wsp>
                      <wps:cNvCnPr/>
                      <wps:spPr>
                        <a:xfrm flipH="1">
                          <a:off x="0" y="0"/>
                          <a:ext cx="350322" cy="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95pt;margin-top:288pt;height:0pt;width:27.6pt;z-index:251697152;mso-width-relative:page;mso-height-relative:page;" filled="f" stroked="t" coordsize="21600,21600" o:gfxdata="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5Lf4vWAAAACwEAAA8AAAAAAAAAAQAgAAAAIgAAAGRycy9kb3ducmV2LnhtbFBLAQIU&#10;ABQAAAAIAIdO4kAo9TxJ9QEAAKADAAAOAAAAAAAAAAEAIAAAACUBAABkcnMvZTJvRG9jLnhtbFBL&#10;BQYAAAAABgAGAFkBAACMBQAAAAA=&#10;">
                <v:fill on="f" focussize="0,0"/>
                <v:stroke weight="0.5pt" color="#00B0F0 [3204]"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591820</wp:posOffset>
                </wp:positionH>
                <wp:positionV relativeFrom="paragraph">
                  <wp:posOffset>3524250</wp:posOffset>
                </wp:positionV>
                <wp:extent cx="857250" cy="277495"/>
                <wp:effectExtent l="0" t="0" r="19050" b="27305"/>
                <wp:wrapNone/>
                <wp:docPr id="10"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77495"/>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回用水塔</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46.6pt;margin-top:277.5pt;height:21.85pt;width:67.5pt;z-index:251676672;mso-width-relative:page;mso-height-relative:page;" fillcolor="#FFFFFF" filled="t" stroked="t" coordsize="21600,21600" o:gfxdata="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rDli7ZAAAACgEAAA8AAAAA&#10;AAAAAQAgAAAAIgAAAGRycy9kb3ducmV2LnhtbFBLAQIUABQAAAAIAIdO4kBYU1aKEwIAADoEAAAO&#10;AAAAAAAAAAEAIAAAACgBAABkcnMvZTJvRG9jLnhtbFBLBQYAAAAABgAGAFkBAACtBQAAAAA=&#10;">
                <v:fill on="t" focussize="0,0"/>
                <v:stroke color="#000000" miterlimit="8" joinstyle="miter"/>
                <v:imagedata o:title=""/>
                <o:lock v:ext="edit" aspectratio="f"/>
                <v:textbox>
                  <w:txbxContent>
                    <w:p>
                      <w:pPr>
                        <w:spacing w:line="240" w:lineRule="atLeast"/>
                        <w:jc w:val="center"/>
                      </w:pPr>
                      <w:r>
                        <w:rPr>
                          <w:rFonts w:hint="eastAsia"/>
                        </w:rPr>
                        <w:t>回用水塔</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93056" behindDoc="0" locked="0" layoutInCell="1" allowOverlap="1">
                <wp:simplePos x="0" y="0"/>
                <wp:positionH relativeFrom="column">
                  <wp:posOffset>2211705</wp:posOffset>
                </wp:positionH>
                <wp:positionV relativeFrom="paragraph">
                  <wp:posOffset>4387850</wp:posOffset>
                </wp:positionV>
                <wp:extent cx="1270" cy="285115"/>
                <wp:effectExtent l="0" t="0" r="37465" b="20320"/>
                <wp:wrapNone/>
                <wp:docPr id="245" name="直接连接符 245"/>
                <wp:cNvGraphicFramePr/>
                <a:graphic xmlns:a="http://schemas.openxmlformats.org/drawingml/2006/main">
                  <a:graphicData uri="http://schemas.microsoft.com/office/word/2010/wordprocessingShape">
                    <wps:wsp>
                      <wps:cNvCnPr/>
                      <wps:spPr>
                        <a:xfrm>
                          <a:off x="0" y="0"/>
                          <a:ext cx="1048" cy="2850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4.15pt;margin-top:345.5pt;height:22.45pt;width:0.1pt;z-index:251693056;mso-width-relative:page;mso-height-relative:page;" filled="f" stroked="t" coordsize="21600,21600" o:gfxdata="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&#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zbNT+2QAAAAsBAAAPAAAAAAAAAAEAIAAAACIAAABk&#10;cnMvZG93bnJldi54bWxQSwECFAAUAAAACACHTuJA3oePO8wBAABpAwAADgAAAAAAAAABACAAAAAo&#10;AQAAZHJzL2Uyb0RvYy54bWxQSwUGAAAAAAYABgBZAQAAZgU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694080" behindDoc="0" locked="0" layoutInCell="1" allowOverlap="1">
                <wp:simplePos x="0" y="0"/>
                <wp:positionH relativeFrom="column">
                  <wp:posOffset>1379855</wp:posOffset>
                </wp:positionH>
                <wp:positionV relativeFrom="paragraph">
                  <wp:posOffset>4678680</wp:posOffset>
                </wp:positionV>
                <wp:extent cx="0" cy="147955"/>
                <wp:effectExtent l="76200" t="0" r="57150" b="61595"/>
                <wp:wrapNone/>
                <wp:docPr id="246" name="直接箭头连接符 246"/>
                <wp:cNvGraphicFramePr/>
                <a:graphic xmlns:a="http://schemas.openxmlformats.org/drawingml/2006/main">
                  <a:graphicData uri="http://schemas.microsoft.com/office/word/2010/wordprocessingShape">
                    <wps:wsp>
                      <wps:cNvCnPr/>
                      <wps:spPr>
                        <a:xfrm>
                          <a:off x="0" y="0"/>
                          <a:ext cx="0" cy="147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8.65pt;margin-top:368.4pt;height:11.65pt;width:0pt;z-index:251694080;mso-width-relative:page;mso-height-relative:page;" filled="f" stroked="t" coordsize="21600,21600" o:gfxdata="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Suo&#10;VdYAAAALAQAADwAAAAAAAAABACAAAAAiAAAAZHJzL2Rvd25yZXYueG1sUEsBAhQAFAAAAAgAh07i&#10;QIw+D57rAQAAlgMAAA4AAAAAAAAAAQAgAAAAJQEAAGRycy9lMm9Eb2MueG1sUEsFBgAAAAAGAAYA&#10;WQEAAII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95104" behindDoc="0" locked="0" layoutInCell="1" allowOverlap="1">
                <wp:simplePos x="0" y="0"/>
                <wp:positionH relativeFrom="column">
                  <wp:posOffset>2920365</wp:posOffset>
                </wp:positionH>
                <wp:positionV relativeFrom="paragraph">
                  <wp:posOffset>4672330</wp:posOffset>
                </wp:positionV>
                <wp:extent cx="0" cy="147955"/>
                <wp:effectExtent l="76200" t="0" r="57150" b="61595"/>
                <wp:wrapNone/>
                <wp:docPr id="247" name="直接箭头连接符 247"/>
                <wp:cNvGraphicFramePr/>
                <a:graphic xmlns:a="http://schemas.openxmlformats.org/drawingml/2006/main">
                  <a:graphicData uri="http://schemas.microsoft.com/office/word/2010/wordprocessingShape">
                    <wps:wsp>
                      <wps:cNvCnPr/>
                      <wps:spPr>
                        <a:xfrm>
                          <a:off x="0" y="0"/>
                          <a:ext cx="0" cy="147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9.95pt;margin-top:367.9pt;height:11.65pt;width:0pt;z-index:251695104;mso-width-relative:page;mso-height-relative:page;" filled="f" stroked="t" coordsize="21600,21600" o:gfxdata="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23N&#10;+NYAAAALAQAADwAAAAAAAAABACAAAAAiAAAAZHJzL2Rvd25yZXYueG1sUEsBAhQAFAAAAAgAh07i&#10;QIkMDWHrAQAAlgMAAA4AAAAAAAAAAQAgAAAAJQEAAGRycy9lMm9Eb2MueG1sUEsFBgAAAAAGAAYA&#10;WQEAAII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96128" behindDoc="0" locked="0" layoutInCell="1" allowOverlap="1">
                <wp:simplePos x="0" y="0"/>
                <wp:positionH relativeFrom="column">
                  <wp:posOffset>1383030</wp:posOffset>
                </wp:positionH>
                <wp:positionV relativeFrom="paragraph">
                  <wp:posOffset>4671060</wp:posOffset>
                </wp:positionV>
                <wp:extent cx="1537970" cy="5715"/>
                <wp:effectExtent l="0" t="0" r="24765" b="32385"/>
                <wp:wrapNone/>
                <wp:docPr id="248" name="直接连接符 248"/>
                <wp:cNvGraphicFramePr/>
                <a:graphic xmlns:a="http://schemas.openxmlformats.org/drawingml/2006/main">
                  <a:graphicData uri="http://schemas.microsoft.com/office/word/2010/wordprocessingShape">
                    <wps:wsp>
                      <wps:cNvCnPr/>
                      <wps:spPr>
                        <a:xfrm>
                          <a:off x="0" y="0"/>
                          <a:ext cx="1537854" cy="5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8.9pt;margin-top:367.8pt;height:0.45pt;width:121.1pt;z-index:251696128;mso-width-relative:page;mso-height-relative:page;" filled="f" stroked="t" coordsize="21600,21600" o:gfxdata="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51tONgAAAALAQAADwAAAAAAAAABACAAAAAiAAAA&#10;ZHJzL2Rvd25yZXYueG1sUEsBAhQAFAAAAAgAh07iQBSCzZrOAQAAagMAAA4AAAAAAAAAAQAgAAAA&#10;JwEAAGRycy9lMm9Eb2MueG1sUEsFBgAAAAAGAAYAWQEAAGcFA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680768" behindDoc="0" locked="0" layoutInCell="1" allowOverlap="1">
                <wp:simplePos x="0" y="0"/>
                <wp:positionH relativeFrom="column">
                  <wp:posOffset>4180840</wp:posOffset>
                </wp:positionH>
                <wp:positionV relativeFrom="paragraph">
                  <wp:posOffset>3545840</wp:posOffset>
                </wp:positionV>
                <wp:extent cx="857250" cy="292100"/>
                <wp:effectExtent l="0" t="0" r="19050" b="12700"/>
                <wp:wrapNone/>
                <wp:docPr id="14"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9210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锅炉</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329.2pt;margin-top:279.2pt;height:23pt;width:67.5pt;z-index:251680768;mso-width-relative:page;mso-height-relative:page;" fillcolor="#FFFFFF" filled="t" stroked="t" coordsize="21600,21600" o:gfxdata="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E2PdXZAAAACwEAAA8AAAAA&#10;AAAAAQAgAAAAIgAAAGRycy9kb3ducmV2LnhtbFBLAQIUABQAAAAIAIdO4kDqRufGEwIAADoEAAAO&#10;AAAAAAAAAAEAIAAAACgBAABkcnMvZTJvRG9jLnhtbFBLBQYAAAAABgAGAFkBAACtBQAAAAA=&#10;">
                <v:fill on="t" focussize="0,0"/>
                <v:stroke color="#000000" miterlimit="8" joinstyle="miter"/>
                <v:imagedata o:title=""/>
                <o:lock v:ext="edit" aspectratio="f"/>
                <v:textbox>
                  <w:txbxContent>
                    <w:p>
                      <w:pPr>
                        <w:spacing w:line="240" w:lineRule="atLeast"/>
                        <w:jc w:val="center"/>
                      </w:pPr>
                      <w:r>
                        <w:rPr>
                          <w:rFonts w:hint="eastAsia"/>
                        </w:rPr>
                        <w:t>锅炉</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3049270</wp:posOffset>
                </wp:positionH>
                <wp:positionV relativeFrom="paragraph">
                  <wp:posOffset>3075305</wp:posOffset>
                </wp:positionV>
                <wp:extent cx="857250" cy="292735"/>
                <wp:effectExtent l="0" t="0" r="0" b="0"/>
                <wp:wrapNone/>
                <wp:docPr id="12"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92608"/>
                        </a:xfrm>
                        <a:prstGeom prst="rect">
                          <a:avLst/>
                        </a:prstGeom>
                        <a:solidFill>
                          <a:srgbClr val="FFFFFF"/>
                        </a:solidFill>
                        <a:ln w="9525">
                          <a:noFill/>
                          <a:miter lim="800000"/>
                        </a:ln>
                      </wps:spPr>
                      <wps:txbx>
                        <w:txbxContent>
                          <w:p>
                            <w:pPr>
                              <w:spacing w:line="240" w:lineRule="atLeast"/>
                              <w:jc w:val="center"/>
                            </w:pPr>
                            <w:r>
                              <w:rPr>
                                <w:rFonts w:hint="eastAsia"/>
                              </w:rPr>
                              <w:t>蒸汽回收</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40.1pt;margin-top:242.15pt;height:23.05pt;width:67.5pt;z-index:251678720;mso-width-relative:page;mso-height-relative:page;" fillcolor="#FFFFFF" filled="t" stroked="f" coordsize="21600,21600" o:gfxdata="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pjOW2AAAAAsBAAAPAAAAAAAA&#10;AAEAIAAAACIAAABkcnMvZG93bnJldi54bWxQSwECFAAUAAAACACHTuJAblPCgBICAAARBAAADgAA&#10;AAAAAAABACAAAAAnAQAAZHJzL2Uyb0RvYy54bWxQSwUGAAAAAAYABgBZAQAAqwUAAAAA&#10;">
                <v:fill on="t" focussize="0,0"/>
                <v:stroke on="f" miterlimit="8" joinstyle="miter"/>
                <v:imagedata o:title=""/>
                <o:lock v:ext="edit" aspectratio="f"/>
                <v:textbox>
                  <w:txbxContent>
                    <w:p>
                      <w:pPr>
                        <w:spacing w:line="240" w:lineRule="atLeast"/>
                        <w:jc w:val="center"/>
                      </w:pPr>
                      <w:r>
                        <w:rPr>
                          <w:rFonts w:hint="eastAsia"/>
                        </w:rPr>
                        <w:t>蒸汽回收</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91008" behindDoc="0" locked="0" layoutInCell="1" allowOverlap="1">
                <wp:simplePos x="0" y="0"/>
                <wp:positionH relativeFrom="column">
                  <wp:posOffset>2413635</wp:posOffset>
                </wp:positionH>
                <wp:positionV relativeFrom="paragraph">
                  <wp:posOffset>3319145</wp:posOffset>
                </wp:positionV>
                <wp:extent cx="2155190" cy="0"/>
                <wp:effectExtent l="0" t="0" r="16510" b="19050"/>
                <wp:wrapNone/>
                <wp:docPr id="28" name="直接连接符 28"/>
                <wp:cNvGraphicFramePr/>
                <a:graphic xmlns:a="http://schemas.openxmlformats.org/drawingml/2006/main">
                  <a:graphicData uri="http://schemas.microsoft.com/office/word/2010/wordprocessingShape">
                    <wps:wsp>
                      <wps:cNvCnPr/>
                      <wps:spPr>
                        <a:xfrm>
                          <a:off x="0" y="0"/>
                          <a:ext cx="2155371"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0.05pt;margin-top:261.35pt;height:0pt;width:169.7pt;z-index:251691008;mso-width-relative:page;mso-height-relative:page;" filled="f" stroked="t" coordsize="21600,21600" o:gfxdata="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9n58GNYAAAALAQAADwAAAAAAAAABACAAAAAiAAAAZHJzL2Rv&#10;d25yZXYueG1sUEsBAhQAFAAAAAgAh07iQB3hw//KAQAAZgMAAA4AAAAAAAAAAQAgAAAAJQEAAGRy&#10;cy9lMm9Eb2MueG1sUEsFBgAAAAAGAAYAWQEAAGEFAAAAAA==&#10;">
                <v:fill on="f" focussize="0,0"/>
                <v:stroke weight="0.5pt" color="#000000 [3200]" miterlimit="8" joinstyle="miter" dashstyle="longDash"/>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689984" behindDoc="0" locked="0" layoutInCell="1" allowOverlap="1">
                <wp:simplePos x="0" y="0"/>
                <wp:positionH relativeFrom="column">
                  <wp:posOffset>2407285</wp:posOffset>
                </wp:positionH>
                <wp:positionV relativeFrom="paragraph">
                  <wp:posOffset>3319145</wp:posOffset>
                </wp:positionV>
                <wp:extent cx="0" cy="207645"/>
                <wp:effectExtent l="0" t="0" r="19050" b="20955"/>
                <wp:wrapNone/>
                <wp:docPr id="27" name="直接连接符 27"/>
                <wp:cNvGraphicFramePr/>
                <a:graphic xmlns:a="http://schemas.openxmlformats.org/drawingml/2006/main">
                  <a:graphicData uri="http://schemas.microsoft.com/office/word/2010/wordprocessingShape">
                    <wps:wsp>
                      <wps:cNvCnPr/>
                      <wps:spPr>
                        <a:xfrm flipV="1">
                          <a:off x="0" y="0"/>
                          <a:ext cx="0" cy="207818"/>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89.55pt;margin-top:261.35pt;height:16.35pt;width:0pt;z-index:251689984;mso-width-relative:page;mso-height-relative:page;" filled="f" stroked="t" coordsize="21600,21600" o:gfxdata="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Fv38dkAAAALAQAADwAAAAAAAAABACAAAAAi&#10;AAAAZHJzL2Rvd25yZXYueG1sUEsBAhQAFAAAAAgAh07iQKCYCjHQAQAAbwMAAA4AAAAAAAAAAQAg&#10;AAAAKAEAAGRycy9lMm9Eb2MueG1sUEsFBgAAAAAGAAYAWQEAAGoFAAAAAA==&#10;">
                <v:fill on="f" focussize="0,0"/>
                <v:stroke weight="0.5pt" color="#000000 [3200]" miterlimit="8" joinstyle="miter" dashstyle="longDash"/>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679744" behindDoc="0" locked="0" layoutInCell="1" allowOverlap="1">
                <wp:simplePos x="0" y="0"/>
                <wp:positionH relativeFrom="column">
                  <wp:posOffset>3025775</wp:posOffset>
                </wp:positionH>
                <wp:positionV relativeFrom="paragraph">
                  <wp:posOffset>3649345</wp:posOffset>
                </wp:positionV>
                <wp:extent cx="857250" cy="292100"/>
                <wp:effectExtent l="0" t="0" r="0" b="0"/>
                <wp:wrapNone/>
                <wp:docPr id="13"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92100"/>
                        </a:xfrm>
                        <a:prstGeom prst="rect">
                          <a:avLst/>
                        </a:prstGeom>
                        <a:solidFill>
                          <a:srgbClr val="FFFFFF"/>
                        </a:solidFill>
                        <a:ln w="9525">
                          <a:noFill/>
                          <a:miter lim="800000"/>
                        </a:ln>
                      </wps:spPr>
                      <wps:txbx>
                        <w:txbxContent>
                          <w:p>
                            <w:pPr>
                              <w:spacing w:line="240" w:lineRule="atLeast"/>
                              <w:jc w:val="center"/>
                            </w:pPr>
                            <w:r>
                              <w:rPr>
                                <w:rFonts w:hint="eastAsia"/>
                              </w:rPr>
                              <w:t>蒸汽</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38.25pt;margin-top:287.35pt;height:23pt;width:67.5pt;z-index:251679744;mso-width-relative:page;mso-height-relative:page;" fillcolor="#FFFFFF" filled="t" stroked="f" coordsize="21600,21600" o:gfxdata="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JyOk2AAAAAsBAAAPAAAAAAAA&#10;AAEAIAAAACIAAABkcnMvZG93bnJldi54bWxQSwECFAAUAAAACACHTuJA9BamRRICAAARBAAADgAA&#10;AAAAAAABACAAAAAnAQAAZHJzL2Uyb0RvYy54bWxQSwUGAAAAAAYABgBZAQAAqwUAAAAA&#10;">
                <v:fill on="t" focussize="0,0"/>
                <v:stroke on="f" miterlimit="8" joinstyle="miter"/>
                <v:imagedata o:title=""/>
                <o:lock v:ext="edit" aspectratio="f"/>
                <v:textbox>
                  <w:txbxContent>
                    <w:p>
                      <w:pPr>
                        <w:spacing w:line="240" w:lineRule="atLeast"/>
                        <w:jc w:val="center"/>
                      </w:pPr>
                      <w:r>
                        <w:rPr>
                          <w:rFonts w:hint="eastAsia"/>
                        </w:rPr>
                        <w:t>蒸汽</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88960" behindDoc="0" locked="0" layoutInCell="1" allowOverlap="1">
                <wp:simplePos x="0" y="0"/>
                <wp:positionH relativeFrom="column">
                  <wp:posOffset>2623185</wp:posOffset>
                </wp:positionH>
                <wp:positionV relativeFrom="paragraph">
                  <wp:posOffset>3681095</wp:posOffset>
                </wp:positionV>
                <wp:extent cx="1559560" cy="10160"/>
                <wp:effectExtent l="38100" t="57150" r="0" b="104140"/>
                <wp:wrapNone/>
                <wp:docPr id="26" name="直接箭头连接符 26"/>
                <wp:cNvGraphicFramePr/>
                <a:graphic xmlns:a="http://schemas.openxmlformats.org/drawingml/2006/main">
                  <a:graphicData uri="http://schemas.microsoft.com/office/word/2010/wordprocessingShape">
                    <wps:wsp>
                      <wps:cNvCnPr/>
                      <wps:spPr>
                        <a:xfrm flipH="1">
                          <a:off x="0" y="0"/>
                          <a:ext cx="1559378" cy="1030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6.55pt;margin-top:289.85pt;height:0.8pt;width:122.8pt;z-index:251688960;mso-width-relative:page;mso-height-relative:page;" filled="f" stroked="t" coordsize="21600,21600" o:gfxdata="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GGqFdsAAAALAQAADwAAAAAAAAABACAAAAAiAAAAZHJzL2Rvd25yZXYu&#10;eG1sUEsBAhQAFAAAAAgAh07iQOz6z934AQAApAMAAA4AAAAAAAAAAQAgAAAAKgEAAGRycy9lMm9E&#10;b2MueG1sUEsFBgAAAAAGAAYAWQEAAJQFA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87936" behindDoc="0" locked="0" layoutInCell="1" allowOverlap="1">
                <wp:simplePos x="0" y="0"/>
                <wp:positionH relativeFrom="column">
                  <wp:posOffset>2205355</wp:posOffset>
                </wp:positionH>
                <wp:positionV relativeFrom="paragraph">
                  <wp:posOffset>3186430</wp:posOffset>
                </wp:positionV>
                <wp:extent cx="0" cy="339725"/>
                <wp:effectExtent l="76200" t="0" r="76200" b="60325"/>
                <wp:wrapNone/>
                <wp:docPr id="23" name="直接箭头连接符 23"/>
                <wp:cNvGraphicFramePr/>
                <a:graphic xmlns:a="http://schemas.openxmlformats.org/drawingml/2006/main">
                  <a:graphicData uri="http://schemas.microsoft.com/office/word/2010/wordprocessingShape">
                    <wps:wsp>
                      <wps:cNvCnPr/>
                      <wps:spPr>
                        <a:xfrm>
                          <a:off x="0" y="0"/>
                          <a:ext cx="0" cy="340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3.65pt;margin-top:250.9pt;height:26.75pt;width:0pt;z-index:251687936;mso-width-relative:page;mso-height-relative:page;" filled="f" stroked="t" coordsize="21600,21600" o:gfxdata="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qCyZjW&#10;AAAACwEAAA8AAAAAAAAAAQAgAAAAIgAAAGRycy9kb3ducmV2LnhtbFBLAQIUABQAAAAIAIdO4kB2&#10;98YF6QEAAJQDAAAOAAAAAAAAAAEAIAAAACUBAABkcnMvZTJvRG9jLnhtbFBLBQYAAAAABgAGAFkB&#10;AACABQ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72576" behindDoc="0" locked="0" layoutInCell="1" allowOverlap="1">
                <wp:simplePos x="0" y="0"/>
                <wp:positionH relativeFrom="column">
                  <wp:posOffset>1771015</wp:posOffset>
                </wp:positionH>
                <wp:positionV relativeFrom="paragraph">
                  <wp:posOffset>3524250</wp:posOffset>
                </wp:positionV>
                <wp:extent cx="857250" cy="285115"/>
                <wp:effectExtent l="0" t="0" r="19050" b="19685"/>
                <wp:wrapNone/>
                <wp:docPr id="6"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85115"/>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造纸机</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39.45pt;margin-top:277.5pt;height:22.45pt;width:67.5pt;z-index:251672576;mso-width-relative:page;mso-height-relative:page;" fillcolor="#FFFFFF" filled="t" stroked="t" coordsize="21600,21600" o:gfxdata="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uhLsHZAAAACwEAAA8AAAAA&#10;AAAAAQAgAAAAIgAAAGRycy9kb3ducmV2LnhtbFBLAQIUABQAAAAIAIdO4kDz1im9EwIAADkEAAAO&#10;AAAAAAAAAAEAIAAAACgBAABkcnMvZTJvRG9jLnhtbFBLBQYAAAAABgAGAFkBAACtBQAAAAA=&#10;">
                <v:fill on="t" focussize="0,0"/>
                <v:stroke color="#000000" miterlimit="8" joinstyle="miter"/>
                <v:imagedata o:title=""/>
                <o:lock v:ext="edit" aspectratio="f"/>
                <v:textbox>
                  <w:txbxContent>
                    <w:p>
                      <w:pPr>
                        <w:spacing w:line="240" w:lineRule="atLeast"/>
                        <w:jc w:val="center"/>
                      </w:pPr>
                      <w:r>
                        <w:rPr>
                          <w:rFonts w:hint="eastAsia"/>
                        </w:rPr>
                        <w:t>造纸机</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86912" behindDoc="0" locked="0" layoutInCell="1" allowOverlap="1">
                <wp:simplePos x="0" y="0"/>
                <wp:positionH relativeFrom="column">
                  <wp:posOffset>2205355</wp:posOffset>
                </wp:positionH>
                <wp:positionV relativeFrom="paragraph">
                  <wp:posOffset>3832860</wp:posOffset>
                </wp:positionV>
                <wp:extent cx="0" cy="278765"/>
                <wp:effectExtent l="76200" t="0" r="57150" b="64135"/>
                <wp:wrapNone/>
                <wp:docPr id="22" name="直接箭头连接符 22"/>
                <wp:cNvGraphicFramePr/>
                <a:graphic xmlns:a="http://schemas.openxmlformats.org/drawingml/2006/main">
                  <a:graphicData uri="http://schemas.microsoft.com/office/word/2010/wordprocessingShape">
                    <wps:wsp>
                      <wps:cNvCnPr/>
                      <wps:spPr>
                        <a:xfrm>
                          <a:off x="0" y="0"/>
                          <a:ext cx="0" cy="278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3.65pt;margin-top:301.8pt;height:21.95pt;width:0pt;z-index:251686912;mso-width-relative:page;mso-height-relative:page;" filled="f" stroked="t" coordsize="21600,21600" o:gfxdata="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PwevW&#10;AAAACwEAAA8AAAAAAAAAAQAgAAAAIgAAAGRycy9kb3ducmV2LnhtbFBLAQIUABQAAAAIAIdO4kD0&#10;UrJx6QEAAJQDAAAOAAAAAAAAAAEAIAAAACUBAABkcnMvZTJvRG9jLnhtbFBLBQYAAAAABgAGAFkB&#10;AACABQ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1778000</wp:posOffset>
                </wp:positionH>
                <wp:positionV relativeFrom="paragraph">
                  <wp:posOffset>4110990</wp:posOffset>
                </wp:positionV>
                <wp:extent cx="857250" cy="277495"/>
                <wp:effectExtent l="0" t="0" r="19050" b="27305"/>
                <wp:wrapNone/>
                <wp:docPr id="7"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77495"/>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切纸</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40pt;margin-top:323.7pt;height:21.85pt;width:67.5pt;z-index:251673600;mso-width-relative:page;mso-height-relative:page;" fillcolor="#FFFFFF" filled="t" stroked="t" coordsize="21600,21600" o:gfxdata="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ej3d9oAAAALAQAADwAA&#10;AAAAAAABACAAAAAiAAAAZHJzL2Rvd25yZXYueG1sUEsBAhQAFAAAAAgAh07iQLJJq4YUAgAAOQQA&#10;AA4AAAAAAAAAAQAgAAAAKQEAAGRycy9lMm9Eb2MueG1sUEsFBgAAAAAGAAYAWQEAAK8FAAAAAA==&#10;">
                <v:fill on="t" focussize="0,0"/>
                <v:stroke color="#000000" miterlimit="8" joinstyle="miter"/>
                <v:imagedata o:title=""/>
                <o:lock v:ext="edit" aspectratio="f"/>
                <v:textbox>
                  <w:txbxContent>
                    <w:p>
                      <w:pPr>
                        <w:spacing w:line="240" w:lineRule="atLeast"/>
                        <w:jc w:val="center"/>
                      </w:pPr>
                      <w:r>
                        <w:rPr>
                          <w:rFonts w:hint="eastAsia"/>
                        </w:rPr>
                        <w:t>切纸</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1774825</wp:posOffset>
                </wp:positionH>
                <wp:positionV relativeFrom="paragraph">
                  <wp:posOffset>2910840</wp:posOffset>
                </wp:positionV>
                <wp:extent cx="857250" cy="277495"/>
                <wp:effectExtent l="0" t="0" r="19050" b="27305"/>
                <wp:wrapNone/>
                <wp:docPr id="5"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77495"/>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细</w:t>
                            </w:r>
                            <w:r>
                              <w:t>浆池</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39.75pt;margin-top:229.2pt;height:21.85pt;width:67.5pt;z-index:251671552;mso-width-relative:page;mso-height-relative:page;" fillcolor="#FFFFFF" filled="t" stroked="t" coordsize="21600,21600" o:gfxdata="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jUFHNoAAAALAQAADwAA&#10;AAAAAAABACAAAAAiAAAAZHJzL2Rvd25yZXYueG1sUEsBAhQAFAAAAAgAh07iQLZJCfgUAgAAOQQA&#10;AA4AAAAAAAAAAQAgAAAAKQEAAGRycy9lMm9Eb2MueG1sUEsFBgAAAAAGAAYAWQEAAK8FAAAAAA==&#10;">
                <v:fill on="t" focussize="0,0"/>
                <v:stroke color="#000000" miterlimit="8" joinstyle="miter"/>
                <v:imagedata o:title=""/>
                <o:lock v:ext="edit" aspectratio="f"/>
                <v:textbox>
                  <w:txbxContent>
                    <w:p>
                      <w:pPr>
                        <w:spacing w:line="240" w:lineRule="atLeast"/>
                        <w:jc w:val="center"/>
                      </w:pPr>
                      <w:r>
                        <w:rPr>
                          <w:rFonts w:hint="eastAsia"/>
                        </w:rPr>
                        <w:t>细</w:t>
                      </w:r>
                      <w:r>
                        <w:t>浆池</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85888" behindDoc="0" locked="0" layoutInCell="1" allowOverlap="1">
                <wp:simplePos x="0" y="0"/>
                <wp:positionH relativeFrom="column">
                  <wp:posOffset>2199640</wp:posOffset>
                </wp:positionH>
                <wp:positionV relativeFrom="paragraph">
                  <wp:posOffset>2684145</wp:posOffset>
                </wp:positionV>
                <wp:extent cx="0" cy="234315"/>
                <wp:effectExtent l="76200" t="0" r="57150" b="52070"/>
                <wp:wrapNone/>
                <wp:docPr id="19" name="直接箭头连接符 19"/>
                <wp:cNvGraphicFramePr/>
                <a:graphic xmlns:a="http://schemas.openxmlformats.org/drawingml/2006/main">
                  <a:graphicData uri="http://schemas.microsoft.com/office/word/2010/wordprocessingShape">
                    <wps:wsp>
                      <wps:cNvCnPr/>
                      <wps:spPr>
                        <a:xfrm>
                          <a:off x="0" y="0"/>
                          <a:ext cx="0" cy="2340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3.2pt;margin-top:211.35pt;height:18.45pt;width:0pt;z-index:251685888;mso-width-relative:page;mso-height-relative:page;" filled="f" stroked="t" coordsize="21600,21600" o:gfxdata="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8g1f&#10;1wAAAAsBAAAPAAAAAAAAAAEAIAAAACIAAABkcnMvZG93bnJldi54bWxQSwECFAAUAAAACACHTuJA&#10;iJhetukBAACUAwAADgAAAAAAAAABACAAAAAmAQAAZHJzL2Uyb0RvYy54bWxQSwUGAAAAAAYABgBZ&#10;AQAAgQU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1774825</wp:posOffset>
                </wp:positionH>
                <wp:positionV relativeFrom="paragraph">
                  <wp:posOffset>2399030</wp:posOffset>
                </wp:positionV>
                <wp:extent cx="857250" cy="277495"/>
                <wp:effectExtent l="0" t="0" r="19050" b="27305"/>
                <wp:wrapNone/>
                <wp:docPr id="4"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77495"/>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磨浆</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39.75pt;margin-top:188.9pt;height:21.85pt;width:67.5pt;z-index:251670528;mso-width-relative:page;mso-height-relative:page;" fillcolor="#FFFFFF" filled="t" stroked="t" coordsize="21600,21600" o:gfxdata="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QjL3doAAAALAQAADwAA&#10;AAAAAAABACAAAAAiAAAAZHJzL2Rvd25yZXYueG1sUEsBAhQAFAAAAAgAh07iQLRJWMcUAgAAOQQA&#10;AA4AAAAAAAAAAQAgAAAAKQEAAGRycy9lMm9Eb2MueG1sUEsFBgAAAAAGAAYAWQEAAK8FAAAAAA==&#10;">
                <v:fill on="t" focussize="0,0"/>
                <v:stroke color="#000000" miterlimit="8" joinstyle="miter"/>
                <v:imagedata o:title=""/>
                <o:lock v:ext="edit" aspectratio="f"/>
                <v:textbox>
                  <w:txbxContent>
                    <w:p>
                      <w:pPr>
                        <w:spacing w:line="240" w:lineRule="atLeast"/>
                        <w:jc w:val="center"/>
                      </w:pPr>
                      <w:r>
                        <w:rPr>
                          <w:rFonts w:hint="eastAsia"/>
                        </w:rPr>
                        <w:t>磨浆</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2199640</wp:posOffset>
                </wp:positionH>
                <wp:positionV relativeFrom="paragraph">
                  <wp:posOffset>2128520</wp:posOffset>
                </wp:positionV>
                <wp:extent cx="0" cy="270510"/>
                <wp:effectExtent l="76200" t="0" r="57150" b="53340"/>
                <wp:wrapNone/>
                <wp:docPr id="18" name="直接箭头连接符 18"/>
                <wp:cNvGraphicFramePr/>
                <a:graphic xmlns:a="http://schemas.openxmlformats.org/drawingml/2006/main">
                  <a:graphicData uri="http://schemas.microsoft.com/office/word/2010/wordprocessingShape">
                    <wps:wsp>
                      <wps:cNvCnPr/>
                      <wps:spPr>
                        <a:xfrm>
                          <a:off x="0" y="0"/>
                          <a:ext cx="0"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3.2pt;margin-top:167.6pt;height:21.3pt;width:0pt;z-index:251684864;mso-width-relative:page;mso-height-relative:page;" filled="f" stroked="t" coordsize="21600,21600" o:gfxdata="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zU2h/X&#10;AAAACwEAAA8AAAAAAAAAAQAgAAAAIgAAAGRycy9kb3ducmV2LnhtbFBLAQIUABQAAAAIAIdO4kBO&#10;JJqu6AEAAJQDAAAOAAAAAAAAAAEAIAAAACYBAABkcnMvZTJvRG9jLnhtbFBLBQYAAAAABgAGAFkB&#10;AACABQ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9504" behindDoc="0" locked="0" layoutInCell="1" allowOverlap="1">
                <wp:simplePos x="0" y="0"/>
                <wp:positionH relativeFrom="column">
                  <wp:posOffset>1767840</wp:posOffset>
                </wp:positionH>
                <wp:positionV relativeFrom="paragraph">
                  <wp:posOffset>1843405</wp:posOffset>
                </wp:positionV>
                <wp:extent cx="857250" cy="277495"/>
                <wp:effectExtent l="0" t="0" r="19050" b="27305"/>
                <wp:wrapNone/>
                <wp:docPr id="29"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77495"/>
                        </a:xfrm>
                        <a:prstGeom prst="rect">
                          <a:avLst/>
                        </a:prstGeom>
                        <a:ln w="6350"/>
                      </wps:spPr>
                      <wps:style>
                        <a:lnRef idx="2">
                          <a:schemeClr val="dk1"/>
                        </a:lnRef>
                        <a:fillRef idx="1">
                          <a:schemeClr val="lt1"/>
                        </a:fillRef>
                        <a:effectRef idx="0">
                          <a:schemeClr val="dk1"/>
                        </a:effectRef>
                        <a:fontRef idx="minor">
                          <a:schemeClr val="dk1"/>
                        </a:fontRef>
                      </wps:style>
                      <wps:txbx>
                        <w:txbxContent>
                          <w:p>
                            <w:pPr>
                              <w:spacing w:line="240" w:lineRule="atLeast"/>
                              <w:jc w:val="center"/>
                            </w:pPr>
                            <w:r>
                              <w:rPr>
                                <w:rFonts w:hint="eastAsia"/>
                              </w:rPr>
                              <w:t>粗浆池</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39.2pt;margin-top:145.15pt;height:21.85pt;width:67.5pt;z-index:251669504;mso-width-relative:page;mso-height-relative:page;" fillcolor="#FFFFFF [3201]" filled="t" stroked="t" coordsize="21600,21600" o:gfxdata="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Ayx/NcAAAALAQAADwAAAAAAAAABACAAAAAiAAAAZHJzL2Rvd25yZXYu&#10;eG1sUEsBAhQAFAAAAAgAh07iQNe4dFM1AgAAdAQAAA4AAAAAAAAAAQAgAAAAJgEAAGRycy9lMm9E&#10;b2MueG1sUEsFBgAAAAAGAAYAWQEAAM0FAAAAAA==&#10;">
                <v:fill on="t" focussize="0,0"/>
                <v:stroke weight="0.5pt" color="#000000 [3200]" miterlimit="8" joinstyle="miter"/>
                <v:imagedata o:title=""/>
                <o:lock v:ext="edit" aspectratio="f"/>
                <v:textbox>
                  <w:txbxContent>
                    <w:p>
                      <w:pPr>
                        <w:spacing w:line="240" w:lineRule="atLeast"/>
                        <w:jc w:val="center"/>
                      </w:pPr>
                      <w:r>
                        <w:rPr>
                          <w:rFonts w:hint="eastAsia"/>
                        </w:rPr>
                        <w:t>粗浆池</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83840" behindDoc="0" locked="0" layoutInCell="1" allowOverlap="1">
                <wp:simplePos x="0" y="0"/>
                <wp:positionH relativeFrom="column">
                  <wp:posOffset>2192655</wp:posOffset>
                </wp:positionH>
                <wp:positionV relativeFrom="paragraph">
                  <wp:posOffset>1601470</wp:posOffset>
                </wp:positionV>
                <wp:extent cx="0" cy="248920"/>
                <wp:effectExtent l="76200" t="0" r="57150" b="56515"/>
                <wp:wrapNone/>
                <wp:docPr id="17" name="直接箭头连接符 17"/>
                <wp:cNvGraphicFramePr/>
                <a:graphic xmlns:a="http://schemas.openxmlformats.org/drawingml/2006/main">
                  <a:graphicData uri="http://schemas.microsoft.com/office/word/2010/wordprocessingShape">
                    <wps:wsp>
                      <wps:cNvCnPr/>
                      <wps:spPr>
                        <a:xfrm>
                          <a:off x="0" y="0"/>
                          <a:ext cx="0" cy="2487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2.65pt;margin-top:126.1pt;height:19.6pt;width:0pt;z-index:251683840;mso-width-relative:page;mso-height-relative:page;" filled="f" stroked="t" coordsize="21600,21600" o:gfxdata="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iALxNYA&#10;AAALAQAADwAAAAAAAAABACAAAAAiAAAAZHJzL2Rvd25yZXYueG1sUEsBAhQAFAAAAAgAh07iQH0S&#10;1xLoAQAAlAMAAA4AAAAAAAAAAQAgAAAAJQEAAGRycy9lMm9Eb2MueG1sUEsFBgAAAAAGAAYAWQEA&#10;AH8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82816" behindDoc="0" locked="0" layoutInCell="1" allowOverlap="1">
                <wp:simplePos x="0" y="0"/>
                <wp:positionH relativeFrom="column">
                  <wp:posOffset>2206625</wp:posOffset>
                </wp:positionH>
                <wp:positionV relativeFrom="paragraph">
                  <wp:posOffset>819150</wp:posOffset>
                </wp:positionV>
                <wp:extent cx="0" cy="504190"/>
                <wp:effectExtent l="76200" t="0" r="57150" b="48260"/>
                <wp:wrapNone/>
                <wp:docPr id="16" name="直接箭头连接符 16"/>
                <wp:cNvGraphicFramePr/>
                <a:graphic xmlns:a="http://schemas.openxmlformats.org/drawingml/2006/main">
                  <a:graphicData uri="http://schemas.microsoft.com/office/word/2010/wordprocessingShape">
                    <wps:wsp>
                      <wps:cNvCnPr/>
                      <wps:spPr>
                        <a:xfrm>
                          <a:off x="0" y="0"/>
                          <a:ext cx="0" cy="504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3.75pt;margin-top:64.5pt;height:39.7pt;width:0pt;z-index:251682816;mso-width-relative:page;mso-height-relative:page;" filled="f" stroked="t" coordsize="21600,21600" o:gfxdata="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5HB0&#10;1wAAAAsBAAAPAAAAAAAAAAEAIAAAACIAAABkcnMvZG93bnJldi54bWxQSwECFAAUAAAACACHTuJA&#10;kpZHX+kBAACUAwAADgAAAAAAAAABACAAAAAmAQAAZHJzL2Uyb0RvYy54bWxQSwUGAAAAAAYABgBZ&#10;AQAAgQU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7456" behindDoc="0" locked="0" layoutInCell="1" allowOverlap="1">
                <wp:simplePos x="0" y="0"/>
                <wp:positionH relativeFrom="column">
                  <wp:posOffset>1774190</wp:posOffset>
                </wp:positionH>
                <wp:positionV relativeFrom="paragraph">
                  <wp:posOffset>548640</wp:posOffset>
                </wp:positionV>
                <wp:extent cx="857250" cy="262890"/>
                <wp:effectExtent l="0" t="0" r="19050" b="22860"/>
                <wp:wrapNone/>
                <wp:docPr id="30"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6289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分拣去渣</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39.7pt;margin-top:43.2pt;height:20.7pt;width:67.5pt;z-index:251667456;mso-width-relative:page;mso-height-relative:page;" fillcolor="#FFFFFF" filled="t" stroked="t" coordsize="21600,21600" o:gfxdata="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w0wzYAAAACgEAAA8AAAAA&#10;AAAAAQAgAAAAIgAAAGRycy9kb3ducmV2LnhtbFBLAQIUABQAAAAIAIdO4kCYHtyoFAIAADoEAAAO&#10;AAAAAAAAAAEAIAAAACcBAABkcnMvZTJvRG9jLnhtbFBLBQYAAAAABgAGAFkBAACtBQAAAAA=&#10;">
                <v:fill on="t" focussize="0,0"/>
                <v:stroke color="#000000" miterlimit="8" joinstyle="miter"/>
                <v:imagedata o:title=""/>
                <o:lock v:ext="edit" aspectratio="f"/>
                <v:textbox>
                  <w:txbxContent>
                    <w:p>
                      <w:pPr>
                        <w:spacing w:line="240" w:lineRule="atLeast"/>
                        <w:jc w:val="center"/>
                      </w:pPr>
                      <w:r>
                        <w:rPr>
                          <w:rFonts w:hint="eastAsia"/>
                        </w:rPr>
                        <w:t>分拣去渣</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1773555</wp:posOffset>
                </wp:positionH>
                <wp:positionV relativeFrom="paragraph">
                  <wp:posOffset>14605</wp:posOffset>
                </wp:positionV>
                <wp:extent cx="857250" cy="292100"/>
                <wp:effectExtent l="0" t="0" r="19050" b="12700"/>
                <wp:wrapNone/>
                <wp:docPr id="141"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9210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废纸</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39.65pt;margin-top:1.15pt;height:23pt;width:67.5pt;z-index:251666432;mso-width-relative:page;mso-height-relative:page;" fillcolor="#FFFFFF" filled="t" stroked="t" coordsize="21600,21600" o:gfxdata="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J4Zm9cAAAAIAQAADwAAAAAA&#10;AAABACAAAAAiAAAAZHJzL2Rvd25yZXYueG1sUEsBAhQAFAAAAAgAh07iQIXWMkMUAgAAOwQAAA4A&#10;AAAAAAAAAQAgAAAAJgEAAGRycy9lMm9Eb2MueG1sUEsFBgAAAAAGAAYAWQEAAKwFAAAAAA==&#10;">
                <v:fill on="t" focussize="0,0"/>
                <v:stroke color="#000000" miterlimit="8" joinstyle="miter"/>
                <v:imagedata o:title=""/>
                <o:lock v:ext="edit" aspectratio="f"/>
                <v:textbox>
                  <w:txbxContent>
                    <w:p>
                      <w:pPr>
                        <w:spacing w:line="240" w:lineRule="atLeast"/>
                        <w:jc w:val="center"/>
                      </w:pPr>
                      <w:r>
                        <w:rPr>
                          <w:rFonts w:hint="eastAsia"/>
                        </w:rPr>
                        <w:t>废纸</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2205355</wp:posOffset>
                </wp:positionH>
                <wp:positionV relativeFrom="paragraph">
                  <wp:posOffset>314325</wp:posOffset>
                </wp:positionV>
                <wp:extent cx="7620" cy="255905"/>
                <wp:effectExtent l="76200" t="0" r="69215" b="48895"/>
                <wp:wrapNone/>
                <wp:docPr id="15" name="直接箭头连接符 15"/>
                <wp:cNvGraphicFramePr/>
                <a:graphic xmlns:a="http://schemas.openxmlformats.org/drawingml/2006/main">
                  <a:graphicData uri="http://schemas.microsoft.com/office/word/2010/wordprocessingShape">
                    <wps:wsp>
                      <wps:cNvCnPr/>
                      <wps:spPr>
                        <a:xfrm>
                          <a:off x="0" y="0"/>
                          <a:ext cx="7315"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3.65pt;margin-top:24.75pt;height:20.15pt;width:0.6pt;z-index:251681792;mso-width-relative:page;mso-height-relative:page;" filled="f" stroked="t" coordsize="21600,21600" o:gfxdata="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10;U0nXAAAACQEAAA8AAAAAAAAAAQAgAAAAIgAAAGRycy9kb3ducmV2LnhtbFBLAQIUABQAAAAIAIdO&#10;4kDQoTOk6wEAAJcDAAAOAAAAAAAAAAEAIAAAACYBAABkcnMvZTJvRG9jLnhtbFBLBQYAAAAABgAG&#10;AFkBAACDBQ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2265680</wp:posOffset>
                </wp:positionH>
                <wp:positionV relativeFrom="paragraph">
                  <wp:posOffset>4834890</wp:posOffset>
                </wp:positionV>
                <wp:extent cx="1304925" cy="299720"/>
                <wp:effectExtent l="0" t="0" r="28575" b="24130"/>
                <wp:wrapNone/>
                <wp:docPr id="9"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1304925" cy="299923"/>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工程机械</w:t>
                            </w:r>
                            <w:r>
                              <w:t>用擦油纸</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78.4pt;margin-top:380.7pt;height:23.6pt;width:102.75pt;z-index:251675648;mso-width-relative:page;mso-height-relative:page;" fillcolor="#FFFFFF" filled="t" stroked="t" coordsize="21600,21600" o:gfxdata="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U8NwNoAAAALAQAADwAA&#10;AAAAAAABACAAAAAiAAAAZHJzL2Rvd25yZXYueG1sUEsBAhQAFAAAAAgAh07iQCBuZc0UAgAAOgQA&#10;AA4AAAAAAAAAAQAgAAAAKQEAAGRycy9lMm9Eb2MueG1sUEsFBgAAAAAGAAYAWQEAAK8FAAAAAA==&#10;">
                <v:fill on="t" focussize="0,0"/>
                <v:stroke color="#000000" miterlimit="8" joinstyle="miter"/>
                <v:imagedata o:title=""/>
                <o:lock v:ext="edit" aspectratio="f"/>
                <v:textbox>
                  <w:txbxContent>
                    <w:p>
                      <w:pPr>
                        <w:spacing w:line="240" w:lineRule="atLeast"/>
                        <w:jc w:val="center"/>
                      </w:pPr>
                      <w:r>
                        <w:rPr>
                          <w:rFonts w:hint="eastAsia"/>
                        </w:rPr>
                        <w:t>工程机械</w:t>
                      </w:r>
                      <w:r>
                        <w:t>用擦油纸</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74624" behindDoc="0" locked="0" layoutInCell="1" allowOverlap="1">
                <wp:simplePos x="0" y="0"/>
                <wp:positionH relativeFrom="column">
                  <wp:posOffset>941705</wp:posOffset>
                </wp:positionH>
                <wp:positionV relativeFrom="paragraph">
                  <wp:posOffset>4827905</wp:posOffset>
                </wp:positionV>
                <wp:extent cx="990600" cy="299720"/>
                <wp:effectExtent l="0" t="0" r="19050" b="24130"/>
                <wp:wrapNone/>
                <wp:docPr id="8"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990600" cy="299923"/>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果蔬包装纸</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74.15pt;margin-top:380.15pt;height:23.6pt;width:78pt;z-index:251674624;mso-width-relative:page;mso-height-relative:page;" fillcolor="#FFFFFF" filled="t" stroked="t" coordsize="21600,21600" o:gfxdata="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mfE+dgAAAALAQAADwAAAAAA&#10;AAABACAAAAAiAAAAZHJzL2Rvd25yZXYueG1sUEsBAhQAFAAAAAgAh07iQAEEpkMTAgAAOQQAAA4A&#10;AAAAAAAAAQAgAAAAJwEAAGRycy9lMm9Eb2MueG1sUEsFBgAAAAAGAAYAWQEAAKwFAAAAAA==&#10;">
                <v:fill on="t" focussize="0,0"/>
                <v:stroke color="#000000" miterlimit="8" joinstyle="miter"/>
                <v:imagedata o:title=""/>
                <o:lock v:ext="edit" aspectratio="f"/>
                <v:textbox>
                  <w:txbxContent>
                    <w:p>
                      <w:pPr>
                        <w:spacing w:line="240" w:lineRule="atLeast"/>
                        <w:jc w:val="center"/>
                      </w:pPr>
                      <w:r>
                        <w:rPr>
                          <w:rFonts w:hint="eastAsia"/>
                        </w:rPr>
                        <w:t>果蔬包装纸</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1767840</wp:posOffset>
                </wp:positionH>
                <wp:positionV relativeFrom="paragraph">
                  <wp:posOffset>1301750</wp:posOffset>
                </wp:positionV>
                <wp:extent cx="857250" cy="292735"/>
                <wp:effectExtent l="0" t="0" r="19050" b="12700"/>
                <wp:wrapNone/>
                <wp:docPr id="2"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92608"/>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水力碎浆</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39.2pt;margin-top:102.5pt;height:23.05pt;width:67.5pt;z-index:251668480;mso-width-relative:page;mso-height-relative:page;" fillcolor="#FFFFFF" filled="t" stroked="t" coordsize="21600,21600" o:gfxdata="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9LmkvZAAAACwEAAA8AAAAA&#10;AAAAAQAgAAAAIgAAAGRycy9kb3ducmV2LnhtbFBLAQIUABQAAAAIAIdO4kAWQi6eEwIAADkEAAAO&#10;AAAAAAAAAAEAIAAAACgBAABkcnMvZTJvRG9jLnhtbFBLBQYAAAAABgAGAFkBAACtBQAAAAA=&#10;">
                <v:fill on="t" focussize="0,0"/>
                <v:stroke color="#000000" miterlimit="8" joinstyle="miter"/>
                <v:imagedata o:title=""/>
                <o:lock v:ext="edit" aspectratio="f"/>
                <v:textbox>
                  <w:txbxContent>
                    <w:p>
                      <w:pPr>
                        <w:spacing w:line="240" w:lineRule="atLeast"/>
                        <w:jc w:val="center"/>
                      </w:pPr>
                      <w:r>
                        <w:rPr>
                          <w:rFonts w:hint="eastAsia"/>
                        </w:rPr>
                        <w:t>水力碎浆</w:t>
                      </w:r>
                    </w:p>
                  </w:txbxContent>
                </v:textbox>
              </v:shape>
            </w:pict>
          </mc:Fallback>
        </mc:AlternateContent>
      </w:r>
      <w:r>
        <w:rPr>
          <w:rFonts w:hint="eastAsia" w:ascii="Times New Roman" w:hAnsi="Times New Roman"/>
          <w:color w:val="000000"/>
          <w:sz w:val="24"/>
          <w:szCs w:val="24"/>
        </w:rPr>
        <w:t xml:space="preserve"> </w:t>
      </w:r>
      <w:r>
        <w:rPr>
          <w:rFonts w:ascii="Times New Roman" w:hAnsi="Times New Roman"/>
          <w:color w:val="000000"/>
          <w:sz w:val="24"/>
          <w:szCs w:val="24"/>
        </w:rPr>
        <w:t xml:space="preserve">         </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3248025</wp:posOffset>
                </wp:positionH>
                <wp:positionV relativeFrom="paragraph">
                  <wp:posOffset>171450</wp:posOffset>
                </wp:positionV>
                <wp:extent cx="1181100" cy="504825"/>
                <wp:effectExtent l="0" t="0" r="19050" b="28575"/>
                <wp:wrapNone/>
                <wp:docPr id="11"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1181100" cy="504825"/>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石粉、淀粉、</w:t>
                            </w:r>
                            <w:r>
                              <w:t>水</w:t>
                            </w:r>
                            <w:r>
                              <w:rPr>
                                <w:rFonts w:hint="eastAsia"/>
                              </w:rPr>
                              <w:t>、</w:t>
                            </w:r>
                            <w:r>
                              <w:t>胶合剂</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55.75pt;margin-top:13.5pt;height:39.75pt;width:93pt;z-index:251677696;mso-width-relative:page;mso-height-relative:page;" fillcolor="#FFFFFF" filled="t" stroked="t" coordsize="21600,21600" o:gfxdata="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RrB6vZAAAACgEAAA8AAAAA&#10;AAAAAQAgAAAAIgAAAGRycy9kb3ducmV2LnhtbFBLAQIUABQAAAAIAIdO4kCe5f1nEwIAADsEAAAO&#10;AAAAAAAAAAEAIAAAACgBAABkcnMvZTJvRG9jLnhtbFBLBQYAAAAABgAGAFkBAACtBQAAAAA=&#10;">
                <v:fill on="t" focussize="0,0"/>
                <v:stroke color="#000000" miterlimit="8" joinstyle="miter"/>
                <v:imagedata o:title=""/>
                <o:lock v:ext="edit" aspectratio="f"/>
                <v:textbox>
                  <w:txbxContent>
                    <w:p>
                      <w:pPr>
                        <w:spacing w:line="240" w:lineRule="atLeast"/>
                        <w:jc w:val="center"/>
                      </w:pPr>
                      <w:r>
                        <w:rPr>
                          <w:rFonts w:hint="eastAsia"/>
                        </w:rPr>
                        <w:t>石粉、淀粉、</w:t>
                      </w:r>
                      <w:r>
                        <w:t>水</w:t>
                      </w:r>
                      <w:r>
                        <w:rPr>
                          <w:rFonts w:hint="eastAsia"/>
                        </w:rPr>
                        <w:t>、</w:t>
                      </w:r>
                      <w:r>
                        <w:t>胶合剂</w:t>
                      </w:r>
                    </w:p>
                  </w:txbxContent>
                </v:textbox>
              </v:shape>
            </w:pict>
          </mc:Fallback>
        </mc:AlternateContent>
      </w: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10464" behindDoc="0" locked="0" layoutInCell="1" allowOverlap="1">
                <wp:simplePos x="0" y="0"/>
                <wp:positionH relativeFrom="column">
                  <wp:posOffset>4309745</wp:posOffset>
                </wp:positionH>
                <wp:positionV relativeFrom="paragraph">
                  <wp:posOffset>287655</wp:posOffset>
                </wp:positionV>
                <wp:extent cx="1012190" cy="292100"/>
                <wp:effectExtent l="0" t="0" r="16510" b="12700"/>
                <wp:wrapNone/>
                <wp:docPr id="136"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1012190" cy="292100"/>
                        </a:xfrm>
                        <a:prstGeom prst="rect">
                          <a:avLst/>
                        </a:prstGeom>
                        <a:solidFill>
                          <a:srgbClr val="FFFFFF"/>
                        </a:solidFill>
                        <a:ln w="9525">
                          <a:noFill/>
                          <a:miter lim="800000"/>
                        </a:ln>
                      </wps:spPr>
                      <wps:txbx>
                        <w:txbxContent>
                          <w:p>
                            <w:pPr>
                              <w:spacing w:line="240" w:lineRule="atLeast"/>
                              <w:jc w:val="center"/>
                            </w:pPr>
                            <w:r>
                              <w:rPr>
                                <w:rFonts w:hint="eastAsia"/>
                              </w:rPr>
                              <w:t>烟囱达标排放</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339.35pt;margin-top:22.65pt;height:23pt;width:79.7pt;z-index:251710464;mso-width-relative:page;mso-height-relative:page;" fillcolor="#FFFFFF" filled="t" stroked="f" coordsize="21600,21600" o:gfxdata="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kXSDYAAAACQEAAA8AAAAA&#10;AAAAAQAgAAAAIgAAAGRycy9kb3ducmV2LnhtbFBLAQIUABQAAAAIAIdO4kB4IfnMFAIAABMEAAAO&#10;AAAAAAAAAAEAIAAAACcBAABkcnMvZTJvRG9jLnhtbFBLBQYAAAAABgAGAFkBAACtBQAAAAA=&#10;">
                <v:fill on="t" focussize="0,0"/>
                <v:stroke on="f" miterlimit="8" joinstyle="miter"/>
                <v:imagedata o:title=""/>
                <o:lock v:ext="edit" aspectratio="f"/>
                <v:textbox>
                  <w:txbxContent>
                    <w:p>
                      <w:pPr>
                        <w:spacing w:line="240" w:lineRule="atLeast"/>
                        <w:jc w:val="center"/>
                      </w:pPr>
                      <w:r>
                        <w:rPr>
                          <w:rFonts w:hint="eastAsia"/>
                        </w:rPr>
                        <w:t>烟囱达标排放</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12512" behindDoc="0" locked="0" layoutInCell="1" allowOverlap="1">
                <wp:simplePos x="0" y="0"/>
                <wp:positionH relativeFrom="column">
                  <wp:posOffset>4726305</wp:posOffset>
                </wp:positionH>
                <wp:positionV relativeFrom="paragraph">
                  <wp:posOffset>255905</wp:posOffset>
                </wp:positionV>
                <wp:extent cx="6350" cy="720090"/>
                <wp:effectExtent l="37465" t="0" r="32385" b="3810"/>
                <wp:wrapNone/>
                <wp:docPr id="140" name="直接箭头连接符 140"/>
                <wp:cNvGraphicFramePr/>
                <a:graphic xmlns:a="http://schemas.openxmlformats.org/drawingml/2006/main">
                  <a:graphicData uri="http://schemas.microsoft.com/office/word/2010/wordprocessingShape">
                    <wps:wsp>
                      <wps:cNvCnPr/>
                      <wps:spPr>
                        <a:xfrm flipH="1" flipV="1">
                          <a:off x="0" y="0"/>
                          <a:ext cx="6350" cy="72009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372.15pt;margin-top:20.15pt;height:56.7pt;width:0.5pt;z-index:251712512;mso-width-relative:page;mso-height-relative:page;" filled="f" stroked="t" coordsize="21600,21600" o:gfxdata="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A5D7WAAAACgEAAA8AAAAAAAAAAQAgAAAAIgAAAGRycy9kb3ducmV2LnhtbFBLAQIU&#10;ABQAAAAIAIdO4kAQkegM9QEAAK4DAAAOAAAAAAAAAAEAIAAAACUBAABkcnMvZTJvRG9jLnhtbFBL&#10;BQYAAAAABgAGAFkBAACMBQAAAAA=&#10;">
                <v:fill on="f" focussize="0,0"/>
                <v:stroke weight="0.5pt" color="#000000 [3200]" miterlimit="8" joinstyle="miter" dashstyle="longDash"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2166144" behindDoc="0" locked="0" layoutInCell="1" allowOverlap="1">
                <wp:simplePos x="0" y="0"/>
                <wp:positionH relativeFrom="column">
                  <wp:posOffset>3209925</wp:posOffset>
                </wp:positionH>
                <wp:positionV relativeFrom="paragraph">
                  <wp:posOffset>167005</wp:posOffset>
                </wp:positionV>
                <wp:extent cx="1170940" cy="292100"/>
                <wp:effectExtent l="0" t="0" r="10160" b="12700"/>
                <wp:wrapNone/>
                <wp:docPr id="32"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1170940" cy="292100"/>
                        </a:xfrm>
                        <a:prstGeom prst="rect">
                          <a:avLst/>
                        </a:prstGeom>
                        <a:solidFill>
                          <a:srgbClr val="FFFFFF"/>
                        </a:solidFill>
                        <a:ln w="9525">
                          <a:noFill/>
                          <a:miter lim="800000"/>
                        </a:ln>
                      </wps:spPr>
                      <wps:txbx>
                        <w:txbxContent>
                          <w:p>
                            <w:pPr>
                              <w:spacing w:line="240" w:lineRule="atLeast"/>
                              <w:jc w:val="center"/>
                            </w:pPr>
                            <w:r>
                              <w:rPr>
                                <w:rFonts w:hint="eastAsia"/>
                              </w:rPr>
                              <w:t>水膜除尘污泥</w:t>
                            </w:r>
                            <w:r>
                              <w:rPr>
                                <w:rFonts w:hint="eastAsia"/>
                                <w:color w:val="FF0000"/>
                              </w:rPr>
                              <w:t>S5</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52.75pt;margin-top:13.15pt;height:23pt;width:92.2pt;z-index:252166144;mso-width-relative:page;mso-height-relative:page;" fillcolor="#FFFFFF" filled="t" stroked="f" coordsize="21600,21600" o:gfxdata="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wwMPPYAAAACQEAAA8AAAAA&#10;AAAAAQAgAAAAIgAAAGRycy9kb3ducmV2LnhtbFBLAQIUABQAAAAIAIdO4kCWAbMmFAIAABIEAAAO&#10;AAAAAAAAAAEAIAAAACcBAABkcnMvZTJvRG9jLnhtbFBLBQYAAAAABgAGAFkBAACtBQAAAAA=&#10;">
                <v:fill on="t" focussize="0,0"/>
                <v:stroke on="f" miterlimit="8" joinstyle="miter"/>
                <v:imagedata o:title=""/>
                <o:lock v:ext="edit" aspectratio="f"/>
                <v:textbox>
                  <w:txbxContent>
                    <w:p>
                      <w:pPr>
                        <w:spacing w:line="240" w:lineRule="atLeast"/>
                        <w:jc w:val="center"/>
                      </w:pPr>
                      <w:r>
                        <w:rPr>
                          <w:rFonts w:hint="eastAsia"/>
                        </w:rPr>
                        <w:t>水膜除尘污泥</w:t>
                      </w:r>
                      <w:r>
                        <w:rPr>
                          <w:rFonts w:hint="eastAsia"/>
                          <w:color w:val="FF0000"/>
                        </w:rPr>
                        <w:t>S5</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2233728" behindDoc="0" locked="0" layoutInCell="1" allowOverlap="1">
                <wp:simplePos x="0" y="0"/>
                <wp:positionH relativeFrom="column">
                  <wp:posOffset>4173220</wp:posOffset>
                </wp:positionH>
                <wp:positionV relativeFrom="paragraph">
                  <wp:posOffset>105410</wp:posOffset>
                </wp:positionV>
                <wp:extent cx="247650" cy="224155"/>
                <wp:effectExtent l="0" t="0" r="19050" b="4445"/>
                <wp:wrapNone/>
                <wp:docPr id="35" name="直接箭头连接符 35"/>
                <wp:cNvGraphicFramePr/>
                <a:graphic xmlns:a="http://schemas.openxmlformats.org/drawingml/2006/main">
                  <a:graphicData uri="http://schemas.microsoft.com/office/word/2010/wordprocessingShape">
                    <wps:wsp>
                      <wps:cNvCnPr/>
                      <wps:spPr>
                        <a:xfrm flipH="1" flipV="1">
                          <a:off x="0" y="0"/>
                          <a:ext cx="247650" cy="22415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328.6pt;margin-top:8.3pt;height:17.65pt;width:19.5pt;z-index:252233728;mso-width-relative:page;mso-height-relative:page;" filled="f" stroked="t" coordsize="21600,21600" o:gfxdata="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VojpNUAAAAJAQAADwAAAAAAAAABACAAAAAiAAAAZHJzL2Rvd25yZXYueG1s&#10;UEsBAhQAFAAAAAgAh07iQEeVME37AQAArgMAAA4AAAAAAAAAAQAgAAAAJAEAAGRycy9lMm9Eb2Mu&#10;eG1sUEsFBgAAAAAGAAYAWQEAAJEFAAAAAA==&#10;">
                <v:fill on="f" focussize="0,0"/>
                <v:stroke weight="0.5pt" color="#000000 [3200]" miterlimit="8" joinstyle="miter" dashstyle="longDash"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08416" behindDoc="0" locked="0" layoutInCell="1" allowOverlap="1">
                <wp:simplePos x="0" y="0"/>
                <wp:positionH relativeFrom="margin">
                  <wp:posOffset>4253230</wp:posOffset>
                </wp:positionH>
                <wp:positionV relativeFrom="paragraph">
                  <wp:posOffset>40640</wp:posOffset>
                </wp:positionV>
                <wp:extent cx="899795" cy="261620"/>
                <wp:effectExtent l="0" t="0" r="14605" b="24130"/>
                <wp:wrapNone/>
                <wp:docPr id="134"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99795" cy="26162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水膜除尘</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334.9pt;margin-top:3.2pt;height:20.6pt;width:70.85pt;mso-position-horizontal-relative:margin;z-index:251708416;mso-width-relative:page;mso-height-relative:page;" fillcolor="#FFFFFF" filled="t" stroked="t" coordsize="21600,21600" o:gfxdata="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TbYgtgAAAAIAQAADwAA&#10;AAAAAAABACAAAAAiAAAAZHJzL2Rvd25yZXYueG1sUEsBAhQAFAAAAAgAh07iQJotKV8WAgAAOwQA&#10;AA4AAAAAAAAAAQAgAAAAJwEAAGRycy9lMm9Eb2MueG1sUEsFBgAAAAAGAAYAWQEAAK8FAAAAAA==&#10;">
                <v:fill on="t" focussize="0,0"/>
                <v:stroke color="#000000" miterlimit="8" joinstyle="miter"/>
                <v:imagedata o:title=""/>
                <o:lock v:ext="edit" aspectratio="f"/>
                <v:textbox>
                  <w:txbxContent>
                    <w:p>
                      <w:pPr>
                        <w:spacing w:line="240" w:lineRule="atLeast"/>
                        <w:jc w:val="center"/>
                      </w:pPr>
                      <w:r>
                        <w:rPr>
                          <w:rFonts w:hint="eastAsia"/>
                        </w:rPr>
                        <w:t>水膜除尘</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2984500</wp:posOffset>
                </wp:positionH>
                <wp:positionV relativeFrom="paragraph">
                  <wp:posOffset>8890</wp:posOffset>
                </wp:positionV>
                <wp:extent cx="942975" cy="292100"/>
                <wp:effectExtent l="0" t="0" r="9525" b="0"/>
                <wp:wrapNone/>
                <wp:docPr id="151"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942975" cy="292100"/>
                        </a:xfrm>
                        <a:prstGeom prst="rect">
                          <a:avLst/>
                        </a:prstGeom>
                        <a:solidFill>
                          <a:srgbClr val="FFFFFF"/>
                        </a:solidFill>
                        <a:ln w="9525">
                          <a:noFill/>
                          <a:miter lim="800000"/>
                        </a:ln>
                      </wps:spPr>
                      <wps:txbx>
                        <w:txbxContent>
                          <w:p>
                            <w:pPr>
                              <w:spacing w:line="240" w:lineRule="atLeast"/>
                            </w:pPr>
                            <w:r>
                              <w:rPr>
                                <w:rFonts w:hint="eastAsia"/>
                              </w:rPr>
                              <w:t>风机</w:t>
                            </w:r>
                            <w:r>
                              <w:t>噪声</w:t>
                            </w:r>
                            <w:r>
                              <w:rPr>
                                <w:rFonts w:hint="eastAsia"/>
                                <w:color w:val="FF0000"/>
                              </w:rPr>
                              <w:t>N1</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35pt;margin-top:0.7pt;height:23pt;width:74.25pt;z-index:251662336;mso-width-relative:page;mso-height-relative:page;" fillcolor="#FFFFFF" filled="t" stroked="f" coordsize="21600,21600" o:gfxdata="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koyifVAAAACAEAAA8AAAAAAAAA&#10;AQAgAAAAIgAAAGRycy9kb3ducmV2LnhtbFBLAQIUABQAAAAIAIdO4kAicIWkFAIAABIEAAAOAAAA&#10;AAAAAAEAIAAAACQBAABkcnMvZTJvRG9jLnhtbFBLBQYAAAAABgAGAFkBAACqBQAAAAA=&#10;">
                <v:fill on="t" focussize="0,0"/>
                <v:stroke on="f" miterlimit="8" joinstyle="miter"/>
                <v:imagedata o:title=""/>
                <o:lock v:ext="edit" aspectratio="f"/>
                <v:textbox>
                  <w:txbxContent>
                    <w:p>
                      <w:pPr>
                        <w:spacing w:line="240" w:lineRule="atLeast"/>
                      </w:pPr>
                      <w:r>
                        <w:rPr>
                          <w:rFonts w:hint="eastAsia"/>
                        </w:rPr>
                        <w:t>风机</w:t>
                      </w:r>
                      <w:r>
                        <w:t>噪声</w:t>
                      </w:r>
                      <w:r>
                        <w:rPr>
                          <w:rFonts w:hint="eastAsia"/>
                          <w:color w:val="FF0000"/>
                        </w:rPr>
                        <w:t>N1</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15584" behindDoc="0" locked="0" layoutInCell="1" allowOverlap="1">
                <wp:simplePos x="0" y="0"/>
                <wp:positionH relativeFrom="column">
                  <wp:posOffset>3810000</wp:posOffset>
                </wp:positionH>
                <wp:positionV relativeFrom="paragraph">
                  <wp:posOffset>175260</wp:posOffset>
                </wp:positionV>
                <wp:extent cx="457200" cy="0"/>
                <wp:effectExtent l="38100" t="76200" r="0" b="95250"/>
                <wp:wrapNone/>
                <wp:docPr id="144" name="直接箭头连接符 14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0pt;margin-top:13.8pt;height:0pt;width:36pt;z-index:251715584;mso-width-relative:page;mso-height-relative:page;" filled="f" stroked="t" coordsize="21600,21600" o:gfxdata="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aXdnjXAAAACQEAAA8AAAAAAAAAAQAgAAAAIgAAAGRycy9kb3ducmV2LnhtbFBLAQIUABQA&#10;AAAIAIdO4kC7ZHA68QEAAKEDAAAOAAAAAAAAAAEAIAAAACYBAABkcnMvZTJvRG9jLnhtbFBLBQYA&#10;AAAABgAGAFkBAACJBQ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23776" behindDoc="0" locked="0" layoutInCell="1" allowOverlap="1">
                <wp:simplePos x="0" y="0"/>
                <wp:positionH relativeFrom="column">
                  <wp:posOffset>4705350</wp:posOffset>
                </wp:positionH>
                <wp:positionV relativeFrom="paragraph">
                  <wp:posOffset>300355</wp:posOffset>
                </wp:positionV>
                <wp:extent cx="0" cy="236855"/>
                <wp:effectExtent l="76200" t="38100" r="57150" b="10795"/>
                <wp:wrapNone/>
                <wp:docPr id="47" name="直接箭头连接符 47"/>
                <wp:cNvGraphicFramePr/>
                <a:graphic xmlns:a="http://schemas.openxmlformats.org/drawingml/2006/main">
                  <a:graphicData uri="http://schemas.microsoft.com/office/word/2010/wordprocessingShape">
                    <wps:wsp>
                      <wps:cNvCnPr/>
                      <wps:spPr>
                        <a:xfrm flipV="1">
                          <a:off x="0" y="0"/>
                          <a:ext cx="0" cy="23685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70.5pt;margin-top:23.65pt;height:18.65pt;width:0pt;z-index:251723776;mso-width-relative:page;mso-height-relative:page;" filled="f" stroked="t" coordsize="21600,21600" o:gfxdata="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JoXVdkAAAAJAQAADwAAAAAAAAABACAAAAAiAAAAZHJzL2Rvd25yZXYueG1sUEsBAhQA&#10;FAAAAAgAh07iQK3dlZHxAQAAnwMAAA4AAAAAAAAAAQAgAAAAKAEAAGRycy9lMm9Eb2MueG1sUEsF&#10;BgAAAAAGAAYAWQEAAIsFAAAAAA==&#10;">
                <v:fill on="f" focussize="0,0"/>
                <v:stroke weight="0.5pt" color="#000000 [3200]" miterlimit="8" joinstyle="miter" dashstyle="longDash"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07392" behindDoc="0" locked="0" layoutInCell="1" allowOverlap="1">
                <wp:simplePos x="0" y="0"/>
                <wp:positionH relativeFrom="column">
                  <wp:posOffset>4267200</wp:posOffset>
                </wp:positionH>
                <wp:positionV relativeFrom="paragraph">
                  <wp:posOffset>201930</wp:posOffset>
                </wp:positionV>
                <wp:extent cx="939800" cy="292100"/>
                <wp:effectExtent l="0" t="0" r="0" b="0"/>
                <wp:wrapNone/>
                <wp:docPr id="133"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939800" cy="292100"/>
                        </a:xfrm>
                        <a:prstGeom prst="rect">
                          <a:avLst/>
                        </a:prstGeom>
                        <a:solidFill>
                          <a:srgbClr val="FFFFFF"/>
                        </a:solidFill>
                        <a:ln w="9525">
                          <a:noFill/>
                          <a:miter lim="800000"/>
                        </a:ln>
                      </wps:spPr>
                      <wps:txbx>
                        <w:txbxContent>
                          <w:p>
                            <w:pPr>
                              <w:spacing w:line="240" w:lineRule="atLeast"/>
                              <w:jc w:val="center"/>
                            </w:pPr>
                            <w:r>
                              <w:rPr>
                                <w:rFonts w:hint="eastAsia"/>
                              </w:rPr>
                              <w:t>锅炉废气</w:t>
                            </w:r>
                            <w:r>
                              <w:rPr>
                                <w:rFonts w:hint="eastAsia"/>
                                <w:color w:val="FF0000"/>
                              </w:rPr>
                              <w:t>G1</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336pt;margin-top:15.9pt;height:23pt;width:74pt;z-index:251707392;mso-width-relative:page;mso-height-relative:page;" fillcolor="#FFFFFF" filled="t" stroked="f" coordsize="21600,21600" o:gfxdata="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wLSufWAAAACQEAAA8AAAAAAAAA&#10;AQAgAAAAIgAAAGRycy9kb3ducmV2LnhtbFBLAQIUABQAAAAIAIdO4kDSZd2cEwIAABIEAAAOAAAA&#10;AAAAAAEAIAAAACUBAABkcnMvZTJvRG9jLnhtbFBLBQYAAAAABgAGAFkBAACqBQAAAAA=&#10;">
                <v:fill on="t" focussize="0,0"/>
                <v:stroke on="f" miterlimit="8" joinstyle="miter"/>
                <v:imagedata o:title=""/>
                <o:lock v:ext="edit" aspectratio="f"/>
                <v:textbox>
                  <w:txbxContent>
                    <w:p>
                      <w:pPr>
                        <w:spacing w:line="240" w:lineRule="atLeast"/>
                        <w:jc w:val="center"/>
                      </w:pPr>
                      <w:r>
                        <w:rPr>
                          <w:rFonts w:hint="eastAsia"/>
                        </w:rPr>
                        <w:t>锅炉废气</w:t>
                      </w:r>
                      <w:r>
                        <w:rPr>
                          <w:rFonts w:hint="eastAsia"/>
                          <w:color w:val="FF0000"/>
                        </w:rPr>
                        <w:t>G1</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22752" behindDoc="0" locked="0" layoutInCell="1" allowOverlap="1">
                <wp:simplePos x="0" y="0"/>
                <wp:positionH relativeFrom="column">
                  <wp:posOffset>4714875</wp:posOffset>
                </wp:positionH>
                <wp:positionV relativeFrom="paragraph">
                  <wp:posOffset>104775</wp:posOffset>
                </wp:positionV>
                <wp:extent cx="6350" cy="466725"/>
                <wp:effectExtent l="76200" t="38100" r="69850" b="28575"/>
                <wp:wrapNone/>
                <wp:docPr id="36" name="直接箭头连接符 36"/>
                <wp:cNvGraphicFramePr/>
                <a:graphic xmlns:a="http://schemas.openxmlformats.org/drawingml/2006/main">
                  <a:graphicData uri="http://schemas.microsoft.com/office/word/2010/wordprocessingShape">
                    <wps:wsp>
                      <wps:cNvCnPr/>
                      <wps:spPr>
                        <a:xfrm flipH="1" flipV="1">
                          <a:off x="0" y="0"/>
                          <a:ext cx="6350" cy="46672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371.25pt;margin-top:8.25pt;height:36.75pt;width:0.5pt;z-index:251722752;mso-width-relative:page;mso-height-relative:page;" filled="f" stroked="t" coordsize="21600,21600" o:gfxdata="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uK7v9UAAAAJAQAADwAAAAAAAAABACAAAAAiAAAAZHJzL2Rvd25yZXYueG1sUEsBAhQA&#10;FAAAAAgAh07iQKT6M6j1AQAArAMAAA4AAAAAAAAAAQAgAAAAJAEAAGRycy9lMm9Eb2MueG1sUEsF&#10;BgAAAAAGAAYAWQEAAIsFAAAAAA==&#10;">
                <v:fill on="f" focussize="0,0"/>
                <v:stroke weight="0.5pt" color="#000000 [3200]" miterlimit="8" joinstyle="miter" dashstyle="longDash"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714560" behindDoc="0" locked="0" layoutInCell="1" allowOverlap="1">
                <wp:simplePos x="0" y="0"/>
                <wp:positionH relativeFrom="column">
                  <wp:posOffset>4993005</wp:posOffset>
                </wp:positionH>
                <wp:positionV relativeFrom="paragraph">
                  <wp:posOffset>118110</wp:posOffset>
                </wp:positionV>
                <wp:extent cx="6350" cy="406400"/>
                <wp:effectExtent l="38100" t="0" r="69850" b="50800"/>
                <wp:wrapNone/>
                <wp:docPr id="143" name="直接箭头连接符 143"/>
                <wp:cNvGraphicFramePr/>
                <a:graphic xmlns:a="http://schemas.openxmlformats.org/drawingml/2006/main">
                  <a:graphicData uri="http://schemas.microsoft.com/office/word/2010/wordprocessingShape">
                    <wps:wsp>
                      <wps:cNvCnPr/>
                      <wps:spPr>
                        <a:xfrm>
                          <a:off x="0" y="0"/>
                          <a:ext cx="6350" cy="40640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3.15pt;margin-top:9.3pt;height:32pt;width:0.5pt;z-index:251714560;mso-width-relative:page;mso-height-relative:page;" filled="f" stroked="t" coordsize="21600,21600" o:gfxdata="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XILSLU&#10;AAAACQEAAA8AAAAAAAAAAQAgAAAAIgAAAGRycy9kb3ducmV2LnhtbFBLAQIUABQAAAAIAIdO4kBR&#10;pSGK6wEAAJoDAAAOAAAAAAAAAAEAIAAAACMBAABkcnMvZTJvRG9jLnhtbFBLBQYAAAAABgAGAFkB&#10;AACABQAAAAA=&#10;">
                <v:fill on="f" focussize="0,0"/>
                <v:stroke weight="0.5pt" color="#000000 [3200]" miterlimit="8" joinstyle="miter" dashstyle="longDash"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2111872" behindDoc="0" locked="0" layoutInCell="1" allowOverlap="1">
                <wp:simplePos x="0" y="0"/>
                <wp:positionH relativeFrom="column">
                  <wp:posOffset>4022090</wp:posOffset>
                </wp:positionH>
                <wp:positionV relativeFrom="paragraph">
                  <wp:posOffset>-191135</wp:posOffset>
                </wp:positionV>
                <wp:extent cx="281305" cy="597535"/>
                <wp:effectExtent l="4445" t="0" r="19050" b="12065"/>
                <wp:wrapNone/>
                <wp:docPr id="25" name="直接箭头连接符 25"/>
                <wp:cNvGraphicFramePr/>
                <a:graphic xmlns:a="http://schemas.openxmlformats.org/drawingml/2006/main">
                  <a:graphicData uri="http://schemas.microsoft.com/office/word/2010/wordprocessingShape">
                    <wps:wsp>
                      <wps:cNvCnPr/>
                      <wps:spPr>
                        <a:xfrm flipV="1">
                          <a:off x="0" y="0"/>
                          <a:ext cx="281305" cy="597535"/>
                        </a:xfrm>
                        <a:prstGeom prst="straightConnector1">
                          <a:avLst/>
                        </a:prstGeom>
                        <a:ln>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16.7pt;margin-top:-15.05pt;height:47.05pt;width:22.15pt;z-index:252111872;mso-width-relative:page;mso-height-relative:page;" filled="f" stroked="t" coordsize="21600,21600" o:gfxdata="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oqBWdoAAAAKAQAADwAAAAAAAAABACAAAAAiAAAAZHJzL2Rvd25yZXYueG1s&#10;UEsBAhQAFAAAAAgAh07iQCyJUe72AQAAowMAAA4AAAAAAAAAAQAgAAAAKQEAAGRycy9lMm9Eb2Mu&#10;eG1sUEsFBgAAAAAGAAYAWQEAAJE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711488" behindDoc="0" locked="0" layoutInCell="1" allowOverlap="1">
                <wp:simplePos x="0" y="0"/>
                <wp:positionH relativeFrom="column">
                  <wp:posOffset>4504055</wp:posOffset>
                </wp:positionH>
                <wp:positionV relativeFrom="paragraph">
                  <wp:posOffset>226060</wp:posOffset>
                </wp:positionV>
                <wp:extent cx="971550" cy="292100"/>
                <wp:effectExtent l="0" t="0" r="0" b="0"/>
                <wp:wrapNone/>
                <wp:docPr id="137"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971550" cy="292100"/>
                        </a:xfrm>
                        <a:prstGeom prst="rect">
                          <a:avLst/>
                        </a:prstGeom>
                        <a:solidFill>
                          <a:srgbClr val="FFFFFF"/>
                        </a:solidFill>
                        <a:ln w="9525">
                          <a:noFill/>
                          <a:miter lim="800000"/>
                        </a:ln>
                      </wps:spPr>
                      <wps:txbx>
                        <w:txbxContent>
                          <w:p>
                            <w:pPr>
                              <w:spacing w:line="240" w:lineRule="atLeast"/>
                              <w:jc w:val="center"/>
                            </w:pPr>
                            <w:r>
                              <w:rPr>
                                <w:rFonts w:hint="eastAsia"/>
                              </w:rPr>
                              <w:t>锅炉炉渣</w:t>
                            </w:r>
                            <w:r>
                              <w:rPr>
                                <w:rFonts w:hint="eastAsia"/>
                                <w:color w:val="FF0000"/>
                              </w:rPr>
                              <w:t>S4</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354.65pt;margin-top:17.8pt;height:23pt;width:76.5pt;z-index:251711488;mso-width-relative:page;mso-height-relative:page;" fillcolor="#FFFFFF" filled="t" stroked="f" coordsize="21600,21600" o:gfxdata="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QKCG9cAAAAJAQAADwAAAAAA&#10;AAABACAAAAAiAAAAZHJzL2Rvd25yZXYueG1sUEsBAhQAFAAAAAgAh07iQCzIN7kUAgAAEgQAAA4A&#10;AAAAAAAAAQAgAAAAJgEAAGRycy9lMm9Eb2MueG1sUEsFBgAAAAAGAAYAWQEAAKwFAAAAAA==&#10;">
                <v:fill on="t" focussize="0,0"/>
                <v:stroke on="f" miterlimit="8" joinstyle="miter"/>
                <v:imagedata o:title=""/>
                <o:lock v:ext="edit" aspectratio="f"/>
                <v:textbox>
                  <w:txbxContent>
                    <w:p>
                      <w:pPr>
                        <w:spacing w:line="240" w:lineRule="atLeast"/>
                        <w:jc w:val="center"/>
                      </w:pPr>
                      <w:r>
                        <w:rPr>
                          <w:rFonts w:hint="eastAsia"/>
                        </w:rPr>
                        <w:t>锅炉炉渣</w:t>
                      </w:r>
                      <w:r>
                        <w:rPr>
                          <w:rFonts w:hint="eastAsia"/>
                          <w:color w:val="FF0000"/>
                        </w:rPr>
                        <w:t>S4</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2820035</wp:posOffset>
                </wp:positionH>
                <wp:positionV relativeFrom="paragraph">
                  <wp:posOffset>104140</wp:posOffset>
                </wp:positionV>
                <wp:extent cx="939800" cy="292100"/>
                <wp:effectExtent l="0" t="0" r="0" b="0"/>
                <wp:wrapNone/>
                <wp:docPr id="51"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939800" cy="292100"/>
                        </a:xfrm>
                        <a:prstGeom prst="rect">
                          <a:avLst/>
                        </a:prstGeom>
                        <a:solidFill>
                          <a:srgbClr val="FFFFFF"/>
                        </a:solidFill>
                        <a:ln w="9525">
                          <a:noFill/>
                          <a:miter lim="800000"/>
                        </a:ln>
                      </wps:spPr>
                      <wps:txbx>
                        <w:txbxContent>
                          <w:p>
                            <w:pPr>
                              <w:spacing w:line="240" w:lineRule="atLeast"/>
                              <w:jc w:val="center"/>
                            </w:pPr>
                            <w:r>
                              <w:rPr>
                                <w:rFonts w:hint="eastAsia"/>
                              </w:rPr>
                              <w:t>粉尘</w:t>
                            </w:r>
                            <w:r>
                              <w:rPr>
                                <w:rFonts w:hint="eastAsia"/>
                                <w:color w:val="FF0000"/>
                              </w:rPr>
                              <w:t>G</w:t>
                            </w:r>
                            <w:r>
                              <w:rPr>
                                <w:color w:val="FF0000"/>
                              </w:rPr>
                              <w:t>2</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22.05pt;margin-top:8.2pt;height:23pt;width:74pt;z-index:251661312;mso-width-relative:page;mso-height-relative:page;" fillcolor="#FFFFFF" filled="t" stroked="f" coordsize="21600,21600" o:gfxdata="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J0wZvXAAAACQEAAA8AAAAAAAAA&#10;AQAgAAAAIgAAAGRycy9kb3ducmV2LnhtbFBLAQIUABQAAAAIAIdO4kCIGcm2EgIAABEEAAAOAAAA&#10;AAAAAAEAIAAAACYBAABkcnMvZTJvRG9jLnhtbFBLBQYAAAAABgAGAFkBAACqBQAAAAA=&#10;">
                <v:fill on="t" focussize="0,0"/>
                <v:stroke on="f" miterlimit="8" joinstyle="miter"/>
                <v:imagedata o:title=""/>
                <o:lock v:ext="edit" aspectratio="f"/>
                <v:textbox>
                  <w:txbxContent>
                    <w:p>
                      <w:pPr>
                        <w:spacing w:line="240" w:lineRule="atLeast"/>
                        <w:jc w:val="center"/>
                      </w:pPr>
                      <w:r>
                        <w:rPr>
                          <w:rFonts w:hint="eastAsia"/>
                        </w:rPr>
                        <w:t>粉尘</w:t>
                      </w:r>
                      <w:r>
                        <w:rPr>
                          <w:rFonts w:hint="eastAsia"/>
                          <w:color w:val="FF0000"/>
                        </w:rPr>
                        <w:t>G</w:t>
                      </w:r>
                      <w:r>
                        <w:rPr>
                          <w:color w:val="FF0000"/>
                        </w:rPr>
                        <w:t>2</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724800" behindDoc="0" locked="0" layoutInCell="1" allowOverlap="1">
                <wp:simplePos x="0" y="0"/>
                <wp:positionH relativeFrom="column">
                  <wp:posOffset>2657475</wp:posOffset>
                </wp:positionH>
                <wp:positionV relativeFrom="paragraph">
                  <wp:posOffset>252095</wp:posOffset>
                </wp:positionV>
                <wp:extent cx="323850" cy="140335"/>
                <wp:effectExtent l="0" t="38100" r="57150" b="31115"/>
                <wp:wrapNone/>
                <wp:docPr id="48" name="直接箭头连接符 48"/>
                <wp:cNvGraphicFramePr/>
                <a:graphic xmlns:a="http://schemas.openxmlformats.org/drawingml/2006/main">
                  <a:graphicData uri="http://schemas.microsoft.com/office/word/2010/wordprocessingShape">
                    <wps:wsp>
                      <wps:cNvCnPr/>
                      <wps:spPr>
                        <a:xfrm flipV="1">
                          <a:off x="0" y="0"/>
                          <a:ext cx="323850" cy="14033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9.25pt;margin-top:19.85pt;height:11.05pt;width:25.5pt;z-index:251724800;mso-width-relative:page;mso-height-relative:page;" filled="f" stroked="t" coordsize="21600,21600" o:gfxdata="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GdiItoAAAAJAQAADwAAAAAAAAABACAAAAAiAAAAZHJzL2Rvd25yZXYueG1s&#10;UEsBAhQAFAAAAAgAh07iQCKxO5P2AQAApAMAAA4AAAAAAAAAAQAgAAAAKQEAAGRycy9lMm9Eb2Mu&#10;eG1sUEsFBgAAAAAGAAYAWQEAAJEFAAAAAA==&#10;">
                <v:fill on="f" focussize="0,0"/>
                <v:stroke weight="0.5pt" color="#000000 [3200]" miterlimit="8" joinstyle="miter" dashstyle="longDash"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66464" behindDoc="0" locked="0" layoutInCell="1" allowOverlap="1">
                <wp:simplePos x="0" y="0"/>
                <wp:positionH relativeFrom="column">
                  <wp:posOffset>3414395</wp:posOffset>
                </wp:positionH>
                <wp:positionV relativeFrom="paragraph">
                  <wp:posOffset>102870</wp:posOffset>
                </wp:positionV>
                <wp:extent cx="1148715" cy="299720"/>
                <wp:effectExtent l="4445" t="4445" r="8890" b="19685"/>
                <wp:wrapNone/>
                <wp:docPr id="20"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1148715" cy="29972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软水制备系统</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68.85pt;margin-top:8.1pt;height:23.6pt;width:90.45pt;z-index:251966464;mso-width-relative:page;mso-height-relative:page;" fillcolor="#FFFFFF" filled="t" stroked="t" coordsize="21600,21600" o:gfxdata="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WmsKjYAAAACQEAAA8AAAAA&#10;AAAAAQAgAAAAIgAAAGRycy9kb3ducmV2LnhtbFBLAQIUABQAAAAIAIdO4kAg7TagFAIAADsEAAAO&#10;AAAAAAAAAAEAIAAAACcBAABkcnMvZTJvRG9jLnhtbFBLBQYAAAAABgAGAFkBAACtBQAAAAA=&#10;">
                <v:fill on="t" focussize="0,0"/>
                <v:stroke color="#000000" miterlimit="8" joinstyle="miter"/>
                <v:imagedata o:title=""/>
                <o:lock v:ext="edit" aspectratio="f"/>
                <v:textbox>
                  <w:txbxContent>
                    <w:p>
                      <w:pPr>
                        <w:spacing w:line="240" w:lineRule="atLeast"/>
                        <w:jc w:val="center"/>
                      </w:pPr>
                      <w:r>
                        <w:rPr>
                          <w:rFonts w:hint="eastAsia"/>
                        </w:rPr>
                        <w:t>软水制备系统</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2301312" behindDoc="0" locked="0" layoutInCell="1" allowOverlap="1">
                <wp:simplePos x="0" y="0"/>
                <wp:positionH relativeFrom="column">
                  <wp:posOffset>4225290</wp:posOffset>
                </wp:positionH>
                <wp:positionV relativeFrom="paragraph">
                  <wp:posOffset>101600</wp:posOffset>
                </wp:positionV>
                <wp:extent cx="320675" cy="216535"/>
                <wp:effectExtent l="2540" t="3810" r="635" b="8255"/>
                <wp:wrapNone/>
                <wp:docPr id="37" name="直接箭头连接符 37"/>
                <wp:cNvGraphicFramePr/>
                <a:graphic xmlns:a="http://schemas.openxmlformats.org/drawingml/2006/main">
                  <a:graphicData uri="http://schemas.microsoft.com/office/word/2010/wordprocessingShape">
                    <wps:wsp>
                      <wps:cNvCnPr/>
                      <wps:spPr>
                        <a:xfrm>
                          <a:off x="0" y="0"/>
                          <a:ext cx="320675" cy="21653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2.7pt;margin-top:8pt;height:17.05pt;width:25.25pt;z-index:252301312;mso-width-relative:page;mso-height-relative:page;" filled="f" stroked="t" coordsize="21600,21600" o:gfxdata="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jKgmnVAAAACQEAAA8AAAAAAAAAAQAgAAAAIgAAAGRycy9kb3ducmV2LnhtbFBLAQIUABQAAAAI&#10;AIdO4kCIH1IU8AEAAJoDAAAOAAAAAAAAAAEAIAAAACQBAABkcnMvZTJvRG9jLnhtbFBLBQYAAAAA&#10;BgAGAFkBAACGBQ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2021760" behindDoc="0" locked="0" layoutInCell="1" allowOverlap="1">
                <wp:simplePos x="0" y="0"/>
                <wp:positionH relativeFrom="column">
                  <wp:posOffset>3960495</wp:posOffset>
                </wp:positionH>
                <wp:positionV relativeFrom="paragraph">
                  <wp:posOffset>99695</wp:posOffset>
                </wp:positionV>
                <wp:extent cx="5080" cy="233045"/>
                <wp:effectExtent l="36195" t="0" r="34925" b="14605"/>
                <wp:wrapNone/>
                <wp:docPr id="21" name="直接箭头连接符 21"/>
                <wp:cNvGraphicFramePr/>
                <a:graphic xmlns:a="http://schemas.openxmlformats.org/drawingml/2006/main">
                  <a:graphicData uri="http://schemas.microsoft.com/office/word/2010/wordprocessingShape">
                    <wps:wsp>
                      <wps:cNvCnPr/>
                      <wps:spPr>
                        <a:xfrm flipH="1" flipV="1">
                          <a:off x="0" y="0"/>
                          <a:ext cx="5080" cy="233045"/>
                        </a:xfrm>
                        <a:prstGeom prst="straightConnector1">
                          <a:avLst/>
                        </a:prstGeom>
                        <a:ln>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311.85pt;margin-top:7.85pt;height:18.35pt;width:0.4pt;z-index:252021760;mso-width-relative:page;mso-height-relative:page;" filled="f" stroked="t" coordsize="21600,21600" o:gfxdata="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uVciNkAAAAJAQAADwAAAAAAAAABACAAAAAiAAAAZHJzL2Rvd25yZXYueG1s&#10;UEsBAhQAFAAAAAgAh07iQJWAlzX3AQAAqwMAAA4AAAAAAAAAAQAgAAAAKAEAAGRycy9lMm9Eb2Mu&#10;eG1sUEsFBgAAAAAGAAYAWQEAAJEFAAAAAA==&#10;">
                <v:fill on="f" focussize="0,0"/>
                <v:stroke weight="0.5pt" color="#000000 [3200]" miterlimit="8" joinstyle="miter"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2355584" behindDoc="0" locked="0" layoutInCell="1" allowOverlap="1">
                <wp:simplePos x="0" y="0"/>
                <wp:positionH relativeFrom="column">
                  <wp:posOffset>4300855</wp:posOffset>
                </wp:positionH>
                <wp:positionV relativeFrom="paragraph">
                  <wp:posOffset>10160</wp:posOffset>
                </wp:positionV>
                <wp:extent cx="1031875" cy="473710"/>
                <wp:effectExtent l="0" t="0" r="15875" b="2540"/>
                <wp:wrapNone/>
                <wp:docPr id="38"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1031875" cy="473710"/>
                        </a:xfrm>
                        <a:prstGeom prst="rect">
                          <a:avLst/>
                        </a:prstGeom>
                        <a:solidFill>
                          <a:srgbClr val="FFFFFF"/>
                        </a:solidFill>
                        <a:ln w="9525">
                          <a:noFill/>
                          <a:miter lim="800000"/>
                        </a:ln>
                      </wps:spPr>
                      <wps:txbx>
                        <w:txbxContent>
                          <w:p>
                            <w:pPr>
                              <w:snapToGrid w:val="0"/>
                              <w:jc w:val="center"/>
                              <w:rPr>
                                <w:color w:val="FF0000"/>
                              </w:rPr>
                            </w:pPr>
                            <w:r>
                              <w:rPr>
                                <w:rFonts w:hint="eastAsia"/>
                              </w:rPr>
                              <w:t>废树脂</w:t>
                            </w:r>
                            <w:r>
                              <w:rPr>
                                <w:rFonts w:hint="eastAsia"/>
                                <w:color w:val="FF0000"/>
                              </w:rPr>
                              <w:t>S6</w:t>
                            </w:r>
                          </w:p>
                          <w:p>
                            <w:pPr>
                              <w:pStyle w:val="2"/>
                              <w:spacing w:before="0" w:beforeLines="0" w:line="240" w:lineRule="auto"/>
                              <w:ind w:firstLine="0" w:firstLineChars="0"/>
                            </w:pPr>
                            <w:r>
                              <w:rPr>
                                <w:rFonts w:hint="eastAsia"/>
                                <w:sz w:val="21"/>
                              </w:rPr>
                              <w:t>反冲洗废水</w:t>
                            </w:r>
                            <w:r>
                              <w:rPr>
                                <w:rFonts w:hint="eastAsia"/>
                                <w:color w:val="FF0000"/>
                                <w:sz w:val="21"/>
                              </w:rPr>
                              <w:t>w2</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338.65pt;margin-top:0.8pt;height:37.3pt;width:81.25pt;z-index:252355584;mso-width-relative:page;mso-height-relative:page;" fillcolor="#FFFFFF" filled="t" stroked="f" coordsize="21600,21600" o:gfxdata="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NQQ7WAAAACAEAAA8AAAAA&#10;AAAAAQAgAAAAIgAAAGRycy9kb3ducmV2LnhtbFBLAQIUABQAAAAIAIdO4kDT55GMFgIAABIEAAAO&#10;AAAAAAAAAAEAIAAAACUBAABkcnMvZTJvRG9jLnhtbFBLBQYAAAAABgAGAFkBAACtBQAAAAA=&#10;">
                <v:fill on="t" focussize="0,0"/>
                <v:stroke on="f" miterlimit="8" joinstyle="miter"/>
                <v:imagedata o:title=""/>
                <o:lock v:ext="edit" aspectratio="f"/>
                <v:textbox>
                  <w:txbxContent>
                    <w:p>
                      <w:pPr>
                        <w:snapToGrid w:val="0"/>
                        <w:jc w:val="center"/>
                        <w:rPr>
                          <w:color w:val="FF0000"/>
                        </w:rPr>
                      </w:pPr>
                      <w:r>
                        <w:rPr>
                          <w:rFonts w:hint="eastAsia"/>
                        </w:rPr>
                        <w:t>废树脂</w:t>
                      </w:r>
                      <w:r>
                        <w:rPr>
                          <w:rFonts w:hint="eastAsia"/>
                          <w:color w:val="FF0000"/>
                        </w:rPr>
                        <w:t>S6</w:t>
                      </w:r>
                    </w:p>
                    <w:p>
                      <w:pPr>
                        <w:pStyle w:val="2"/>
                        <w:spacing w:before="0" w:beforeLines="0" w:line="240" w:lineRule="auto"/>
                        <w:ind w:firstLine="0" w:firstLineChars="0"/>
                      </w:pPr>
                      <w:r>
                        <w:rPr>
                          <w:rFonts w:hint="eastAsia"/>
                          <w:sz w:val="21"/>
                        </w:rPr>
                        <w:t>反冲洗废水</w:t>
                      </w:r>
                      <w:r>
                        <w:rPr>
                          <w:rFonts w:hint="eastAsia"/>
                          <w:color w:val="FF0000"/>
                          <w:sz w:val="21"/>
                        </w:rPr>
                        <w:t>w2</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2044288" behindDoc="0" locked="0" layoutInCell="1" allowOverlap="1">
                <wp:simplePos x="0" y="0"/>
                <wp:positionH relativeFrom="column">
                  <wp:posOffset>3593465</wp:posOffset>
                </wp:positionH>
                <wp:positionV relativeFrom="paragraph">
                  <wp:posOffset>19685</wp:posOffset>
                </wp:positionV>
                <wp:extent cx="857250" cy="292100"/>
                <wp:effectExtent l="0" t="0" r="0" b="12700"/>
                <wp:wrapNone/>
                <wp:docPr id="24"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857250" cy="292100"/>
                        </a:xfrm>
                        <a:prstGeom prst="rect">
                          <a:avLst/>
                        </a:prstGeom>
                        <a:solidFill>
                          <a:srgbClr val="FFFFFF"/>
                        </a:solidFill>
                        <a:ln w="9525">
                          <a:noFill/>
                          <a:miter lim="800000"/>
                        </a:ln>
                      </wps:spPr>
                      <wps:txbx>
                        <w:txbxContent>
                          <w:p>
                            <w:pPr>
                              <w:spacing w:line="240" w:lineRule="atLeast"/>
                              <w:jc w:val="center"/>
                            </w:pPr>
                            <w:r>
                              <w:rPr>
                                <w:rFonts w:hint="eastAsia"/>
                              </w:rPr>
                              <w:t>自来水</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282.95pt;margin-top:1.55pt;height:23pt;width:67.5pt;z-index:252044288;mso-width-relative:page;mso-height-relative:page;" fillcolor="#FFFFFF" filled="t" stroked="f" coordsize="21600,21600" o:gfxdata="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wTKytYAAAAIAQAADwAAAAAAAAAB&#10;ACAAAAAiAAAAZHJzL2Rvd25yZXYueG1sUEsBAhQAFAAAAAgAh07iQHhiSVASAgAAEQQAAA4AAAAA&#10;AAAAAQAgAAAAJQEAAGRycy9lMm9Eb2MueG1sUEsFBgAAAAAGAAYAWQEAAKkFAAAAAA==&#10;">
                <v:fill on="t" focussize="0,0"/>
                <v:stroke on="f" miterlimit="8" joinstyle="miter"/>
                <v:imagedata o:title=""/>
                <o:lock v:ext="edit" aspectratio="f"/>
                <v:textbox>
                  <w:txbxContent>
                    <w:p>
                      <w:pPr>
                        <w:spacing w:line="240" w:lineRule="atLeast"/>
                        <w:jc w:val="center"/>
                      </w:pPr>
                      <w:r>
                        <w:rPr>
                          <w:rFonts w:hint="eastAsia"/>
                        </w:rPr>
                        <w:t>自来水</w:t>
                      </w:r>
                    </w:p>
                  </w:txbxContent>
                </v:textbox>
              </v:shape>
            </w:pict>
          </mc:Fallback>
        </mc:AlternateContent>
      </w:r>
    </w:p>
    <w:p>
      <w:pPr>
        <w:spacing w:line="360" w:lineRule="auto"/>
        <w:ind w:firstLine="480" w:firstLineChars="200"/>
        <w:jc w:val="center"/>
        <w:rPr>
          <w:rFonts w:ascii="Times New Roman" w:hAnsi="Times New Roman"/>
          <w:color w:val="000000"/>
          <w:sz w:val="24"/>
          <w:szCs w:val="24"/>
        </w:rPr>
      </w:pPr>
      <w:r>
        <w:rPr>
          <w:rFonts w:hint="eastAsia" w:ascii="Times New Roman" w:hAnsi="Times New Roman"/>
          <w:color w:val="000000"/>
          <w:sz w:val="24"/>
          <w:szCs w:val="24"/>
        </w:rPr>
        <w:t>注：图中G为废气、W为废水、N噪声、S固废；</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图3.2-3   项目生产工艺流程及产污节点图</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生产工艺介绍</w:t>
      </w:r>
      <w:r>
        <w:rPr>
          <w:rFonts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w:t>
      </w:r>
      <w:r>
        <w:rPr>
          <w:rFonts w:ascii="Times New Roman" w:hAnsi="Times New Roman"/>
          <w:color w:val="000000"/>
          <w:sz w:val="24"/>
          <w:szCs w:val="24"/>
        </w:rPr>
        <w:t>造纸主要是破碎制浆和抄造纸两大部分。本项目利用</w:t>
      </w:r>
      <w:r>
        <w:rPr>
          <w:rFonts w:hint="eastAsia" w:ascii="Times New Roman" w:hAnsi="Times New Roman"/>
          <w:color w:val="000000"/>
          <w:sz w:val="24"/>
          <w:szCs w:val="24"/>
        </w:rPr>
        <w:t>方解石粉</w:t>
      </w:r>
      <w:r>
        <w:rPr>
          <w:rFonts w:ascii="Times New Roman" w:hAnsi="Times New Roman"/>
          <w:color w:val="000000"/>
          <w:sz w:val="24"/>
          <w:szCs w:val="24"/>
        </w:rPr>
        <w:t>和废纸为原料进行造纸，最后产品</w:t>
      </w:r>
      <w:r>
        <w:rPr>
          <w:rFonts w:hint="eastAsia" w:ascii="Times New Roman" w:hAnsi="Times New Roman"/>
          <w:color w:val="000000"/>
          <w:sz w:val="24"/>
          <w:szCs w:val="24"/>
        </w:rPr>
        <w:t>用于</w:t>
      </w:r>
      <w:r>
        <w:rPr>
          <w:rFonts w:ascii="Times New Roman" w:hAnsi="Times New Roman"/>
          <w:color w:val="000000"/>
          <w:sz w:val="24"/>
          <w:szCs w:val="24"/>
        </w:rPr>
        <w:t>果蔬包装</w:t>
      </w:r>
      <w:r>
        <w:rPr>
          <w:rFonts w:hint="eastAsia" w:ascii="Times New Roman" w:hAnsi="Times New Roman"/>
          <w:color w:val="000000"/>
          <w:sz w:val="24"/>
          <w:szCs w:val="24"/>
        </w:rPr>
        <w:t>和</w:t>
      </w:r>
      <w:r>
        <w:rPr>
          <w:rFonts w:ascii="Times New Roman" w:hAnsi="Times New Roman"/>
          <w:color w:val="000000"/>
          <w:sz w:val="24"/>
          <w:szCs w:val="24"/>
        </w:rPr>
        <w:t>工程</w:t>
      </w:r>
      <w:r>
        <w:rPr>
          <w:rFonts w:hint="eastAsia" w:ascii="Times New Roman" w:hAnsi="Times New Roman"/>
          <w:color w:val="000000"/>
          <w:sz w:val="24"/>
          <w:szCs w:val="24"/>
        </w:rPr>
        <w:t>用。</w:t>
      </w:r>
      <w:r>
        <w:rPr>
          <w:rFonts w:ascii="Times New Roman" w:hAnsi="Times New Roman"/>
          <w:color w:val="000000"/>
          <w:sz w:val="24"/>
          <w:szCs w:val="24"/>
        </w:rPr>
        <w:t>其</w:t>
      </w:r>
      <w:r>
        <w:rPr>
          <w:rFonts w:hint="eastAsia" w:ascii="Times New Roman" w:hAnsi="Times New Roman"/>
          <w:color w:val="000000"/>
          <w:sz w:val="24"/>
          <w:szCs w:val="24"/>
        </w:rPr>
        <w:t>详细</w:t>
      </w:r>
      <w:r>
        <w:rPr>
          <w:rFonts w:ascii="Times New Roman" w:hAnsi="Times New Roman"/>
          <w:color w:val="000000"/>
          <w:sz w:val="24"/>
          <w:szCs w:val="24"/>
        </w:rPr>
        <w:t>工艺详见如下所示：</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1）备料：方解石粉和废纸堆于原料</w:t>
      </w:r>
      <w:r>
        <w:rPr>
          <w:rFonts w:ascii="Times New Roman" w:hAnsi="Times New Roman"/>
          <w:color w:val="000000"/>
          <w:sz w:val="24"/>
          <w:szCs w:val="24"/>
        </w:rPr>
        <w:t>仓库</w:t>
      </w:r>
      <w:r>
        <w:rPr>
          <w:rFonts w:hint="eastAsia" w:ascii="Times New Roman" w:hAnsi="Times New Roman"/>
          <w:color w:val="000000"/>
          <w:sz w:val="24"/>
          <w:szCs w:val="24"/>
        </w:rPr>
        <w:t>，人工进行分类和选捡废纸并去除异物。</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2）碎浆</w:t>
      </w:r>
      <w:r>
        <w:rPr>
          <w:rFonts w:ascii="Times New Roman" w:hAnsi="Times New Roman"/>
          <w:color w:val="000000"/>
          <w:sz w:val="24"/>
          <w:szCs w:val="24"/>
        </w:rPr>
        <w:t>配料</w:t>
      </w:r>
      <w:r>
        <w:rPr>
          <w:rFonts w:hint="eastAsia" w:ascii="Times New Roman" w:hAnsi="Times New Roman"/>
          <w:color w:val="000000"/>
          <w:sz w:val="24"/>
          <w:szCs w:val="24"/>
        </w:rPr>
        <w:t>：经过人工</w:t>
      </w:r>
      <w:r>
        <w:rPr>
          <w:rFonts w:ascii="Times New Roman" w:hAnsi="Times New Roman"/>
          <w:color w:val="000000"/>
          <w:sz w:val="24"/>
          <w:szCs w:val="24"/>
        </w:rPr>
        <w:t>拣</w:t>
      </w:r>
      <w:r>
        <w:rPr>
          <w:rFonts w:hint="eastAsia" w:ascii="Times New Roman" w:hAnsi="Times New Roman"/>
          <w:color w:val="000000"/>
          <w:sz w:val="24"/>
          <w:szCs w:val="24"/>
        </w:rPr>
        <w:t>选</w:t>
      </w:r>
      <w:r>
        <w:rPr>
          <w:rFonts w:ascii="Times New Roman" w:hAnsi="Times New Roman"/>
          <w:color w:val="000000"/>
          <w:sz w:val="24"/>
          <w:szCs w:val="24"/>
        </w:rPr>
        <w:t>的废纸倒入</w:t>
      </w:r>
      <w:r>
        <w:rPr>
          <w:rFonts w:hint="eastAsia" w:ascii="Times New Roman" w:hAnsi="Times New Roman"/>
          <w:color w:val="000000"/>
          <w:sz w:val="24"/>
          <w:szCs w:val="24"/>
        </w:rPr>
        <w:t>水力碎浆</w:t>
      </w:r>
      <w:r>
        <w:rPr>
          <w:rFonts w:ascii="Times New Roman" w:hAnsi="Times New Roman"/>
          <w:color w:val="000000"/>
          <w:sz w:val="24"/>
          <w:szCs w:val="24"/>
        </w:rPr>
        <w:t>机中，并在其中加入水，靠水力碎浆机旋转产生的漩涡作用，使废纸碎解成浆</w:t>
      </w:r>
      <w:r>
        <w:rPr>
          <w:rFonts w:hint="eastAsia" w:ascii="Times New Roman" w:hAnsi="Times New Roman"/>
          <w:color w:val="000000"/>
          <w:sz w:val="24"/>
          <w:szCs w:val="24"/>
        </w:rPr>
        <w:t>。</w:t>
      </w:r>
      <w:r>
        <w:rPr>
          <w:rFonts w:ascii="Times New Roman" w:hAnsi="Times New Roman"/>
          <w:color w:val="000000"/>
          <w:sz w:val="24"/>
          <w:szCs w:val="24"/>
        </w:rPr>
        <w:t>水力</w:t>
      </w:r>
      <w:r>
        <w:rPr>
          <w:rFonts w:hint="eastAsia" w:ascii="Times New Roman" w:hAnsi="Times New Roman"/>
          <w:color w:val="000000"/>
          <w:sz w:val="24"/>
          <w:szCs w:val="24"/>
        </w:rPr>
        <w:t>碎浆</w:t>
      </w:r>
      <w:r>
        <w:rPr>
          <w:rFonts w:ascii="Times New Roman" w:hAnsi="Times New Roman"/>
          <w:color w:val="000000"/>
          <w:sz w:val="24"/>
          <w:szCs w:val="24"/>
        </w:rPr>
        <w:t>后的纸浆中含有部分杂质（</w:t>
      </w:r>
      <w:r>
        <w:rPr>
          <w:rFonts w:hint="eastAsia" w:ascii="Times New Roman" w:hAnsi="Times New Roman"/>
          <w:color w:val="000000"/>
          <w:sz w:val="24"/>
          <w:szCs w:val="24"/>
        </w:rPr>
        <w:t>塑料等</w:t>
      </w:r>
      <w:r>
        <w:rPr>
          <w:rFonts w:ascii="Times New Roman" w:hAnsi="Times New Roman"/>
          <w:color w:val="000000"/>
          <w:sz w:val="24"/>
          <w:szCs w:val="24"/>
        </w:rPr>
        <w:t>）</w:t>
      </w:r>
      <w:r>
        <w:rPr>
          <w:rFonts w:hint="eastAsia" w:ascii="Times New Roman" w:hAnsi="Times New Roman"/>
          <w:color w:val="000000"/>
          <w:sz w:val="24"/>
          <w:szCs w:val="24"/>
        </w:rPr>
        <w:t>，</w:t>
      </w:r>
      <w:r>
        <w:rPr>
          <w:rFonts w:ascii="Times New Roman" w:hAnsi="Times New Roman"/>
          <w:color w:val="000000"/>
          <w:sz w:val="24"/>
          <w:szCs w:val="24"/>
        </w:rPr>
        <w:t>将其</w:t>
      </w:r>
      <w:r>
        <w:rPr>
          <w:rFonts w:hint="eastAsia" w:ascii="Times New Roman" w:hAnsi="Times New Roman"/>
          <w:color w:val="000000"/>
          <w:sz w:val="24"/>
          <w:szCs w:val="24"/>
        </w:rPr>
        <w:t>去除</w:t>
      </w:r>
      <w:r>
        <w:rPr>
          <w:rFonts w:ascii="Times New Roman" w:hAnsi="Times New Roman"/>
          <w:color w:val="000000"/>
          <w:sz w:val="24"/>
          <w:szCs w:val="24"/>
        </w:rPr>
        <w:t>。并在</w:t>
      </w:r>
      <w:r>
        <w:rPr>
          <w:rFonts w:hint="eastAsia" w:ascii="Times New Roman" w:hAnsi="Times New Roman"/>
          <w:color w:val="000000"/>
          <w:sz w:val="24"/>
          <w:szCs w:val="24"/>
        </w:rPr>
        <w:t>碎浆</w:t>
      </w:r>
      <w:r>
        <w:rPr>
          <w:rFonts w:ascii="Times New Roman" w:hAnsi="Times New Roman"/>
          <w:color w:val="000000"/>
          <w:sz w:val="24"/>
          <w:szCs w:val="24"/>
        </w:rPr>
        <w:t>机中加入石粉、淀粉，使其与废纸一同破碎。各类</w:t>
      </w:r>
      <w:r>
        <w:rPr>
          <w:rFonts w:hint="eastAsia" w:ascii="Times New Roman" w:hAnsi="Times New Roman"/>
          <w:color w:val="000000"/>
          <w:sz w:val="24"/>
          <w:szCs w:val="24"/>
        </w:rPr>
        <w:t>原辅料</w:t>
      </w:r>
      <w:r>
        <w:rPr>
          <w:rFonts w:ascii="Times New Roman" w:hAnsi="Times New Roman"/>
          <w:color w:val="000000"/>
          <w:sz w:val="24"/>
          <w:szCs w:val="24"/>
        </w:rPr>
        <w:t>的添加比例为：废纸：水：</w:t>
      </w:r>
      <w:r>
        <w:rPr>
          <w:rFonts w:hint="eastAsia" w:ascii="Times New Roman" w:hAnsi="Times New Roman"/>
          <w:color w:val="000000"/>
          <w:sz w:val="24"/>
          <w:szCs w:val="24"/>
        </w:rPr>
        <w:t>石粉</w:t>
      </w:r>
      <w:r>
        <w:rPr>
          <w:rFonts w:ascii="Times New Roman" w:hAnsi="Times New Roman"/>
          <w:color w:val="000000"/>
          <w:sz w:val="24"/>
          <w:szCs w:val="24"/>
        </w:rPr>
        <w:t>：淀粉=1</w:t>
      </w:r>
      <w:r>
        <w:rPr>
          <w:rFonts w:hint="eastAsia" w:ascii="Times New Roman" w:hAnsi="Times New Roman"/>
          <w:color w:val="000000"/>
          <w:sz w:val="24"/>
          <w:szCs w:val="24"/>
        </w:rPr>
        <w:t>:3:4:0.01。破碎完成</w:t>
      </w:r>
      <w:r>
        <w:rPr>
          <w:rFonts w:ascii="Times New Roman" w:hAnsi="Times New Roman"/>
          <w:color w:val="000000"/>
          <w:sz w:val="24"/>
          <w:szCs w:val="24"/>
        </w:rPr>
        <w:t>后将浆液打至粗浆池内，然后使用浆泵打至磨浆机（</w:t>
      </w:r>
      <w:r>
        <w:rPr>
          <w:rFonts w:hint="eastAsia" w:ascii="Times New Roman" w:hAnsi="Times New Roman"/>
          <w:color w:val="000000"/>
          <w:sz w:val="24"/>
          <w:szCs w:val="24"/>
        </w:rPr>
        <w:t>双磨盘</w:t>
      </w:r>
      <w:r>
        <w:rPr>
          <w:rFonts w:ascii="Times New Roman" w:hAnsi="Times New Roman"/>
          <w:color w:val="000000"/>
          <w:sz w:val="24"/>
          <w:szCs w:val="24"/>
        </w:rPr>
        <w:t>）</w:t>
      </w:r>
      <w:r>
        <w:rPr>
          <w:rFonts w:hint="eastAsia" w:ascii="Times New Roman" w:hAnsi="Times New Roman"/>
          <w:color w:val="000000"/>
          <w:sz w:val="24"/>
          <w:szCs w:val="24"/>
        </w:rPr>
        <w:t>中</w:t>
      </w:r>
      <w:r>
        <w:rPr>
          <w:rFonts w:ascii="Times New Roman" w:hAnsi="Times New Roman"/>
          <w:color w:val="000000"/>
          <w:sz w:val="24"/>
          <w:szCs w:val="24"/>
        </w:rPr>
        <w:t>磨浆，大颗粒浆通过设备与纤维之间的磨控</w:t>
      </w:r>
      <w:r>
        <w:rPr>
          <w:rFonts w:hint="eastAsia" w:ascii="Times New Roman" w:hAnsi="Times New Roman"/>
          <w:color w:val="000000"/>
          <w:sz w:val="24"/>
          <w:szCs w:val="24"/>
        </w:rPr>
        <w:t>、</w:t>
      </w:r>
      <w:r>
        <w:rPr>
          <w:rFonts w:ascii="Times New Roman" w:hAnsi="Times New Roman"/>
          <w:color w:val="000000"/>
          <w:sz w:val="24"/>
          <w:szCs w:val="24"/>
        </w:rPr>
        <w:t>剪和水力冲击对制浆纤维实施切截、分解、润张等多种</w:t>
      </w:r>
      <w:r>
        <w:rPr>
          <w:rFonts w:hint="eastAsia" w:ascii="Times New Roman" w:hAnsi="Times New Roman"/>
          <w:color w:val="000000"/>
          <w:sz w:val="24"/>
          <w:szCs w:val="24"/>
        </w:rPr>
        <w:t>作用</w:t>
      </w:r>
      <w:r>
        <w:rPr>
          <w:rFonts w:ascii="Times New Roman" w:hAnsi="Times New Roman"/>
          <w:color w:val="000000"/>
          <w:sz w:val="24"/>
          <w:szCs w:val="24"/>
        </w:rPr>
        <w:t>，</w:t>
      </w:r>
      <w:r>
        <w:rPr>
          <w:rFonts w:hint="eastAsia" w:ascii="Times New Roman" w:hAnsi="Times New Roman"/>
          <w:color w:val="000000"/>
          <w:sz w:val="24"/>
          <w:szCs w:val="24"/>
        </w:rPr>
        <w:t>使</w:t>
      </w:r>
      <w:r>
        <w:rPr>
          <w:rFonts w:ascii="Times New Roman" w:hAnsi="Times New Roman"/>
          <w:color w:val="000000"/>
          <w:sz w:val="24"/>
          <w:szCs w:val="24"/>
        </w:rPr>
        <w:t>纤维长短更</w:t>
      </w:r>
      <w:r>
        <w:rPr>
          <w:rFonts w:hint="eastAsia" w:ascii="Times New Roman" w:hAnsi="Times New Roman"/>
          <w:color w:val="000000"/>
          <w:sz w:val="24"/>
          <w:szCs w:val="24"/>
        </w:rPr>
        <w:t>均匀</w:t>
      </w:r>
      <w:r>
        <w:rPr>
          <w:rFonts w:ascii="Times New Roman" w:hAnsi="Times New Roman"/>
          <w:color w:val="000000"/>
          <w:sz w:val="24"/>
          <w:szCs w:val="24"/>
        </w:rPr>
        <w:t>，</w:t>
      </w:r>
      <w:r>
        <w:rPr>
          <w:rFonts w:hint="eastAsia" w:ascii="Times New Roman" w:hAnsi="Times New Roman"/>
          <w:color w:val="000000"/>
          <w:sz w:val="24"/>
          <w:szCs w:val="24"/>
        </w:rPr>
        <w:t>表面积</w:t>
      </w:r>
      <w:r>
        <w:rPr>
          <w:rFonts w:ascii="Times New Roman" w:hAnsi="Times New Roman"/>
          <w:color w:val="000000"/>
          <w:sz w:val="24"/>
          <w:szCs w:val="24"/>
        </w:rPr>
        <w:t>增大</w:t>
      </w:r>
      <w:r>
        <w:rPr>
          <w:rFonts w:hint="eastAsia" w:ascii="Times New Roman" w:hAnsi="Times New Roman"/>
          <w:color w:val="000000"/>
          <w:sz w:val="24"/>
          <w:szCs w:val="24"/>
        </w:rPr>
        <w:t>、</w:t>
      </w:r>
      <w:r>
        <w:rPr>
          <w:rFonts w:ascii="Times New Roman" w:hAnsi="Times New Roman"/>
          <w:color w:val="000000"/>
          <w:sz w:val="24"/>
          <w:szCs w:val="24"/>
        </w:rPr>
        <w:t>直径减小，具有柔韧性和可塑性，可提高纸的耐破度</w:t>
      </w:r>
      <w:r>
        <w:rPr>
          <w:rFonts w:hint="eastAsia" w:ascii="Times New Roman" w:hAnsi="Times New Roman"/>
          <w:color w:val="000000"/>
          <w:sz w:val="24"/>
          <w:szCs w:val="24"/>
        </w:rPr>
        <w:t>、</w:t>
      </w:r>
      <w:r>
        <w:rPr>
          <w:rFonts w:ascii="Times New Roman" w:hAnsi="Times New Roman"/>
          <w:color w:val="000000"/>
          <w:sz w:val="24"/>
          <w:szCs w:val="24"/>
        </w:rPr>
        <w:t>耐撕度、平滑度和伸缩率等性能，经磨浆后浆液进入细浆池内。</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3）造纸：在细浆池</w:t>
      </w:r>
      <w:r>
        <w:rPr>
          <w:rFonts w:ascii="Times New Roman" w:hAnsi="Times New Roman"/>
          <w:color w:val="000000"/>
          <w:sz w:val="24"/>
          <w:szCs w:val="24"/>
        </w:rPr>
        <w:t>内的浆液通过浆泵打至造纸设备中，经过网部脱水，脱去浆液中大部分水分。网部</w:t>
      </w:r>
      <w:r>
        <w:rPr>
          <w:rFonts w:hint="eastAsia" w:ascii="Times New Roman" w:hAnsi="Times New Roman"/>
          <w:color w:val="000000"/>
          <w:sz w:val="24"/>
          <w:szCs w:val="24"/>
        </w:rPr>
        <w:t>已经</w:t>
      </w:r>
      <w:r>
        <w:rPr>
          <w:rFonts w:ascii="Times New Roman" w:hAnsi="Times New Roman"/>
          <w:color w:val="000000"/>
          <w:sz w:val="24"/>
          <w:szCs w:val="24"/>
        </w:rPr>
        <w:t>成型的湿纸</w:t>
      </w:r>
      <w:r>
        <w:rPr>
          <w:rFonts w:hint="eastAsia" w:ascii="Times New Roman" w:hAnsi="Times New Roman"/>
          <w:color w:val="000000"/>
          <w:sz w:val="24"/>
          <w:szCs w:val="24"/>
        </w:rPr>
        <w:t>页</w:t>
      </w:r>
      <w:r>
        <w:rPr>
          <w:rFonts w:ascii="Times New Roman" w:hAnsi="Times New Roman"/>
          <w:color w:val="000000"/>
          <w:sz w:val="24"/>
          <w:szCs w:val="24"/>
        </w:rPr>
        <w:t>进入压榨部在毛布的托送下经过轧辊进一步脱水</w:t>
      </w:r>
      <w:r>
        <w:rPr>
          <w:rFonts w:hint="eastAsia" w:ascii="Times New Roman" w:hAnsi="Times New Roman"/>
          <w:color w:val="000000"/>
          <w:sz w:val="24"/>
          <w:szCs w:val="24"/>
        </w:rPr>
        <w:t>，</w:t>
      </w:r>
      <w:r>
        <w:rPr>
          <w:rFonts w:ascii="Times New Roman" w:hAnsi="Times New Roman"/>
          <w:color w:val="000000"/>
          <w:sz w:val="24"/>
          <w:szCs w:val="24"/>
        </w:rPr>
        <w:t>提高干度并改善纸页性能</w:t>
      </w:r>
      <w:r>
        <w:rPr>
          <w:rFonts w:hint="eastAsia" w:ascii="Times New Roman" w:hAnsi="Times New Roman"/>
          <w:color w:val="000000"/>
          <w:sz w:val="24"/>
          <w:szCs w:val="24"/>
        </w:rPr>
        <w:t>。</w:t>
      </w:r>
      <w:r>
        <w:rPr>
          <w:rFonts w:ascii="Times New Roman" w:hAnsi="Times New Roman"/>
          <w:color w:val="000000"/>
          <w:sz w:val="24"/>
          <w:szCs w:val="24"/>
        </w:rPr>
        <w:t>纸页</w:t>
      </w:r>
      <w:r>
        <w:rPr>
          <w:rFonts w:hint="eastAsia" w:ascii="Times New Roman" w:hAnsi="Times New Roman"/>
          <w:color w:val="000000"/>
          <w:sz w:val="24"/>
          <w:szCs w:val="24"/>
        </w:rPr>
        <w:t>经过</w:t>
      </w:r>
      <w:r>
        <w:rPr>
          <w:rFonts w:ascii="Times New Roman" w:hAnsi="Times New Roman"/>
          <w:color w:val="000000"/>
          <w:sz w:val="24"/>
          <w:szCs w:val="24"/>
        </w:rPr>
        <w:t>压榨脱水后，使用锅炉提供的蒸汽间接加热，使纸页中水分蒸发。造纸</w:t>
      </w:r>
      <w:r>
        <w:rPr>
          <w:rFonts w:hint="eastAsia" w:ascii="Times New Roman" w:hAnsi="Times New Roman"/>
          <w:color w:val="000000"/>
          <w:sz w:val="24"/>
          <w:szCs w:val="24"/>
        </w:rPr>
        <w:t>过程</w:t>
      </w:r>
      <w:r>
        <w:rPr>
          <w:rFonts w:ascii="Times New Roman" w:hAnsi="Times New Roman"/>
          <w:color w:val="000000"/>
          <w:sz w:val="24"/>
          <w:szCs w:val="24"/>
        </w:rPr>
        <w:t>中产生的废水经过回水塔收集后全部</w:t>
      </w:r>
      <w:r>
        <w:rPr>
          <w:rFonts w:hint="eastAsia" w:ascii="Times New Roman" w:hAnsi="Times New Roman"/>
          <w:color w:val="000000"/>
          <w:sz w:val="24"/>
          <w:szCs w:val="24"/>
        </w:rPr>
        <w:t>回用</w:t>
      </w:r>
      <w:r>
        <w:rPr>
          <w:rFonts w:ascii="Times New Roman" w:hAnsi="Times New Roman"/>
          <w:color w:val="000000"/>
          <w:sz w:val="24"/>
          <w:szCs w:val="24"/>
        </w:rPr>
        <w:t>于</w:t>
      </w:r>
      <w:r>
        <w:rPr>
          <w:rFonts w:hint="eastAsia" w:ascii="Times New Roman" w:hAnsi="Times New Roman"/>
          <w:color w:val="000000"/>
          <w:sz w:val="24"/>
          <w:szCs w:val="24"/>
        </w:rPr>
        <w:t>生产</w:t>
      </w:r>
      <w:r>
        <w:rPr>
          <w:rFonts w:ascii="Times New Roman" w:hAnsi="Times New Roman"/>
          <w:color w:val="000000"/>
          <w:sz w:val="24"/>
          <w:szCs w:val="24"/>
        </w:rPr>
        <w:t>中，不外排</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4）切纸：干燥后</w:t>
      </w:r>
      <w:r>
        <w:rPr>
          <w:rFonts w:ascii="Times New Roman" w:hAnsi="Times New Roman"/>
          <w:color w:val="000000"/>
          <w:sz w:val="24"/>
          <w:szCs w:val="24"/>
        </w:rPr>
        <w:t>的纸页经过切纸机切成既定的规格。产生</w:t>
      </w:r>
      <w:r>
        <w:rPr>
          <w:rFonts w:hint="eastAsia" w:ascii="Times New Roman" w:hAnsi="Times New Roman"/>
          <w:color w:val="000000"/>
          <w:sz w:val="24"/>
          <w:szCs w:val="24"/>
        </w:rPr>
        <w:t>的</w:t>
      </w:r>
      <w:r>
        <w:rPr>
          <w:rFonts w:ascii="Times New Roman" w:hAnsi="Times New Roman"/>
          <w:color w:val="000000"/>
          <w:sz w:val="24"/>
          <w:szCs w:val="24"/>
        </w:rPr>
        <w:t>边角料回用于水力碎浆中</w:t>
      </w:r>
      <w:r>
        <w:rPr>
          <w:rFonts w:hint="eastAsia" w:ascii="Times New Roman" w:hAnsi="Times New Roman"/>
          <w:color w:val="000000"/>
          <w:sz w:val="24"/>
          <w:szCs w:val="24"/>
        </w:rPr>
        <w:t>。</w:t>
      </w:r>
    </w:p>
    <w:p>
      <w:pPr>
        <w:spacing w:line="360" w:lineRule="auto"/>
        <w:ind w:firstLine="482" w:firstLineChars="200"/>
        <w:rPr>
          <w:rFonts w:ascii="Times New Roman" w:hAnsi="Times New Roman"/>
          <w:b/>
          <w:color w:val="000000"/>
          <w:sz w:val="24"/>
          <w:szCs w:val="24"/>
        </w:rPr>
      </w:pPr>
      <w:bookmarkStart w:id="149" w:name="_Toc23478"/>
      <w:r>
        <w:rPr>
          <w:rFonts w:ascii="Times New Roman" w:hAnsi="Times New Roman"/>
          <w:b/>
          <w:color w:val="000000"/>
          <w:sz w:val="24"/>
          <w:szCs w:val="24"/>
        </w:rPr>
        <w:t>2</w:t>
      </w:r>
      <w:r>
        <w:rPr>
          <w:rFonts w:hint="eastAsia" w:ascii="Times New Roman" w:hAnsi="Times New Roman"/>
          <w:b/>
          <w:color w:val="000000"/>
          <w:sz w:val="24"/>
          <w:szCs w:val="24"/>
        </w:rPr>
        <w:t>、运营期污染源强分析</w:t>
      </w:r>
      <w:bookmarkEnd w:id="149"/>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本项目运营期主要产生的污染物有</w:t>
      </w:r>
      <w:r>
        <w:rPr>
          <w:rFonts w:ascii="Times New Roman" w:hAnsi="Times New Roman"/>
          <w:color w:val="000000"/>
          <w:sz w:val="24"/>
          <w:szCs w:val="24"/>
        </w:rPr>
        <w:t>粉尘</w:t>
      </w:r>
      <w:r>
        <w:rPr>
          <w:rFonts w:hint="eastAsia" w:ascii="Times New Roman" w:hAnsi="Times New Roman"/>
          <w:color w:val="000000"/>
          <w:sz w:val="24"/>
          <w:szCs w:val="24"/>
        </w:rPr>
        <w:t>、恶臭气体</w:t>
      </w:r>
      <w:r>
        <w:rPr>
          <w:rFonts w:ascii="Times New Roman" w:hAnsi="Times New Roman"/>
          <w:color w:val="000000"/>
          <w:sz w:val="24"/>
          <w:szCs w:val="24"/>
        </w:rPr>
        <w:t>、食堂油烟</w:t>
      </w:r>
      <w:r>
        <w:rPr>
          <w:rFonts w:hint="eastAsia" w:ascii="Times New Roman" w:hAnsi="Times New Roman"/>
          <w:color w:val="000000"/>
          <w:sz w:val="24"/>
          <w:szCs w:val="24"/>
        </w:rPr>
        <w:t>、锅炉废气；生产</w:t>
      </w:r>
      <w:r>
        <w:rPr>
          <w:rFonts w:ascii="Times New Roman" w:hAnsi="Times New Roman"/>
          <w:color w:val="000000"/>
          <w:sz w:val="24"/>
          <w:szCs w:val="24"/>
        </w:rPr>
        <w:t>废水、</w:t>
      </w:r>
      <w:r>
        <w:rPr>
          <w:rFonts w:hint="eastAsia" w:ascii="Times New Roman" w:hAnsi="Times New Roman"/>
          <w:color w:val="000000"/>
          <w:sz w:val="24"/>
          <w:szCs w:val="24"/>
        </w:rPr>
        <w:t>生活污水；生产设备、环保设备运行噪声；杂物</w:t>
      </w:r>
      <w:r>
        <w:rPr>
          <w:rFonts w:ascii="Times New Roman" w:hAnsi="Times New Roman"/>
          <w:color w:val="000000"/>
          <w:sz w:val="24"/>
          <w:szCs w:val="24"/>
        </w:rPr>
        <w:t>、废塑料、</w:t>
      </w:r>
      <w:r>
        <w:rPr>
          <w:rFonts w:hint="eastAsia" w:ascii="Times New Roman" w:hAnsi="Times New Roman"/>
          <w:color w:val="000000"/>
          <w:sz w:val="24"/>
          <w:szCs w:val="24"/>
        </w:rPr>
        <w:t>边角废料、锅炉炉渣、除尘废水循环沉淀池污泥、生活垃圾、化粪池及污水处理站污泥等。</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（1）大气污染源分析</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1）无组织</w:t>
      </w:r>
      <w:r>
        <w:rPr>
          <w:rFonts w:ascii="Times New Roman" w:hAnsi="Times New Roman"/>
          <w:color w:val="FF0000"/>
          <w:sz w:val="24"/>
          <w:szCs w:val="24"/>
        </w:rPr>
        <w:t>粉尘</w:t>
      </w:r>
    </w:p>
    <w:p>
      <w:pPr>
        <w:spacing w:line="520" w:lineRule="exact"/>
        <w:ind w:firstLine="480" w:firstLineChars="200"/>
        <w:rPr>
          <w:bCs/>
          <w:color w:val="FF0000"/>
          <w:sz w:val="24"/>
        </w:rPr>
      </w:pPr>
      <w:r>
        <w:rPr>
          <w:rFonts w:hint="eastAsia" w:ascii="Times New Roman" w:hAnsi="Times New Roman"/>
          <w:color w:val="FF0000"/>
          <w:sz w:val="24"/>
          <w:szCs w:val="24"/>
        </w:rPr>
        <w:t>根据</w:t>
      </w:r>
      <w:r>
        <w:rPr>
          <w:rFonts w:ascii="Times New Roman" w:hAnsi="Times New Roman"/>
          <w:color w:val="FF0000"/>
          <w:sz w:val="24"/>
          <w:szCs w:val="24"/>
        </w:rPr>
        <w:t>建设单位提供资料，</w:t>
      </w:r>
      <w:r>
        <w:rPr>
          <w:rFonts w:hint="eastAsia" w:ascii="Times New Roman" w:hAnsi="Times New Roman"/>
          <w:color w:val="FF0000"/>
          <w:sz w:val="24"/>
          <w:szCs w:val="24"/>
        </w:rPr>
        <w:t>项目</w:t>
      </w:r>
      <w:r>
        <w:rPr>
          <w:rFonts w:ascii="Times New Roman" w:hAnsi="Times New Roman"/>
          <w:color w:val="FF0000"/>
          <w:sz w:val="24"/>
          <w:szCs w:val="24"/>
        </w:rPr>
        <w:t>碎浆阶段采用的是水力碎浆</w:t>
      </w:r>
      <w:r>
        <w:rPr>
          <w:rFonts w:hint="eastAsia" w:ascii="Times New Roman" w:hAnsi="Times New Roman"/>
          <w:color w:val="FF0000"/>
          <w:sz w:val="24"/>
          <w:szCs w:val="24"/>
        </w:rPr>
        <w:t>；切割工序在密闭式生产车间完成；项目采购的石粉为满足项目生产需求规格的石粉，不在项目区破碎，本项目</w:t>
      </w:r>
      <w:r>
        <w:rPr>
          <w:rFonts w:hint="eastAsia"/>
          <w:bCs/>
          <w:color w:val="FF0000"/>
          <w:sz w:val="24"/>
        </w:rPr>
        <w:t>方解石粉</w:t>
      </w:r>
      <w:r>
        <w:rPr>
          <w:bCs/>
          <w:color w:val="FF0000"/>
          <w:sz w:val="24"/>
        </w:rPr>
        <w:t>料导入粉料仓中</w:t>
      </w:r>
      <w:r>
        <w:rPr>
          <w:rFonts w:hint="eastAsia"/>
          <w:bCs/>
          <w:color w:val="FF0000"/>
          <w:sz w:val="24"/>
          <w:lang w:eastAsia="zh-CN"/>
        </w:rPr>
        <w:t>，粉料仓投料到碎浆机</w:t>
      </w:r>
      <w:r>
        <w:rPr>
          <w:bCs/>
          <w:color w:val="FF0000"/>
          <w:sz w:val="24"/>
        </w:rPr>
        <w:t>的过程是一个全密闭环境</w:t>
      </w:r>
      <w:r>
        <w:rPr>
          <w:rFonts w:hint="eastAsia"/>
          <w:bCs/>
          <w:color w:val="FF0000"/>
          <w:sz w:val="24"/>
          <w:lang w:eastAsia="zh-CN"/>
        </w:rPr>
        <w:t>。</w:t>
      </w:r>
      <w:r>
        <w:rPr>
          <w:bCs/>
          <w:color w:val="FF0000"/>
          <w:sz w:val="24"/>
        </w:rPr>
        <w:t>在粉料进入粉料仓中</w:t>
      </w:r>
      <w:r>
        <w:rPr>
          <w:rFonts w:hint="eastAsia"/>
          <w:bCs/>
          <w:color w:val="FF0000"/>
          <w:sz w:val="24"/>
          <w:lang w:eastAsia="zh-CN"/>
        </w:rPr>
        <w:t>和由粉料仓投料到碎浆机</w:t>
      </w:r>
      <w:r>
        <w:rPr>
          <w:bCs/>
          <w:color w:val="FF0000"/>
          <w:sz w:val="24"/>
        </w:rPr>
        <w:t>时，由于仓内气压</w:t>
      </w:r>
      <w:r>
        <w:rPr>
          <w:rFonts w:hint="eastAsia"/>
          <w:bCs/>
          <w:color w:val="FF0000"/>
          <w:sz w:val="24"/>
          <w:lang w:eastAsia="zh-CN"/>
        </w:rPr>
        <w:t>变化</w:t>
      </w:r>
      <w:r>
        <w:rPr>
          <w:bCs/>
          <w:color w:val="FF0000"/>
          <w:sz w:val="24"/>
        </w:rPr>
        <w:t>，产生压力差而引起空气流动，粉状细料随着空气流动至粉料仓顶，经料仓顶</w:t>
      </w:r>
      <w:r>
        <w:rPr>
          <w:rFonts w:hint="eastAsia"/>
          <w:bCs/>
          <w:color w:val="FF0000"/>
          <w:sz w:val="24"/>
        </w:rPr>
        <w:t>自带</w:t>
      </w:r>
      <w:r>
        <w:rPr>
          <w:bCs/>
          <w:color w:val="FF0000"/>
          <w:sz w:val="24"/>
        </w:rPr>
        <w:t>脉冲袋式除尘器</w:t>
      </w:r>
      <w:r>
        <w:rPr>
          <w:color w:val="FF0000"/>
          <w:sz w:val="24"/>
        </w:rPr>
        <w:t>（</w:t>
      </w:r>
      <w:r>
        <w:rPr>
          <w:bCs/>
          <w:color w:val="FF0000"/>
          <w:sz w:val="24"/>
        </w:rPr>
        <w:t>除尘效率可以达到99.9%</w:t>
      </w:r>
      <w:r>
        <w:rPr>
          <w:color w:val="FF0000"/>
          <w:sz w:val="24"/>
        </w:rPr>
        <w:t>）</w:t>
      </w:r>
      <w:r>
        <w:rPr>
          <w:bCs/>
          <w:color w:val="FF0000"/>
          <w:sz w:val="24"/>
        </w:rPr>
        <w:t>处理后，99.9%的粉尘可回用于生产</w:t>
      </w:r>
      <w:r>
        <w:rPr>
          <w:rFonts w:hint="eastAsia"/>
          <w:bCs/>
          <w:color w:val="FF0000"/>
          <w:sz w:val="24"/>
        </w:rPr>
        <w:t>。</w:t>
      </w:r>
    </w:p>
    <w:p>
      <w:pPr>
        <w:spacing w:line="520" w:lineRule="exact"/>
        <w:ind w:firstLine="480" w:firstLineChars="200"/>
        <w:rPr>
          <w:rFonts w:ascii="Times New Roman" w:hAnsi="Times New Roman"/>
          <w:color w:val="FF0000"/>
          <w:sz w:val="24"/>
          <w:szCs w:val="24"/>
        </w:rPr>
      </w:pPr>
      <w:r>
        <w:rPr>
          <w:bCs/>
          <w:color w:val="FF0000"/>
          <w:sz w:val="24"/>
          <w:szCs w:val="24"/>
        </w:rPr>
        <w:t>类比</w:t>
      </w:r>
      <w:r>
        <w:rPr>
          <w:rFonts w:hint="eastAsia"/>
          <w:bCs/>
          <w:color w:val="FF0000"/>
          <w:sz w:val="24"/>
          <w:szCs w:val="24"/>
        </w:rPr>
        <w:t>相同生产工艺</w:t>
      </w:r>
      <w:r>
        <w:rPr>
          <w:rFonts w:hint="eastAsia"/>
          <w:color w:val="FF0000"/>
          <w:sz w:val="24"/>
          <w:szCs w:val="24"/>
        </w:rPr>
        <w:t>玉溪市大营街汇龙再生纸业有限公司</w:t>
      </w:r>
      <w:r>
        <w:rPr>
          <w:color w:val="FF0000"/>
          <w:sz w:val="24"/>
          <w:szCs w:val="24"/>
        </w:rPr>
        <w:t>《</w:t>
      </w:r>
      <w:r>
        <w:rPr>
          <w:rFonts w:hint="eastAsia"/>
          <w:color w:val="FF0000"/>
          <w:sz w:val="24"/>
          <w:szCs w:val="24"/>
        </w:rPr>
        <w:t>改扩建5万吨/年环保新材料石粉复合果蔬包装纸项目环境影响报告书</w:t>
      </w:r>
      <w:r>
        <w:rPr>
          <w:color w:val="FF0000"/>
          <w:sz w:val="24"/>
          <w:szCs w:val="24"/>
        </w:rPr>
        <w:t>》</w:t>
      </w:r>
      <w:r>
        <w:rPr>
          <w:bCs/>
          <w:color w:val="FF0000"/>
          <w:sz w:val="24"/>
          <w:szCs w:val="24"/>
        </w:rPr>
        <w:t>，</w:t>
      </w:r>
      <w:r>
        <w:rPr>
          <w:rFonts w:ascii="Times New Roman" w:hAnsi="Times New Roman"/>
          <w:color w:val="FF0000"/>
          <w:sz w:val="24"/>
          <w:szCs w:val="24"/>
        </w:rPr>
        <w:t>碎浆阶段采用的是水力碎浆</w:t>
      </w:r>
      <w:r>
        <w:rPr>
          <w:rFonts w:hint="eastAsia" w:ascii="Times New Roman" w:hAnsi="Times New Roman"/>
          <w:color w:val="FF0000"/>
          <w:sz w:val="24"/>
          <w:szCs w:val="24"/>
        </w:rPr>
        <w:t>，切割工序在密闭式生产车间完成</w:t>
      </w:r>
      <w:r>
        <w:rPr>
          <w:rFonts w:ascii="Times New Roman" w:hAnsi="Times New Roman"/>
          <w:color w:val="FF0000"/>
          <w:sz w:val="24"/>
          <w:szCs w:val="24"/>
        </w:rPr>
        <w:t>，</w:t>
      </w:r>
      <w:r>
        <w:rPr>
          <w:rFonts w:hint="eastAsia" w:ascii="Times New Roman" w:hAnsi="Times New Roman"/>
          <w:color w:val="FF0000"/>
          <w:sz w:val="24"/>
          <w:szCs w:val="24"/>
        </w:rPr>
        <w:t>基本金本无粉尘逸散；方解石粉</w:t>
      </w:r>
      <w:r>
        <w:rPr>
          <w:bCs/>
          <w:color w:val="FF0000"/>
          <w:sz w:val="24"/>
        </w:rPr>
        <w:t>粉尘产生量按用量的0.1</w:t>
      </w:r>
      <w:r>
        <w:rPr>
          <w:rFonts w:ascii="Arial" w:hAnsi="Arial" w:cs="Arial"/>
          <w:bCs/>
          <w:color w:val="FF0000"/>
          <w:sz w:val="24"/>
        </w:rPr>
        <w:t>‰</w:t>
      </w:r>
      <w:r>
        <w:rPr>
          <w:bCs/>
          <w:color w:val="FF0000"/>
          <w:sz w:val="24"/>
        </w:rPr>
        <w:t>计，项目</w:t>
      </w:r>
      <w:r>
        <w:rPr>
          <w:rFonts w:hint="eastAsia"/>
          <w:bCs/>
          <w:color w:val="FF0000"/>
          <w:sz w:val="24"/>
        </w:rPr>
        <w:t>方解石分</w:t>
      </w:r>
      <w:r>
        <w:rPr>
          <w:bCs/>
          <w:color w:val="FF0000"/>
          <w:sz w:val="24"/>
        </w:rPr>
        <w:t>用量为</w:t>
      </w:r>
      <w:r>
        <w:rPr>
          <w:rFonts w:hint="eastAsia"/>
          <w:bCs/>
          <w:color w:val="FF0000"/>
          <w:sz w:val="24"/>
        </w:rPr>
        <w:t>8万</w:t>
      </w:r>
      <w:r>
        <w:rPr>
          <w:bCs/>
          <w:color w:val="FF0000"/>
          <w:sz w:val="24"/>
        </w:rPr>
        <w:t>t/a</w:t>
      </w:r>
      <w:r>
        <w:rPr>
          <w:rFonts w:hint="eastAsia"/>
          <w:bCs/>
          <w:color w:val="FF0000"/>
          <w:sz w:val="24"/>
        </w:rPr>
        <w:t>，</w:t>
      </w:r>
      <w:r>
        <w:rPr>
          <w:bCs/>
          <w:color w:val="FF0000"/>
          <w:sz w:val="24"/>
        </w:rPr>
        <w:t>经</w:t>
      </w:r>
      <w:r>
        <w:rPr>
          <w:rFonts w:hint="eastAsia"/>
          <w:bCs/>
          <w:color w:val="FF0000"/>
          <w:sz w:val="24"/>
        </w:rPr>
        <w:t>料</w:t>
      </w:r>
      <w:r>
        <w:rPr>
          <w:bCs/>
          <w:color w:val="FF0000"/>
          <w:sz w:val="24"/>
        </w:rPr>
        <w:t>仓顶</w:t>
      </w:r>
      <w:r>
        <w:rPr>
          <w:rFonts w:hint="eastAsia"/>
          <w:bCs/>
          <w:color w:val="FF0000"/>
          <w:sz w:val="24"/>
        </w:rPr>
        <w:t>自带</w:t>
      </w:r>
      <w:r>
        <w:rPr>
          <w:bCs/>
          <w:color w:val="FF0000"/>
          <w:sz w:val="24"/>
        </w:rPr>
        <w:t>脉冲袋式除尘器（除尘效率可以达到99.9%）处理后，极少部分粉料呈无组织形式向外自然扩散，</w:t>
      </w:r>
      <w:r>
        <w:rPr>
          <w:rFonts w:hint="eastAsia"/>
          <w:bCs/>
          <w:color w:val="FF0000"/>
          <w:sz w:val="24"/>
        </w:rPr>
        <w:t>逸散</w:t>
      </w:r>
      <w:r>
        <w:rPr>
          <w:bCs/>
          <w:color w:val="FF0000"/>
          <w:sz w:val="24"/>
        </w:rPr>
        <w:t>量约0.</w:t>
      </w:r>
      <w:r>
        <w:rPr>
          <w:rFonts w:hint="eastAsia"/>
          <w:bCs/>
          <w:color w:val="FF0000"/>
          <w:sz w:val="24"/>
        </w:rPr>
        <w:t>008</w:t>
      </w:r>
      <w:r>
        <w:rPr>
          <w:bCs/>
          <w:color w:val="FF0000"/>
          <w:sz w:val="24"/>
        </w:rPr>
        <w:t>t/a</w:t>
      </w:r>
      <w:r>
        <w:rPr>
          <w:rFonts w:hint="eastAsia"/>
          <w:bCs/>
          <w:color w:val="FF0000"/>
          <w:sz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2）</w:t>
      </w:r>
      <w:r>
        <w:rPr>
          <w:rFonts w:ascii="Times New Roman" w:hAnsi="Times New Roman"/>
          <w:color w:val="FF0000"/>
          <w:sz w:val="24"/>
          <w:szCs w:val="24"/>
        </w:rPr>
        <w:t>恶臭</w:t>
      </w:r>
      <w:r>
        <w:rPr>
          <w:rFonts w:hint="eastAsia" w:ascii="Times New Roman" w:hAnsi="Times New Roman"/>
          <w:color w:val="FF0000"/>
          <w:sz w:val="24"/>
          <w:szCs w:val="24"/>
        </w:rPr>
        <w:t>气体</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项目生产</w:t>
      </w:r>
      <w:r>
        <w:rPr>
          <w:rFonts w:ascii="Times New Roman" w:hAnsi="Times New Roman"/>
          <w:color w:val="FF0000"/>
          <w:sz w:val="24"/>
          <w:szCs w:val="24"/>
        </w:rPr>
        <w:t>过程中，由于</w:t>
      </w:r>
      <w:r>
        <w:rPr>
          <w:rFonts w:hint="eastAsia" w:ascii="Times New Roman" w:hAnsi="Times New Roman"/>
          <w:color w:val="FF0000"/>
          <w:sz w:val="24"/>
          <w:szCs w:val="24"/>
        </w:rPr>
        <w:t>造纸</w:t>
      </w:r>
      <w:r>
        <w:rPr>
          <w:rFonts w:ascii="Times New Roman" w:hAnsi="Times New Roman"/>
          <w:color w:val="FF0000"/>
          <w:sz w:val="24"/>
          <w:szCs w:val="24"/>
        </w:rPr>
        <w:t>废水循环利用</w:t>
      </w:r>
      <w:r>
        <w:rPr>
          <w:rFonts w:hint="eastAsia" w:ascii="Times New Roman" w:hAnsi="Times New Roman"/>
          <w:color w:val="FF0000"/>
          <w:sz w:val="24"/>
          <w:szCs w:val="24"/>
        </w:rPr>
        <w:t>池和生活污水处理设施会</w:t>
      </w:r>
      <w:r>
        <w:rPr>
          <w:rFonts w:ascii="Times New Roman" w:hAnsi="Times New Roman"/>
          <w:color w:val="FF0000"/>
          <w:sz w:val="24"/>
          <w:szCs w:val="24"/>
        </w:rPr>
        <w:t>散发少量的恶臭气体，在感官上给人恶臭气味感觉。</w:t>
      </w:r>
      <w:r>
        <w:rPr>
          <w:bCs/>
          <w:color w:val="FF0000"/>
          <w:sz w:val="24"/>
          <w:szCs w:val="24"/>
        </w:rPr>
        <w:t>类比</w:t>
      </w:r>
      <w:r>
        <w:rPr>
          <w:rFonts w:hint="eastAsia"/>
          <w:bCs/>
          <w:color w:val="FF0000"/>
          <w:sz w:val="24"/>
          <w:szCs w:val="24"/>
        </w:rPr>
        <w:t>相同生产工艺</w:t>
      </w:r>
      <w:r>
        <w:rPr>
          <w:rFonts w:hint="eastAsia"/>
          <w:color w:val="FF0000"/>
          <w:sz w:val="24"/>
          <w:szCs w:val="24"/>
        </w:rPr>
        <w:t>玉溪市大营街汇龙再生纸业有限公司</w:t>
      </w:r>
      <w:r>
        <w:rPr>
          <w:color w:val="FF0000"/>
          <w:sz w:val="24"/>
          <w:szCs w:val="24"/>
        </w:rPr>
        <w:t>《</w:t>
      </w:r>
      <w:r>
        <w:rPr>
          <w:rFonts w:hint="eastAsia"/>
          <w:color w:val="FF0000"/>
          <w:sz w:val="24"/>
          <w:szCs w:val="24"/>
        </w:rPr>
        <w:t>改扩建5万吨/年环保新材料石粉复合果蔬包装纸项目环境影响报告书</w:t>
      </w:r>
      <w:r>
        <w:rPr>
          <w:color w:val="FF0000"/>
          <w:sz w:val="24"/>
          <w:szCs w:val="24"/>
        </w:rPr>
        <w:t>》</w:t>
      </w:r>
      <w:r>
        <w:rPr>
          <w:bCs/>
          <w:color w:val="FF0000"/>
          <w:sz w:val="24"/>
          <w:szCs w:val="24"/>
        </w:rPr>
        <w:t>，</w:t>
      </w:r>
      <w:r>
        <w:rPr>
          <w:rFonts w:hint="eastAsia"/>
          <w:color w:val="FF0000"/>
          <w:sz w:val="24"/>
        </w:rPr>
        <w:t>拟建项目</w:t>
      </w:r>
      <w:r>
        <w:rPr>
          <w:rFonts w:hint="eastAsia" w:ascii="Times New Roman" w:hAnsi="Times New Roman"/>
          <w:color w:val="FF0000"/>
          <w:sz w:val="24"/>
          <w:szCs w:val="24"/>
        </w:rPr>
        <w:t>造纸</w:t>
      </w:r>
      <w:r>
        <w:rPr>
          <w:rFonts w:ascii="Times New Roman" w:hAnsi="Times New Roman"/>
          <w:color w:val="FF0000"/>
          <w:sz w:val="24"/>
          <w:szCs w:val="24"/>
        </w:rPr>
        <w:t>废水循环利用</w:t>
      </w:r>
      <w:r>
        <w:rPr>
          <w:rFonts w:hint="eastAsia" w:ascii="Times New Roman" w:hAnsi="Times New Roman"/>
          <w:color w:val="FF0000"/>
          <w:sz w:val="24"/>
          <w:szCs w:val="24"/>
        </w:rPr>
        <w:t>池和生活污水处理设施</w:t>
      </w:r>
      <w:r>
        <w:rPr>
          <w:color w:val="FF0000"/>
          <w:sz w:val="24"/>
        </w:rPr>
        <w:t>周边散发的异味稍微可感觉出来</w:t>
      </w:r>
      <w:r>
        <w:rPr>
          <w:rFonts w:hint="eastAsia"/>
          <w:color w:val="FF0000"/>
          <w:sz w:val="24"/>
        </w:rPr>
        <w:t>，</w:t>
      </w:r>
      <w:r>
        <w:rPr>
          <w:color w:val="FF0000"/>
          <w:sz w:val="24"/>
        </w:rPr>
        <w:t>其臭气强度为2级，项目NH</w:t>
      </w:r>
      <w:r>
        <w:rPr>
          <w:color w:val="FF0000"/>
          <w:sz w:val="24"/>
          <w:vertAlign w:val="subscript"/>
        </w:rPr>
        <w:t>3</w:t>
      </w:r>
      <w:r>
        <w:rPr>
          <w:color w:val="FF0000"/>
          <w:sz w:val="24"/>
        </w:rPr>
        <w:t>排放浓度0.455mg/m</w:t>
      </w:r>
      <w:r>
        <w:rPr>
          <w:color w:val="FF0000"/>
          <w:sz w:val="24"/>
          <w:vertAlign w:val="superscript"/>
        </w:rPr>
        <w:t>3</w:t>
      </w:r>
      <w:r>
        <w:rPr>
          <w:color w:val="FF0000"/>
          <w:sz w:val="24"/>
        </w:rPr>
        <w:t>，H</w:t>
      </w:r>
      <w:r>
        <w:rPr>
          <w:color w:val="FF0000"/>
          <w:sz w:val="24"/>
          <w:vertAlign w:val="subscript"/>
        </w:rPr>
        <w:t>2</w:t>
      </w:r>
      <w:r>
        <w:rPr>
          <w:color w:val="FF0000"/>
          <w:sz w:val="24"/>
        </w:rPr>
        <w:t>S排放浓度为0.0091 mg/m</w:t>
      </w:r>
      <w:r>
        <w:rPr>
          <w:color w:val="FF0000"/>
          <w:sz w:val="24"/>
          <w:vertAlign w:val="superscript"/>
        </w:rPr>
        <w:t>3</w:t>
      </w:r>
      <w:r>
        <w:rPr>
          <w:color w:val="FF0000"/>
          <w:sz w:val="24"/>
        </w:rPr>
        <w:t>，呈无组织排放。</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w:t>
      </w:r>
      <w:r>
        <w:rPr>
          <w:rFonts w:ascii="Times New Roman" w:hAnsi="Times New Roman"/>
          <w:color w:val="000000"/>
          <w:sz w:val="24"/>
          <w:szCs w:val="24"/>
        </w:rPr>
        <w:t>）食堂油烟</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运营期</w:t>
      </w:r>
      <w:r>
        <w:rPr>
          <w:rFonts w:ascii="Times New Roman" w:hAnsi="Times New Roman"/>
          <w:color w:val="000000"/>
          <w:sz w:val="24"/>
          <w:szCs w:val="24"/>
        </w:rPr>
        <w:t>食堂烹饪燃料用电。主要</w:t>
      </w:r>
      <w:r>
        <w:rPr>
          <w:rFonts w:hint="eastAsia" w:ascii="Times New Roman" w:hAnsi="Times New Roman"/>
          <w:color w:val="000000"/>
          <w:sz w:val="24"/>
          <w:szCs w:val="24"/>
        </w:rPr>
        <w:t>废气</w:t>
      </w:r>
      <w:r>
        <w:rPr>
          <w:rFonts w:ascii="Times New Roman" w:hAnsi="Times New Roman"/>
          <w:color w:val="000000"/>
          <w:sz w:val="24"/>
          <w:szCs w:val="24"/>
        </w:rPr>
        <w:t>污染物为食堂油烟，本项目职工人员为</w:t>
      </w:r>
      <w:r>
        <w:rPr>
          <w:rFonts w:hint="eastAsia" w:ascii="Times New Roman" w:hAnsi="Times New Roman"/>
          <w:color w:val="000000"/>
          <w:sz w:val="24"/>
          <w:szCs w:val="24"/>
        </w:rPr>
        <w:t>70人</w:t>
      </w:r>
      <w:r>
        <w:rPr>
          <w:rFonts w:ascii="Times New Roman" w:hAnsi="Times New Roman"/>
          <w:color w:val="000000"/>
          <w:sz w:val="24"/>
          <w:szCs w:val="24"/>
        </w:rPr>
        <w:t>（</w:t>
      </w:r>
      <w:r>
        <w:rPr>
          <w:rFonts w:hint="eastAsia" w:ascii="Times New Roman" w:hAnsi="Times New Roman"/>
          <w:color w:val="000000"/>
          <w:sz w:val="24"/>
          <w:szCs w:val="24"/>
        </w:rPr>
        <w:t>一日</w:t>
      </w:r>
      <w:r>
        <w:rPr>
          <w:rFonts w:ascii="Times New Roman" w:hAnsi="Times New Roman"/>
          <w:color w:val="000000"/>
          <w:sz w:val="24"/>
          <w:szCs w:val="24"/>
        </w:rPr>
        <w:t>三餐）</w:t>
      </w:r>
      <w:r>
        <w:rPr>
          <w:rFonts w:hint="eastAsia" w:ascii="Times New Roman" w:hAnsi="Times New Roman"/>
          <w:color w:val="000000"/>
          <w:sz w:val="24"/>
          <w:szCs w:val="24"/>
        </w:rPr>
        <w:t>，每人</w:t>
      </w:r>
      <w:r>
        <w:rPr>
          <w:rFonts w:ascii="Times New Roman" w:hAnsi="Times New Roman"/>
          <w:color w:val="000000"/>
          <w:sz w:val="24"/>
          <w:szCs w:val="24"/>
        </w:rPr>
        <w:t>使用油量按</w:t>
      </w:r>
      <w:r>
        <w:rPr>
          <w:rFonts w:hint="eastAsia" w:ascii="Times New Roman" w:hAnsi="Times New Roman"/>
          <w:color w:val="000000"/>
          <w:sz w:val="24"/>
          <w:szCs w:val="24"/>
        </w:rPr>
        <w:t>0.05</w:t>
      </w:r>
      <w:r>
        <w:rPr>
          <w:rFonts w:ascii="Times New Roman" w:hAnsi="Times New Roman"/>
          <w:color w:val="000000"/>
          <w:sz w:val="24"/>
          <w:szCs w:val="24"/>
        </w:rPr>
        <w:t>kg/d</w:t>
      </w:r>
      <w:r>
        <w:rPr>
          <w:rFonts w:hint="eastAsia" w:ascii="Times New Roman" w:hAnsi="Times New Roman"/>
          <w:color w:val="000000"/>
          <w:sz w:val="24"/>
          <w:szCs w:val="24"/>
        </w:rPr>
        <w:t>计算</w:t>
      </w:r>
      <w:r>
        <w:rPr>
          <w:rFonts w:ascii="Times New Roman" w:hAnsi="Times New Roman"/>
          <w:color w:val="000000"/>
          <w:sz w:val="24"/>
          <w:szCs w:val="24"/>
        </w:rPr>
        <w:t>，耗油量为</w:t>
      </w:r>
      <w:r>
        <w:rPr>
          <w:rFonts w:hint="eastAsia" w:ascii="Times New Roman" w:hAnsi="Times New Roman"/>
          <w:color w:val="000000"/>
          <w:sz w:val="24"/>
          <w:szCs w:val="24"/>
        </w:rPr>
        <w:t>10.5</w:t>
      </w:r>
      <w:r>
        <w:rPr>
          <w:rFonts w:ascii="Times New Roman" w:hAnsi="Times New Roman"/>
          <w:color w:val="000000"/>
          <w:sz w:val="24"/>
          <w:szCs w:val="24"/>
        </w:rPr>
        <w:t>kg/d</w:t>
      </w:r>
      <w:r>
        <w:rPr>
          <w:rFonts w:hint="eastAsia" w:ascii="Times New Roman" w:hAnsi="Times New Roman"/>
          <w:color w:val="000000"/>
          <w:sz w:val="24"/>
          <w:szCs w:val="24"/>
        </w:rPr>
        <w:t>，</w:t>
      </w:r>
      <w:r>
        <w:rPr>
          <w:rFonts w:ascii="Times New Roman" w:hAnsi="Times New Roman"/>
          <w:color w:val="000000"/>
          <w:sz w:val="24"/>
          <w:szCs w:val="24"/>
        </w:rPr>
        <w:t>每年使用油</w:t>
      </w:r>
      <w:r>
        <w:rPr>
          <w:rFonts w:hint="eastAsia" w:ascii="Times New Roman" w:hAnsi="Times New Roman"/>
          <w:color w:val="000000"/>
          <w:sz w:val="24"/>
          <w:szCs w:val="24"/>
        </w:rPr>
        <w:t>3.15</w:t>
      </w:r>
      <w:r>
        <w:rPr>
          <w:rFonts w:ascii="Times New Roman" w:hAnsi="Times New Roman"/>
          <w:color w:val="000000"/>
          <w:sz w:val="24"/>
          <w:szCs w:val="24"/>
        </w:rPr>
        <w:t>t</w:t>
      </w:r>
      <w:r>
        <w:rPr>
          <w:rFonts w:hint="eastAsia" w:ascii="Times New Roman" w:hAnsi="Times New Roman"/>
          <w:color w:val="000000"/>
          <w:sz w:val="24"/>
          <w:szCs w:val="24"/>
        </w:rPr>
        <w:t>。</w:t>
      </w:r>
      <w:r>
        <w:rPr>
          <w:rFonts w:ascii="Times New Roman" w:hAnsi="Times New Roman"/>
          <w:color w:val="000000"/>
          <w:sz w:val="24"/>
          <w:szCs w:val="24"/>
        </w:rPr>
        <w:t>食用油</w:t>
      </w:r>
      <w:r>
        <w:rPr>
          <w:rFonts w:hint="eastAsia" w:ascii="Times New Roman" w:hAnsi="Times New Roman"/>
          <w:color w:val="000000"/>
          <w:sz w:val="24"/>
          <w:szCs w:val="24"/>
        </w:rPr>
        <w:t>在</w:t>
      </w:r>
      <w:r>
        <w:rPr>
          <w:rFonts w:ascii="Times New Roman" w:hAnsi="Times New Roman"/>
          <w:color w:val="000000"/>
          <w:sz w:val="24"/>
          <w:szCs w:val="24"/>
        </w:rPr>
        <w:t>炒</w:t>
      </w:r>
      <w:r>
        <w:rPr>
          <w:rFonts w:hint="eastAsia" w:ascii="Times New Roman" w:hAnsi="Times New Roman"/>
          <w:color w:val="000000"/>
          <w:sz w:val="24"/>
          <w:szCs w:val="24"/>
        </w:rPr>
        <w:t>做</w:t>
      </w:r>
      <w:r>
        <w:rPr>
          <w:rFonts w:ascii="Times New Roman" w:hAnsi="Times New Roman"/>
          <w:color w:val="000000"/>
          <w:sz w:val="24"/>
          <w:szCs w:val="24"/>
        </w:rPr>
        <w:t>时挥发损失约为</w:t>
      </w:r>
      <w:r>
        <w:rPr>
          <w:rFonts w:hint="eastAsia" w:ascii="Times New Roman" w:hAnsi="Times New Roman"/>
          <w:color w:val="000000"/>
          <w:sz w:val="24"/>
          <w:szCs w:val="24"/>
        </w:rPr>
        <w:t>2.83</w:t>
      </w:r>
      <w:r>
        <w:rPr>
          <w:rFonts w:ascii="Times New Roman" w:hAnsi="Times New Roman"/>
          <w:color w:val="000000"/>
          <w:sz w:val="24"/>
          <w:szCs w:val="24"/>
        </w:rPr>
        <w:t>%</w:t>
      </w:r>
      <w:r>
        <w:rPr>
          <w:rFonts w:hint="eastAsia" w:ascii="Times New Roman" w:hAnsi="Times New Roman"/>
          <w:color w:val="000000"/>
          <w:sz w:val="24"/>
          <w:szCs w:val="24"/>
        </w:rPr>
        <w:t>，则</w:t>
      </w:r>
      <w:r>
        <w:rPr>
          <w:rFonts w:ascii="Times New Roman" w:hAnsi="Times New Roman"/>
          <w:color w:val="000000"/>
          <w:sz w:val="24"/>
          <w:szCs w:val="24"/>
        </w:rPr>
        <w:t>厨房油烟产生量约为</w:t>
      </w:r>
      <w:r>
        <w:rPr>
          <w:rFonts w:hint="eastAsia" w:ascii="Times New Roman" w:hAnsi="Times New Roman"/>
          <w:color w:val="000000"/>
          <w:sz w:val="24"/>
          <w:szCs w:val="24"/>
        </w:rPr>
        <w:t>0.297</w:t>
      </w:r>
      <w:r>
        <w:rPr>
          <w:rFonts w:ascii="Times New Roman" w:hAnsi="Times New Roman"/>
          <w:color w:val="000000"/>
          <w:sz w:val="24"/>
          <w:szCs w:val="24"/>
        </w:rPr>
        <w:t>kg/</w:t>
      </w:r>
      <w:r>
        <w:rPr>
          <w:rFonts w:hint="eastAsia" w:ascii="Times New Roman" w:hAnsi="Times New Roman"/>
          <w:color w:val="000000"/>
          <w:sz w:val="24"/>
          <w:szCs w:val="24"/>
        </w:rPr>
        <w:t>d。</w:t>
      </w:r>
      <w:r>
        <w:rPr>
          <w:rFonts w:ascii="Times New Roman" w:hAnsi="Times New Roman"/>
          <w:color w:val="000000"/>
          <w:sz w:val="24"/>
          <w:szCs w:val="24"/>
        </w:rPr>
        <w:t>按</w:t>
      </w:r>
      <w:r>
        <w:rPr>
          <w:rFonts w:hint="eastAsia" w:ascii="Times New Roman" w:hAnsi="Times New Roman"/>
          <w:color w:val="000000"/>
          <w:sz w:val="24"/>
          <w:szCs w:val="24"/>
        </w:rPr>
        <w:t>一天</w:t>
      </w:r>
      <w:r>
        <w:rPr>
          <w:rFonts w:ascii="Times New Roman" w:hAnsi="Times New Roman"/>
          <w:color w:val="000000"/>
          <w:sz w:val="24"/>
          <w:szCs w:val="24"/>
        </w:rPr>
        <w:t>烹饪</w:t>
      </w:r>
      <w:r>
        <w:rPr>
          <w:rFonts w:hint="eastAsia" w:ascii="Times New Roman" w:hAnsi="Times New Roman"/>
          <w:color w:val="000000"/>
          <w:sz w:val="24"/>
          <w:szCs w:val="24"/>
        </w:rPr>
        <w:t>6小时</w:t>
      </w:r>
      <w:r>
        <w:rPr>
          <w:rFonts w:ascii="Times New Roman" w:hAnsi="Times New Roman"/>
          <w:color w:val="000000"/>
          <w:sz w:val="24"/>
          <w:szCs w:val="24"/>
        </w:rPr>
        <w:t>计算，产生量为</w:t>
      </w:r>
      <w:r>
        <w:rPr>
          <w:rFonts w:hint="eastAsia" w:ascii="Times New Roman" w:hAnsi="Times New Roman"/>
          <w:color w:val="000000"/>
          <w:sz w:val="24"/>
          <w:szCs w:val="24"/>
        </w:rPr>
        <w:t>0.0495</w:t>
      </w:r>
      <w:r>
        <w:rPr>
          <w:rFonts w:ascii="Times New Roman" w:hAnsi="Times New Roman"/>
          <w:color w:val="000000"/>
          <w:sz w:val="24"/>
          <w:szCs w:val="24"/>
        </w:rPr>
        <w:t>kg/h</w:t>
      </w:r>
      <w:r>
        <w:rPr>
          <w:rFonts w:hint="eastAsia" w:ascii="Times New Roman" w:hAnsi="Times New Roman"/>
          <w:color w:val="000000"/>
          <w:sz w:val="24"/>
          <w:szCs w:val="24"/>
        </w:rPr>
        <w:t>，</w:t>
      </w:r>
      <w:r>
        <w:rPr>
          <w:rFonts w:ascii="Times New Roman" w:hAnsi="Times New Roman"/>
          <w:color w:val="000000"/>
          <w:sz w:val="24"/>
          <w:szCs w:val="24"/>
        </w:rPr>
        <w:t>浓度为</w:t>
      </w:r>
      <w:r>
        <w:rPr>
          <w:rFonts w:hint="eastAsia" w:ascii="Times New Roman" w:hAnsi="Times New Roman"/>
          <w:color w:val="000000"/>
          <w:sz w:val="24"/>
          <w:szCs w:val="24"/>
        </w:rPr>
        <w:t>24.75mg</w:t>
      </w:r>
      <w:r>
        <w:rPr>
          <w:rFonts w:ascii="Times New Roman" w:hAnsi="Times New Roman"/>
          <w:color w:val="000000"/>
          <w:sz w:val="24"/>
          <w:szCs w:val="24"/>
        </w:rPr>
        <w:t>/m</w:t>
      </w:r>
      <w:r>
        <w:rPr>
          <w:rFonts w:ascii="Times New Roman" w:hAnsi="Times New Roman"/>
          <w:color w:val="000000"/>
          <w:sz w:val="24"/>
          <w:szCs w:val="24"/>
          <w:vertAlign w:val="superscript"/>
        </w:rPr>
        <w:t>3</w:t>
      </w:r>
      <w:r>
        <w:rPr>
          <w:rFonts w:hint="eastAsia" w:ascii="Times New Roman" w:hAnsi="Times New Roman"/>
          <w:color w:val="000000"/>
          <w:sz w:val="24"/>
          <w:szCs w:val="24"/>
        </w:rPr>
        <w:t>。</w:t>
      </w:r>
      <w:r>
        <w:rPr>
          <w:rFonts w:ascii="Times New Roman" w:hAnsi="Times New Roman"/>
          <w:color w:val="000000"/>
          <w:sz w:val="24"/>
          <w:szCs w:val="24"/>
        </w:rPr>
        <w:t>本项目</w:t>
      </w:r>
      <w:r>
        <w:rPr>
          <w:rFonts w:hint="eastAsia" w:ascii="Times New Roman" w:hAnsi="Times New Roman"/>
          <w:color w:val="000000"/>
          <w:sz w:val="24"/>
          <w:szCs w:val="24"/>
        </w:rPr>
        <w:t>设置</w:t>
      </w:r>
      <w:r>
        <w:rPr>
          <w:rFonts w:ascii="Times New Roman" w:hAnsi="Times New Roman"/>
          <w:color w:val="000000"/>
          <w:sz w:val="24"/>
          <w:szCs w:val="24"/>
        </w:rPr>
        <w:t>油烟净化机（</w:t>
      </w:r>
      <w:r>
        <w:rPr>
          <w:rFonts w:hint="eastAsia" w:ascii="Times New Roman" w:hAnsi="Times New Roman"/>
          <w:color w:val="000000"/>
          <w:sz w:val="24"/>
          <w:szCs w:val="24"/>
        </w:rPr>
        <w:t>排气量</w:t>
      </w:r>
      <w:r>
        <w:rPr>
          <w:rFonts w:ascii="Times New Roman" w:hAnsi="Times New Roman"/>
          <w:color w:val="000000"/>
          <w:sz w:val="24"/>
          <w:szCs w:val="24"/>
        </w:rPr>
        <w:t>为</w:t>
      </w:r>
      <w:r>
        <w:rPr>
          <w:rFonts w:hint="eastAsia" w:ascii="Times New Roman" w:hAnsi="Times New Roman"/>
          <w:color w:val="000000"/>
          <w:sz w:val="24"/>
          <w:szCs w:val="24"/>
        </w:rPr>
        <w:t>2000</w:t>
      </w:r>
      <w:r>
        <w:rPr>
          <w:rFonts w:ascii="Times New Roman" w:hAnsi="Times New Roman"/>
          <w:color w:val="000000"/>
          <w:sz w:val="24"/>
          <w:szCs w:val="24"/>
        </w:rPr>
        <w:t>m</w:t>
      </w:r>
      <w:r>
        <w:rPr>
          <w:rFonts w:ascii="Times New Roman" w:hAnsi="Times New Roman"/>
          <w:color w:val="000000"/>
          <w:sz w:val="24"/>
          <w:szCs w:val="24"/>
          <w:vertAlign w:val="superscript"/>
        </w:rPr>
        <w:t>3</w:t>
      </w:r>
      <w:r>
        <w:rPr>
          <w:rFonts w:hint="eastAsia" w:ascii="Times New Roman" w:hAnsi="Times New Roman"/>
          <w:color w:val="000000"/>
          <w:sz w:val="24"/>
          <w:szCs w:val="24"/>
        </w:rPr>
        <w:t>/h</w:t>
      </w:r>
      <w:r>
        <w:rPr>
          <w:rFonts w:ascii="Times New Roman" w:hAnsi="Times New Roman"/>
          <w:color w:val="000000"/>
          <w:sz w:val="24"/>
          <w:szCs w:val="24"/>
        </w:rPr>
        <w:t>）</w:t>
      </w:r>
      <w:r>
        <w:rPr>
          <w:rFonts w:hint="eastAsia" w:ascii="Times New Roman" w:hAnsi="Times New Roman"/>
          <w:color w:val="000000"/>
          <w:sz w:val="24"/>
          <w:szCs w:val="24"/>
        </w:rPr>
        <w:t>，</w:t>
      </w:r>
      <w:r>
        <w:rPr>
          <w:rFonts w:ascii="Times New Roman" w:hAnsi="Times New Roman"/>
          <w:color w:val="000000"/>
          <w:sz w:val="24"/>
          <w:szCs w:val="24"/>
        </w:rPr>
        <w:t>油烟净化机净化率为</w:t>
      </w:r>
      <w:r>
        <w:rPr>
          <w:rFonts w:hint="eastAsia" w:ascii="Times New Roman" w:hAnsi="Times New Roman"/>
          <w:color w:val="000000"/>
          <w:sz w:val="24"/>
          <w:szCs w:val="24"/>
        </w:rPr>
        <w:t>9</w:t>
      </w:r>
      <w:r>
        <w:rPr>
          <w:rFonts w:ascii="Times New Roman" w:hAnsi="Times New Roman"/>
          <w:color w:val="000000"/>
          <w:sz w:val="24"/>
          <w:szCs w:val="24"/>
        </w:rPr>
        <w:t>0%计，经过油烟净化机处理排放浓度为</w:t>
      </w:r>
      <w:r>
        <w:rPr>
          <w:rFonts w:hint="eastAsia" w:ascii="Times New Roman" w:hAnsi="Times New Roman"/>
          <w:color w:val="000000"/>
          <w:sz w:val="24"/>
          <w:szCs w:val="24"/>
        </w:rPr>
        <w:t>1.23 mg</w:t>
      </w:r>
      <w:r>
        <w:rPr>
          <w:rFonts w:ascii="Times New Roman" w:hAnsi="Times New Roman"/>
          <w:color w:val="000000"/>
          <w:sz w:val="24"/>
          <w:szCs w:val="24"/>
        </w:rPr>
        <w:t>/m</w:t>
      </w:r>
      <w:r>
        <w:rPr>
          <w:rFonts w:ascii="Times New Roman" w:hAnsi="Times New Roman"/>
          <w:color w:val="000000"/>
          <w:sz w:val="24"/>
          <w:szCs w:val="24"/>
          <w:vertAlign w:val="superscript"/>
        </w:rPr>
        <w:t>3</w:t>
      </w:r>
      <w:r>
        <w:rPr>
          <w:rFonts w:hint="eastAsia" w:ascii="Times New Roman" w:hAnsi="Times New Roman"/>
          <w:color w:val="000000"/>
          <w:sz w:val="24"/>
          <w:szCs w:val="24"/>
        </w:rPr>
        <w:t>，</w:t>
      </w:r>
      <w:r>
        <w:rPr>
          <w:rFonts w:ascii="Times New Roman" w:hAnsi="Times New Roman"/>
          <w:color w:val="000000"/>
          <w:sz w:val="24"/>
          <w:szCs w:val="24"/>
        </w:rPr>
        <w:t>油烟排放量为</w:t>
      </w:r>
      <w:r>
        <w:rPr>
          <w:rFonts w:hint="eastAsia" w:ascii="Times New Roman" w:hAnsi="Times New Roman"/>
          <w:color w:val="000000"/>
          <w:sz w:val="24"/>
          <w:szCs w:val="24"/>
        </w:rPr>
        <w:t>0.003</w:t>
      </w:r>
      <w:r>
        <w:rPr>
          <w:rFonts w:ascii="Times New Roman" w:hAnsi="Times New Roman"/>
          <w:color w:val="000000"/>
          <w:sz w:val="24"/>
          <w:szCs w:val="24"/>
        </w:rPr>
        <w:t>kg/h</w:t>
      </w:r>
      <w:r>
        <w:rPr>
          <w:rFonts w:hint="eastAsia" w:ascii="Times New Roman" w:hAnsi="Times New Roman"/>
          <w:color w:val="000000"/>
          <w:sz w:val="24"/>
          <w:szCs w:val="24"/>
        </w:rPr>
        <w:t>，符合</w:t>
      </w:r>
      <w:r>
        <w:rPr>
          <w:rFonts w:ascii="Times New Roman" w:hAnsi="Times New Roman"/>
          <w:color w:val="000000"/>
          <w:sz w:val="24"/>
          <w:szCs w:val="24"/>
        </w:rPr>
        <w:t>《</w:t>
      </w:r>
      <w:r>
        <w:rPr>
          <w:rFonts w:hint="eastAsia" w:ascii="Times New Roman" w:hAnsi="Times New Roman"/>
          <w:color w:val="000000"/>
          <w:sz w:val="24"/>
          <w:szCs w:val="24"/>
        </w:rPr>
        <w:t>饮食业</w:t>
      </w:r>
      <w:r>
        <w:rPr>
          <w:rFonts w:ascii="Times New Roman" w:hAnsi="Times New Roman"/>
          <w:color w:val="000000"/>
          <w:sz w:val="24"/>
          <w:szCs w:val="24"/>
        </w:rPr>
        <w:t>油烟排放标准</w:t>
      </w:r>
      <w:r>
        <w:rPr>
          <w:rFonts w:hint="eastAsia" w:ascii="Times New Roman" w:hAnsi="Times New Roman"/>
          <w:color w:val="000000"/>
          <w:sz w:val="24"/>
          <w:szCs w:val="24"/>
        </w:rPr>
        <w:t>（试行）</w:t>
      </w:r>
      <w:r>
        <w:rPr>
          <w:rFonts w:ascii="Times New Roman" w:hAnsi="Times New Roman"/>
          <w:color w:val="000000"/>
          <w:sz w:val="24"/>
          <w:szCs w:val="24"/>
        </w:rPr>
        <w:t>》</w:t>
      </w:r>
      <w:r>
        <w:rPr>
          <w:rFonts w:hint="eastAsia" w:ascii="Times New Roman" w:hAnsi="Times New Roman"/>
          <w:color w:val="000000"/>
          <w:sz w:val="24"/>
          <w:szCs w:val="24"/>
        </w:rPr>
        <w:t>（GB18483-2001）中</w:t>
      </w:r>
      <w:r>
        <w:rPr>
          <w:rFonts w:ascii="Times New Roman" w:hAnsi="Times New Roman"/>
          <w:color w:val="000000"/>
          <w:sz w:val="24"/>
          <w:szCs w:val="24"/>
        </w:rPr>
        <w:t>对应的小型规模，油烟最高允许排放浓度为</w:t>
      </w:r>
      <w:r>
        <w:rPr>
          <w:rFonts w:hint="eastAsia" w:ascii="Times New Roman" w:hAnsi="Times New Roman"/>
          <w:color w:val="000000"/>
          <w:sz w:val="24"/>
          <w:szCs w:val="24"/>
        </w:rPr>
        <w:t>2.0 mg</w:t>
      </w:r>
      <w:r>
        <w:rPr>
          <w:rFonts w:ascii="Times New Roman" w:hAnsi="Times New Roman"/>
          <w:color w:val="000000"/>
          <w:sz w:val="24"/>
          <w:szCs w:val="24"/>
        </w:rPr>
        <w:t>/m</w:t>
      </w:r>
      <w:r>
        <w:rPr>
          <w:rFonts w:ascii="Times New Roman" w:hAnsi="Times New Roman"/>
          <w:color w:val="000000"/>
          <w:sz w:val="24"/>
          <w:szCs w:val="24"/>
          <w:vertAlign w:val="superscript"/>
        </w:rPr>
        <w:t>3</w:t>
      </w:r>
      <w:r>
        <w:rPr>
          <w:rFonts w:hint="eastAsia" w:ascii="Times New Roman" w:hAnsi="Times New Roman"/>
          <w:color w:val="000000"/>
          <w:sz w:val="24"/>
          <w:szCs w:val="24"/>
        </w:rPr>
        <w:t>，</w:t>
      </w:r>
      <w:r>
        <w:rPr>
          <w:rFonts w:ascii="Times New Roman" w:hAnsi="Times New Roman"/>
          <w:color w:val="000000"/>
          <w:sz w:val="24"/>
          <w:szCs w:val="24"/>
        </w:rPr>
        <w:t>油烟净化率≥60%要求。项目区</w:t>
      </w:r>
      <w:r>
        <w:rPr>
          <w:rFonts w:hint="eastAsia" w:ascii="Times New Roman" w:hAnsi="Times New Roman"/>
          <w:color w:val="000000"/>
          <w:sz w:val="24"/>
          <w:szCs w:val="24"/>
        </w:rPr>
        <w:t>食堂</w:t>
      </w:r>
      <w:r>
        <w:rPr>
          <w:rFonts w:ascii="Times New Roman" w:hAnsi="Times New Roman"/>
          <w:color w:val="000000"/>
          <w:sz w:val="24"/>
          <w:szCs w:val="24"/>
        </w:rPr>
        <w:t>油烟由油烟净化后通过排烟管道排放。</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4</w:t>
      </w:r>
      <w:r>
        <w:rPr>
          <w:rFonts w:hint="eastAsia" w:ascii="Times New Roman" w:hAnsi="Times New Roman"/>
          <w:color w:val="000000"/>
          <w:sz w:val="24"/>
          <w:szCs w:val="24"/>
        </w:rPr>
        <w:t>）</w:t>
      </w:r>
      <w:r>
        <w:rPr>
          <w:rFonts w:ascii="Times New Roman" w:hAnsi="Times New Roman"/>
          <w:color w:val="000000"/>
          <w:sz w:val="24"/>
          <w:szCs w:val="24"/>
        </w:rPr>
        <w:t>锅炉废气</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本项目运营期产生的大气污染物主要为锅炉废气，根据《工业污染源排污系数手册》（2010年修订）中燃生物质工业锅炉排污系数见表3.2-</w:t>
      </w:r>
      <w:r>
        <w:rPr>
          <w:rFonts w:ascii="Times New Roman" w:hAnsi="Times New Roman"/>
          <w:color w:val="000000"/>
          <w:sz w:val="24"/>
          <w:szCs w:val="24"/>
        </w:rPr>
        <w:t>4</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表3.2-</w:t>
      </w:r>
      <w:r>
        <w:rPr>
          <w:rFonts w:ascii="Times New Roman" w:hAnsi="Times New Roman"/>
          <w:b/>
          <w:color w:val="000000"/>
          <w:sz w:val="24"/>
          <w:szCs w:val="24"/>
        </w:rPr>
        <w:t>4</w:t>
      </w:r>
      <w:r>
        <w:rPr>
          <w:rFonts w:hint="eastAsia" w:ascii="Times New Roman" w:hAnsi="Times New Roman"/>
          <w:b/>
          <w:color w:val="000000"/>
          <w:sz w:val="24"/>
          <w:szCs w:val="24"/>
        </w:rPr>
        <w:t xml:space="preserve">   燃生物质工业锅炉排污系数</w:t>
      </w:r>
    </w:p>
    <w:tbl>
      <w:tblPr>
        <w:tblStyle w:val="20"/>
        <w:tblW w:w="8840" w:type="dxa"/>
        <w:tblInd w:w="-31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708"/>
        <w:gridCol w:w="709"/>
        <w:gridCol w:w="992"/>
        <w:gridCol w:w="1276"/>
        <w:gridCol w:w="992"/>
        <w:gridCol w:w="1703"/>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产品名称</w:t>
            </w:r>
          </w:p>
        </w:tc>
        <w:tc>
          <w:tcPr>
            <w:tcW w:w="709"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原料名称</w:t>
            </w:r>
          </w:p>
        </w:tc>
        <w:tc>
          <w:tcPr>
            <w:tcW w:w="708"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工业名称</w:t>
            </w:r>
          </w:p>
        </w:tc>
        <w:tc>
          <w:tcPr>
            <w:tcW w:w="709"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规模等级</w:t>
            </w:r>
          </w:p>
        </w:tc>
        <w:tc>
          <w:tcPr>
            <w:tcW w:w="992"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污染物指标</w:t>
            </w:r>
          </w:p>
        </w:tc>
        <w:tc>
          <w:tcPr>
            <w:tcW w:w="1276"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单位</w:t>
            </w:r>
          </w:p>
        </w:tc>
        <w:tc>
          <w:tcPr>
            <w:tcW w:w="992"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产污系数</w:t>
            </w:r>
          </w:p>
        </w:tc>
        <w:tc>
          <w:tcPr>
            <w:tcW w:w="1703"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末端治理技术名称</w:t>
            </w:r>
          </w:p>
        </w:tc>
        <w:tc>
          <w:tcPr>
            <w:tcW w:w="1041"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排污系数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0"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蒸汽/热水/其他</w:t>
            </w:r>
          </w:p>
        </w:tc>
        <w:tc>
          <w:tcPr>
            <w:tcW w:w="709"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生物质（木材、木屑、甘蔗渣压块等）</w:t>
            </w:r>
          </w:p>
        </w:tc>
        <w:tc>
          <w:tcPr>
            <w:tcW w:w="708"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层燃炉</w:t>
            </w:r>
          </w:p>
        </w:tc>
        <w:tc>
          <w:tcPr>
            <w:tcW w:w="709"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所有规模</w:t>
            </w:r>
          </w:p>
        </w:tc>
        <w:tc>
          <w:tcPr>
            <w:tcW w:w="992"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工业废气量</w:t>
            </w:r>
          </w:p>
        </w:tc>
        <w:tc>
          <w:tcPr>
            <w:tcW w:w="1276"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标立方米/吨-原料</w:t>
            </w:r>
          </w:p>
        </w:tc>
        <w:tc>
          <w:tcPr>
            <w:tcW w:w="992"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6240.28</w:t>
            </w: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直排</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6240.28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有末端治理</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6552.29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二氧化硫</w:t>
            </w:r>
          </w:p>
        </w:tc>
        <w:tc>
          <w:tcPr>
            <w:tcW w:w="127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千克/吨-原料</w:t>
            </w:r>
          </w:p>
        </w:tc>
        <w:tc>
          <w:tcPr>
            <w:tcW w:w="99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17S</w:t>
            </w:r>
            <w:r>
              <w:rPr>
                <w:rFonts w:ascii="Times New Roman" w:hAnsi="Times New Roman" w:eastAsia="宋体" w:cs="Times New Roman"/>
                <w:kern w:val="0"/>
                <w:szCs w:val="24"/>
              </w:rPr>
              <w:t>①</w:t>
            </w: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直排</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17S</w:t>
            </w:r>
            <w:r>
              <w:rPr>
                <w:rFonts w:ascii="Times New Roman" w:hAnsi="Times New Roman" w:eastAsia="宋体" w:cs="Times New Roman"/>
                <w:kern w:val="0"/>
                <w:szCs w:val="24"/>
              </w:rPr>
              <w:t>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烟尘（散烧、捆烧）</w:t>
            </w:r>
          </w:p>
        </w:tc>
        <w:tc>
          <w:tcPr>
            <w:tcW w:w="1276"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千克/吨-原料</w:t>
            </w:r>
          </w:p>
        </w:tc>
        <w:tc>
          <w:tcPr>
            <w:tcW w:w="992"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37.6</w:t>
            </w: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直排</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单筒旋风除尘法</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多管旋风除尘法</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湿法除尘</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静电除尘法（管式）</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静电除尘法（卧式）</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水膜/静电+水膜</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烟尘（压块）</w:t>
            </w:r>
          </w:p>
        </w:tc>
        <w:tc>
          <w:tcPr>
            <w:tcW w:w="1276"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千克/吨-原料</w:t>
            </w:r>
          </w:p>
        </w:tc>
        <w:tc>
          <w:tcPr>
            <w:tcW w:w="992"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0.5</w:t>
            </w: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直排</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单筒旋风除尘法（60）</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多管旋风除尘法（70）</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湿法除尘</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静电除尘法（管式）（82）</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静电除尘法（卧式）（97）</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276"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Merge w:val="continue"/>
            <w:vAlign w:val="center"/>
          </w:tcPr>
          <w:p>
            <w:pPr>
              <w:spacing w:line="240" w:lineRule="atLeast"/>
              <w:jc w:val="center"/>
              <w:rPr>
                <w:rFonts w:ascii="Times New Roman" w:hAnsi="Times New Roman" w:eastAsia="宋体" w:cs="Times New Roman"/>
                <w:kern w:val="0"/>
                <w:szCs w:val="24"/>
              </w:rPr>
            </w:pP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水膜/静电+水膜（99）</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708" w:type="dxa"/>
            <w:vMerge w:val="continue"/>
            <w:vAlign w:val="center"/>
          </w:tcPr>
          <w:p>
            <w:pPr>
              <w:spacing w:line="240" w:lineRule="atLeast"/>
              <w:jc w:val="center"/>
              <w:rPr>
                <w:rFonts w:ascii="Times New Roman" w:hAnsi="Times New Roman" w:eastAsia="宋体" w:cs="Times New Roman"/>
                <w:kern w:val="0"/>
                <w:szCs w:val="24"/>
              </w:rPr>
            </w:pPr>
          </w:p>
        </w:tc>
        <w:tc>
          <w:tcPr>
            <w:tcW w:w="709" w:type="dxa"/>
            <w:vMerge w:val="continue"/>
            <w:vAlign w:val="center"/>
          </w:tcPr>
          <w:p>
            <w:pPr>
              <w:spacing w:line="240" w:lineRule="atLeast"/>
              <w:jc w:val="center"/>
              <w:rPr>
                <w:rFonts w:ascii="Times New Roman" w:hAnsi="Times New Roman" w:eastAsia="宋体" w:cs="Times New Roman"/>
                <w:kern w:val="0"/>
                <w:szCs w:val="24"/>
              </w:rPr>
            </w:pPr>
          </w:p>
        </w:tc>
        <w:tc>
          <w:tcPr>
            <w:tcW w:w="99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氮氧化物</w:t>
            </w:r>
          </w:p>
        </w:tc>
        <w:tc>
          <w:tcPr>
            <w:tcW w:w="127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千克/吨-原料</w:t>
            </w:r>
          </w:p>
        </w:tc>
        <w:tc>
          <w:tcPr>
            <w:tcW w:w="99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1.02</w:t>
            </w:r>
          </w:p>
        </w:tc>
        <w:tc>
          <w:tcPr>
            <w:tcW w:w="1703"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直排</w:t>
            </w:r>
          </w:p>
        </w:tc>
        <w:tc>
          <w:tcPr>
            <w:tcW w:w="104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40" w:type="dxa"/>
            <w:gridSpan w:val="9"/>
            <w:vAlign w:val="center"/>
          </w:tcPr>
          <w:p>
            <w:pPr>
              <w:spacing w:line="240" w:lineRule="atLeas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注：</w:t>
            </w:r>
            <w:r>
              <w:rPr>
                <w:rFonts w:ascii="Times New Roman" w:hAnsi="Times New Roman" w:eastAsia="宋体" w:cs="Times New Roman"/>
                <w:kern w:val="0"/>
                <w:szCs w:val="24"/>
              </w:rPr>
              <w:t>①</w:t>
            </w:r>
            <w:r>
              <w:rPr>
                <w:rFonts w:hint="eastAsia" w:ascii="Times New Roman" w:hAnsi="Times New Roman" w:eastAsia="宋体" w:cs="Times New Roman"/>
                <w:kern w:val="0"/>
                <w:sz w:val="18"/>
                <w:szCs w:val="18"/>
              </w:rPr>
              <w:t>二氧化硫的产排污系数是以含硫量（S%）的形式表示，其中含硫量（S%）是指生物质收到基硫分含量，以质量百分数形式表示。例如生物质中含硫量（S%）为0.1%。则S=0.1</w:t>
            </w:r>
          </w:p>
        </w:tc>
      </w:tr>
    </w:tbl>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项目生产过程中拟采用1台燃生物质的锅炉提供蒸汽，耗料量约5000t/a，根据表3.2-4计算，该锅炉年产生主要污染物如下：</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本项目锅炉废气排放量=6552.29m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/t</w:t>
      </w:r>
      <w:r>
        <w:rPr>
          <w:rFonts w:ascii="Times New Roman" w:hAnsi="Times New Roman"/>
          <w:color w:val="000000"/>
          <w:sz w:val="24"/>
          <w:szCs w:val="24"/>
        </w:rPr>
        <w:t>×</w:t>
      </w:r>
      <w:r>
        <w:rPr>
          <w:rFonts w:hint="eastAsia" w:ascii="Times New Roman" w:hAnsi="Times New Roman"/>
          <w:color w:val="000000"/>
          <w:sz w:val="24"/>
          <w:szCs w:val="24"/>
        </w:rPr>
        <w:t>5000t/a=32761450m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/a</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a．烟尘核算</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w:t>
      </w:r>
      <w:r>
        <w:rPr>
          <w:rFonts w:ascii="Times New Roman" w:hAnsi="Times New Roman"/>
          <w:color w:val="000000"/>
          <w:sz w:val="24"/>
          <w:szCs w:val="24"/>
        </w:rPr>
        <w:t>项目使用的</w:t>
      </w:r>
      <w:r>
        <w:rPr>
          <w:rFonts w:hint="eastAsia" w:ascii="Times New Roman" w:hAnsi="Times New Roman"/>
          <w:color w:val="000000"/>
          <w:sz w:val="24"/>
          <w:szCs w:val="24"/>
        </w:rPr>
        <w:t>燃料</w:t>
      </w:r>
      <w:r>
        <w:rPr>
          <w:rFonts w:ascii="Times New Roman" w:hAnsi="Times New Roman"/>
          <w:color w:val="000000"/>
          <w:sz w:val="24"/>
          <w:szCs w:val="24"/>
        </w:rPr>
        <w:t>为</w:t>
      </w:r>
      <w:r>
        <w:rPr>
          <w:rFonts w:hint="eastAsia" w:ascii="Times New Roman" w:hAnsi="Times New Roman"/>
          <w:color w:val="000000"/>
          <w:sz w:val="24"/>
          <w:szCs w:val="24"/>
        </w:rPr>
        <w:t>压块</w:t>
      </w:r>
      <w:r>
        <w:rPr>
          <w:rFonts w:ascii="Times New Roman" w:hAnsi="Times New Roman"/>
          <w:color w:val="000000"/>
          <w:sz w:val="24"/>
          <w:szCs w:val="24"/>
        </w:rPr>
        <w:t>生物质</w:t>
      </w:r>
      <w:r>
        <w:rPr>
          <w:rFonts w:hint="eastAsia" w:ascii="Times New Roman" w:hAnsi="Times New Roman"/>
          <w:color w:val="000000"/>
          <w:sz w:val="24"/>
          <w:szCs w:val="24"/>
        </w:rPr>
        <w:t>，根据表3.2-4，</w:t>
      </w:r>
      <w:r>
        <w:rPr>
          <w:rFonts w:ascii="Times New Roman" w:hAnsi="Times New Roman"/>
          <w:color w:val="000000"/>
          <w:sz w:val="24"/>
          <w:szCs w:val="24"/>
        </w:rPr>
        <w:t>因此</w:t>
      </w:r>
      <w:r>
        <w:rPr>
          <w:rFonts w:hint="eastAsia" w:ascii="Times New Roman" w:hAnsi="Times New Roman"/>
          <w:color w:val="000000"/>
          <w:sz w:val="24"/>
          <w:szCs w:val="24"/>
        </w:rPr>
        <w:t>烟尘产污系数为</w:t>
      </w:r>
      <w:r>
        <w:rPr>
          <w:rFonts w:ascii="Times New Roman" w:hAnsi="Times New Roman"/>
          <w:color w:val="000000"/>
          <w:sz w:val="24"/>
          <w:szCs w:val="24"/>
        </w:rPr>
        <w:t>0.5</w:t>
      </w:r>
      <w:r>
        <w:rPr>
          <w:rFonts w:hint="eastAsia" w:ascii="Times New Roman" w:hAnsi="Times New Roman"/>
          <w:color w:val="000000"/>
          <w:sz w:val="24"/>
          <w:szCs w:val="24"/>
        </w:rPr>
        <w:t>kg/t-原料，末端</w:t>
      </w:r>
      <w:r>
        <w:rPr>
          <w:rFonts w:ascii="Times New Roman" w:hAnsi="Times New Roman"/>
          <w:color w:val="000000"/>
          <w:sz w:val="24"/>
          <w:szCs w:val="24"/>
        </w:rPr>
        <w:t>治理为湿法除尘，因此</w:t>
      </w:r>
      <w:r>
        <w:rPr>
          <w:rFonts w:hint="eastAsia" w:ascii="Times New Roman" w:hAnsi="Times New Roman"/>
          <w:color w:val="000000"/>
          <w:sz w:val="24"/>
          <w:szCs w:val="24"/>
        </w:rPr>
        <w:t>排污</w:t>
      </w:r>
      <w:r>
        <w:rPr>
          <w:rFonts w:ascii="Times New Roman" w:hAnsi="Times New Roman"/>
          <w:color w:val="000000"/>
          <w:sz w:val="24"/>
          <w:szCs w:val="24"/>
        </w:rPr>
        <w:t>系数为</w:t>
      </w:r>
      <w:r>
        <w:rPr>
          <w:rFonts w:hint="eastAsia" w:ascii="Times New Roman" w:hAnsi="Times New Roman"/>
          <w:color w:val="000000"/>
          <w:sz w:val="24"/>
          <w:szCs w:val="24"/>
        </w:rPr>
        <w:t>0.065</w:t>
      </w:r>
      <w:r>
        <w:rPr>
          <w:rFonts w:ascii="Times New Roman" w:hAnsi="Times New Roman"/>
          <w:color w:val="000000"/>
          <w:sz w:val="24"/>
          <w:szCs w:val="24"/>
        </w:rPr>
        <w:t>kg/t-</w:t>
      </w:r>
      <w:r>
        <w:rPr>
          <w:rFonts w:hint="eastAsia" w:ascii="Times New Roman" w:hAnsi="Times New Roman"/>
          <w:color w:val="000000"/>
          <w:sz w:val="24"/>
          <w:szCs w:val="24"/>
        </w:rPr>
        <w:t>原料</w:t>
      </w:r>
      <w:r>
        <w:rPr>
          <w:rFonts w:ascii="Times New Roman" w:hAnsi="Times New Roman"/>
          <w:color w:val="00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烟尘产生量=</w:t>
      </w:r>
      <w:r>
        <w:rPr>
          <w:rFonts w:ascii="Times New Roman" w:hAnsi="Times New Roman"/>
          <w:color w:val="FF0000"/>
          <w:sz w:val="24"/>
          <w:szCs w:val="24"/>
        </w:rPr>
        <w:t>0.5</w:t>
      </w:r>
      <w:r>
        <w:rPr>
          <w:rFonts w:hint="eastAsia" w:ascii="Times New Roman" w:hAnsi="Times New Roman"/>
          <w:color w:val="FF0000"/>
          <w:sz w:val="24"/>
          <w:szCs w:val="24"/>
        </w:rPr>
        <w:t>kg/t</w:t>
      </w:r>
      <w:r>
        <w:rPr>
          <w:rFonts w:ascii="Times New Roman" w:hAnsi="Times New Roman"/>
          <w:color w:val="FF0000"/>
          <w:sz w:val="24"/>
          <w:szCs w:val="24"/>
        </w:rPr>
        <w:t>×</w:t>
      </w:r>
      <w:r>
        <w:rPr>
          <w:rFonts w:hint="eastAsia" w:ascii="Times New Roman" w:hAnsi="Times New Roman"/>
          <w:color w:val="FF0000"/>
          <w:sz w:val="24"/>
          <w:szCs w:val="24"/>
        </w:rPr>
        <w:t>5000t/a=</w:t>
      </w:r>
      <w:r>
        <w:rPr>
          <w:rFonts w:ascii="Times New Roman" w:hAnsi="Times New Roman"/>
          <w:color w:val="FF0000"/>
          <w:sz w:val="24"/>
          <w:szCs w:val="24"/>
        </w:rPr>
        <w:t>2.5</w:t>
      </w:r>
      <w:r>
        <w:rPr>
          <w:rFonts w:hint="eastAsia" w:ascii="Times New Roman" w:hAnsi="Times New Roman"/>
          <w:color w:val="FF0000"/>
          <w:sz w:val="24"/>
          <w:szCs w:val="24"/>
        </w:rPr>
        <w:t>t/a（</w:t>
      </w:r>
      <w:r>
        <w:rPr>
          <w:rFonts w:ascii="Times New Roman" w:hAnsi="Times New Roman"/>
          <w:color w:val="FF0000"/>
          <w:sz w:val="24"/>
          <w:szCs w:val="24"/>
        </w:rPr>
        <w:t>0.28</w:t>
      </w:r>
      <w:r>
        <w:rPr>
          <w:rFonts w:hint="eastAsia" w:ascii="Times New Roman" w:hAnsi="Times New Roman"/>
          <w:color w:val="FF0000"/>
          <w:sz w:val="24"/>
          <w:szCs w:val="24"/>
        </w:rPr>
        <w:t>kg/h）</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烟尘产生浓度=</w:t>
      </w:r>
      <w:r>
        <w:rPr>
          <w:rFonts w:ascii="Times New Roman" w:hAnsi="Times New Roman"/>
          <w:color w:val="FF0000"/>
          <w:sz w:val="24"/>
          <w:szCs w:val="24"/>
        </w:rPr>
        <w:t>2.5</w:t>
      </w:r>
      <w:r>
        <w:rPr>
          <w:rFonts w:hint="eastAsia" w:ascii="Times New Roman" w:hAnsi="Times New Roman"/>
          <w:color w:val="FF0000"/>
          <w:sz w:val="24"/>
          <w:szCs w:val="24"/>
        </w:rPr>
        <w:t>t/a</w:t>
      </w:r>
      <w:r>
        <w:rPr>
          <w:rFonts w:ascii="Times New Roman" w:hAnsi="Times New Roman"/>
          <w:color w:val="FF0000"/>
          <w:sz w:val="24"/>
          <w:szCs w:val="24"/>
        </w:rPr>
        <w:t>÷</w:t>
      </w:r>
      <w:r>
        <w:rPr>
          <w:rFonts w:hint="eastAsia" w:ascii="Times New Roman" w:hAnsi="Times New Roman"/>
          <w:color w:val="FF0000"/>
          <w:sz w:val="24"/>
          <w:szCs w:val="24"/>
        </w:rPr>
        <w:t>32761450m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/a</w:t>
      </w:r>
      <w:r>
        <w:rPr>
          <w:rFonts w:ascii="Times New Roman" w:hAnsi="Times New Roman"/>
          <w:color w:val="FF0000"/>
          <w:sz w:val="24"/>
          <w:szCs w:val="24"/>
        </w:rPr>
        <w:t>×</w:t>
      </w:r>
      <w:r>
        <w:rPr>
          <w:rFonts w:hint="eastAsia" w:ascii="Times New Roman" w:hAnsi="Times New Roman"/>
          <w:color w:val="FF0000"/>
          <w:sz w:val="24"/>
          <w:szCs w:val="24"/>
        </w:rPr>
        <w:t>10</w:t>
      </w:r>
      <w:r>
        <w:rPr>
          <w:rFonts w:hint="eastAsia" w:ascii="Times New Roman" w:hAnsi="Times New Roman"/>
          <w:color w:val="FF0000"/>
          <w:sz w:val="24"/>
          <w:szCs w:val="24"/>
          <w:vertAlign w:val="superscript"/>
        </w:rPr>
        <w:t>9</w:t>
      </w:r>
      <w:r>
        <w:rPr>
          <w:rFonts w:hint="eastAsia" w:ascii="Times New Roman" w:hAnsi="Times New Roman"/>
          <w:color w:val="FF0000"/>
          <w:sz w:val="24"/>
          <w:szCs w:val="24"/>
        </w:rPr>
        <w:t>=76.3mg/m</w:t>
      </w:r>
      <w:r>
        <w:rPr>
          <w:rFonts w:hint="eastAsia" w:ascii="Times New Roman" w:hAnsi="Times New Roman"/>
          <w:color w:val="FF0000"/>
          <w:sz w:val="24"/>
          <w:szCs w:val="24"/>
          <w:vertAlign w:val="superscript"/>
        </w:rPr>
        <w:t>3</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烟尘排放量=</w:t>
      </w:r>
      <w:r>
        <w:rPr>
          <w:rFonts w:ascii="Times New Roman" w:hAnsi="Times New Roman"/>
          <w:color w:val="FF0000"/>
          <w:sz w:val="24"/>
          <w:szCs w:val="24"/>
        </w:rPr>
        <w:t>0.065</w:t>
      </w:r>
      <w:r>
        <w:rPr>
          <w:rFonts w:hint="eastAsia" w:ascii="Times New Roman" w:hAnsi="Times New Roman"/>
          <w:color w:val="FF0000"/>
          <w:sz w:val="24"/>
          <w:szCs w:val="24"/>
        </w:rPr>
        <w:t>kg/t</w:t>
      </w:r>
      <w:r>
        <w:rPr>
          <w:rFonts w:ascii="Times New Roman" w:hAnsi="Times New Roman"/>
          <w:color w:val="FF0000"/>
          <w:sz w:val="24"/>
          <w:szCs w:val="24"/>
        </w:rPr>
        <w:t>×</w:t>
      </w:r>
      <w:r>
        <w:rPr>
          <w:rFonts w:hint="eastAsia" w:ascii="Times New Roman" w:hAnsi="Times New Roman"/>
          <w:color w:val="FF0000"/>
          <w:sz w:val="24"/>
          <w:szCs w:val="24"/>
        </w:rPr>
        <w:t>5000t/a =</w:t>
      </w:r>
      <w:r>
        <w:rPr>
          <w:rFonts w:ascii="Times New Roman" w:hAnsi="Times New Roman"/>
          <w:color w:val="FF0000"/>
          <w:sz w:val="24"/>
          <w:szCs w:val="24"/>
        </w:rPr>
        <w:t>325kg</w:t>
      </w:r>
      <w:r>
        <w:rPr>
          <w:rFonts w:hint="eastAsia" w:ascii="Times New Roman" w:hAnsi="Times New Roman"/>
          <w:color w:val="FF0000"/>
          <w:sz w:val="24"/>
          <w:szCs w:val="24"/>
        </w:rPr>
        <w:t>/a（0.026kg/h）</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烟尘排放浓度=</w:t>
      </w:r>
      <w:r>
        <w:rPr>
          <w:rFonts w:ascii="Times New Roman" w:hAnsi="Times New Roman"/>
          <w:color w:val="FF0000"/>
          <w:sz w:val="24"/>
          <w:szCs w:val="24"/>
        </w:rPr>
        <w:t>325kg</w:t>
      </w:r>
      <w:r>
        <w:rPr>
          <w:rFonts w:hint="eastAsia" w:ascii="Times New Roman" w:hAnsi="Times New Roman"/>
          <w:color w:val="FF0000"/>
          <w:sz w:val="24"/>
          <w:szCs w:val="24"/>
        </w:rPr>
        <w:t>/a</w:t>
      </w:r>
      <w:r>
        <w:rPr>
          <w:rFonts w:ascii="Times New Roman" w:hAnsi="Times New Roman"/>
          <w:color w:val="FF0000"/>
          <w:sz w:val="24"/>
          <w:szCs w:val="24"/>
        </w:rPr>
        <w:t>÷</w:t>
      </w:r>
      <w:r>
        <w:rPr>
          <w:rFonts w:hint="eastAsia" w:ascii="Times New Roman" w:hAnsi="Times New Roman"/>
          <w:color w:val="FF0000"/>
          <w:sz w:val="24"/>
          <w:szCs w:val="24"/>
        </w:rPr>
        <w:t>32761450m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/a</w:t>
      </w:r>
      <w:r>
        <w:rPr>
          <w:rFonts w:ascii="Times New Roman" w:hAnsi="Times New Roman"/>
          <w:color w:val="FF0000"/>
          <w:sz w:val="24"/>
          <w:szCs w:val="24"/>
        </w:rPr>
        <w:t>×</w:t>
      </w:r>
      <w:r>
        <w:rPr>
          <w:rFonts w:hint="eastAsia" w:ascii="Times New Roman" w:hAnsi="Times New Roman"/>
          <w:color w:val="FF0000"/>
          <w:sz w:val="24"/>
          <w:szCs w:val="24"/>
        </w:rPr>
        <w:t>10</w:t>
      </w:r>
      <w:r>
        <w:rPr>
          <w:rFonts w:ascii="Times New Roman" w:hAnsi="Times New Roman"/>
          <w:color w:val="FF0000"/>
          <w:sz w:val="24"/>
          <w:szCs w:val="24"/>
          <w:vertAlign w:val="superscript"/>
        </w:rPr>
        <w:t>6</w:t>
      </w:r>
      <w:r>
        <w:rPr>
          <w:rFonts w:hint="eastAsia" w:ascii="Times New Roman" w:hAnsi="Times New Roman"/>
          <w:color w:val="FF0000"/>
          <w:sz w:val="24"/>
          <w:szCs w:val="24"/>
        </w:rPr>
        <w:t>=9.92mg/m</w:t>
      </w:r>
      <w:r>
        <w:rPr>
          <w:rFonts w:hint="eastAsia" w:ascii="Times New Roman" w:hAnsi="Times New Roman"/>
          <w:color w:val="FF0000"/>
          <w:sz w:val="24"/>
          <w:szCs w:val="24"/>
          <w:vertAlign w:val="superscript"/>
        </w:rPr>
        <w:t>3</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b．SO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核算</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根据云南省</w:t>
      </w:r>
      <w:r>
        <w:rPr>
          <w:rFonts w:ascii="Times New Roman" w:hAnsi="Times New Roman"/>
          <w:color w:val="000000"/>
          <w:sz w:val="24"/>
          <w:szCs w:val="24"/>
        </w:rPr>
        <w:t>煤炭产品质量监督检验站（</w:t>
      </w:r>
      <w:r>
        <w:rPr>
          <w:rFonts w:hint="eastAsia" w:ascii="Times New Roman" w:hAnsi="Times New Roman"/>
          <w:color w:val="000000"/>
          <w:sz w:val="24"/>
          <w:szCs w:val="24"/>
        </w:rPr>
        <w:t>昆明</w:t>
      </w:r>
      <w:r>
        <w:rPr>
          <w:rFonts w:ascii="Times New Roman" w:hAnsi="Times New Roman"/>
          <w:color w:val="000000"/>
          <w:sz w:val="24"/>
          <w:szCs w:val="24"/>
        </w:rPr>
        <w:t>）</w:t>
      </w:r>
      <w:r>
        <w:rPr>
          <w:rFonts w:hint="eastAsia" w:ascii="Times New Roman" w:hAnsi="Times New Roman"/>
          <w:color w:val="000000"/>
          <w:sz w:val="24"/>
          <w:szCs w:val="24"/>
        </w:rPr>
        <w:t>对</w:t>
      </w:r>
      <w:r>
        <w:rPr>
          <w:rFonts w:ascii="Times New Roman" w:hAnsi="Times New Roman"/>
          <w:color w:val="000000"/>
          <w:sz w:val="24"/>
          <w:szCs w:val="24"/>
        </w:rPr>
        <w:t>固体生物质燃料的成分</w:t>
      </w:r>
      <w:r>
        <w:rPr>
          <w:rFonts w:hint="eastAsia" w:ascii="Times New Roman" w:hAnsi="Times New Roman"/>
          <w:color w:val="000000"/>
          <w:sz w:val="24"/>
          <w:szCs w:val="24"/>
        </w:rPr>
        <w:t>检测</w:t>
      </w:r>
      <w:r>
        <w:rPr>
          <w:rFonts w:ascii="Times New Roman" w:hAnsi="Times New Roman"/>
          <w:color w:val="000000"/>
          <w:sz w:val="24"/>
          <w:szCs w:val="24"/>
        </w:rPr>
        <w:t>，其成分</w:t>
      </w:r>
      <w:r>
        <w:rPr>
          <w:rFonts w:hint="eastAsia" w:ascii="Times New Roman" w:hAnsi="Times New Roman"/>
          <w:color w:val="000000"/>
          <w:sz w:val="24"/>
          <w:szCs w:val="24"/>
        </w:rPr>
        <w:t>如下表</w:t>
      </w:r>
      <w:r>
        <w:rPr>
          <w:rFonts w:ascii="Times New Roman" w:hAnsi="Times New Roman"/>
          <w:color w:val="000000"/>
          <w:sz w:val="24"/>
          <w:szCs w:val="24"/>
        </w:rPr>
        <w:t>所示：</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表3.2</w:t>
      </w:r>
      <w:r>
        <w:rPr>
          <w:rFonts w:ascii="Times New Roman" w:hAnsi="Times New Roman"/>
          <w:b/>
          <w:color w:val="000000"/>
          <w:sz w:val="24"/>
          <w:szCs w:val="24"/>
        </w:rPr>
        <w:t xml:space="preserve">-5   </w:t>
      </w:r>
      <w:r>
        <w:rPr>
          <w:rFonts w:hint="eastAsia" w:ascii="Times New Roman" w:hAnsi="Times New Roman"/>
          <w:b/>
          <w:color w:val="000000"/>
          <w:sz w:val="24"/>
          <w:szCs w:val="24"/>
        </w:rPr>
        <w:t>生物质</w:t>
      </w:r>
      <w:r>
        <w:rPr>
          <w:rFonts w:ascii="Times New Roman" w:hAnsi="Times New Roman"/>
          <w:b/>
          <w:color w:val="000000"/>
          <w:sz w:val="24"/>
          <w:szCs w:val="24"/>
        </w:rPr>
        <w:t>燃料成分一览表</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6"/>
        <w:gridCol w:w="2551"/>
        <w:gridCol w:w="1701"/>
        <w:gridCol w:w="1532"/>
        <w:gridCol w:w="16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6"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序号</w:t>
            </w:r>
          </w:p>
        </w:tc>
        <w:tc>
          <w:tcPr>
            <w:tcW w:w="2551"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项目</w:t>
            </w:r>
          </w:p>
        </w:tc>
        <w:tc>
          <w:tcPr>
            <w:tcW w:w="1701"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缩写</w:t>
            </w:r>
          </w:p>
        </w:tc>
        <w:tc>
          <w:tcPr>
            <w:tcW w:w="1532"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单位</w:t>
            </w:r>
          </w:p>
        </w:tc>
        <w:tc>
          <w:tcPr>
            <w:tcW w:w="1656"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w:t>
            </w:r>
          </w:p>
        </w:tc>
        <w:tc>
          <w:tcPr>
            <w:tcW w:w="255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全</w:t>
            </w:r>
            <w:r>
              <w:rPr>
                <w:rFonts w:ascii="Times New Roman" w:hAnsi="Times New Roman" w:eastAsia="宋体" w:cs="Times New Roman"/>
                <w:kern w:val="0"/>
                <w:szCs w:val="24"/>
              </w:rPr>
              <w:t>水分</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M</w:t>
            </w:r>
            <w:r>
              <w:rPr>
                <w:rFonts w:hint="eastAsia" w:ascii="Times New Roman" w:hAnsi="Times New Roman" w:eastAsia="宋体" w:cs="Times New Roman"/>
                <w:kern w:val="0"/>
                <w:szCs w:val="24"/>
                <w:vertAlign w:val="subscript"/>
              </w:rPr>
              <w:t>1</w:t>
            </w:r>
          </w:p>
        </w:tc>
        <w:tc>
          <w:tcPr>
            <w:tcW w:w="153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165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2.20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2</w:t>
            </w:r>
          </w:p>
        </w:tc>
        <w:tc>
          <w:tcPr>
            <w:tcW w:w="255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空气</w:t>
            </w:r>
            <w:r>
              <w:rPr>
                <w:rFonts w:ascii="Times New Roman" w:hAnsi="Times New Roman" w:eastAsia="宋体" w:cs="Times New Roman"/>
                <w:kern w:val="0"/>
                <w:szCs w:val="24"/>
              </w:rPr>
              <w:t>干燥基水分</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M</w:t>
            </w:r>
            <w:r>
              <w:rPr>
                <w:rFonts w:ascii="Times New Roman" w:hAnsi="Times New Roman" w:eastAsia="宋体" w:cs="Times New Roman"/>
                <w:kern w:val="0"/>
                <w:szCs w:val="24"/>
              </w:rPr>
              <w:t>ad</w:t>
            </w:r>
          </w:p>
        </w:tc>
        <w:tc>
          <w:tcPr>
            <w:tcW w:w="153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165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3</w:t>
            </w:r>
          </w:p>
        </w:tc>
        <w:tc>
          <w:tcPr>
            <w:tcW w:w="255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干燥</w:t>
            </w:r>
            <w:r>
              <w:rPr>
                <w:rFonts w:ascii="Times New Roman" w:hAnsi="Times New Roman" w:eastAsia="宋体" w:cs="Times New Roman"/>
                <w:kern w:val="0"/>
                <w:szCs w:val="24"/>
              </w:rPr>
              <w:t>基水分</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Ad</w:t>
            </w:r>
          </w:p>
        </w:tc>
        <w:tc>
          <w:tcPr>
            <w:tcW w:w="153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165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4</w:t>
            </w:r>
          </w:p>
        </w:tc>
        <w:tc>
          <w:tcPr>
            <w:tcW w:w="255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干燥</w:t>
            </w:r>
            <w:r>
              <w:rPr>
                <w:rFonts w:ascii="Times New Roman" w:hAnsi="Times New Roman" w:eastAsia="宋体" w:cs="Times New Roman"/>
                <w:kern w:val="0"/>
                <w:szCs w:val="24"/>
              </w:rPr>
              <w:t>无</w:t>
            </w:r>
            <w:r>
              <w:rPr>
                <w:rFonts w:hint="eastAsia" w:ascii="Times New Roman" w:hAnsi="Times New Roman" w:eastAsia="宋体" w:cs="Times New Roman"/>
                <w:kern w:val="0"/>
                <w:szCs w:val="24"/>
              </w:rPr>
              <w:t>灰</w:t>
            </w:r>
            <w:r>
              <w:rPr>
                <w:rFonts w:ascii="Times New Roman" w:hAnsi="Times New Roman" w:eastAsia="宋体" w:cs="Times New Roman"/>
                <w:kern w:val="0"/>
                <w:szCs w:val="24"/>
              </w:rPr>
              <w:t>基</w:t>
            </w:r>
            <w:r>
              <w:rPr>
                <w:rFonts w:hint="eastAsia" w:ascii="Times New Roman" w:hAnsi="Times New Roman" w:eastAsia="宋体" w:cs="Times New Roman"/>
                <w:kern w:val="0"/>
                <w:szCs w:val="24"/>
              </w:rPr>
              <w:t>挥发</w:t>
            </w:r>
            <w:r>
              <w:rPr>
                <w:rFonts w:ascii="Times New Roman" w:hAnsi="Times New Roman" w:eastAsia="宋体" w:cs="Times New Roman"/>
                <w:kern w:val="0"/>
                <w:szCs w:val="24"/>
              </w:rPr>
              <w:t>分</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Vdaf</w:t>
            </w:r>
          </w:p>
        </w:tc>
        <w:tc>
          <w:tcPr>
            <w:tcW w:w="153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165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82.69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5</w:t>
            </w:r>
          </w:p>
        </w:tc>
        <w:tc>
          <w:tcPr>
            <w:tcW w:w="255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干燥</w:t>
            </w:r>
            <w:r>
              <w:rPr>
                <w:rFonts w:ascii="Times New Roman" w:hAnsi="Times New Roman" w:eastAsia="宋体" w:cs="Times New Roman"/>
                <w:kern w:val="0"/>
                <w:szCs w:val="24"/>
              </w:rPr>
              <w:t>基固定碳</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FC</w:t>
            </w:r>
            <w:r>
              <w:rPr>
                <w:rFonts w:hint="eastAsia" w:ascii="Times New Roman" w:hAnsi="Times New Roman" w:eastAsia="宋体" w:cs="Times New Roman"/>
                <w:kern w:val="0"/>
                <w:szCs w:val="24"/>
                <w:vertAlign w:val="subscript"/>
              </w:rPr>
              <w:t>d</w:t>
            </w:r>
          </w:p>
        </w:tc>
        <w:tc>
          <w:tcPr>
            <w:tcW w:w="153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165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16.78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6</w:t>
            </w:r>
          </w:p>
        </w:tc>
        <w:tc>
          <w:tcPr>
            <w:tcW w:w="255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空气</w:t>
            </w:r>
            <w:r>
              <w:rPr>
                <w:rFonts w:ascii="Times New Roman" w:hAnsi="Times New Roman" w:eastAsia="宋体" w:cs="Times New Roman"/>
                <w:kern w:val="0"/>
                <w:szCs w:val="24"/>
              </w:rPr>
              <w:t>干燥基全硫</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St，ad</w:t>
            </w:r>
          </w:p>
        </w:tc>
        <w:tc>
          <w:tcPr>
            <w:tcW w:w="153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w:t>
            </w:r>
          </w:p>
        </w:tc>
        <w:tc>
          <w:tcPr>
            <w:tcW w:w="165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7</w:t>
            </w:r>
          </w:p>
        </w:tc>
        <w:tc>
          <w:tcPr>
            <w:tcW w:w="255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空气</w:t>
            </w:r>
            <w:r>
              <w:rPr>
                <w:rFonts w:ascii="Times New Roman" w:hAnsi="Times New Roman" w:eastAsia="宋体" w:cs="Times New Roman"/>
                <w:kern w:val="0"/>
                <w:szCs w:val="24"/>
              </w:rPr>
              <w:t>干燥基高位发热量</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Qgr，v，ad</w:t>
            </w:r>
          </w:p>
        </w:tc>
        <w:tc>
          <w:tcPr>
            <w:tcW w:w="153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M</w:t>
            </w:r>
            <w:r>
              <w:rPr>
                <w:rFonts w:ascii="Times New Roman" w:hAnsi="Times New Roman" w:eastAsia="宋体" w:cs="Times New Roman"/>
                <w:kern w:val="0"/>
                <w:szCs w:val="24"/>
              </w:rPr>
              <w:t>J/kg</w:t>
            </w:r>
          </w:p>
        </w:tc>
        <w:tc>
          <w:tcPr>
            <w:tcW w:w="165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19.32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8</w:t>
            </w:r>
          </w:p>
        </w:tc>
        <w:tc>
          <w:tcPr>
            <w:tcW w:w="255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收到</w:t>
            </w:r>
            <w:r>
              <w:rPr>
                <w:rFonts w:ascii="Times New Roman" w:hAnsi="Times New Roman" w:eastAsia="宋体" w:cs="Times New Roman"/>
                <w:kern w:val="0"/>
                <w:szCs w:val="24"/>
              </w:rPr>
              <w:t>基恒容低位发热量</w:t>
            </w:r>
          </w:p>
        </w:tc>
        <w:tc>
          <w:tcPr>
            <w:tcW w:w="1701"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Qnet，v</w:t>
            </w:r>
            <w:r>
              <w:rPr>
                <w:rFonts w:ascii="Times New Roman" w:hAnsi="Times New Roman" w:eastAsia="宋体" w:cs="Times New Roman"/>
                <w:kern w:val="0"/>
                <w:szCs w:val="24"/>
              </w:rPr>
              <w:t>，</w:t>
            </w:r>
            <w:r>
              <w:rPr>
                <w:rFonts w:hint="eastAsia" w:ascii="Times New Roman" w:hAnsi="Times New Roman" w:eastAsia="宋体" w:cs="Times New Roman"/>
                <w:kern w:val="0"/>
                <w:szCs w:val="24"/>
              </w:rPr>
              <w:t>ar</w:t>
            </w:r>
          </w:p>
        </w:tc>
        <w:tc>
          <w:tcPr>
            <w:tcW w:w="1532"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MJ/kg</w:t>
            </w:r>
          </w:p>
        </w:tc>
        <w:tc>
          <w:tcPr>
            <w:tcW w:w="1656"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17.52</w:t>
            </w:r>
          </w:p>
        </w:tc>
      </w:tr>
    </w:tbl>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根据表3.2-4，SO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产污系数和</w:t>
      </w:r>
      <w:r>
        <w:rPr>
          <w:rFonts w:ascii="Times New Roman" w:hAnsi="Times New Roman"/>
          <w:color w:val="000000"/>
          <w:sz w:val="24"/>
          <w:szCs w:val="24"/>
        </w:rPr>
        <w:t>排污系数均</w:t>
      </w:r>
      <w:r>
        <w:rPr>
          <w:rFonts w:hint="eastAsia" w:ascii="Times New Roman" w:hAnsi="Times New Roman"/>
          <w:color w:val="000000"/>
          <w:sz w:val="24"/>
          <w:szCs w:val="24"/>
        </w:rPr>
        <w:t>为17Skg/t-原料，生物质燃料中S的成分约占原料的0.</w:t>
      </w:r>
      <w:r>
        <w:rPr>
          <w:rFonts w:ascii="Times New Roman" w:hAnsi="Times New Roman"/>
          <w:color w:val="000000"/>
          <w:sz w:val="24"/>
          <w:szCs w:val="24"/>
        </w:rPr>
        <w:t>0</w:t>
      </w:r>
      <w:r>
        <w:rPr>
          <w:rFonts w:hint="eastAsia" w:ascii="Times New Roman" w:hAnsi="Times New Roman"/>
          <w:color w:val="000000"/>
          <w:sz w:val="24"/>
          <w:szCs w:val="24"/>
        </w:rPr>
        <w:t>3%。因此，S取</w:t>
      </w:r>
      <w:r>
        <w:rPr>
          <w:rFonts w:ascii="Times New Roman" w:hAnsi="Times New Roman"/>
          <w:color w:val="000000"/>
          <w:sz w:val="24"/>
          <w:szCs w:val="24"/>
        </w:rPr>
        <w:t>0.03</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产生量=17kg/t</w:t>
      </w:r>
      <w:r>
        <w:rPr>
          <w:rFonts w:ascii="Times New Roman" w:hAnsi="Times New Roman"/>
          <w:color w:val="000000"/>
          <w:sz w:val="24"/>
          <w:szCs w:val="24"/>
        </w:rPr>
        <w:t>×</w:t>
      </w:r>
      <w:r>
        <w:rPr>
          <w:rFonts w:hint="eastAsia" w:ascii="Times New Roman" w:hAnsi="Times New Roman"/>
          <w:color w:val="000000"/>
          <w:sz w:val="24"/>
          <w:szCs w:val="24"/>
        </w:rPr>
        <w:t>5000t/a</w:t>
      </w:r>
      <w:r>
        <w:rPr>
          <w:rFonts w:ascii="Times New Roman" w:hAnsi="Times New Roman"/>
          <w:color w:val="000000"/>
          <w:sz w:val="24"/>
          <w:szCs w:val="24"/>
        </w:rPr>
        <w:t>×</w:t>
      </w:r>
      <w:r>
        <w:rPr>
          <w:rFonts w:hint="eastAsia" w:ascii="Times New Roman" w:hAnsi="Times New Roman"/>
          <w:color w:val="000000"/>
          <w:sz w:val="24"/>
          <w:szCs w:val="24"/>
        </w:rPr>
        <w:t>0.</w:t>
      </w:r>
      <w:r>
        <w:rPr>
          <w:rFonts w:ascii="Times New Roman" w:hAnsi="Times New Roman"/>
          <w:color w:val="000000"/>
          <w:sz w:val="24"/>
          <w:szCs w:val="24"/>
        </w:rPr>
        <w:t>03=2.55</w:t>
      </w:r>
      <w:r>
        <w:rPr>
          <w:rFonts w:hint="eastAsia" w:ascii="Times New Roman" w:hAnsi="Times New Roman"/>
          <w:color w:val="000000"/>
          <w:sz w:val="24"/>
          <w:szCs w:val="24"/>
        </w:rPr>
        <w:t>t/a（</w:t>
      </w:r>
      <w:r>
        <w:rPr>
          <w:rFonts w:ascii="Times New Roman" w:hAnsi="Times New Roman"/>
          <w:color w:val="000000"/>
          <w:sz w:val="24"/>
          <w:szCs w:val="24"/>
        </w:rPr>
        <w:t>0.35</w:t>
      </w:r>
      <w:r>
        <w:rPr>
          <w:rFonts w:hint="eastAsia" w:ascii="Times New Roman" w:hAnsi="Times New Roman"/>
          <w:color w:val="000000"/>
          <w:sz w:val="24"/>
          <w:szCs w:val="24"/>
        </w:rPr>
        <w:t>kg/h）</w:t>
      </w:r>
    </w:p>
    <w:p>
      <w:pPr>
        <w:spacing w:line="360" w:lineRule="auto"/>
        <w:ind w:firstLine="480" w:firstLineChars="200"/>
        <w:rPr>
          <w:rFonts w:ascii="Times New Roman" w:hAnsi="Times New Roman"/>
          <w:color w:val="FF0000"/>
          <w:sz w:val="24"/>
          <w:szCs w:val="24"/>
          <w:vertAlign w:val="superscript"/>
        </w:rPr>
      </w:pPr>
      <w:r>
        <w:rPr>
          <w:rFonts w:hint="eastAsia" w:ascii="Times New Roman" w:hAnsi="Times New Roman"/>
          <w:color w:val="FF0000"/>
          <w:sz w:val="24"/>
          <w:szCs w:val="24"/>
        </w:rPr>
        <w:t>SO</w:t>
      </w:r>
      <w:r>
        <w:rPr>
          <w:rFonts w:hint="eastAsia" w:ascii="Times New Roman" w:hAnsi="Times New Roman"/>
          <w:color w:val="FF0000"/>
          <w:sz w:val="24"/>
          <w:szCs w:val="24"/>
          <w:vertAlign w:val="subscript"/>
        </w:rPr>
        <w:t>2</w:t>
      </w:r>
      <w:r>
        <w:rPr>
          <w:rFonts w:hint="eastAsia" w:ascii="Times New Roman" w:hAnsi="Times New Roman"/>
          <w:color w:val="FF0000"/>
          <w:sz w:val="24"/>
          <w:szCs w:val="24"/>
        </w:rPr>
        <w:t>产生浓度=</w:t>
      </w:r>
      <w:r>
        <w:rPr>
          <w:rFonts w:ascii="Times New Roman" w:hAnsi="Times New Roman"/>
          <w:color w:val="FF0000"/>
          <w:sz w:val="24"/>
          <w:szCs w:val="24"/>
        </w:rPr>
        <w:t>2.55</w:t>
      </w:r>
      <w:r>
        <w:rPr>
          <w:rFonts w:hint="eastAsia" w:ascii="Times New Roman" w:hAnsi="Times New Roman"/>
          <w:color w:val="FF0000"/>
          <w:sz w:val="24"/>
          <w:szCs w:val="24"/>
        </w:rPr>
        <w:t>t/a</w:t>
      </w:r>
      <w:r>
        <w:rPr>
          <w:rFonts w:ascii="Times New Roman" w:hAnsi="Times New Roman"/>
          <w:color w:val="FF0000"/>
          <w:sz w:val="24"/>
          <w:szCs w:val="24"/>
        </w:rPr>
        <w:t>÷</w:t>
      </w:r>
      <w:r>
        <w:rPr>
          <w:rFonts w:hint="eastAsia" w:ascii="Times New Roman" w:hAnsi="Times New Roman"/>
          <w:color w:val="FF0000"/>
          <w:sz w:val="24"/>
          <w:szCs w:val="24"/>
        </w:rPr>
        <w:t>32761450m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/a</w:t>
      </w:r>
      <w:r>
        <w:rPr>
          <w:rFonts w:ascii="Times New Roman" w:hAnsi="Times New Roman"/>
          <w:color w:val="FF0000"/>
          <w:sz w:val="24"/>
          <w:szCs w:val="24"/>
        </w:rPr>
        <w:t>×</w:t>
      </w:r>
      <w:r>
        <w:rPr>
          <w:rFonts w:hint="eastAsia" w:ascii="Times New Roman" w:hAnsi="Times New Roman"/>
          <w:color w:val="FF0000"/>
          <w:sz w:val="24"/>
          <w:szCs w:val="24"/>
        </w:rPr>
        <w:t>10</w:t>
      </w:r>
      <w:r>
        <w:rPr>
          <w:rFonts w:hint="eastAsia" w:ascii="Times New Roman" w:hAnsi="Times New Roman"/>
          <w:color w:val="FF0000"/>
          <w:sz w:val="24"/>
          <w:szCs w:val="24"/>
          <w:vertAlign w:val="superscript"/>
        </w:rPr>
        <w:t>9</w:t>
      </w:r>
      <w:r>
        <w:rPr>
          <w:rFonts w:hint="eastAsia" w:ascii="Times New Roman" w:hAnsi="Times New Roman"/>
          <w:color w:val="FF0000"/>
          <w:sz w:val="24"/>
          <w:szCs w:val="24"/>
        </w:rPr>
        <w:t>=77.83mg/m</w:t>
      </w:r>
      <w:r>
        <w:rPr>
          <w:rFonts w:hint="eastAsia" w:ascii="Times New Roman" w:hAnsi="Times New Roman"/>
          <w:color w:val="FF0000"/>
          <w:sz w:val="24"/>
          <w:szCs w:val="24"/>
          <w:vertAlign w:val="superscript"/>
        </w:rPr>
        <w:t xml:space="preserve">3 </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排放量=17kg/t</w:t>
      </w:r>
      <w:r>
        <w:rPr>
          <w:rFonts w:ascii="Times New Roman" w:hAnsi="Times New Roman"/>
          <w:color w:val="000000"/>
          <w:sz w:val="24"/>
          <w:szCs w:val="24"/>
        </w:rPr>
        <w:t>×</w:t>
      </w:r>
      <w:r>
        <w:rPr>
          <w:rFonts w:hint="eastAsia" w:ascii="Times New Roman" w:hAnsi="Times New Roman"/>
          <w:color w:val="000000"/>
          <w:sz w:val="24"/>
          <w:szCs w:val="24"/>
        </w:rPr>
        <w:t>5000t/a</w:t>
      </w:r>
      <w:r>
        <w:rPr>
          <w:rFonts w:ascii="Times New Roman" w:hAnsi="Times New Roman"/>
          <w:color w:val="000000"/>
          <w:sz w:val="24"/>
          <w:szCs w:val="24"/>
        </w:rPr>
        <w:t>×</w:t>
      </w:r>
      <w:r>
        <w:rPr>
          <w:rFonts w:hint="eastAsia" w:ascii="Times New Roman" w:hAnsi="Times New Roman"/>
          <w:color w:val="000000"/>
          <w:sz w:val="24"/>
          <w:szCs w:val="24"/>
        </w:rPr>
        <w:t>0.</w:t>
      </w:r>
      <w:r>
        <w:rPr>
          <w:rFonts w:ascii="Times New Roman" w:hAnsi="Times New Roman"/>
          <w:color w:val="000000"/>
          <w:sz w:val="24"/>
          <w:szCs w:val="24"/>
        </w:rPr>
        <w:t>03=2.55</w:t>
      </w:r>
      <w:r>
        <w:rPr>
          <w:rFonts w:hint="eastAsia" w:ascii="Times New Roman" w:hAnsi="Times New Roman"/>
          <w:color w:val="000000"/>
          <w:sz w:val="24"/>
          <w:szCs w:val="24"/>
        </w:rPr>
        <w:t>t/a（</w:t>
      </w:r>
      <w:r>
        <w:rPr>
          <w:rFonts w:ascii="Times New Roman" w:hAnsi="Times New Roman"/>
          <w:color w:val="000000"/>
          <w:sz w:val="24"/>
          <w:szCs w:val="24"/>
        </w:rPr>
        <w:t>0.35</w:t>
      </w:r>
      <w:r>
        <w:rPr>
          <w:rFonts w:hint="eastAsia" w:ascii="Times New Roman" w:hAnsi="Times New Roman"/>
          <w:color w:val="000000"/>
          <w:sz w:val="24"/>
          <w:szCs w:val="24"/>
        </w:rPr>
        <w:t>kg/h）</w:t>
      </w:r>
    </w:p>
    <w:p>
      <w:pPr>
        <w:spacing w:line="360" w:lineRule="auto"/>
        <w:ind w:firstLine="480" w:firstLineChars="200"/>
        <w:rPr>
          <w:rFonts w:ascii="Times New Roman" w:hAnsi="Times New Roman"/>
          <w:color w:val="FF0000"/>
          <w:sz w:val="24"/>
          <w:szCs w:val="24"/>
          <w:vertAlign w:val="superscript"/>
        </w:rPr>
      </w:pPr>
      <w:r>
        <w:rPr>
          <w:rFonts w:hint="eastAsia" w:ascii="Times New Roman" w:hAnsi="Times New Roman"/>
          <w:color w:val="FF0000"/>
          <w:sz w:val="24"/>
          <w:szCs w:val="24"/>
        </w:rPr>
        <w:t>SO</w:t>
      </w:r>
      <w:r>
        <w:rPr>
          <w:rFonts w:hint="eastAsia" w:ascii="Times New Roman" w:hAnsi="Times New Roman"/>
          <w:color w:val="FF0000"/>
          <w:sz w:val="24"/>
          <w:szCs w:val="24"/>
          <w:vertAlign w:val="subscript"/>
        </w:rPr>
        <w:t>2</w:t>
      </w:r>
      <w:r>
        <w:rPr>
          <w:rFonts w:hint="eastAsia" w:ascii="Times New Roman" w:hAnsi="Times New Roman"/>
          <w:color w:val="FF0000"/>
          <w:sz w:val="24"/>
          <w:szCs w:val="24"/>
        </w:rPr>
        <w:t>排放浓度=</w:t>
      </w:r>
      <w:r>
        <w:rPr>
          <w:rFonts w:ascii="Times New Roman" w:hAnsi="Times New Roman"/>
          <w:color w:val="FF0000"/>
          <w:sz w:val="24"/>
          <w:szCs w:val="24"/>
        </w:rPr>
        <w:t>2.55</w:t>
      </w:r>
      <w:r>
        <w:rPr>
          <w:rFonts w:hint="eastAsia" w:ascii="Times New Roman" w:hAnsi="Times New Roman"/>
          <w:color w:val="FF0000"/>
          <w:sz w:val="24"/>
          <w:szCs w:val="24"/>
        </w:rPr>
        <w:t>t/a</w:t>
      </w:r>
      <w:r>
        <w:rPr>
          <w:rFonts w:ascii="Times New Roman" w:hAnsi="Times New Roman"/>
          <w:color w:val="FF0000"/>
          <w:sz w:val="24"/>
          <w:szCs w:val="24"/>
        </w:rPr>
        <w:t>÷</w:t>
      </w:r>
      <w:r>
        <w:rPr>
          <w:rFonts w:hint="eastAsia" w:ascii="Times New Roman" w:hAnsi="Times New Roman"/>
          <w:color w:val="FF0000"/>
          <w:sz w:val="24"/>
          <w:szCs w:val="24"/>
        </w:rPr>
        <w:t>32761450m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/a</w:t>
      </w:r>
      <w:r>
        <w:rPr>
          <w:rFonts w:ascii="Times New Roman" w:hAnsi="Times New Roman"/>
          <w:color w:val="FF0000"/>
          <w:sz w:val="24"/>
          <w:szCs w:val="24"/>
        </w:rPr>
        <w:t>×</w:t>
      </w:r>
      <w:r>
        <w:rPr>
          <w:rFonts w:hint="eastAsia" w:ascii="Times New Roman" w:hAnsi="Times New Roman"/>
          <w:color w:val="FF0000"/>
          <w:sz w:val="24"/>
          <w:szCs w:val="24"/>
        </w:rPr>
        <w:t>10</w:t>
      </w:r>
      <w:r>
        <w:rPr>
          <w:rFonts w:hint="eastAsia" w:ascii="Times New Roman" w:hAnsi="Times New Roman"/>
          <w:color w:val="FF0000"/>
          <w:sz w:val="24"/>
          <w:szCs w:val="24"/>
          <w:vertAlign w:val="superscript"/>
        </w:rPr>
        <w:t>9</w:t>
      </w:r>
      <w:r>
        <w:rPr>
          <w:rFonts w:hint="eastAsia" w:ascii="Times New Roman" w:hAnsi="Times New Roman"/>
          <w:color w:val="FF0000"/>
          <w:sz w:val="24"/>
          <w:szCs w:val="24"/>
        </w:rPr>
        <w:t>=77.83mg/m</w:t>
      </w:r>
      <w:r>
        <w:rPr>
          <w:rFonts w:hint="eastAsia" w:ascii="Times New Roman" w:hAnsi="Times New Roman"/>
          <w:color w:val="FF0000"/>
          <w:sz w:val="24"/>
          <w:szCs w:val="24"/>
          <w:vertAlign w:val="superscript"/>
        </w:rPr>
        <w:t xml:space="preserve">3 </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c．NO</w:t>
      </w:r>
      <w:r>
        <w:rPr>
          <w:rFonts w:hint="eastAsia" w:ascii="Times New Roman" w:hAnsi="Times New Roman"/>
          <w:color w:val="000000"/>
          <w:sz w:val="24"/>
          <w:szCs w:val="24"/>
          <w:vertAlign w:val="subscript"/>
        </w:rPr>
        <w:t>X</w:t>
      </w:r>
      <w:r>
        <w:rPr>
          <w:rFonts w:hint="eastAsia" w:ascii="Times New Roman" w:hAnsi="Times New Roman"/>
          <w:color w:val="000000"/>
          <w:sz w:val="24"/>
          <w:szCs w:val="24"/>
        </w:rPr>
        <w:t>核算</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根据表3.2-4，NO</w:t>
      </w:r>
      <w:r>
        <w:rPr>
          <w:rFonts w:hint="eastAsia" w:ascii="Times New Roman" w:hAnsi="Times New Roman"/>
          <w:color w:val="000000"/>
          <w:sz w:val="24"/>
          <w:szCs w:val="24"/>
          <w:vertAlign w:val="subscript"/>
        </w:rPr>
        <w:t>X</w:t>
      </w:r>
      <w:r>
        <w:rPr>
          <w:rFonts w:hint="eastAsia" w:ascii="Times New Roman" w:hAnsi="Times New Roman"/>
          <w:color w:val="000000"/>
          <w:sz w:val="24"/>
          <w:szCs w:val="24"/>
        </w:rPr>
        <w:t>产污系数和</w:t>
      </w:r>
      <w:r>
        <w:rPr>
          <w:rFonts w:ascii="Times New Roman" w:hAnsi="Times New Roman"/>
          <w:color w:val="000000"/>
          <w:sz w:val="24"/>
          <w:szCs w:val="24"/>
        </w:rPr>
        <w:t>排污系数均</w:t>
      </w:r>
      <w:r>
        <w:rPr>
          <w:rFonts w:hint="eastAsia" w:ascii="Times New Roman" w:hAnsi="Times New Roman"/>
          <w:color w:val="000000"/>
          <w:sz w:val="24"/>
          <w:szCs w:val="24"/>
        </w:rPr>
        <w:t>为1.02kg/t-原料</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NO</w:t>
      </w:r>
      <w:r>
        <w:rPr>
          <w:rFonts w:hint="eastAsia" w:ascii="Times New Roman" w:hAnsi="Times New Roman"/>
          <w:color w:val="000000"/>
          <w:sz w:val="24"/>
          <w:szCs w:val="24"/>
          <w:vertAlign w:val="subscript"/>
        </w:rPr>
        <w:t>X</w:t>
      </w:r>
      <w:r>
        <w:rPr>
          <w:rFonts w:hint="eastAsia" w:ascii="Times New Roman" w:hAnsi="Times New Roman"/>
          <w:color w:val="000000"/>
          <w:sz w:val="24"/>
          <w:szCs w:val="24"/>
        </w:rPr>
        <w:t>产生量=1.02kg/t</w:t>
      </w:r>
      <w:r>
        <w:rPr>
          <w:rFonts w:ascii="Times New Roman" w:hAnsi="Times New Roman"/>
          <w:color w:val="000000"/>
          <w:sz w:val="24"/>
          <w:szCs w:val="24"/>
        </w:rPr>
        <w:t>×</w:t>
      </w:r>
      <w:r>
        <w:rPr>
          <w:rFonts w:hint="eastAsia" w:ascii="Times New Roman" w:hAnsi="Times New Roman"/>
          <w:color w:val="000000"/>
          <w:sz w:val="24"/>
          <w:szCs w:val="24"/>
        </w:rPr>
        <w:t>5000t/a=5.1t/a（0.7kg/h）</w:t>
      </w:r>
    </w:p>
    <w:p>
      <w:pPr>
        <w:spacing w:line="360" w:lineRule="auto"/>
        <w:ind w:firstLine="480" w:firstLineChars="200"/>
        <w:rPr>
          <w:rFonts w:ascii="Times New Roman" w:hAnsi="Times New Roman"/>
          <w:color w:val="FF0000"/>
          <w:sz w:val="24"/>
          <w:szCs w:val="24"/>
          <w:vertAlign w:val="superscript"/>
        </w:rPr>
      </w:pPr>
      <w:r>
        <w:rPr>
          <w:rFonts w:hint="eastAsia" w:ascii="Times New Roman" w:hAnsi="Times New Roman"/>
          <w:color w:val="FF0000"/>
          <w:sz w:val="24"/>
          <w:szCs w:val="24"/>
        </w:rPr>
        <w:t>NO</w:t>
      </w:r>
      <w:r>
        <w:rPr>
          <w:rFonts w:hint="eastAsia" w:ascii="Times New Roman" w:hAnsi="Times New Roman"/>
          <w:color w:val="FF0000"/>
          <w:sz w:val="24"/>
          <w:szCs w:val="24"/>
          <w:vertAlign w:val="subscript"/>
        </w:rPr>
        <w:t>X</w:t>
      </w:r>
      <w:r>
        <w:rPr>
          <w:rFonts w:hint="eastAsia" w:ascii="Times New Roman" w:hAnsi="Times New Roman"/>
          <w:color w:val="FF0000"/>
          <w:sz w:val="24"/>
          <w:szCs w:val="24"/>
        </w:rPr>
        <w:t>产生浓度=5.1t/a</w:t>
      </w:r>
      <w:r>
        <w:rPr>
          <w:rFonts w:ascii="Times New Roman" w:hAnsi="Times New Roman"/>
          <w:color w:val="FF0000"/>
          <w:sz w:val="24"/>
          <w:szCs w:val="24"/>
        </w:rPr>
        <w:t>÷</w:t>
      </w:r>
      <w:r>
        <w:rPr>
          <w:rFonts w:hint="eastAsia" w:ascii="Times New Roman" w:hAnsi="Times New Roman"/>
          <w:color w:val="FF0000"/>
          <w:sz w:val="24"/>
          <w:szCs w:val="24"/>
        </w:rPr>
        <w:t>32761450m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/a</w:t>
      </w:r>
      <w:r>
        <w:rPr>
          <w:rFonts w:ascii="Times New Roman" w:hAnsi="Times New Roman"/>
          <w:color w:val="FF0000"/>
          <w:sz w:val="24"/>
          <w:szCs w:val="24"/>
        </w:rPr>
        <w:t>×</w:t>
      </w:r>
      <w:r>
        <w:rPr>
          <w:rFonts w:hint="eastAsia" w:ascii="Times New Roman" w:hAnsi="Times New Roman"/>
          <w:color w:val="FF0000"/>
          <w:sz w:val="24"/>
          <w:szCs w:val="24"/>
        </w:rPr>
        <w:t>10</w:t>
      </w:r>
      <w:r>
        <w:rPr>
          <w:rFonts w:hint="eastAsia" w:ascii="Times New Roman" w:hAnsi="Times New Roman"/>
          <w:color w:val="FF0000"/>
          <w:sz w:val="24"/>
          <w:szCs w:val="24"/>
          <w:vertAlign w:val="superscript"/>
        </w:rPr>
        <w:t>9</w:t>
      </w:r>
      <w:r>
        <w:rPr>
          <w:rFonts w:hint="eastAsia" w:ascii="Times New Roman" w:hAnsi="Times New Roman"/>
          <w:color w:val="FF0000"/>
          <w:sz w:val="24"/>
          <w:szCs w:val="24"/>
        </w:rPr>
        <w:t>=155.67mg/m</w:t>
      </w:r>
      <w:r>
        <w:rPr>
          <w:rFonts w:hint="eastAsia" w:ascii="Times New Roman" w:hAnsi="Times New Roman"/>
          <w:color w:val="FF0000"/>
          <w:sz w:val="24"/>
          <w:szCs w:val="24"/>
          <w:vertAlign w:val="superscript"/>
        </w:rPr>
        <w:t>3</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NO</w:t>
      </w:r>
      <w:r>
        <w:rPr>
          <w:rFonts w:hint="eastAsia" w:ascii="Times New Roman" w:hAnsi="Times New Roman"/>
          <w:color w:val="000000"/>
          <w:sz w:val="24"/>
          <w:szCs w:val="24"/>
          <w:vertAlign w:val="subscript"/>
        </w:rPr>
        <w:t>X</w:t>
      </w:r>
      <w:r>
        <w:rPr>
          <w:rFonts w:hint="eastAsia" w:ascii="Times New Roman" w:hAnsi="Times New Roman"/>
          <w:color w:val="000000"/>
          <w:sz w:val="24"/>
          <w:szCs w:val="24"/>
        </w:rPr>
        <w:t>排放量=1.02kg/t</w:t>
      </w:r>
      <w:r>
        <w:rPr>
          <w:rFonts w:ascii="Times New Roman" w:hAnsi="Times New Roman"/>
          <w:color w:val="000000"/>
          <w:sz w:val="24"/>
          <w:szCs w:val="24"/>
        </w:rPr>
        <w:t>×</w:t>
      </w:r>
      <w:r>
        <w:rPr>
          <w:rFonts w:hint="eastAsia" w:ascii="Times New Roman" w:hAnsi="Times New Roman"/>
          <w:color w:val="000000"/>
          <w:sz w:val="24"/>
          <w:szCs w:val="24"/>
        </w:rPr>
        <w:t>5000t/a=5.1t/a（0.7kg/h）</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NO</w:t>
      </w:r>
      <w:r>
        <w:rPr>
          <w:rFonts w:hint="eastAsia" w:ascii="Times New Roman" w:hAnsi="Times New Roman"/>
          <w:color w:val="FF0000"/>
          <w:sz w:val="24"/>
          <w:szCs w:val="24"/>
          <w:vertAlign w:val="subscript"/>
        </w:rPr>
        <w:t>X</w:t>
      </w:r>
      <w:r>
        <w:rPr>
          <w:rFonts w:hint="eastAsia" w:ascii="Times New Roman" w:hAnsi="Times New Roman"/>
          <w:color w:val="FF0000"/>
          <w:sz w:val="24"/>
          <w:szCs w:val="24"/>
        </w:rPr>
        <w:t>排放浓度=5.1t/a</w:t>
      </w:r>
      <w:r>
        <w:rPr>
          <w:rFonts w:ascii="Times New Roman" w:hAnsi="Times New Roman"/>
          <w:color w:val="FF0000"/>
          <w:sz w:val="24"/>
          <w:szCs w:val="24"/>
        </w:rPr>
        <w:t>÷</w:t>
      </w:r>
      <w:r>
        <w:rPr>
          <w:rFonts w:hint="eastAsia" w:ascii="Times New Roman" w:hAnsi="Times New Roman"/>
          <w:color w:val="FF0000"/>
          <w:sz w:val="24"/>
          <w:szCs w:val="24"/>
        </w:rPr>
        <w:t>32761450m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/a</w:t>
      </w:r>
      <w:r>
        <w:rPr>
          <w:rFonts w:ascii="Times New Roman" w:hAnsi="Times New Roman"/>
          <w:color w:val="FF0000"/>
          <w:sz w:val="24"/>
          <w:szCs w:val="24"/>
        </w:rPr>
        <w:t>×</w:t>
      </w:r>
      <w:r>
        <w:rPr>
          <w:rFonts w:hint="eastAsia" w:ascii="Times New Roman" w:hAnsi="Times New Roman"/>
          <w:color w:val="FF0000"/>
          <w:sz w:val="24"/>
          <w:szCs w:val="24"/>
        </w:rPr>
        <w:t>10</w:t>
      </w:r>
      <w:r>
        <w:rPr>
          <w:rFonts w:hint="eastAsia" w:ascii="Times New Roman" w:hAnsi="Times New Roman"/>
          <w:color w:val="FF0000"/>
          <w:sz w:val="24"/>
          <w:szCs w:val="24"/>
          <w:vertAlign w:val="superscript"/>
        </w:rPr>
        <w:t>9</w:t>
      </w:r>
      <w:r>
        <w:rPr>
          <w:rFonts w:hint="eastAsia" w:ascii="Times New Roman" w:hAnsi="Times New Roman"/>
          <w:color w:val="FF0000"/>
          <w:sz w:val="24"/>
          <w:szCs w:val="24"/>
        </w:rPr>
        <w:t>=155.67mg/m</w:t>
      </w:r>
      <w:r>
        <w:rPr>
          <w:rFonts w:hint="eastAsia" w:ascii="Times New Roman" w:hAnsi="Times New Roman"/>
          <w:color w:val="FF0000"/>
          <w:sz w:val="24"/>
          <w:szCs w:val="24"/>
          <w:vertAlign w:val="superscript"/>
        </w:rPr>
        <w:t>3</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锅炉烟气经水膜收尘后经一座高度为40</w:t>
      </w:r>
      <w:r>
        <w:rPr>
          <w:rFonts w:ascii="Times New Roman" w:hAnsi="Times New Roman"/>
          <w:color w:val="FF0000"/>
          <w:sz w:val="24"/>
          <w:szCs w:val="24"/>
        </w:rPr>
        <w:t>m</w:t>
      </w:r>
      <w:r>
        <w:rPr>
          <w:rFonts w:hint="eastAsia" w:ascii="Times New Roman" w:hAnsi="Times New Roman"/>
          <w:color w:val="FF0000"/>
          <w:sz w:val="24"/>
          <w:szCs w:val="24"/>
        </w:rPr>
        <w:t>的烟囱排放。锅炉废气污染物排放情况详见表3.2-</w:t>
      </w:r>
      <w:r>
        <w:rPr>
          <w:rFonts w:ascii="Times New Roman" w:hAnsi="Times New Roman"/>
          <w:color w:val="FF0000"/>
          <w:sz w:val="24"/>
          <w:szCs w:val="24"/>
        </w:rPr>
        <w:t>6</w:t>
      </w:r>
      <w:r>
        <w:rPr>
          <w:rFonts w:hint="eastAsia" w:ascii="Times New Roman" w:hAnsi="Times New Roman"/>
          <w:color w:val="FF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表3.2-</w:t>
      </w:r>
      <w:r>
        <w:rPr>
          <w:rFonts w:ascii="Times New Roman" w:hAnsi="Times New Roman"/>
          <w:b/>
          <w:color w:val="000000"/>
          <w:sz w:val="24"/>
          <w:szCs w:val="24"/>
        </w:rPr>
        <w:t>6</w:t>
      </w:r>
      <w:r>
        <w:rPr>
          <w:rFonts w:hint="eastAsia" w:ascii="Times New Roman" w:hAnsi="Times New Roman"/>
          <w:b/>
          <w:color w:val="000000"/>
          <w:sz w:val="24"/>
          <w:szCs w:val="24"/>
        </w:rPr>
        <w:t xml:space="preserve">   锅炉废气污染物排放情况表</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43"/>
        <w:gridCol w:w="1384"/>
        <w:gridCol w:w="888"/>
        <w:gridCol w:w="987"/>
        <w:gridCol w:w="830"/>
        <w:gridCol w:w="827"/>
        <w:gridCol w:w="827"/>
        <w:gridCol w:w="8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0" w:type="pct"/>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项目</w:t>
            </w:r>
          </w:p>
        </w:tc>
        <w:tc>
          <w:tcPr>
            <w:tcW w:w="812" w:type="pct"/>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单位</w:t>
            </w:r>
          </w:p>
        </w:tc>
        <w:tc>
          <w:tcPr>
            <w:tcW w:w="1587" w:type="pct"/>
            <w:gridSpan w:val="3"/>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正常排放</w:t>
            </w:r>
          </w:p>
        </w:tc>
        <w:tc>
          <w:tcPr>
            <w:tcW w:w="1459" w:type="pct"/>
            <w:gridSpan w:val="3"/>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非正常排放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0" w:type="pct"/>
            <w:vMerge w:val="continue"/>
            <w:vAlign w:val="center"/>
          </w:tcPr>
          <w:p>
            <w:pPr>
              <w:spacing w:line="240" w:lineRule="atLeast"/>
              <w:jc w:val="center"/>
              <w:rPr>
                <w:rFonts w:ascii="Times New Roman" w:hAnsi="Times New Roman" w:eastAsia="宋体" w:cs="Times New Roman"/>
                <w:kern w:val="0"/>
                <w:szCs w:val="28"/>
              </w:rPr>
            </w:pPr>
          </w:p>
        </w:tc>
        <w:tc>
          <w:tcPr>
            <w:tcW w:w="812" w:type="pct"/>
            <w:vMerge w:val="continue"/>
            <w:vAlign w:val="center"/>
          </w:tcPr>
          <w:p>
            <w:pPr>
              <w:spacing w:line="240" w:lineRule="atLeast"/>
              <w:jc w:val="center"/>
              <w:rPr>
                <w:rFonts w:ascii="Times New Roman" w:hAnsi="Times New Roman" w:eastAsia="宋体" w:cs="Times New Roman"/>
                <w:kern w:val="0"/>
                <w:szCs w:val="28"/>
              </w:rPr>
            </w:pPr>
          </w:p>
        </w:tc>
        <w:tc>
          <w:tcPr>
            <w:tcW w:w="521"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PM</w:t>
            </w:r>
            <w:r>
              <w:rPr>
                <w:rFonts w:hint="eastAsia" w:ascii="Times New Roman" w:hAnsi="Times New Roman" w:eastAsia="宋体" w:cs="Times New Roman"/>
                <w:kern w:val="0"/>
                <w:szCs w:val="28"/>
                <w:vertAlign w:val="subscript"/>
              </w:rPr>
              <w:t>10</w:t>
            </w:r>
          </w:p>
        </w:tc>
        <w:tc>
          <w:tcPr>
            <w:tcW w:w="579"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SO</w:t>
            </w:r>
            <w:r>
              <w:rPr>
                <w:rFonts w:hint="eastAsia" w:ascii="Times New Roman" w:hAnsi="Times New Roman" w:eastAsia="宋体" w:cs="Times New Roman"/>
                <w:kern w:val="0"/>
                <w:szCs w:val="28"/>
                <w:vertAlign w:val="subscript"/>
              </w:rPr>
              <w:t>2</w:t>
            </w:r>
          </w:p>
        </w:tc>
        <w:tc>
          <w:tcPr>
            <w:tcW w:w="48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NO</w:t>
            </w:r>
            <w:r>
              <w:rPr>
                <w:rFonts w:hint="eastAsia" w:ascii="Times New Roman" w:hAnsi="Times New Roman" w:eastAsia="宋体" w:cs="Times New Roman"/>
                <w:kern w:val="0"/>
                <w:szCs w:val="28"/>
                <w:vertAlign w:val="subscript"/>
              </w:rPr>
              <w:t>X</w:t>
            </w:r>
          </w:p>
        </w:tc>
        <w:tc>
          <w:tcPr>
            <w:tcW w:w="485"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TSP</w:t>
            </w:r>
          </w:p>
        </w:tc>
        <w:tc>
          <w:tcPr>
            <w:tcW w:w="485"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SO</w:t>
            </w:r>
            <w:r>
              <w:rPr>
                <w:rFonts w:hint="eastAsia" w:ascii="Times New Roman" w:hAnsi="Times New Roman" w:eastAsia="宋体" w:cs="Times New Roman"/>
                <w:kern w:val="0"/>
                <w:szCs w:val="28"/>
                <w:vertAlign w:val="subscript"/>
              </w:rPr>
              <w:t>2</w:t>
            </w:r>
          </w:p>
        </w:tc>
        <w:tc>
          <w:tcPr>
            <w:tcW w:w="48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NO</w:t>
            </w:r>
            <w:r>
              <w:rPr>
                <w:rFonts w:hint="eastAsia" w:ascii="Times New Roman" w:hAnsi="Times New Roman" w:eastAsia="宋体" w:cs="Times New Roman"/>
                <w:kern w:val="0"/>
                <w:szCs w:val="28"/>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0"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年排放量</w:t>
            </w:r>
          </w:p>
        </w:tc>
        <w:tc>
          <w:tcPr>
            <w:tcW w:w="81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t/a</w:t>
            </w:r>
          </w:p>
        </w:tc>
        <w:tc>
          <w:tcPr>
            <w:tcW w:w="521"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0.325</w:t>
            </w:r>
          </w:p>
        </w:tc>
        <w:tc>
          <w:tcPr>
            <w:tcW w:w="579"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2.55</w:t>
            </w:r>
          </w:p>
        </w:tc>
        <w:tc>
          <w:tcPr>
            <w:tcW w:w="487"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5.1</w:t>
            </w:r>
          </w:p>
        </w:tc>
        <w:tc>
          <w:tcPr>
            <w:tcW w:w="485"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2.5</w:t>
            </w:r>
          </w:p>
        </w:tc>
        <w:tc>
          <w:tcPr>
            <w:tcW w:w="485"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2.55</w:t>
            </w:r>
          </w:p>
        </w:tc>
        <w:tc>
          <w:tcPr>
            <w:tcW w:w="487"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0"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1h排放量</w:t>
            </w:r>
          </w:p>
        </w:tc>
        <w:tc>
          <w:tcPr>
            <w:tcW w:w="81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kg/h</w:t>
            </w:r>
          </w:p>
        </w:tc>
        <w:tc>
          <w:tcPr>
            <w:tcW w:w="521"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0.026</w:t>
            </w:r>
          </w:p>
        </w:tc>
        <w:tc>
          <w:tcPr>
            <w:tcW w:w="579"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0.35</w:t>
            </w:r>
          </w:p>
        </w:tc>
        <w:tc>
          <w:tcPr>
            <w:tcW w:w="487"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0.7</w:t>
            </w:r>
          </w:p>
        </w:tc>
        <w:tc>
          <w:tcPr>
            <w:tcW w:w="485"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0.28</w:t>
            </w:r>
          </w:p>
        </w:tc>
        <w:tc>
          <w:tcPr>
            <w:tcW w:w="485"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0.35</w:t>
            </w:r>
          </w:p>
        </w:tc>
        <w:tc>
          <w:tcPr>
            <w:tcW w:w="487"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0"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排放浓度</w:t>
            </w:r>
          </w:p>
        </w:tc>
        <w:tc>
          <w:tcPr>
            <w:tcW w:w="81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mg/m</w:t>
            </w:r>
            <w:r>
              <w:rPr>
                <w:rFonts w:hint="eastAsia" w:ascii="Times New Roman" w:hAnsi="Times New Roman" w:eastAsia="宋体" w:cs="Times New Roman"/>
                <w:kern w:val="0"/>
                <w:szCs w:val="28"/>
                <w:vertAlign w:val="superscript"/>
              </w:rPr>
              <w:t>3</w:t>
            </w:r>
          </w:p>
        </w:tc>
        <w:tc>
          <w:tcPr>
            <w:tcW w:w="521"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9.92</w:t>
            </w:r>
          </w:p>
        </w:tc>
        <w:tc>
          <w:tcPr>
            <w:tcW w:w="579"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77.83</w:t>
            </w:r>
          </w:p>
        </w:tc>
        <w:tc>
          <w:tcPr>
            <w:tcW w:w="487"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155.67</w:t>
            </w:r>
          </w:p>
        </w:tc>
        <w:tc>
          <w:tcPr>
            <w:tcW w:w="485"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76.3</w:t>
            </w:r>
          </w:p>
        </w:tc>
        <w:tc>
          <w:tcPr>
            <w:tcW w:w="485"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77.83</w:t>
            </w:r>
          </w:p>
        </w:tc>
        <w:tc>
          <w:tcPr>
            <w:tcW w:w="487" w:type="pc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155.67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0"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《锅炉大气污染物排放标准》（GB13271-2014）</w:t>
            </w:r>
          </w:p>
        </w:tc>
        <w:tc>
          <w:tcPr>
            <w:tcW w:w="81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mg/m</w:t>
            </w:r>
            <w:r>
              <w:rPr>
                <w:rFonts w:hint="eastAsia" w:ascii="Times New Roman" w:hAnsi="Times New Roman" w:eastAsia="宋体" w:cs="Times New Roman"/>
                <w:kern w:val="0"/>
                <w:szCs w:val="28"/>
                <w:vertAlign w:val="superscript"/>
              </w:rPr>
              <w:t>3</w:t>
            </w:r>
          </w:p>
        </w:tc>
        <w:tc>
          <w:tcPr>
            <w:tcW w:w="521"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50</w:t>
            </w:r>
          </w:p>
        </w:tc>
        <w:tc>
          <w:tcPr>
            <w:tcW w:w="579"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300</w:t>
            </w:r>
          </w:p>
        </w:tc>
        <w:tc>
          <w:tcPr>
            <w:tcW w:w="48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300</w:t>
            </w:r>
          </w:p>
        </w:tc>
        <w:tc>
          <w:tcPr>
            <w:tcW w:w="82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50</w:t>
            </w:r>
          </w:p>
        </w:tc>
        <w:tc>
          <w:tcPr>
            <w:tcW w:w="82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300</w:t>
            </w:r>
          </w:p>
        </w:tc>
        <w:tc>
          <w:tcPr>
            <w:tcW w:w="833"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0"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是否达标</w:t>
            </w:r>
          </w:p>
        </w:tc>
        <w:tc>
          <w:tcPr>
            <w:tcW w:w="81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w:t>
            </w:r>
          </w:p>
        </w:tc>
        <w:tc>
          <w:tcPr>
            <w:tcW w:w="521"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是</w:t>
            </w:r>
          </w:p>
        </w:tc>
        <w:tc>
          <w:tcPr>
            <w:tcW w:w="579"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是</w:t>
            </w:r>
          </w:p>
        </w:tc>
        <w:tc>
          <w:tcPr>
            <w:tcW w:w="48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是</w:t>
            </w:r>
          </w:p>
        </w:tc>
        <w:tc>
          <w:tcPr>
            <w:tcW w:w="485"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否</w:t>
            </w:r>
          </w:p>
        </w:tc>
        <w:tc>
          <w:tcPr>
            <w:tcW w:w="485"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是</w:t>
            </w:r>
          </w:p>
        </w:tc>
        <w:tc>
          <w:tcPr>
            <w:tcW w:w="48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是</w:t>
            </w:r>
          </w:p>
        </w:tc>
      </w:tr>
    </w:tbl>
    <w:p>
      <w:pPr>
        <w:spacing w:line="360" w:lineRule="auto"/>
        <w:ind w:firstLine="480" w:firstLineChars="200"/>
        <w:rPr>
          <w:rFonts w:ascii="Times New Roman" w:hAnsi="Times New Roman" w:eastAsia="宋体"/>
          <w:color w:val="000000"/>
          <w:sz w:val="24"/>
          <w:szCs w:val="24"/>
        </w:rPr>
      </w:pPr>
      <w:r>
        <w:rPr>
          <w:rFonts w:hint="eastAsia" w:ascii="Times New Roman" w:hAnsi="Times New Roman"/>
          <w:color w:val="000000"/>
          <w:sz w:val="24"/>
          <w:szCs w:val="24"/>
        </w:rPr>
        <w:t>根据表3.2-5可知，本项目锅炉废气正常均能达标排放，不会对周边环境造成影响；非正常排放TSP排放浓度超出</w:t>
      </w:r>
      <w:r>
        <w:rPr>
          <w:rFonts w:hint="eastAsia" w:ascii="Times New Roman" w:hAnsi="Times New Roman" w:eastAsia="宋体" w:cs="Times New Roman"/>
          <w:kern w:val="0"/>
          <w:sz w:val="24"/>
          <w:szCs w:val="24"/>
        </w:rPr>
        <w:t>《锅炉大气污染物排放标准》（GB13271-2014）。</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（2）运营期水污染源强分析</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本项目运营期用水主要为生产用水、生活用水及绿化用水。生产用水主要为水力碎浆阶段用水，该阶段的废水直接进入废水池，然后进入循环池循环利用不外排。</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1）生产用水</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本项目在生产过程中需要在水力碎浆阶段加入水，该工段的废水部分直接进入废水池，然后再次进入循环塔循环利用。根据类比玉溪市同类项目。本</w:t>
      </w:r>
      <w:r>
        <w:rPr>
          <w:rFonts w:ascii="Times New Roman" w:hAnsi="Times New Roman"/>
          <w:color w:val="FF0000"/>
          <w:sz w:val="24"/>
          <w:szCs w:val="24"/>
        </w:rPr>
        <w:t>项目</w:t>
      </w:r>
      <w:r>
        <w:rPr>
          <w:rFonts w:hint="eastAsia" w:ascii="Times New Roman" w:hAnsi="Times New Roman"/>
          <w:color w:val="FF0000"/>
          <w:sz w:val="24"/>
          <w:szCs w:val="24"/>
        </w:rPr>
        <w:t>1t废纸</w:t>
      </w:r>
      <w:r>
        <w:rPr>
          <w:rFonts w:ascii="Times New Roman" w:hAnsi="Times New Roman"/>
          <w:color w:val="FF0000"/>
          <w:sz w:val="24"/>
          <w:szCs w:val="24"/>
        </w:rPr>
        <w:t>需要</w:t>
      </w:r>
      <w:r>
        <w:rPr>
          <w:rFonts w:hint="eastAsia" w:ascii="Times New Roman" w:hAnsi="Times New Roman"/>
          <w:color w:val="FF0000"/>
          <w:sz w:val="24"/>
          <w:szCs w:val="24"/>
        </w:rPr>
        <w:t>3</w:t>
      </w:r>
      <w:r>
        <w:rPr>
          <w:rFonts w:ascii="Times New Roman" w:hAnsi="Times New Roman"/>
          <w:color w:val="FF0000"/>
          <w:sz w:val="24"/>
          <w:szCs w:val="24"/>
        </w:rPr>
        <w:t>t</w:t>
      </w:r>
      <w:r>
        <w:rPr>
          <w:rFonts w:hint="eastAsia" w:ascii="Times New Roman" w:hAnsi="Times New Roman"/>
          <w:color w:val="FF0000"/>
          <w:sz w:val="24"/>
          <w:szCs w:val="24"/>
        </w:rPr>
        <w:t>水</w:t>
      </w:r>
      <w:r>
        <w:rPr>
          <w:rFonts w:ascii="Times New Roman" w:hAnsi="Times New Roman"/>
          <w:color w:val="FF0000"/>
          <w:sz w:val="24"/>
          <w:szCs w:val="24"/>
        </w:rPr>
        <w:t>，项目废纸使用量为</w:t>
      </w:r>
      <w:r>
        <w:rPr>
          <w:rFonts w:hint="eastAsia" w:ascii="Times New Roman" w:hAnsi="Times New Roman"/>
          <w:color w:val="FF0000"/>
          <w:sz w:val="24"/>
          <w:szCs w:val="24"/>
        </w:rPr>
        <w:t>18</w:t>
      </w:r>
      <w:r>
        <w:rPr>
          <w:rFonts w:ascii="Times New Roman" w:hAnsi="Times New Roman"/>
          <w:color w:val="FF0000"/>
          <w:sz w:val="24"/>
          <w:szCs w:val="24"/>
        </w:rPr>
        <w:t>1</w:t>
      </w:r>
      <w:r>
        <w:rPr>
          <w:rFonts w:hint="eastAsia" w:ascii="Times New Roman" w:hAnsi="Times New Roman"/>
          <w:color w:val="FF0000"/>
          <w:sz w:val="24"/>
          <w:szCs w:val="24"/>
        </w:rPr>
        <w:t>00 t/</w:t>
      </w:r>
      <w:r>
        <w:rPr>
          <w:rFonts w:ascii="Times New Roman" w:hAnsi="Times New Roman"/>
          <w:color w:val="FF0000"/>
          <w:sz w:val="24"/>
          <w:szCs w:val="24"/>
        </w:rPr>
        <w:t>a</w:t>
      </w:r>
      <w:r>
        <w:rPr>
          <w:rFonts w:hint="eastAsia" w:ascii="Times New Roman" w:hAnsi="Times New Roman"/>
          <w:color w:val="FF0000"/>
          <w:sz w:val="24"/>
          <w:szCs w:val="24"/>
        </w:rPr>
        <w:t>，因此</w:t>
      </w:r>
      <w:r>
        <w:rPr>
          <w:rFonts w:ascii="Times New Roman" w:hAnsi="Times New Roman"/>
          <w:color w:val="FF0000"/>
          <w:sz w:val="24"/>
          <w:szCs w:val="24"/>
        </w:rPr>
        <w:t>需要水量</w:t>
      </w:r>
      <w:r>
        <w:rPr>
          <w:rFonts w:hint="eastAsia" w:ascii="Times New Roman" w:hAnsi="Times New Roman"/>
          <w:color w:val="FF0000"/>
          <w:sz w:val="24"/>
          <w:szCs w:val="24"/>
        </w:rPr>
        <w:t>为181m</w:t>
      </w:r>
      <w:r>
        <w:rPr>
          <w:rFonts w:ascii="Times New Roman" w:hAnsi="Times New Roman"/>
          <w:color w:val="FF0000"/>
          <w:sz w:val="24"/>
          <w:szCs w:val="24"/>
          <w:vertAlign w:val="superscript"/>
        </w:rPr>
        <w:t>3</w:t>
      </w:r>
      <w:r>
        <w:rPr>
          <w:rFonts w:ascii="Times New Roman" w:hAnsi="Times New Roman"/>
          <w:color w:val="FF0000"/>
          <w:sz w:val="24"/>
          <w:szCs w:val="24"/>
        </w:rPr>
        <w:t>/</w:t>
      </w:r>
      <w:r>
        <w:rPr>
          <w:rFonts w:hint="eastAsia" w:ascii="Times New Roman" w:hAnsi="Times New Roman"/>
          <w:color w:val="FF0000"/>
          <w:sz w:val="24"/>
          <w:szCs w:val="24"/>
        </w:rPr>
        <w:t>d、54</w:t>
      </w:r>
      <w:r>
        <w:rPr>
          <w:rFonts w:ascii="Times New Roman" w:hAnsi="Times New Roman"/>
          <w:color w:val="FF0000"/>
          <w:sz w:val="24"/>
          <w:szCs w:val="24"/>
        </w:rPr>
        <w:t>3</w:t>
      </w:r>
      <w:r>
        <w:rPr>
          <w:rFonts w:hint="eastAsia" w:ascii="Times New Roman" w:hAnsi="Times New Roman"/>
          <w:color w:val="FF0000"/>
          <w:sz w:val="24"/>
          <w:szCs w:val="24"/>
        </w:rPr>
        <w:t>00</w:t>
      </w:r>
      <w:r>
        <w:rPr>
          <w:rFonts w:ascii="Times New Roman" w:hAnsi="Times New Roman"/>
          <w:color w:val="FF0000"/>
          <w:sz w:val="24"/>
          <w:szCs w:val="24"/>
        </w:rPr>
        <w:t>t/a。本</w:t>
      </w:r>
      <w:r>
        <w:rPr>
          <w:rFonts w:hint="eastAsia" w:ascii="Times New Roman" w:hAnsi="Times New Roman"/>
          <w:color w:val="FF0000"/>
          <w:sz w:val="24"/>
          <w:szCs w:val="24"/>
        </w:rPr>
        <w:t>项目</w:t>
      </w:r>
      <w:r>
        <w:rPr>
          <w:rFonts w:ascii="Times New Roman" w:hAnsi="Times New Roman"/>
          <w:color w:val="FF0000"/>
          <w:sz w:val="24"/>
          <w:szCs w:val="24"/>
        </w:rPr>
        <w:t>在生产过程中</w:t>
      </w:r>
      <w:r>
        <w:rPr>
          <w:rFonts w:hint="eastAsia" w:ascii="Times New Roman" w:hAnsi="Times New Roman"/>
          <w:color w:val="FF0000"/>
          <w:sz w:val="24"/>
          <w:szCs w:val="24"/>
        </w:rPr>
        <w:t>产出</w:t>
      </w:r>
      <w:r>
        <w:rPr>
          <w:rFonts w:ascii="Times New Roman" w:hAnsi="Times New Roman"/>
          <w:color w:val="FF0000"/>
          <w:sz w:val="24"/>
          <w:szCs w:val="24"/>
        </w:rPr>
        <w:t>的废水全部回用于制浆，不外排，</w:t>
      </w:r>
      <w:r>
        <w:rPr>
          <w:rFonts w:hint="eastAsia" w:ascii="Times New Roman" w:hAnsi="Times New Roman"/>
          <w:color w:val="FF0000"/>
          <w:sz w:val="24"/>
          <w:szCs w:val="24"/>
        </w:rPr>
        <w:t>造纸蒸发水量按</w:t>
      </w:r>
      <w:r>
        <w:rPr>
          <w:rFonts w:ascii="Times New Roman" w:hAnsi="Times New Roman"/>
          <w:color w:val="FF0000"/>
          <w:sz w:val="24"/>
          <w:szCs w:val="24"/>
        </w:rPr>
        <w:t>20</w:t>
      </w:r>
      <w:r>
        <w:rPr>
          <w:rFonts w:hint="eastAsia" w:ascii="Times New Roman" w:hAnsi="Times New Roman"/>
          <w:color w:val="FF0000"/>
          <w:sz w:val="24"/>
          <w:szCs w:val="24"/>
        </w:rPr>
        <w:t>%计算，则</w:t>
      </w:r>
      <w:r>
        <w:rPr>
          <w:rFonts w:ascii="Times New Roman" w:hAnsi="Times New Roman"/>
          <w:color w:val="FF0000"/>
          <w:sz w:val="24"/>
          <w:szCs w:val="24"/>
        </w:rPr>
        <w:t>循环使用</w:t>
      </w:r>
      <w:r>
        <w:rPr>
          <w:rFonts w:hint="eastAsia" w:ascii="Times New Roman" w:hAnsi="Times New Roman"/>
          <w:color w:val="FF0000"/>
          <w:sz w:val="24"/>
          <w:szCs w:val="24"/>
        </w:rPr>
        <w:t>量</w:t>
      </w:r>
      <w:r>
        <w:rPr>
          <w:rFonts w:ascii="Times New Roman" w:hAnsi="Times New Roman"/>
          <w:color w:val="FF0000"/>
          <w:sz w:val="24"/>
          <w:szCs w:val="24"/>
        </w:rPr>
        <w:t>为</w:t>
      </w:r>
      <w:r>
        <w:rPr>
          <w:rFonts w:hint="eastAsia" w:ascii="Times New Roman" w:hAnsi="Times New Roman"/>
          <w:color w:val="FF0000"/>
          <w:sz w:val="24"/>
          <w:szCs w:val="24"/>
        </w:rPr>
        <w:t>144.8m</w:t>
      </w:r>
      <w:r>
        <w:rPr>
          <w:rFonts w:ascii="Times New Roman" w:hAnsi="Times New Roman"/>
          <w:color w:val="FF0000"/>
          <w:sz w:val="24"/>
          <w:szCs w:val="24"/>
          <w:vertAlign w:val="superscript"/>
        </w:rPr>
        <w:t>3</w:t>
      </w:r>
      <w:r>
        <w:rPr>
          <w:rFonts w:ascii="Times New Roman" w:hAnsi="Times New Roman"/>
          <w:color w:val="FF0000"/>
          <w:sz w:val="24"/>
          <w:szCs w:val="24"/>
        </w:rPr>
        <w:t>/</w:t>
      </w:r>
      <w:r>
        <w:rPr>
          <w:rFonts w:hint="eastAsia" w:ascii="Times New Roman" w:hAnsi="Times New Roman"/>
          <w:color w:val="FF0000"/>
          <w:sz w:val="24"/>
          <w:szCs w:val="24"/>
        </w:rPr>
        <w:t>d、4</w:t>
      </w:r>
      <w:r>
        <w:rPr>
          <w:rFonts w:ascii="Times New Roman" w:hAnsi="Times New Roman"/>
          <w:color w:val="FF0000"/>
          <w:sz w:val="24"/>
          <w:szCs w:val="24"/>
        </w:rPr>
        <w:t>3440</w:t>
      </w:r>
      <w:r>
        <w:rPr>
          <w:rFonts w:hint="eastAsia" w:ascii="Times New Roman" w:hAnsi="Times New Roman"/>
          <w:color w:val="FF0000"/>
          <w:sz w:val="24"/>
          <w:szCs w:val="24"/>
        </w:rPr>
        <w:t>m</w:t>
      </w:r>
      <w:r>
        <w:rPr>
          <w:rFonts w:ascii="Times New Roman" w:hAnsi="Times New Roman"/>
          <w:color w:val="FF0000"/>
          <w:sz w:val="24"/>
          <w:szCs w:val="24"/>
          <w:vertAlign w:val="superscript"/>
        </w:rPr>
        <w:t>3</w:t>
      </w:r>
      <w:r>
        <w:rPr>
          <w:rFonts w:ascii="Times New Roman" w:hAnsi="Times New Roman"/>
          <w:color w:val="FF0000"/>
          <w:sz w:val="24"/>
          <w:szCs w:val="24"/>
        </w:rPr>
        <w:t>/a</w:t>
      </w:r>
      <w:r>
        <w:rPr>
          <w:rFonts w:hint="eastAsia" w:ascii="Times New Roman" w:hAnsi="Times New Roman"/>
          <w:color w:val="FF0000"/>
          <w:sz w:val="24"/>
          <w:szCs w:val="24"/>
        </w:rPr>
        <w:t>，</w:t>
      </w:r>
      <w:r>
        <w:rPr>
          <w:rFonts w:ascii="Times New Roman" w:hAnsi="Times New Roman"/>
          <w:color w:val="FF0000"/>
          <w:sz w:val="24"/>
          <w:szCs w:val="24"/>
        </w:rPr>
        <w:t>造纸过程中由于干燥损失</w:t>
      </w:r>
      <w:r>
        <w:rPr>
          <w:rFonts w:hint="eastAsia" w:ascii="Times New Roman" w:hAnsi="Times New Roman"/>
          <w:color w:val="FF0000"/>
          <w:sz w:val="24"/>
          <w:szCs w:val="24"/>
        </w:rPr>
        <w:t>36.2m</w:t>
      </w:r>
      <w:r>
        <w:rPr>
          <w:rFonts w:ascii="Times New Roman" w:hAnsi="Times New Roman"/>
          <w:color w:val="FF0000"/>
          <w:sz w:val="24"/>
          <w:szCs w:val="24"/>
          <w:vertAlign w:val="superscript"/>
        </w:rPr>
        <w:t>3</w:t>
      </w:r>
      <w:r>
        <w:rPr>
          <w:rFonts w:ascii="Times New Roman" w:hAnsi="Times New Roman"/>
          <w:color w:val="FF0000"/>
          <w:sz w:val="24"/>
          <w:szCs w:val="24"/>
        </w:rPr>
        <w:t>/</w:t>
      </w:r>
      <w:r>
        <w:rPr>
          <w:rFonts w:hint="eastAsia" w:ascii="Times New Roman" w:hAnsi="Times New Roman"/>
          <w:color w:val="FF0000"/>
          <w:sz w:val="24"/>
          <w:szCs w:val="24"/>
        </w:rPr>
        <w:t>d、</w:t>
      </w:r>
      <w:r>
        <w:rPr>
          <w:rFonts w:ascii="Times New Roman" w:hAnsi="Times New Roman"/>
          <w:color w:val="FF0000"/>
          <w:sz w:val="24"/>
          <w:szCs w:val="24"/>
        </w:rPr>
        <w:t>10860</w:t>
      </w:r>
      <w:r>
        <w:rPr>
          <w:rFonts w:hint="eastAsia" w:ascii="Times New Roman" w:hAnsi="Times New Roman"/>
          <w:color w:val="FF0000"/>
          <w:sz w:val="24"/>
          <w:szCs w:val="24"/>
        </w:rPr>
        <w:t>m</w:t>
      </w:r>
      <w:r>
        <w:rPr>
          <w:rFonts w:ascii="Times New Roman" w:hAnsi="Times New Roman"/>
          <w:color w:val="FF0000"/>
          <w:sz w:val="24"/>
          <w:szCs w:val="24"/>
          <w:vertAlign w:val="superscript"/>
        </w:rPr>
        <w:t>3</w:t>
      </w:r>
      <w:r>
        <w:rPr>
          <w:rFonts w:ascii="Times New Roman" w:hAnsi="Times New Roman"/>
          <w:color w:val="FF0000"/>
          <w:sz w:val="24"/>
          <w:szCs w:val="24"/>
        </w:rPr>
        <w:t>/a</w:t>
      </w:r>
      <w:r>
        <w:rPr>
          <w:rFonts w:hint="eastAsia" w:ascii="Times New Roman" w:hAnsi="Times New Roman"/>
          <w:color w:val="FF0000"/>
          <w:sz w:val="24"/>
          <w:szCs w:val="24"/>
        </w:rPr>
        <w:t>。因此</w:t>
      </w:r>
      <w:r>
        <w:rPr>
          <w:rFonts w:ascii="Times New Roman" w:hAnsi="Times New Roman"/>
          <w:color w:val="FF0000"/>
          <w:sz w:val="24"/>
          <w:szCs w:val="24"/>
        </w:rPr>
        <w:t>需要补充</w:t>
      </w:r>
      <w:r>
        <w:rPr>
          <w:rFonts w:hint="eastAsia" w:ascii="Times New Roman" w:hAnsi="Times New Roman"/>
          <w:color w:val="FF0000"/>
          <w:sz w:val="24"/>
          <w:szCs w:val="24"/>
        </w:rPr>
        <w:t>36.2m</w:t>
      </w:r>
      <w:r>
        <w:rPr>
          <w:rFonts w:ascii="Times New Roman" w:hAnsi="Times New Roman"/>
          <w:color w:val="FF0000"/>
          <w:sz w:val="24"/>
          <w:szCs w:val="24"/>
          <w:vertAlign w:val="superscript"/>
        </w:rPr>
        <w:t>3</w:t>
      </w:r>
      <w:r>
        <w:rPr>
          <w:rFonts w:ascii="Times New Roman" w:hAnsi="Times New Roman"/>
          <w:color w:val="FF0000"/>
          <w:sz w:val="24"/>
          <w:szCs w:val="24"/>
        </w:rPr>
        <w:t>/</w:t>
      </w:r>
      <w:r>
        <w:rPr>
          <w:rFonts w:hint="eastAsia" w:ascii="Times New Roman" w:hAnsi="Times New Roman"/>
          <w:color w:val="FF0000"/>
          <w:sz w:val="24"/>
          <w:szCs w:val="24"/>
        </w:rPr>
        <w:t>d、1</w:t>
      </w:r>
      <w:r>
        <w:rPr>
          <w:rFonts w:ascii="Times New Roman" w:hAnsi="Times New Roman"/>
          <w:color w:val="FF0000"/>
          <w:sz w:val="24"/>
          <w:szCs w:val="24"/>
        </w:rPr>
        <w:t>0860</w:t>
      </w:r>
      <w:r>
        <w:rPr>
          <w:rFonts w:hint="eastAsia" w:ascii="Times New Roman" w:hAnsi="Times New Roman"/>
          <w:color w:val="FF0000"/>
          <w:sz w:val="24"/>
          <w:szCs w:val="24"/>
        </w:rPr>
        <w:t>m</w:t>
      </w:r>
      <w:r>
        <w:rPr>
          <w:rFonts w:ascii="Times New Roman" w:hAnsi="Times New Roman"/>
          <w:color w:val="FF0000"/>
          <w:sz w:val="24"/>
          <w:szCs w:val="24"/>
          <w:vertAlign w:val="superscript"/>
        </w:rPr>
        <w:t>3</w:t>
      </w:r>
      <w:r>
        <w:rPr>
          <w:rFonts w:ascii="Times New Roman" w:hAnsi="Times New Roman"/>
          <w:color w:val="FF0000"/>
          <w:sz w:val="24"/>
          <w:szCs w:val="24"/>
        </w:rPr>
        <w:t>/a</w:t>
      </w:r>
      <w:r>
        <w:rPr>
          <w:rFonts w:hint="eastAsia" w:ascii="Times New Roman" w:hAnsi="Times New Roman"/>
          <w:color w:val="FF0000"/>
          <w:sz w:val="24"/>
          <w:szCs w:val="24"/>
        </w:rPr>
        <w:t>的</w:t>
      </w:r>
      <w:r>
        <w:rPr>
          <w:rFonts w:ascii="Times New Roman" w:hAnsi="Times New Roman"/>
          <w:color w:val="FF0000"/>
          <w:sz w:val="24"/>
          <w:szCs w:val="24"/>
        </w:rPr>
        <w:t>新鲜水。</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2）水膜除尘用水</w:t>
      </w:r>
    </w:p>
    <w:p>
      <w:pPr>
        <w:spacing w:line="360" w:lineRule="auto"/>
        <w:ind w:firstLine="480" w:firstLineChars="200"/>
        <w:rPr>
          <w:color w:val="FF0000"/>
          <w:sz w:val="24"/>
          <w:szCs w:val="24"/>
        </w:rPr>
      </w:pPr>
      <w:r>
        <w:rPr>
          <w:rFonts w:hAnsi="宋体"/>
          <w:color w:val="FF0000"/>
          <w:sz w:val="24"/>
          <w:szCs w:val="24"/>
        </w:rPr>
        <w:t>项目</w:t>
      </w:r>
      <w:r>
        <w:rPr>
          <w:rFonts w:hint="eastAsia" w:hAnsi="宋体"/>
          <w:color w:val="FF0000"/>
          <w:sz w:val="24"/>
          <w:szCs w:val="24"/>
        </w:rPr>
        <w:t>生物质锅炉</w:t>
      </w:r>
      <w:r>
        <w:rPr>
          <w:rFonts w:hAnsi="宋体"/>
          <w:color w:val="FF0000"/>
          <w:sz w:val="24"/>
          <w:szCs w:val="24"/>
        </w:rPr>
        <w:t>配套有</w:t>
      </w:r>
      <w:r>
        <w:rPr>
          <w:color w:val="FF0000"/>
          <w:sz w:val="24"/>
          <w:szCs w:val="24"/>
        </w:rPr>
        <w:t>1</w:t>
      </w:r>
      <w:r>
        <w:rPr>
          <w:rFonts w:hAnsi="宋体"/>
          <w:color w:val="FF0000"/>
          <w:sz w:val="24"/>
          <w:szCs w:val="24"/>
        </w:rPr>
        <w:t>套水膜除尘系统，在除尘过程中会产生一定蒸发</w:t>
      </w:r>
      <w:r>
        <w:rPr>
          <w:rFonts w:hint="eastAsia" w:hAnsi="宋体"/>
          <w:color w:val="FF0000"/>
          <w:sz w:val="24"/>
          <w:szCs w:val="24"/>
        </w:rPr>
        <w:t>损失</w:t>
      </w:r>
      <w:r>
        <w:rPr>
          <w:rFonts w:hAnsi="宋体"/>
          <w:color w:val="FF0000"/>
          <w:sz w:val="24"/>
          <w:szCs w:val="24"/>
        </w:rPr>
        <w:t>。根据《工业粉尘湿式除尘装置》（</w:t>
      </w:r>
      <w:r>
        <w:rPr>
          <w:color w:val="FF0000"/>
          <w:sz w:val="24"/>
          <w:szCs w:val="24"/>
        </w:rPr>
        <w:t>HJ/T 285-2006</w:t>
      </w:r>
      <w:r>
        <w:rPr>
          <w:rFonts w:hAnsi="宋体"/>
          <w:color w:val="FF0000"/>
          <w:sz w:val="24"/>
          <w:szCs w:val="24"/>
        </w:rPr>
        <w:t>）提出的第</w:t>
      </w:r>
      <w:r>
        <w:rPr>
          <w:color w:val="FF0000"/>
          <w:sz w:val="24"/>
          <w:szCs w:val="24"/>
        </w:rPr>
        <w:t>I</w:t>
      </w:r>
      <w:r>
        <w:rPr>
          <w:rFonts w:hAnsi="宋体"/>
          <w:color w:val="FF0000"/>
          <w:sz w:val="24"/>
          <w:szCs w:val="24"/>
        </w:rPr>
        <w:t>类湿式除尘装置技术性能应符合液气比</w:t>
      </w:r>
      <w:r>
        <w:rPr>
          <w:color w:val="FF0000"/>
          <w:sz w:val="24"/>
          <w:szCs w:val="24"/>
        </w:rPr>
        <w:t>≤2.0L/m</w:t>
      </w:r>
      <w:r>
        <w:rPr>
          <w:color w:val="FF0000"/>
          <w:sz w:val="24"/>
          <w:szCs w:val="24"/>
          <w:vertAlign w:val="superscript"/>
        </w:rPr>
        <w:t>3</w:t>
      </w:r>
      <w:r>
        <w:rPr>
          <w:rFonts w:hAnsi="宋体"/>
          <w:color w:val="FF0000"/>
          <w:sz w:val="24"/>
          <w:szCs w:val="24"/>
        </w:rPr>
        <w:t>，本次环评取液气比为</w:t>
      </w:r>
      <w:r>
        <w:rPr>
          <w:rFonts w:hint="eastAsia"/>
          <w:color w:val="FF0000"/>
          <w:sz w:val="24"/>
          <w:szCs w:val="24"/>
        </w:rPr>
        <w:t>1</w:t>
      </w:r>
      <w:r>
        <w:rPr>
          <w:color w:val="FF0000"/>
          <w:sz w:val="24"/>
          <w:szCs w:val="24"/>
        </w:rPr>
        <w:t>L/m</w:t>
      </w:r>
      <w:r>
        <w:rPr>
          <w:color w:val="FF0000"/>
          <w:sz w:val="24"/>
          <w:szCs w:val="24"/>
          <w:vertAlign w:val="superscript"/>
        </w:rPr>
        <w:t>3</w:t>
      </w:r>
      <w:r>
        <w:rPr>
          <w:rFonts w:hAnsi="宋体"/>
          <w:color w:val="FF0000"/>
          <w:sz w:val="24"/>
          <w:szCs w:val="24"/>
        </w:rPr>
        <w:t>，又知烟气量为</w:t>
      </w:r>
      <w:r>
        <w:rPr>
          <w:rFonts w:hint="eastAsia"/>
          <w:color w:val="FF0000"/>
          <w:sz w:val="24"/>
          <w:szCs w:val="24"/>
        </w:rPr>
        <w:t>1.09</w:t>
      </w:r>
      <w:r>
        <w:rPr>
          <w:rFonts w:ascii="Times New Roman" w:hAnsi="Times New Roman"/>
          <w:color w:val="FF0000"/>
          <w:sz w:val="24"/>
          <w:szCs w:val="24"/>
        </w:rPr>
        <w:t>×</w:t>
      </w:r>
      <w:r>
        <w:rPr>
          <w:rFonts w:hint="eastAsia" w:ascii="Times New Roman" w:hAnsi="Times New Roman"/>
          <w:color w:val="FF0000"/>
          <w:sz w:val="24"/>
          <w:szCs w:val="24"/>
        </w:rPr>
        <w:t>10</w:t>
      </w:r>
      <w:r>
        <w:rPr>
          <w:rFonts w:hint="eastAsia" w:ascii="Times New Roman" w:hAnsi="Times New Roman"/>
          <w:color w:val="FF0000"/>
          <w:sz w:val="24"/>
          <w:szCs w:val="24"/>
          <w:vertAlign w:val="superscript"/>
        </w:rPr>
        <w:t>5</w:t>
      </w:r>
      <w:r>
        <w:rPr>
          <w:color w:val="FF0000"/>
          <w:sz w:val="24"/>
          <w:szCs w:val="24"/>
        </w:rPr>
        <w:t>m³/</w:t>
      </w:r>
      <w:r>
        <w:rPr>
          <w:rFonts w:hint="eastAsia"/>
          <w:color w:val="FF0000"/>
          <w:sz w:val="24"/>
          <w:szCs w:val="24"/>
        </w:rPr>
        <w:t>d</w:t>
      </w:r>
      <w:r>
        <w:rPr>
          <w:rFonts w:hAnsi="宋体"/>
          <w:color w:val="FF0000"/>
          <w:sz w:val="24"/>
          <w:szCs w:val="24"/>
        </w:rPr>
        <w:t>（按排放烟气量进行核算），可计算出水膜除尘系统用水量为</w:t>
      </w:r>
      <w:r>
        <w:rPr>
          <w:rFonts w:hint="eastAsia"/>
          <w:color w:val="FF0000"/>
          <w:sz w:val="24"/>
          <w:szCs w:val="24"/>
        </w:rPr>
        <w:t>109</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d，32700</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a。</w:t>
      </w:r>
      <w:r>
        <w:rPr>
          <w:rFonts w:hAnsi="宋体"/>
          <w:color w:val="FF0000"/>
          <w:sz w:val="24"/>
          <w:szCs w:val="24"/>
        </w:rPr>
        <w:t>水的损失率取</w:t>
      </w:r>
      <w:r>
        <w:rPr>
          <w:rFonts w:hint="eastAsia"/>
          <w:color w:val="FF0000"/>
          <w:sz w:val="24"/>
          <w:szCs w:val="24"/>
        </w:rPr>
        <w:t>10</w:t>
      </w:r>
      <w:r>
        <w:rPr>
          <w:color w:val="FF0000"/>
          <w:sz w:val="24"/>
          <w:szCs w:val="24"/>
        </w:rPr>
        <w:t>%</w:t>
      </w:r>
      <w:r>
        <w:rPr>
          <w:rFonts w:hAnsi="宋体"/>
          <w:color w:val="FF0000"/>
          <w:sz w:val="24"/>
          <w:szCs w:val="24"/>
        </w:rPr>
        <w:t>，</w:t>
      </w:r>
      <w:r>
        <w:rPr>
          <w:rFonts w:hint="eastAsia" w:hAnsi="宋体"/>
          <w:color w:val="FF0000"/>
          <w:sz w:val="24"/>
          <w:szCs w:val="24"/>
        </w:rPr>
        <w:t>每天补充新鲜水两为10.9</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d，</w:t>
      </w:r>
      <w:r>
        <w:rPr>
          <w:rFonts w:hint="eastAsia" w:hAnsi="宋体"/>
          <w:color w:val="FF0000"/>
          <w:sz w:val="24"/>
          <w:szCs w:val="24"/>
        </w:rPr>
        <w:t>则除尘废水产生量约98.1</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d，29430</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a，项目除尘废水经除尘废水沉淀池沉淀后循环使用。</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3）</w:t>
      </w:r>
      <w:r>
        <w:rPr>
          <w:rFonts w:ascii="Times New Roman" w:hAnsi="Times New Roman"/>
          <w:color w:val="FF0000"/>
          <w:sz w:val="24"/>
          <w:szCs w:val="24"/>
        </w:rPr>
        <w:t>锅炉</w:t>
      </w:r>
      <w:r>
        <w:rPr>
          <w:rFonts w:hint="eastAsia" w:ascii="Times New Roman" w:hAnsi="Times New Roman"/>
          <w:color w:val="FF0000"/>
          <w:sz w:val="24"/>
          <w:szCs w:val="24"/>
        </w:rPr>
        <w:t>用水</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本</w:t>
      </w:r>
      <w:r>
        <w:rPr>
          <w:rFonts w:ascii="Times New Roman" w:hAnsi="Times New Roman"/>
          <w:color w:val="FF0000"/>
          <w:sz w:val="24"/>
          <w:szCs w:val="24"/>
        </w:rPr>
        <w:t>项目设置</w:t>
      </w:r>
      <w:r>
        <w:rPr>
          <w:rFonts w:hint="eastAsia" w:ascii="Times New Roman" w:hAnsi="Times New Roman"/>
          <w:color w:val="FF0000"/>
          <w:sz w:val="24"/>
          <w:szCs w:val="24"/>
        </w:rPr>
        <w:t>1台1</w:t>
      </w:r>
      <w:r>
        <w:rPr>
          <w:rFonts w:ascii="Times New Roman" w:hAnsi="Times New Roman"/>
          <w:color w:val="FF0000"/>
          <w:sz w:val="24"/>
          <w:szCs w:val="24"/>
        </w:rPr>
        <w:t>2</w:t>
      </w:r>
      <w:r>
        <w:rPr>
          <w:rFonts w:hint="eastAsia" w:ascii="Times New Roman" w:hAnsi="Times New Roman"/>
          <w:color w:val="FF0000"/>
          <w:sz w:val="24"/>
          <w:szCs w:val="24"/>
        </w:rPr>
        <w:t>t/h</w:t>
      </w:r>
      <w:r>
        <w:rPr>
          <w:rFonts w:ascii="Times New Roman" w:hAnsi="Times New Roman"/>
          <w:color w:val="FF0000"/>
          <w:sz w:val="24"/>
          <w:szCs w:val="24"/>
        </w:rPr>
        <w:t>蒸汽锅炉</w:t>
      </w:r>
      <w:r>
        <w:rPr>
          <w:rFonts w:hint="eastAsia" w:ascii="Times New Roman" w:hAnsi="Times New Roman"/>
          <w:color w:val="FF0000"/>
          <w:sz w:val="24"/>
          <w:szCs w:val="24"/>
        </w:rPr>
        <w:t>，</w:t>
      </w:r>
      <w:r>
        <w:rPr>
          <w:rFonts w:ascii="Times New Roman" w:hAnsi="Times New Roman"/>
          <w:color w:val="FF0000"/>
          <w:sz w:val="24"/>
          <w:szCs w:val="24"/>
        </w:rPr>
        <w:t>锅炉每天工作时间为24</w:t>
      </w:r>
      <w:r>
        <w:rPr>
          <w:rFonts w:hint="eastAsia" w:ascii="Times New Roman" w:hAnsi="Times New Roman"/>
          <w:color w:val="FF0000"/>
          <w:sz w:val="24"/>
          <w:szCs w:val="24"/>
        </w:rPr>
        <w:t>h，</w:t>
      </w:r>
      <w:r>
        <w:rPr>
          <w:rFonts w:ascii="Times New Roman" w:hAnsi="Times New Roman"/>
          <w:color w:val="FF0000"/>
          <w:sz w:val="24"/>
          <w:szCs w:val="24"/>
        </w:rPr>
        <w:t>锅炉每天用水量为288m</w:t>
      </w:r>
      <w:r>
        <w:rPr>
          <w:rFonts w:ascii="Times New Roman" w:hAnsi="Times New Roman"/>
          <w:color w:val="FF0000"/>
          <w:sz w:val="24"/>
          <w:szCs w:val="24"/>
          <w:vertAlign w:val="superscript"/>
        </w:rPr>
        <w:t>3</w:t>
      </w:r>
      <w:r>
        <w:rPr>
          <w:rFonts w:hint="eastAsia" w:ascii="Times New Roman" w:hAnsi="Times New Roman"/>
          <w:color w:val="FF0000"/>
          <w:sz w:val="24"/>
          <w:szCs w:val="24"/>
        </w:rPr>
        <w:t>，蒸汽</w:t>
      </w:r>
      <w:r>
        <w:rPr>
          <w:rFonts w:ascii="Times New Roman" w:hAnsi="Times New Roman"/>
          <w:color w:val="FF0000"/>
          <w:sz w:val="24"/>
          <w:szCs w:val="24"/>
        </w:rPr>
        <w:t>冷凝回流取</w:t>
      </w:r>
      <w:r>
        <w:rPr>
          <w:rFonts w:hint="eastAsia" w:ascii="Times New Roman" w:hAnsi="Times New Roman"/>
          <w:color w:val="FF0000"/>
          <w:sz w:val="24"/>
          <w:szCs w:val="24"/>
        </w:rPr>
        <w:t>90</w:t>
      </w:r>
      <w:r>
        <w:rPr>
          <w:rFonts w:ascii="Times New Roman" w:hAnsi="Times New Roman"/>
          <w:color w:val="FF0000"/>
          <w:sz w:val="24"/>
          <w:szCs w:val="24"/>
        </w:rPr>
        <w:t>%，</w:t>
      </w:r>
      <w:r>
        <w:rPr>
          <w:rFonts w:hint="eastAsia" w:ascii="Times New Roman" w:hAnsi="Times New Roman"/>
          <w:color w:val="FF0000"/>
          <w:sz w:val="24"/>
          <w:szCs w:val="24"/>
        </w:rPr>
        <w:t>因此</w:t>
      </w:r>
      <w:r>
        <w:rPr>
          <w:rFonts w:ascii="Times New Roman" w:hAnsi="Times New Roman"/>
          <w:color w:val="FF0000"/>
          <w:sz w:val="24"/>
          <w:szCs w:val="24"/>
        </w:rPr>
        <w:t>每天蒸汽回流量为230.4</w:t>
      </w:r>
      <w:r>
        <w:rPr>
          <w:rFonts w:hint="eastAsia" w:ascii="Times New Roman" w:hAnsi="Times New Roman"/>
          <w:color w:val="FF0000"/>
          <w:sz w:val="24"/>
          <w:szCs w:val="24"/>
        </w:rPr>
        <w:t>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w:t>
      </w:r>
      <w:r>
        <w:rPr>
          <w:rFonts w:ascii="Times New Roman" w:hAnsi="Times New Roman"/>
          <w:color w:val="FF0000"/>
          <w:sz w:val="24"/>
          <w:szCs w:val="24"/>
        </w:rPr>
        <w:t>每天损失的蒸汽量为57.6m</w:t>
      </w:r>
      <w:r>
        <w:rPr>
          <w:rFonts w:ascii="Times New Roman" w:hAnsi="Times New Roman"/>
          <w:color w:val="FF0000"/>
          <w:sz w:val="24"/>
          <w:szCs w:val="24"/>
          <w:vertAlign w:val="superscript"/>
        </w:rPr>
        <w:t>3</w:t>
      </w:r>
      <w:r>
        <w:rPr>
          <w:rFonts w:ascii="Times New Roman" w:hAnsi="Times New Roman"/>
          <w:color w:val="FF0000"/>
          <w:sz w:val="24"/>
          <w:szCs w:val="24"/>
        </w:rPr>
        <w:t>/</w:t>
      </w:r>
      <w:r>
        <w:rPr>
          <w:rFonts w:hint="eastAsia" w:ascii="Times New Roman" w:hAnsi="Times New Roman"/>
          <w:color w:val="FF0000"/>
          <w:sz w:val="24"/>
          <w:szCs w:val="24"/>
        </w:rPr>
        <w:t>d；</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为保证</w:t>
      </w:r>
      <w:r>
        <w:rPr>
          <w:rFonts w:ascii="Times New Roman" w:hAnsi="Times New Roman"/>
          <w:color w:val="FF0000"/>
          <w:sz w:val="24"/>
          <w:szCs w:val="24"/>
        </w:rPr>
        <w:t>锅炉使用寿命及效率，本项目</w:t>
      </w:r>
      <w:r>
        <w:rPr>
          <w:rFonts w:hint="eastAsia" w:ascii="Times New Roman" w:hAnsi="Times New Roman"/>
          <w:color w:val="FF0000"/>
          <w:sz w:val="24"/>
          <w:szCs w:val="24"/>
        </w:rPr>
        <w:t>使用</w:t>
      </w:r>
      <w:r>
        <w:rPr>
          <w:rFonts w:ascii="Times New Roman" w:hAnsi="Times New Roman"/>
          <w:color w:val="FF0000"/>
          <w:sz w:val="24"/>
          <w:szCs w:val="24"/>
        </w:rPr>
        <w:t>的锅炉设置钠离子交换器，用于除去水中钙离子、镁离子，将自来水制成软水供锅炉使用。制</w:t>
      </w:r>
      <w:r>
        <w:rPr>
          <w:rFonts w:hint="eastAsia" w:ascii="Times New Roman" w:hAnsi="Times New Roman"/>
          <w:color w:val="FF0000"/>
          <w:sz w:val="24"/>
          <w:szCs w:val="24"/>
        </w:rPr>
        <w:t>软水</w:t>
      </w:r>
      <w:r>
        <w:rPr>
          <w:rFonts w:ascii="Times New Roman" w:hAnsi="Times New Roman"/>
          <w:color w:val="FF0000"/>
          <w:sz w:val="24"/>
          <w:szCs w:val="24"/>
        </w:rPr>
        <w:t>过程中产生少量的</w:t>
      </w:r>
      <w:r>
        <w:rPr>
          <w:rFonts w:hint="eastAsia" w:ascii="Times New Roman" w:hAnsi="Times New Roman"/>
          <w:color w:val="FF0000"/>
          <w:sz w:val="24"/>
          <w:szCs w:val="24"/>
        </w:rPr>
        <w:t>废水产生（</w:t>
      </w:r>
      <w:bookmarkStart w:id="150" w:name="OLE_LINK1"/>
      <w:r>
        <w:rPr>
          <w:rFonts w:hint="eastAsia" w:ascii="Times New Roman" w:hAnsi="Times New Roman"/>
          <w:color w:val="FF0000"/>
          <w:sz w:val="24"/>
          <w:szCs w:val="24"/>
        </w:rPr>
        <w:t>反冲洗废水</w:t>
      </w:r>
      <w:bookmarkEnd w:id="150"/>
      <w:r>
        <w:rPr>
          <w:rFonts w:hint="eastAsia" w:ascii="Times New Roman" w:hAnsi="Times New Roman"/>
          <w:color w:val="FF0000"/>
          <w:sz w:val="24"/>
          <w:szCs w:val="24"/>
        </w:rPr>
        <w:t>）</w:t>
      </w:r>
      <w:r>
        <w:rPr>
          <w:rFonts w:ascii="Times New Roman" w:hAnsi="Times New Roman"/>
          <w:color w:val="FF0000"/>
          <w:sz w:val="24"/>
          <w:szCs w:val="24"/>
        </w:rPr>
        <w:t>，</w:t>
      </w:r>
      <w:r>
        <w:rPr>
          <w:rFonts w:hint="eastAsia" w:ascii="Times New Roman" w:hAnsi="Times New Roman"/>
          <w:color w:val="FF0000"/>
          <w:sz w:val="24"/>
          <w:szCs w:val="24"/>
        </w:rPr>
        <w:t>反冲洗废水</w:t>
      </w:r>
      <w:r>
        <w:rPr>
          <w:rFonts w:ascii="Times New Roman" w:hAnsi="Times New Roman"/>
          <w:color w:val="FF0000"/>
          <w:sz w:val="24"/>
          <w:szCs w:val="24"/>
        </w:rPr>
        <w:t>产生量按</w:t>
      </w:r>
      <w:r>
        <w:rPr>
          <w:rFonts w:hint="eastAsia" w:ascii="Times New Roman" w:hAnsi="Times New Roman"/>
          <w:color w:val="FF0000"/>
          <w:sz w:val="24"/>
          <w:szCs w:val="24"/>
        </w:rPr>
        <w:t>10</w:t>
      </w:r>
      <w:r>
        <w:rPr>
          <w:rFonts w:ascii="Times New Roman" w:hAnsi="Times New Roman"/>
          <w:color w:val="FF0000"/>
          <w:sz w:val="24"/>
          <w:szCs w:val="24"/>
        </w:rPr>
        <w:t>%计算，</w:t>
      </w:r>
      <w:r>
        <w:rPr>
          <w:rFonts w:hint="eastAsia" w:ascii="Times New Roman" w:hAnsi="Times New Roman"/>
          <w:color w:val="FF0000"/>
          <w:sz w:val="24"/>
          <w:szCs w:val="24"/>
        </w:rPr>
        <w:t>首次</w:t>
      </w:r>
      <w:r>
        <w:rPr>
          <w:rFonts w:ascii="Times New Roman" w:hAnsi="Times New Roman"/>
          <w:color w:val="FF0000"/>
          <w:sz w:val="24"/>
          <w:szCs w:val="24"/>
        </w:rPr>
        <w:t>制备软水需要水量为320</w:t>
      </w:r>
      <w:r>
        <w:rPr>
          <w:rFonts w:hint="eastAsia" w:ascii="Times New Roman" w:hAnsi="Times New Roman"/>
          <w:color w:val="FF0000"/>
          <w:sz w:val="24"/>
          <w:szCs w:val="24"/>
        </w:rPr>
        <w:t xml:space="preserve"> 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w:t>
      </w:r>
      <w:r>
        <w:rPr>
          <w:rFonts w:ascii="Times New Roman" w:hAnsi="Times New Roman"/>
          <w:color w:val="FF0000"/>
          <w:sz w:val="24"/>
          <w:szCs w:val="24"/>
        </w:rPr>
        <w:t>d</w:t>
      </w:r>
      <w:r>
        <w:rPr>
          <w:rFonts w:hint="eastAsia" w:ascii="Times New Roman" w:hAnsi="Times New Roman"/>
          <w:color w:val="FF0000"/>
          <w:sz w:val="24"/>
          <w:szCs w:val="24"/>
        </w:rPr>
        <w:t>，由于</w:t>
      </w:r>
      <w:r>
        <w:rPr>
          <w:rFonts w:ascii="Times New Roman" w:hAnsi="Times New Roman"/>
          <w:color w:val="FF0000"/>
          <w:sz w:val="24"/>
          <w:szCs w:val="24"/>
        </w:rPr>
        <w:t>每天蒸汽回收230.4</w:t>
      </w:r>
      <w:r>
        <w:rPr>
          <w:rFonts w:hint="eastAsia" w:ascii="Times New Roman" w:hAnsi="Times New Roman"/>
          <w:color w:val="FF0000"/>
          <w:sz w:val="24"/>
          <w:szCs w:val="24"/>
        </w:rPr>
        <w:t xml:space="preserve"> 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的</w:t>
      </w:r>
      <w:r>
        <w:rPr>
          <w:rFonts w:ascii="Times New Roman" w:hAnsi="Times New Roman"/>
          <w:color w:val="FF0000"/>
          <w:sz w:val="24"/>
          <w:szCs w:val="24"/>
        </w:rPr>
        <w:t>水量，</w:t>
      </w:r>
      <w:r>
        <w:rPr>
          <w:rFonts w:hint="eastAsia" w:ascii="Times New Roman" w:hAnsi="Times New Roman"/>
          <w:color w:val="FF0000"/>
          <w:sz w:val="24"/>
          <w:szCs w:val="24"/>
        </w:rPr>
        <w:t>往后</w:t>
      </w:r>
      <w:r>
        <w:rPr>
          <w:rFonts w:ascii="Times New Roman" w:hAnsi="Times New Roman"/>
          <w:color w:val="FF0000"/>
          <w:sz w:val="24"/>
          <w:szCs w:val="24"/>
        </w:rPr>
        <w:t>仅需每天补充57.6</w:t>
      </w:r>
      <w:r>
        <w:rPr>
          <w:rFonts w:hint="eastAsia" w:ascii="Times New Roman" w:hAnsi="Times New Roman"/>
          <w:color w:val="FF0000"/>
          <w:sz w:val="24"/>
          <w:szCs w:val="24"/>
        </w:rPr>
        <w:t xml:space="preserve"> 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w:t>
      </w:r>
      <w:r>
        <w:rPr>
          <w:rFonts w:ascii="Times New Roman" w:hAnsi="Times New Roman"/>
          <w:color w:val="FF0000"/>
          <w:sz w:val="24"/>
          <w:szCs w:val="24"/>
        </w:rPr>
        <w:t>d</w:t>
      </w:r>
      <w:r>
        <w:rPr>
          <w:rFonts w:hint="eastAsia" w:ascii="Times New Roman" w:hAnsi="Times New Roman"/>
          <w:color w:val="FF0000"/>
          <w:sz w:val="24"/>
          <w:szCs w:val="24"/>
        </w:rPr>
        <w:t>的软水量</w:t>
      </w:r>
      <w:r>
        <w:rPr>
          <w:rFonts w:ascii="Times New Roman" w:hAnsi="Times New Roman"/>
          <w:color w:val="FF0000"/>
          <w:sz w:val="24"/>
          <w:szCs w:val="24"/>
        </w:rPr>
        <w:t>；因此</w:t>
      </w:r>
      <w:r>
        <w:rPr>
          <w:rFonts w:hint="eastAsia" w:ascii="Times New Roman" w:hAnsi="Times New Roman"/>
          <w:color w:val="FF0000"/>
          <w:sz w:val="24"/>
          <w:szCs w:val="24"/>
        </w:rPr>
        <w:t>反冲洗废水</w:t>
      </w:r>
      <w:r>
        <w:rPr>
          <w:rFonts w:ascii="Times New Roman" w:hAnsi="Times New Roman"/>
          <w:color w:val="FF0000"/>
          <w:sz w:val="24"/>
          <w:szCs w:val="24"/>
        </w:rPr>
        <w:t>产生量为</w:t>
      </w:r>
      <w:r>
        <w:rPr>
          <w:rFonts w:hint="eastAsia" w:ascii="Times New Roman" w:hAnsi="Times New Roman"/>
          <w:color w:val="FF0000"/>
          <w:sz w:val="24"/>
          <w:szCs w:val="24"/>
        </w:rPr>
        <w:t>6.4m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/d，反冲洗废水</w:t>
      </w:r>
      <w:r>
        <w:rPr>
          <w:rFonts w:ascii="Times New Roman" w:hAnsi="Times New Roman"/>
          <w:color w:val="FF0000"/>
          <w:sz w:val="24"/>
          <w:szCs w:val="24"/>
        </w:rPr>
        <w:t>中主要为</w:t>
      </w:r>
      <w:r>
        <w:rPr>
          <w:rFonts w:hint="eastAsia" w:ascii="Times New Roman" w:hAnsi="Times New Roman"/>
          <w:color w:val="FF0000"/>
          <w:sz w:val="24"/>
          <w:szCs w:val="24"/>
        </w:rPr>
        <w:t>钙离子</w:t>
      </w:r>
      <w:r>
        <w:rPr>
          <w:rFonts w:ascii="Times New Roman" w:hAnsi="Times New Roman"/>
          <w:color w:val="FF0000"/>
          <w:sz w:val="24"/>
          <w:szCs w:val="24"/>
        </w:rPr>
        <w:t>和镁离子，</w:t>
      </w:r>
      <w:r>
        <w:rPr>
          <w:rFonts w:hint="eastAsia" w:ascii="Times New Roman" w:hAnsi="Times New Roman"/>
          <w:color w:val="FF0000"/>
          <w:sz w:val="24"/>
          <w:szCs w:val="24"/>
          <w:lang w:eastAsia="zh-CN"/>
        </w:rPr>
        <w:t>呈一定的酸碱性，</w:t>
      </w:r>
      <w:r>
        <w:rPr>
          <w:rFonts w:ascii="Times New Roman" w:hAnsi="Times New Roman"/>
          <w:color w:val="FF0000"/>
          <w:sz w:val="24"/>
          <w:szCs w:val="24"/>
        </w:rPr>
        <w:t>不含其它污染物，</w:t>
      </w:r>
      <w:r>
        <w:rPr>
          <w:rFonts w:hint="eastAsia" w:ascii="Times New Roman" w:hAnsi="Times New Roman"/>
          <w:color w:val="FF0000"/>
          <w:sz w:val="24"/>
          <w:szCs w:val="24"/>
        </w:rPr>
        <w:t>反冲洗废水</w:t>
      </w:r>
      <w:r>
        <w:rPr>
          <w:rFonts w:hint="eastAsia"/>
          <w:color w:val="FF0000"/>
          <w:sz w:val="24"/>
        </w:rPr>
        <w:t>下回用于水膜除尘</w:t>
      </w:r>
      <w:r>
        <w:rPr>
          <w:rFonts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4）生活用水</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项目运营期共有相关工作人员70人，厂内常住员工为60人。根据《云南省地方标准用水定额》（DB53/T168-2019），在项目内食宿员工用水量按城镇居民用水定额100L/人·d计算，则用水量为6m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/d，1800m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/a，废水产生率按80%计，则生活污水产生量约4.8m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/d，1440m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/a。项目内员工产生的生活废水包含了食堂废水，项目食堂废水约占生活污水的30%，则项目食堂废水为1.44m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/d。生活区的食堂废水经隔油池（2m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）处理后同其他生活污水进入化粪池（5m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）处理后，通过自建污水处理设施（处理规模6m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/d）处理后晴天回用于绿化，雨天回用于生产，不外排。</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项目运营过程中生活污水污染源强见下表。</w:t>
      </w:r>
    </w:p>
    <w:p>
      <w:pPr>
        <w:spacing w:line="360" w:lineRule="auto"/>
        <w:ind w:firstLine="482" w:firstLineChars="200"/>
        <w:jc w:val="center"/>
        <w:rPr>
          <w:rFonts w:ascii="Times New Roman" w:hAnsi="Times New Roman"/>
          <w:b/>
          <w:color w:val="FF0000"/>
          <w:sz w:val="24"/>
          <w:szCs w:val="24"/>
        </w:rPr>
      </w:pPr>
      <w:r>
        <w:rPr>
          <w:rFonts w:hint="eastAsia" w:ascii="Times New Roman" w:hAnsi="Times New Roman"/>
          <w:b/>
          <w:color w:val="FF0000"/>
          <w:sz w:val="24"/>
          <w:szCs w:val="24"/>
        </w:rPr>
        <w:t>表3.2-</w:t>
      </w:r>
      <w:r>
        <w:rPr>
          <w:rFonts w:ascii="Times New Roman" w:hAnsi="Times New Roman"/>
          <w:b/>
          <w:color w:val="FF0000"/>
          <w:sz w:val="24"/>
          <w:szCs w:val="24"/>
        </w:rPr>
        <w:t>7</w:t>
      </w:r>
      <w:r>
        <w:rPr>
          <w:rFonts w:hint="eastAsia" w:ascii="Times New Roman" w:hAnsi="Times New Roman"/>
          <w:b/>
          <w:color w:val="FF0000"/>
          <w:sz w:val="24"/>
          <w:szCs w:val="24"/>
        </w:rPr>
        <w:t xml:space="preserve">   废水污染物污染源强表</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08"/>
        <w:gridCol w:w="993"/>
        <w:gridCol w:w="992"/>
        <w:gridCol w:w="992"/>
        <w:gridCol w:w="992"/>
        <w:gridCol w:w="993"/>
        <w:gridCol w:w="23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spacing w:line="240" w:lineRule="atLeast"/>
              <w:jc w:val="center"/>
              <w:rPr>
                <w:rFonts w:ascii="Times New Roman" w:hAnsi="Times New Roman" w:eastAsia="宋体" w:cs="Times New Roman"/>
                <w:b/>
                <w:color w:val="FF0000"/>
                <w:kern w:val="0"/>
                <w:szCs w:val="28"/>
              </w:rPr>
            </w:pPr>
            <w:r>
              <w:rPr>
                <w:rFonts w:hint="eastAsia" w:ascii="Times New Roman" w:hAnsi="Times New Roman" w:eastAsia="宋体" w:cs="Times New Roman"/>
                <w:b/>
                <w:color w:val="FF0000"/>
                <w:kern w:val="0"/>
                <w:szCs w:val="28"/>
              </w:rPr>
              <w:t>种类</w:t>
            </w:r>
          </w:p>
        </w:tc>
        <w:tc>
          <w:tcPr>
            <w:tcW w:w="708" w:type="dxa"/>
            <w:vMerge w:val="restart"/>
            <w:vAlign w:val="center"/>
          </w:tcPr>
          <w:p>
            <w:pPr>
              <w:spacing w:line="240" w:lineRule="atLeast"/>
              <w:jc w:val="center"/>
              <w:rPr>
                <w:rFonts w:ascii="Times New Roman" w:hAnsi="Times New Roman" w:eastAsia="宋体" w:cs="Times New Roman"/>
                <w:b/>
                <w:color w:val="FF0000"/>
                <w:kern w:val="0"/>
                <w:szCs w:val="28"/>
              </w:rPr>
            </w:pPr>
            <w:r>
              <w:rPr>
                <w:rFonts w:hint="eastAsia" w:ascii="Times New Roman" w:hAnsi="Times New Roman" w:eastAsia="宋体" w:cs="Times New Roman"/>
                <w:b/>
                <w:color w:val="FF0000"/>
                <w:kern w:val="0"/>
                <w:szCs w:val="28"/>
              </w:rPr>
              <w:t>产生量</w:t>
            </w:r>
          </w:p>
        </w:tc>
        <w:tc>
          <w:tcPr>
            <w:tcW w:w="993" w:type="dxa"/>
            <w:vMerge w:val="restart"/>
            <w:vAlign w:val="center"/>
          </w:tcPr>
          <w:p>
            <w:pPr>
              <w:spacing w:line="240" w:lineRule="atLeast"/>
              <w:jc w:val="center"/>
              <w:rPr>
                <w:rFonts w:ascii="Times New Roman" w:hAnsi="Times New Roman" w:eastAsia="宋体" w:cs="Times New Roman"/>
                <w:b/>
                <w:color w:val="FF0000"/>
                <w:kern w:val="0"/>
                <w:szCs w:val="28"/>
              </w:rPr>
            </w:pPr>
            <w:r>
              <w:rPr>
                <w:rFonts w:hint="eastAsia" w:ascii="Times New Roman" w:hAnsi="Times New Roman" w:eastAsia="宋体" w:cs="Times New Roman"/>
                <w:b/>
                <w:color w:val="FF0000"/>
                <w:kern w:val="0"/>
                <w:szCs w:val="28"/>
              </w:rPr>
              <w:t>污染因子</w:t>
            </w:r>
          </w:p>
        </w:tc>
        <w:tc>
          <w:tcPr>
            <w:tcW w:w="1984" w:type="dxa"/>
            <w:gridSpan w:val="2"/>
            <w:vAlign w:val="center"/>
          </w:tcPr>
          <w:p>
            <w:pPr>
              <w:spacing w:line="240" w:lineRule="atLeast"/>
              <w:jc w:val="center"/>
              <w:rPr>
                <w:rFonts w:ascii="Times New Roman" w:hAnsi="Times New Roman" w:eastAsia="宋体" w:cs="Times New Roman"/>
                <w:b/>
                <w:color w:val="FF0000"/>
                <w:kern w:val="0"/>
                <w:szCs w:val="28"/>
              </w:rPr>
            </w:pPr>
            <w:r>
              <w:rPr>
                <w:rFonts w:hint="eastAsia" w:ascii="Times New Roman" w:hAnsi="Times New Roman" w:eastAsia="宋体" w:cs="Times New Roman"/>
                <w:b/>
                <w:color w:val="FF0000"/>
                <w:kern w:val="0"/>
                <w:szCs w:val="28"/>
              </w:rPr>
              <w:t>污染源强</w:t>
            </w:r>
          </w:p>
        </w:tc>
        <w:tc>
          <w:tcPr>
            <w:tcW w:w="1985" w:type="dxa"/>
            <w:gridSpan w:val="2"/>
            <w:vAlign w:val="center"/>
          </w:tcPr>
          <w:p>
            <w:pPr>
              <w:spacing w:line="240" w:lineRule="atLeast"/>
              <w:jc w:val="center"/>
              <w:rPr>
                <w:rFonts w:ascii="Times New Roman" w:hAnsi="Times New Roman" w:eastAsia="宋体" w:cs="Times New Roman"/>
                <w:b/>
                <w:color w:val="FF0000"/>
                <w:kern w:val="0"/>
                <w:szCs w:val="28"/>
              </w:rPr>
            </w:pPr>
            <w:r>
              <w:rPr>
                <w:rFonts w:hint="eastAsia" w:ascii="Times New Roman" w:hAnsi="Times New Roman" w:eastAsia="宋体" w:cs="Times New Roman"/>
                <w:b/>
                <w:color w:val="FF0000"/>
                <w:kern w:val="0"/>
                <w:szCs w:val="28"/>
              </w:rPr>
              <w:t>排放源强</w:t>
            </w:r>
          </w:p>
        </w:tc>
        <w:tc>
          <w:tcPr>
            <w:tcW w:w="2318" w:type="dxa"/>
            <w:vAlign w:val="center"/>
          </w:tcPr>
          <w:p>
            <w:pPr>
              <w:spacing w:line="240" w:lineRule="atLeast"/>
              <w:jc w:val="center"/>
              <w:rPr>
                <w:rFonts w:ascii="Times New Roman" w:hAnsi="Times New Roman" w:eastAsia="宋体" w:cs="Times New Roman"/>
                <w:b/>
                <w:color w:val="FF0000"/>
                <w:kern w:val="0"/>
                <w:szCs w:val="28"/>
              </w:rPr>
            </w:pPr>
            <w:r>
              <w:rPr>
                <w:rFonts w:hint="eastAsia" w:ascii="Times New Roman" w:hAnsi="Times New Roman" w:eastAsia="宋体" w:cs="Times New Roman"/>
                <w:b/>
                <w:color w:val="FF0000"/>
                <w:kern w:val="0"/>
                <w:szCs w:val="28"/>
              </w:rPr>
              <w:t>拟采取的处理措施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tLeast"/>
              <w:ind w:firstLine="420"/>
              <w:jc w:val="center"/>
              <w:rPr>
                <w:rFonts w:ascii="Times New Roman" w:hAnsi="Times New Roman" w:eastAsia="宋体" w:cs="Times New Roman"/>
                <w:color w:val="FF0000"/>
                <w:kern w:val="0"/>
                <w:szCs w:val="28"/>
              </w:rPr>
            </w:pPr>
          </w:p>
        </w:tc>
        <w:tc>
          <w:tcPr>
            <w:tcW w:w="708"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993"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mg/L</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t/a</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mg/L</w:t>
            </w: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t/a</w:t>
            </w:r>
          </w:p>
        </w:tc>
        <w:tc>
          <w:tcPr>
            <w:tcW w:w="2318" w:type="dxa"/>
            <w:vMerge w:val="restart"/>
            <w:vAlign w:val="center"/>
          </w:tcPr>
          <w:p>
            <w:pPr>
              <w:spacing w:line="240" w:lineRule="atLeast"/>
              <w:jc w:val="left"/>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生活区的食堂废水经隔油池（2m</w:t>
            </w:r>
            <w:r>
              <w:rPr>
                <w:rFonts w:hint="eastAsia" w:ascii="Times New Roman" w:hAnsi="Times New Roman" w:eastAsia="宋体" w:cs="Times New Roman"/>
                <w:color w:val="FF0000"/>
                <w:kern w:val="0"/>
                <w:szCs w:val="28"/>
                <w:vertAlign w:val="superscript"/>
              </w:rPr>
              <w:t>3</w:t>
            </w:r>
            <w:r>
              <w:rPr>
                <w:rFonts w:hint="eastAsia" w:ascii="Times New Roman" w:hAnsi="Times New Roman" w:eastAsia="宋体" w:cs="Times New Roman"/>
                <w:color w:val="FF0000"/>
                <w:kern w:val="0"/>
                <w:szCs w:val="28"/>
              </w:rPr>
              <w:t>）处理后同其他生活污水进入化粪池（5m</w:t>
            </w:r>
            <w:r>
              <w:rPr>
                <w:rFonts w:hint="eastAsia" w:ascii="Times New Roman" w:hAnsi="Times New Roman" w:eastAsia="宋体" w:cs="Times New Roman"/>
                <w:color w:val="FF0000"/>
                <w:kern w:val="0"/>
                <w:szCs w:val="28"/>
                <w:vertAlign w:val="superscript"/>
              </w:rPr>
              <w:t>3</w:t>
            </w:r>
            <w:r>
              <w:rPr>
                <w:rFonts w:hint="eastAsia" w:ascii="Times New Roman" w:hAnsi="Times New Roman" w:eastAsia="宋体" w:cs="Times New Roman"/>
                <w:color w:val="FF0000"/>
                <w:kern w:val="0"/>
                <w:szCs w:val="28"/>
              </w:rPr>
              <w:t>）处理后，通过自建的污水处理设施（处理规模为6m</w:t>
            </w:r>
            <w:r>
              <w:rPr>
                <w:rFonts w:hint="eastAsia" w:ascii="Times New Roman" w:hAnsi="Times New Roman" w:eastAsia="宋体" w:cs="Times New Roman"/>
                <w:color w:val="FF0000"/>
                <w:kern w:val="0"/>
                <w:szCs w:val="28"/>
                <w:vertAlign w:val="superscript"/>
              </w:rPr>
              <w:t>3</w:t>
            </w:r>
            <w:r>
              <w:rPr>
                <w:rFonts w:hint="eastAsia" w:ascii="Times New Roman" w:hAnsi="Times New Roman" w:eastAsia="宋体" w:cs="Times New Roman"/>
                <w:color w:val="FF0000"/>
                <w:kern w:val="0"/>
                <w:szCs w:val="28"/>
              </w:rPr>
              <w:t>/d）处理后晴天回用于绿化，雨天回用于生产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34" w:type="dxa"/>
            <w:vMerge w:val="restar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生活污水</w:t>
            </w:r>
          </w:p>
        </w:tc>
        <w:tc>
          <w:tcPr>
            <w:tcW w:w="708" w:type="dxa"/>
            <w:vMerge w:val="restart"/>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1440</w:t>
            </w:r>
          </w:p>
          <w:p>
            <w:pPr>
              <w:spacing w:line="240" w:lineRule="atLeast"/>
              <w:jc w:val="center"/>
              <w:rPr>
                <w:rFonts w:ascii="Times New Roman" w:hAnsi="Times New Roman" w:eastAsia="宋体" w:cs="Times New Roman"/>
                <w:color w:val="FF0000"/>
                <w:kern w:val="0"/>
                <w:szCs w:val="28"/>
              </w:rPr>
            </w:pPr>
            <w:r>
              <w:rPr>
                <w:rFonts w:hint="eastAsia" w:ascii="Times New Roman" w:hAnsi="宋体" w:eastAsia="宋体" w:cs="Times New Roman"/>
                <w:color w:val="FF0000"/>
                <w:kern w:val="0"/>
                <w:sz w:val="20"/>
                <w:szCs w:val="28"/>
              </w:rPr>
              <w:t>m</w:t>
            </w:r>
            <w:r>
              <w:rPr>
                <w:rFonts w:hint="eastAsia" w:ascii="Times New Roman" w:hAnsi="宋体" w:eastAsia="宋体" w:cs="Times New Roman"/>
                <w:color w:val="FF0000"/>
                <w:kern w:val="0"/>
                <w:sz w:val="20"/>
                <w:szCs w:val="28"/>
                <w:vertAlign w:val="superscript"/>
              </w:rPr>
              <w:t>3</w:t>
            </w:r>
            <w:r>
              <w:rPr>
                <w:rFonts w:hint="eastAsia" w:ascii="Times New Roman" w:hAnsi="宋体" w:eastAsia="宋体" w:cs="Times New Roman"/>
                <w:color w:val="FF0000"/>
                <w:kern w:val="0"/>
                <w:sz w:val="20"/>
                <w:szCs w:val="28"/>
              </w:rPr>
              <w:t>/a</w:t>
            </w: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CODcr</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350</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0.504</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45</w:t>
            </w: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0.0648</w:t>
            </w:r>
          </w:p>
        </w:tc>
        <w:tc>
          <w:tcPr>
            <w:tcW w:w="2318" w:type="dxa"/>
            <w:vMerge w:val="continue"/>
            <w:vAlign w:val="center"/>
          </w:tcPr>
          <w:p>
            <w:pPr>
              <w:spacing w:line="240" w:lineRule="atLeast"/>
              <w:jc w:val="left"/>
              <w:rPr>
                <w:rFonts w:ascii="Times New Roman" w:hAnsi="Times New Roman" w:eastAsia="宋体" w:cs="Times New Roman"/>
                <w:color w:val="FF0000"/>
                <w:kern w:val="0"/>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708"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BOD</w:t>
            </w:r>
            <w:r>
              <w:rPr>
                <w:rFonts w:hint="eastAsia" w:ascii="Times New Roman" w:hAnsi="Times New Roman" w:eastAsia="宋体" w:cs="Times New Roman"/>
                <w:color w:val="FF0000"/>
                <w:kern w:val="0"/>
                <w:szCs w:val="28"/>
                <w:vertAlign w:val="subscript"/>
              </w:rPr>
              <w:t>5</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200</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0.288</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10</w:t>
            </w: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0.0144</w:t>
            </w:r>
          </w:p>
        </w:tc>
        <w:tc>
          <w:tcPr>
            <w:tcW w:w="2318" w:type="dxa"/>
            <w:vMerge w:val="continue"/>
            <w:vAlign w:val="center"/>
          </w:tcPr>
          <w:p>
            <w:pPr>
              <w:spacing w:line="240" w:lineRule="atLeast"/>
              <w:jc w:val="center"/>
              <w:rPr>
                <w:rFonts w:ascii="Times New Roman" w:hAnsi="Times New Roman" w:eastAsia="宋体" w:cs="Times New Roman"/>
                <w:color w:val="FF0000"/>
                <w:kern w:val="0"/>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708"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SS</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250</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0.36</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10</w:t>
            </w: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0.0144</w:t>
            </w:r>
          </w:p>
        </w:tc>
        <w:tc>
          <w:tcPr>
            <w:tcW w:w="2318" w:type="dxa"/>
            <w:vMerge w:val="continue"/>
            <w:vAlign w:val="center"/>
          </w:tcPr>
          <w:p>
            <w:pPr>
              <w:spacing w:line="240" w:lineRule="atLeast"/>
              <w:jc w:val="center"/>
              <w:rPr>
                <w:rFonts w:ascii="Times New Roman" w:hAnsi="Times New Roman" w:eastAsia="宋体" w:cs="Times New Roman"/>
                <w:color w:val="FF0000"/>
                <w:kern w:val="0"/>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708"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NH</w:t>
            </w:r>
            <w:r>
              <w:rPr>
                <w:rFonts w:hint="eastAsia" w:ascii="Times New Roman" w:hAnsi="Times New Roman" w:eastAsia="宋体" w:cs="Times New Roman"/>
                <w:color w:val="FF0000"/>
                <w:kern w:val="0"/>
                <w:szCs w:val="28"/>
                <w:vertAlign w:val="subscript"/>
              </w:rPr>
              <w:t>3</w:t>
            </w:r>
            <w:r>
              <w:rPr>
                <w:rFonts w:hint="eastAsia" w:ascii="Times New Roman" w:hAnsi="Times New Roman" w:eastAsia="宋体" w:cs="Times New Roman"/>
                <w:color w:val="FF0000"/>
                <w:kern w:val="0"/>
                <w:szCs w:val="28"/>
              </w:rPr>
              <w:t>-N</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35</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0.0504</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10</w:t>
            </w: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0.0144</w:t>
            </w:r>
          </w:p>
        </w:tc>
        <w:tc>
          <w:tcPr>
            <w:tcW w:w="2318" w:type="dxa"/>
            <w:vMerge w:val="continue"/>
            <w:vAlign w:val="center"/>
          </w:tcPr>
          <w:p>
            <w:pPr>
              <w:spacing w:line="240" w:lineRule="atLeast"/>
              <w:jc w:val="center"/>
              <w:rPr>
                <w:rFonts w:ascii="Times New Roman" w:hAnsi="Times New Roman" w:eastAsia="宋体" w:cs="Times New Roman"/>
                <w:color w:val="FF0000"/>
                <w:kern w:val="0"/>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708"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TP</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1</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0.00144</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1</w:t>
            </w: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0.00144</w:t>
            </w:r>
          </w:p>
        </w:tc>
        <w:tc>
          <w:tcPr>
            <w:tcW w:w="2318" w:type="dxa"/>
            <w:vMerge w:val="continue"/>
            <w:vAlign w:val="center"/>
          </w:tcPr>
          <w:p>
            <w:pPr>
              <w:spacing w:line="240" w:lineRule="atLeast"/>
              <w:jc w:val="center"/>
              <w:rPr>
                <w:rFonts w:ascii="Times New Roman" w:hAnsi="Times New Roman" w:eastAsia="宋体" w:cs="Times New Roman"/>
                <w:color w:val="FF0000"/>
                <w:kern w:val="0"/>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708" w:type="dxa"/>
            <w:vMerge w:val="continue"/>
            <w:vAlign w:val="center"/>
          </w:tcPr>
          <w:p>
            <w:pPr>
              <w:spacing w:line="240" w:lineRule="atLeast"/>
              <w:jc w:val="center"/>
              <w:rPr>
                <w:rFonts w:ascii="Times New Roman" w:hAnsi="Times New Roman" w:eastAsia="宋体" w:cs="Times New Roman"/>
                <w:color w:val="FF0000"/>
                <w:kern w:val="0"/>
                <w:szCs w:val="28"/>
              </w:rPr>
            </w:pP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动植物油</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100</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0.144</w:t>
            </w:r>
          </w:p>
        </w:tc>
        <w:tc>
          <w:tcPr>
            <w:tcW w:w="99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40</w:t>
            </w:r>
          </w:p>
        </w:tc>
        <w:tc>
          <w:tcPr>
            <w:tcW w:w="993"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0.0576</w:t>
            </w:r>
          </w:p>
        </w:tc>
        <w:tc>
          <w:tcPr>
            <w:tcW w:w="2318" w:type="dxa"/>
            <w:vMerge w:val="continue"/>
            <w:vAlign w:val="center"/>
          </w:tcPr>
          <w:p>
            <w:pPr>
              <w:spacing w:line="240" w:lineRule="atLeast"/>
              <w:jc w:val="center"/>
              <w:rPr>
                <w:rFonts w:ascii="Times New Roman" w:hAnsi="Times New Roman" w:eastAsia="宋体" w:cs="Times New Roman"/>
                <w:color w:val="FF0000"/>
                <w:kern w:val="0"/>
                <w:szCs w:val="28"/>
              </w:rPr>
            </w:pPr>
          </w:p>
        </w:tc>
      </w:tr>
    </w:tbl>
    <w:p>
      <w:pPr>
        <w:spacing w:line="360" w:lineRule="auto"/>
        <w:ind w:firstLine="480" w:firstLineChars="200"/>
        <w:rPr>
          <w:rFonts w:hint="eastAsia" w:ascii="Times New Roman" w:hAnsi="Times New Roman"/>
          <w:color w:val="FF0000"/>
          <w:sz w:val="24"/>
          <w:szCs w:val="24"/>
        </w:rPr>
      </w:pPr>
      <w:r>
        <w:rPr>
          <w:rFonts w:hint="eastAsia" w:ascii="Times New Roman" w:hAnsi="Times New Roman"/>
          <w:color w:val="FF0000"/>
          <w:sz w:val="24"/>
          <w:szCs w:val="24"/>
        </w:rPr>
        <w:t>项目拟建设一个污水处理设施，考虑1.2的</w:t>
      </w:r>
      <w:r>
        <w:rPr>
          <w:rFonts w:hint="eastAsia" w:ascii="Times New Roman" w:hAnsi="Times New Roman"/>
          <w:color w:val="FF0000"/>
          <w:sz w:val="24"/>
          <w:szCs w:val="24"/>
          <w:lang w:eastAsia="zh-CN"/>
        </w:rPr>
        <w:t>富余</w:t>
      </w:r>
      <w:r>
        <w:rPr>
          <w:rFonts w:hint="eastAsia" w:ascii="Times New Roman" w:hAnsi="Times New Roman"/>
          <w:color w:val="FF0000"/>
          <w:sz w:val="24"/>
          <w:szCs w:val="24"/>
        </w:rPr>
        <w:t>系数。每天处理污水能力不低于5.76m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。因此建议项目污水处理设施处理规模为6m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/d。污水处理工艺流程如下图所示：</w:t>
      </w:r>
    </w:p>
    <w:p>
      <w:pPr>
        <w:pStyle w:val="2"/>
      </w:pP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mc:AlternateContent>
          <mc:Choice Requires="wps">
            <w:drawing>
              <wp:anchor distT="0" distB="0" distL="114300" distR="114300" simplePos="0" relativeHeight="251790336" behindDoc="0" locked="0" layoutInCell="1" allowOverlap="1">
                <wp:simplePos x="0" y="0"/>
                <wp:positionH relativeFrom="column">
                  <wp:posOffset>2317750</wp:posOffset>
                </wp:positionH>
                <wp:positionV relativeFrom="paragraph">
                  <wp:posOffset>177165</wp:posOffset>
                </wp:positionV>
                <wp:extent cx="847725" cy="295275"/>
                <wp:effectExtent l="0" t="0" r="28575" b="28575"/>
                <wp:wrapNone/>
                <wp:docPr id="112" name="Text Box 204"/>
                <wp:cNvGraphicFramePr/>
                <a:graphic xmlns:a="http://schemas.openxmlformats.org/drawingml/2006/main">
                  <a:graphicData uri="http://schemas.microsoft.com/office/word/2010/wordprocessingShape">
                    <wps:wsp>
                      <wps:cNvSpPr txBox="1">
                        <a:spLocks noChangeArrowheads="1"/>
                      </wps:cNvSpPr>
                      <wps:spPr bwMode="auto">
                        <a:xfrm>
                          <a:off x="0" y="0"/>
                          <a:ext cx="847725" cy="295275"/>
                        </a:xfrm>
                        <a:prstGeom prst="rect">
                          <a:avLst/>
                        </a:prstGeom>
                        <a:solidFill>
                          <a:srgbClr val="FFFFFF">
                            <a:alpha val="0"/>
                          </a:srgbClr>
                        </a:solidFill>
                        <a:ln w="9525">
                          <a:solidFill>
                            <a:schemeClr val="bg1">
                              <a:lumMod val="100000"/>
                              <a:lumOff val="0"/>
                            </a:schemeClr>
                          </a:solidFill>
                          <a:miter lim="800000"/>
                        </a:ln>
                      </wps:spPr>
                      <wps:txbx>
                        <w:txbxContent>
                          <w:p>
                            <w:pPr>
                              <w:spacing w:line="240" w:lineRule="atLeast"/>
                              <w:jc w:val="center"/>
                              <w:rPr>
                                <w:szCs w:val="21"/>
                              </w:rPr>
                            </w:pPr>
                            <w:r>
                              <w:rPr>
                                <w:rFonts w:hint="eastAsia"/>
                                <w:szCs w:val="21"/>
                              </w:rPr>
                              <w:t>生活污水</w:t>
                            </w:r>
                          </w:p>
                        </w:txbxContent>
                      </wps:txbx>
                      <wps:bodyPr rot="0" vert="horz" wrap="square" lIns="91440" tIns="45720" rIns="91440" bIns="45720" anchor="t" anchorCtr="0" upright="1">
                        <a:noAutofit/>
                      </wps:bodyPr>
                    </wps:wsp>
                  </a:graphicData>
                </a:graphic>
              </wp:anchor>
            </w:drawing>
          </mc:Choice>
          <mc:Fallback>
            <w:pict>
              <v:shape id="Text Box 204" o:spid="_x0000_s1026" o:spt="202" type="#_x0000_t202" style="position:absolute;left:0pt;margin-left:182.5pt;margin-top:13.95pt;height:23.25pt;width:66.75pt;z-index:251790336;mso-width-relative:page;mso-height-relative:page;" fillcolor="#FFFFFF" filled="t" stroked="t" coordsize="21600,21600" o:gfxdata="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uP1bZAAAACQEAAA8AAAAAAAAAAQAgAAAAIgAAAGRycy9kb3ducmV2Lnht&#10;bFBLAQIUABQAAAAIAIdO4kDkmlV4MQIAAI4EAAAOAAAAAAAAAAEAIAAAACgBAABkcnMvZTJvRG9j&#10;LnhtbFBLBQYAAAAABgAGAFkBAADLBQAAAAA=&#10;">
                <v:fill on="t" opacity="0f" focussize="0,0"/>
                <v:stroke color="#FFFFFF [3228]" miterlimit="8" joinstyle="miter"/>
                <v:imagedata o:title=""/>
                <o:lock v:ext="edit" aspectratio="f"/>
                <v:textbox>
                  <w:txbxContent>
                    <w:p>
                      <w:pPr>
                        <w:spacing w:line="240" w:lineRule="atLeast"/>
                        <w:jc w:val="center"/>
                        <w:rPr>
                          <w:szCs w:val="21"/>
                        </w:rPr>
                      </w:pPr>
                      <w:r>
                        <w:rPr>
                          <w:rFonts w:hint="eastAsia"/>
                          <w:szCs w:val="21"/>
                        </w:rPr>
                        <w:t>生活污水</w:t>
                      </w:r>
                    </w:p>
                  </w:txbxContent>
                </v:textbox>
              </v:shape>
            </w:pict>
          </mc:Fallback>
        </mc:AlternateConten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mc:AlternateContent>
          <mc:Choice Requires="wps">
            <w:drawing>
              <wp:anchor distT="0" distB="0" distL="114300" distR="114300" simplePos="0" relativeHeight="251799552" behindDoc="0" locked="0" layoutInCell="1" allowOverlap="1">
                <wp:simplePos x="0" y="0"/>
                <wp:positionH relativeFrom="column">
                  <wp:posOffset>2720975</wp:posOffset>
                </wp:positionH>
                <wp:positionV relativeFrom="paragraph">
                  <wp:posOffset>175895</wp:posOffset>
                </wp:positionV>
                <wp:extent cx="6350" cy="199390"/>
                <wp:effectExtent l="53975" t="8255" r="53975" b="20955"/>
                <wp:wrapNone/>
                <wp:docPr id="111" name="AutoShape 210"/>
                <wp:cNvGraphicFramePr/>
                <a:graphic xmlns:a="http://schemas.openxmlformats.org/drawingml/2006/main">
                  <a:graphicData uri="http://schemas.microsoft.com/office/word/2010/wordprocessingShape">
                    <wps:wsp>
                      <wps:cNvCnPr>
                        <a:cxnSpLocks noChangeShapeType="1"/>
                      </wps:cNvCnPr>
                      <wps:spPr bwMode="auto">
                        <a:xfrm flipH="1">
                          <a:off x="0" y="0"/>
                          <a:ext cx="6350" cy="199390"/>
                        </a:xfrm>
                        <a:prstGeom prst="straightConnector1">
                          <a:avLst/>
                        </a:prstGeom>
                        <a:noFill/>
                        <a:ln w="9525">
                          <a:solidFill>
                            <a:srgbClr val="000000"/>
                          </a:solidFill>
                          <a:round/>
                          <a:tailEnd type="triangle" w="med" len="med"/>
                        </a:ln>
                      </wps:spPr>
                      <wps:bodyPr/>
                    </wps:wsp>
                  </a:graphicData>
                </a:graphic>
              </wp:anchor>
            </w:drawing>
          </mc:Choice>
          <mc:Fallback>
            <w:pict>
              <v:shape id="AutoShape 210" o:spid="_x0000_s1026" o:spt="32" type="#_x0000_t32" style="position:absolute;left:0pt;flip:x;margin-left:214.25pt;margin-top:13.85pt;height:15.7pt;width:0.5pt;z-index:251799552;mso-width-relative:page;mso-height-relative:page;" filled="f" stroked="t" coordsize="21600,21600" o:gfxdata="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KbqTHZAAAACQEA&#10;AA8AAAAAAAAAAQAgAAAAIgAAAGRycy9kb3ducmV2LnhtbFBLAQIUABQAAAAIAIdO4kDt8Ysn4AEA&#10;AKIDAAAOAAAAAAAAAAEAIAAAACgBAABkcnMvZTJvRG9jLnhtbFBLBQYAAAAABgAGAFkBAAB6BQAA&#10;AAA=&#10;">
                <v:fill on="f" focussize="0,0"/>
                <v:stroke color="#000000" joinstyle="round" endarrow="block"/>
                <v:imagedata o:title=""/>
                <o:lock v:ext="edit" aspectratio="f"/>
              </v:shape>
            </w:pict>
          </mc:Fallback>
        </mc:AlternateContent>
      </w:r>
      <w:r>
        <w:rPr>
          <w:rFonts w:hint="eastAsia" w:ascii="Times New Roman" w:hAnsi="Times New Roman"/>
          <w:color w:val="FF0000"/>
          <w:sz w:val="24"/>
          <w:szCs w:val="24"/>
        </w:rPr>
        <w:t xml:space="preserve"> </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mc:AlternateContent>
          <mc:Choice Requires="wps">
            <w:drawing>
              <wp:anchor distT="0" distB="0" distL="114300" distR="114300" simplePos="0" relativeHeight="251794432" behindDoc="0" locked="0" layoutInCell="1" allowOverlap="1">
                <wp:simplePos x="0" y="0"/>
                <wp:positionH relativeFrom="column">
                  <wp:posOffset>2298700</wp:posOffset>
                </wp:positionH>
                <wp:positionV relativeFrom="paragraph">
                  <wp:posOffset>71120</wp:posOffset>
                </wp:positionV>
                <wp:extent cx="847725" cy="295275"/>
                <wp:effectExtent l="12700" t="10160" r="6350" b="8890"/>
                <wp:wrapNone/>
                <wp:docPr id="110" name="Text Box 205"/>
                <wp:cNvGraphicFramePr/>
                <a:graphic xmlns:a="http://schemas.openxmlformats.org/drawingml/2006/main">
                  <a:graphicData uri="http://schemas.microsoft.com/office/word/2010/wordprocessingShape">
                    <wps:wsp>
                      <wps:cNvSpPr txBox="1">
                        <a:spLocks noChangeArrowheads="1"/>
                      </wps:cNvSpPr>
                      <wps:spPr bwMode="auto">
                        <a:xfrm>
                          <a:off x="0" y="0"/>
                          <a:ext cx="847725" cy="295275"/>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格栅</w:t>
                            </w:r>
                          </w:p>
                        </w:txbxContent>
                      </wps:txbx>
                      <wps:bodyPr rot="0" vert="horz" wrap="square" lIns="91440" tIns="45720" rIns="91440" bIns="45720" anchor="t" anchorCtr="0" upright="1">
                        <a:noAutofit/>
                      </wps:bodyPr>
                    </wps:wsp>
                  </a:graphicData>
                </a:graphic>
              </wp:anchor>
            </w:drawing>
          </mc:Choice>
          <mc:Fallback>
            <w:pict>
              <v:shape id="Text Box 205" o:spid="_x0000_s1026" o:spt="202" type="#_x0000_t202" style="position:absolute;left:0pt;margin-left:181pt;margin-top:5.6pt;height:23.25pt;width:66.75pt;z-index:251794432;mso-width-relative:page;mso-height-relative:page;" fillcolor="#FFFFFF" filled="t" stroked="t" coordsize="21600,21600" o:gfxdata="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6H842QAAAAkBAAAPAAAA&#10;AAAAAAEAIAAAACIAAABkcnMvZG93bnJldi54bWxQSwECFAAUAAAACACHTuJAPLMQRhQCAAA7BAAA&#10;DgAAAAAAAAABACAAAAAoAQAAZHJzL2Uyb0RvYy54bWxQSwUGAAAAAAYABgBZAQAArgU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格栅</w:t>
                      </w:r>
                    </w:p>
                  </w:txbxContent>
                </v:textbox>
              </v:shape>
            </w:pict>
          </mc:Fallback>
        </mc:AlternateConten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mc:AlternateContent>
          <mc:Choice Requires="wps">
            <w:drawing>
              <wp:anchor distT="0" distB="0" distL="114300" distR="114300" simplePos="0" relativeHeight="251800576" behindDoc="0" locked="0" layoutInCell="1" allowOverlap="1">
                <wp:simplePos x="0" y="0"/>
                <wp:positionH relativeFrom="column">
                  <wp:posOffset>2719705</wp:posOffset>
                </wp:positionH>
                <wp:positionV relativeFrom="paragraph">
                  <wp:posOffset>76200</wp:posOffset>
                </wp:positionV>
                <wp:extent cx="0" cy="123825"/>
                <wp:effectExtent l="52705" t="7620" r="61595" b="20955"/>
                <wp:wrapNone/>
                <wp:docPr id="109" name="AutoShape 211"/>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tailEnd type="triangle" w="med" len="med"/>
                        </a:ln>
                      </wps:spPr>
                      <wps:bodyPr/>
                    </wps:wsp>
                  </a:graphicData>
                </a:graphic>
              </wp:anchor>
            </w:drawing>
          </mc:Choice>
          <mc:Fallback>
            <w:pict>
              <v:shape id="AutoShape 211" o:spid="_x0000_s1026" o:spt="32" type="#_x0000_t32" style="position:absolute;left:0pt;margin-left:214.15pt;margin-top:6pt;height:9.75pt;width:0pt;z-index:251800576;mso-width-relative:page;mso-height-relative:page;" filled="f" stroked="t" coordsize="21600,21600" o:gfxdata="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F0C49gAAAAJAQAADwAAAAAAAAABACAAAAAi&#10;AAAAZHJzL2Rvd25yZXYueG1sUEsBAhQAFAAAAAgAh07iQFDpgJfRAQAAlQMAAA4AAAAAAAAAAQAg&#10;AAAAJwEAAGRycy9lMm9Eb2MueG1sUEsFBgAAAAAGAAYAWQEAAGoFAAAAAA==&#10;">
                <v:fill on="f" focussize="0,0"/>
                <v:stroke color="#000000" joinstyle="round" endarrow="block"/>
                <v:imagedata o:title=""/>
                <o:lock v:ext="edit" aspectratio="f"/>
              </v:shape>
            </w:pict>
          </mc:Fallback>
        </mc:AlternateContent>
      </w:r>
      <w:r>
        <w:rPr>
          <w:rFonts w:ascii="Times New Roman" w:hAnsi="Times New Roman"/>
          <w:color w:val="FF0000"/>
          <w:sz w:val="24"/>
          <w:szCs w:val="24"/>
        </w:rPr>
        <mc:AlternateContent>
          <mc:Choice Requires="wps">
            <w:drawing>
              <wp:anchor distT="0" distB="0" distL="114300" distR="114300" simplePos="0" relativeHeight="251795456" behindDoc="0" locked="0" layoutInCell="1" allowOverlap="1">
                <wp:simplePos x="0" y="0"/>
                <wp:positionH relativeFrom="column">
                  <wp:posOffset>2311400</wp:posOffset>
                </wp:positionH>
                <wp:positionV relativeFrom="paragraph">
                  <wp:posOffset>200025</wp:posOffset>
                </wp:positionV>
                <wp:extent cx="847725" cy="295275"/>
                <wp:effectExtent l="6350" t="7620" r="12700" b="11430"/>
                <wp:wrapNone/>
                <wp:docPr id="108" name="Text Box 206"/>
                <wp:cNvGraphicFramePr/>
                <a:graphic xmlns:a="http://schemas.openxmlformats.org/drawingml/2006/main">
                  <a:graphicData uri="http://schemas.microsoft.com/office/word/2010/wordprocessingShape">
                    <wps:wsp>
                      <wps:cNvSpPr txBox="1">
                        <a:spLocks noChangeArrowheads="1"/>
                      </wps:cNvSpPr>
                      <wps:spPr bwMode="auto">
                        <a:xfrm>
                          <a:off x="0" y="0"/>
                          <a:ext cx="847725" cy="295275"/>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隔油池</w:t>
                            </w:r>
                          </w:p>
                        </w:txbxContent>
                      </wps:txbx>
                      <wps:bodyPr rot="0" vert="horz" wrap="square" lIns="91440" tIns="45720" rIns="91440" bIns="45720" anchor="t" anchorCtr="0" upright="1">
                        <a:noAutofit/>
                      </wps:bodyPr>
                    </wps:wsp>
                  </a:graphicData>
                </a:graphic>
              </wp:anchor>
            </w:drawing>
          </mc:Choice>
          <mc:Fallback>
            <w:pict>
              <v:shape id="Text Box 206" o:spid="_x0000_s1026" o:spt="202" type="#_x0000_t202" style="position:absolute;left:0pt;margin-left:182pt;margin-top:15.75pt;height:23.25pt;width:66.75pt;z-index:251795456;mso-width-relative:page;mso-height-relative:page;" fillcolor="#FFFFFF" filled="t" stroked="t" coordsize="21600,21600" o:gfxdata="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yzcK2AAAAAkBAAAPAAAA&#10;AAAAAAEAIAAAACIAAABkcnMvZG93bnJldi54bWxQSwECFAAUAAAACACHTuJAkAZxBBUCAAA7BAAA&#10;DgAAAAAAAAABACAAAAAnAQAAZHJzL2Uyb0RvYy54bWxQSwUGAAAAAAYABgBZAQAArgU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隔油池</w:t>
                      </w:r>
                    </w:p>
                  </w:txbxContent>
                </v:textbox>
              </v:shape>
            </w:pict>
          </mc:Fallback>
        </mc:AlternateConten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mc:AlternateContent>
          <mc:Choice Requires="wps">
            <w:drawing>
              <wp:anchor distT="0" distB="0" distL="114300" distR="114300" simplePos="0" relativeHeight="251801600" behindDoc="0" locked="0" layoutInCell="1" allowOverlap="1">
                <wp:simplePos x="0" y="0"/>
                <wp:positionH relativeFrom="column">
                  <wp:posOffset>2731770</wp:posOffset>
                </wp:positionH>
                <wp:positionV relativeFrom="paragraph">
                  <wp:posOffset>198120</wp:posOffset>
                </wp:positionV>
                <wp:extent cx="0" cy="152400"/>
                <wp:effectExtent l="55245" t="7620" r="59055" b="20955"/>
                <wp:wrapNone/>
                <wp:docPr id="107" name="AutoShape 212"/>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tailEnd type="triangle" w="med" len="med"/>
                        </a:ln>
                      </wps:spPr>
                      <wps:bodyPr/>
                    </wps:wsp>
                  </a:graphicData>
                </a:graphic>
              </wp:anchor>
            </w:drawing>
          </mc:Choice>
          <mc:Fallback>
            <w:pict>
              <v:shape id="AutoShape 212" o:spid="_x0000_s1026" o:spt="32" type="#_x0000_t32" style="position:absolute;left:0pt;margin-left:215.1pt;margin-top:15.6pt;height:12pt;width:0pt;z-index:251801600;mso-width-relative:page;mso-height-relative:page;" filled="f" stroked="t" coordsize="21600,21600" o:gfxdata="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Y1eM9kAAAAJAQAADwAAAAAAAAAB&#10;ACAAAAAiAAAAZHJzL2Rvd25yZXYueG1sUEsBAhQAFAAAAAgAh07iQEkCGp7WAQAAlQMAAA4AAAAA&#10;AAAAAQAgAAAAKAEAAGRycy9lMm9Eb2MueG1sUEsFBgAAAAAGAAYAWQEAAHAFAAAAAA==&#10;">
                <v:fill on="f" focussize="0,0"/>
                <v:stroke color="#000000" joinstyle="round" endarrow="block"/>
                <v:imagedata o:title=""/>
                <o:lock v:ext="edit" aspectratio="f"/>
              </v:shape>
            </w:pict>
          </mc:Fallback>
        </mc:AlternateConten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mc:AlternateContent>
          <mc:Choice Requires="wps">
            <w:drawing>
              <wp:anchor distT="0" distB="0" distL="114300" distR="114300" simplePos="0" relativeHeight="251791360" behindDoc="0" locked="0" layoutInCell="1" allowOverlap="1">
                <wp:simplePos x="0" y="0"/>
                <wp:positionH relativeFrom="column">
                  <wp:posOffset>2566670</wp:posOffset>
                </wp:positionH>
                <wp:positionV relativeFrom="paragraph">
                  <wp:posOffset>288925</wp:posOffset>
                </wp:positionV>
                <wp:extent cx="847725" cy="295275"/>
                <wp:effectExtent l="13970" t="5080" r="5080" b="13970"/>
                <wp:wrapNone/>
                <wp:docPr id="106" name="Text Box 219"/>
                <wp:cNvGraphicFramePr/>
                <a:graphic xmlns:a="http://schemas.openxmlformats.org/drawingml/2006/main">
                  <a:graphicData uri="http://schemas.microsoft.com/office/word/2010/wordprocessingShape">
                    <wps:wsp>
                      <wps:cNvSpPr txBox="1">
                        <a:spLocks noChangeArrowheads="1"/>
                      </wps:cNvSpPr>
                      <wps:spPr bwMode="auto">
                        <a:xfrm>
                          <a:off x="0" y="0"/>
                          <a:ext cx="847725" cy="295275"/>
                        </a:xfrm>
                        <a:prstGeom prst="rect">
                          <a:avLst/>
                        </a:prstGeom>
                        <a:solidFill>
                          <a:srgbClr val="FFFFFF"/>
                        </a:solidFill>
                        <a:ln w="9525">
                          <a:solidFill>
                            <a:schemeClr val="bg1">
                              <a:lumMod val="100000"/>
                              <a:lumOff val="0"/>
                            </a:schemeClr>
                          </a:solidFill>
                          <a:miter lim="800000"/>
                        </a:ln>
                      </wps:spPr>
                      <wps:txbx>
                        <w:txbxContent>
                          <w:p>
                            <w:pPr>
                              <w:spacing w:line="240" w:lineRule="atLeast"/>
                              <w:jc w:val="center"/>
                              <w:rPr>
                                <w:sz w:val="18"/>
                                <w:szCs w:val="18"/>
                              </w:rPr>
                            </w:pPr>
                            <w:r>
                              <w:rPr>
                                <w:rFonts w:hint="eastAsia"/>
                                <w:sz w:val="18"/>
                                <w:szCs w:val="18"/>
                              </w:rPr>
                              <w:t>提升泵</w:t>
                            </w:r>
                          </w:p>
                        </w:txbxContent>
                      </wps:txbx>
                      <wps:bodyPr rot="0" vert="horz" wrap="square" lIns="91440" tIns="45720" rIns="91440" bIns="45720" anchor="t" anchorCtr="0" upright="1">
                        <a:noAutofit/>
                      </wps:bodyPr>
                    </wps:wsp>
                  </a:graphicData>
                </a:graphic>
              </wp:anchor>
            </w:drawing>
          </mc:Choice>
          <mc:Fallback>
            <w:pict>
              <v:shape id="Text Box 219" o:spid="_x0000_s1026" o:spt="202" type="#_x0000_t202" style="position:absolute;left:0pt;margin-left:202.1pt;margin-top:22.75pt;height:23.25pt;width:66.75pt;z-index:251791360;mso-width-relative:page;mso-height-relative:page;" fillcolor="#FFFFFF" filled="t" stroked="t" coordsize="21600,21600" o:gfxdata="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XtxNgAAAAJAQAADwAAAAAAAAABACAAAAAiAAAAZHJzL2Rvd25yZXYueG1sUEsB&#10;AhQAFAAAAAgAh07iQGNgOmIuAgAAcQQAAA4AAAAAAAAAAQAgAAAAJwEAAGRycy9lMm9Eb2MueG1s&#10;UEsFBgAAAAAGAAYAWQEAAMcFAAAAAA==&#10;">
                <v:fill on="t" focussize="0,0"/>
                <v:stroke color="#FFFFFF [3228]" miterlimit="8" joinstyle="miter"/>
                <v:imagedata o:title=""/>
                <o:lock v:ext="edit" aspectratio="f"/>
                <v:textbox>
                  <w:txbxContent>
                    <w:p>
                      <w:pPr>
                        <w:spacing w:line="240" w:lineRule="atLeast"/>
                        <w:jc w:val="center"/>
                        <w:rPr>
                          <w:sz w:val="18"/>
                          <w:szCs w:val="18"/>
                        </w:rPr>
                      </w:pPr>
                      <w:r>
                        <w:rPr>
                          <w:rFonts w:hint="eastAsia"/>
                          <w:sz w:val="18"/>
                          <w:szCs w:val="18"/>
                        </w:rPr>
                        <w:t>提升泵</w:t>
                      </w:r>
                    </w:p>
                  </w:txbxContent>
                </v:textbox>
              </v:shape>
            </w:pict>
          </mc:Fallback>
        </mc:AlternateContent>
      </w:r>
      <w:r>
        <w:rPr>
          <w:rFonts w:ascii="Times New Roman" w:hAnsi="Times New Roman"/>
          <w:color w:val="FF0000"/>
          <w:sz w:val="24"/>
          <w:szCs w:val="24"/>
        </w:rPr>
        <mc:AlternateContent>
          <mc:Choice Requires="wps">
            <w:drawing>
              <wp:anchor distT="0" distB="0" distL="114300" distR="114300" simplePos="0" relativeHeight="251796480" behindDoc="0" locked="0" layoutInCell="1" allowOverlap="1">
                <wp:simplePos x="0" y="0"/>
                <wp:positionH relativeFrom="column">
                  <wp:posOffset>2265045</wp:posOffset>
                </wp:positionH>
                <wp:positionV relativeFrom="paragraph">
                  <wp:posOffset>53340</wp:posOffset>
                </wp:positionV>
                <wp:extent cx="952500" cy="295275"/>
                <wp:effectExtent l="7620" t="7620" r="11430" b="11430"/>
                <wp:wrapNone/>
                <wp:docPr id="105" name="Text Box 207"/>
                <wp:cNvGraphicFramePr/>
                <a:graphic xmlns:a="http://schemas.openxmlformats.org/drawingml/2006/main">
                  <a:graphicData uri="http://schemas.microsoft.com/office/word/2010/wordprocessingShape">
                    <wps:wsp>
                      <wps:cNvSpPr txBox="1">
                        <a:spLocks noChangeArrowheads="1"/>
                      </wps:cNvSpPr>
                      <wps:spPr bwMode="auto">
                        <a:xfrm>
                          <a:off x="0" y="0"/>
                          <a:ext cx="952500" cy="295275"/>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预处理系统</w:t>
                            </w:r>
                          </w:p>
                        </w:txbxContent>
                      </wps:txbx>
                      <wps:bodyPr rot="0" vert="horz" wrap="square" lIns="91440" tIns="45720" rIns="91440" bIns="45720" anchor="t" anchorCtr="0" upright="1">
                        <a:noAutofit/>
                      </wps:bodyPr>
                    </wps:wsp>
                  </a:graphicData>
                </a:graphic>
              </wp:anchor>
            </w:drawing>
          </mc:Choice>
          <mc:Fallback>
            <w:pict>
              <v:shape id="Text Box 207" o:spid="_x0000_s1026" o:spt="202" type="#_x0000_t202" style="position:absolute;left:0pt;margin-left:178.35pt;margin-top:4.2pt;height:23.25pt;width:75pt;z-index:251796480;mso-width-relative:page;mso-height-relative:page;" fillcolor="#FFFFFF" filled="t" stroked="t" coordsize="21600,21600" o:gfxdata="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Smi11gAAAAgBAAAPAAAAAAAAAAEA&#10;IAAAACIAAABkcnMvZG93bnJldi54bWxQSwECFAAUAAAACACHTuJA1hyurRECAAA7BAAADgAAAAAA&#10;AAABACAAAAAlAQAAZHJzL2Uyb0RvYy54bWxQSwUGAAAAAAYABgBZAQAAqAU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预处理系统</w:t>
                      </w:r>
                    </w:p>
                  </w:txbxContent>
                </v:textbox>
              </v:shape>
            </w:pict>
          </mc:Fallback>
        </mc:AlternateConten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mc:AlternateContent>
          <mc:Choice Requires="wps">
            <w:drawing>
              <wp:anchor distT="0" distB="0" distL="114300" distR="114300" simplePos="0" relativeHeight="251792384" behindDoc="0" locked="0" layoutInCell="1" allowOverlap="1">
                <wp:simplePos x="0" y="0"/>
                <wp:positionH relativeFrom="column">
                  <wp:posOffset>3564255</wp:posOffset>
                </wp:positionH>
                <wp:positionV relativeFrom="paragraph">
                  <wp:posOffset>247015</wp:posOffset>
                </wp:positionV>
                <wp:extent cx="847725" cy="295275"/>
                <wp:effectExtent l="11430" t="12700" r="7620" b="6350"/>
                <wp:wrapNone/>
                <wp:docPr id="104" name="Text Box 218"/>
                <wp:cNvGraphicFramePr/>
                <a:graphic xmlns:a="http://schemas.openxmlformats.org/drawingml/2006/main">
                  <a:graphicData uri="http://schemas.microsoft.com/office/word/2010/wordprocessingShape">
                    <wps:wsp>
                      <wps:cNvSpPr txBox="1">
                        <a:spLocks noChangeArrowheads="1"/>
                      </wps:cNvSpPr>
                      <wps:spPr bwMode="auto">
                        <a:xfrm>
                          <a:off x="0" y="0"/>
                          <a:ext cx="847725" cy="295275"/>
                        </a:xfrm>
                        <a:prstGeom prst="rect">
                          <a:avLst/>
                        </a:prstGeom>
                        <a:solidFill>
                          <a:srgbClr val="FFFFFF"/>
                        </a:solidFill>
                        <a:ln w="9525">
                          <a:solidFill>
                            <a:schemeClr val="bg1">
                              <a:lumMod val="100000"/>
                              <a:lumOff val="0"/>
                            </a:schemeClr>
                          </a:solidFill>
                          <a:miter lim="800000"/>
                        </a:ln>
                      </wps:spPr>
                      <wps:txbx>
                        <w:txbxContent>
                          <w:p>
                            <w:pPr>
                              <w:spacing w:line="240" w:lineRule="atLeast"/>
                              <w:jc w:val="center"/>
                              <w:rPr>
                                <w:szCs w:val="21"/>
                              </w:rPr>
                            </w:pPr>
                            <w:r>
                              <w:rPr>
                                <w:rFonts w:hint="eastAsia"/>
                                <w:szCs w:val="21"/>
                              </w:rPr>
                              <w:t>曝气机</w:t>
                            </w:r>
                          </w:p>
                        </w:txbxContent>
                      </wps:txbx>
                      <wps:bodyPr rot="0" vert="horz" wrap="square" lIns="91440" tIns="45720" rIns="91440" bIns="45720" anchor="t" anchorCtr="0" upright="1">
                        <a:noAutofit/>
                      </wps:bodyPr>
                    </wps:wsp>
                  </a:graphicData>
                </a:graphic>
              </wp:anchor>
            </w:drawing>
          </mc:Choice>
          <mc:Fallback>
            <w:pict>
              <v:shape id="Text Box 218" o:spid="_x0000_s1026" o:spt="202" type="#_x0000_t202" style="position:absolute;left:0pt;margin-left:280.65pt;margin-top:19.45pt;height:23.25pt;width:66.75pt;z-index:251792384;mso-width-relative:page;mso-height-relative:page;" fillcolor="#FFFFFF" filled="t" stroked="t" coordsize="21600,21600" o:gfxdata="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YfhdnZAAAACQEAAA8AAAAAAAAAAQAgAAAAIgAAAGRycy9kb3ducmV2LnhtbFBL&#10;AQIUABQAAAAIAIdO4kCy4WRSLgIAAHEEAAAOAAAAAAAAAAEAIAAAACgBAABkcnMvZTJvRG9jLnht&#10;bFBLBQYAAAAABgAGAFkBAADIBQAAAAA=&#10;">
                <v:fill on="t" focussize="0,0"/>
                <v:stroke color="#FFFFFF [3228]" miterlimit="8" joinstyle="miter"/>
                <v:imagedata o:title=""/>
                <o:lock v:ext="edit" aspectratio="f"/>
                <v:textbox>
                  <w:txbxContent>
                    <w:p>
                      <w:pPr>
                        <w:spacing w:line="240" w:lineRule="atLeast"/>
                        <w:jc w:val="center"/>
                        <w:rPr>
                          <w:szCs w:val="21"/>
                        </w:rPr>
                      </w:pPr>
                      <w:r>
                        <w:rPr>
                          <w:rFonts w:hint="eastAsia"/>
                          <w:szCs w:val="21"/>
                        </w:rPr>
                        <w:t>曝气机</w:t>
                      </w:r>
                    </w:p>
                  </w:txbxContent>
                </v:textbox>
              </v:shape>
            </w:pict>
          </mc:Fallback>
        </mc:AlternateContent>
      </w:r>
      <w:r>
        <w:rPr>
          <w:rFonts w:ascii="Times New Roman" w:hAnsi="Times New Roman"/>
          <w:color w:val="FF0000"/>
          <w:sz w:val="24"/>
          <w:szCs w:val="24"/>
        </w:rPr>
        <mc:AlternateContent>
          <mc:Choice Requires="wps">
            <w:drawing>
              <wp:anchor distT="0" distB="0" distL="114300" distR="114300" simplePos="0" relativeHeight="251797504" behindDoc="0" locked="0" layoutInCell="1" allowOverlap="1">
                <wp:simplePos x="0" y="0"/>
                <wp:positionH relativeFrom="column">
                  <wp:posOffset>2249170</wp:posOffset>
                </wp:positionH>
                <wp:positionV relativeFrom="paragraph">
                  <wp:posOffset>255270</wp:posOffset>
                </wp:positionV>
                <wp:extent cx="1019175" cy="295275"/>
                <wp:effectExtent l="10795" t="11430" r="8255" b="7620"/>
                <wp:wrapNone/>
                <wp:docPr id="103" name="Text Box 208"/>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FFFFFF"/>
                        </a:solidFill>
                        <a:ln w="9525">
                          <a:solidFill>
                            <a:srgbClr val="000000"/>
                          </a:solidFill>
                          <a:miter lim="800000"/>
                        </a:ln>
                      </wps:spPr>
                      <wps:txbx>
                        <w:txbxContent>
                          <w:p>
                            <w:pPr>
                              <w:spacing w:line="240" w:lineRule="atLeast"/>
                              <w:jc w:val="center"/>
                              <w:rPr>
                                <w:szCs w:val="21"/>
                              </w:rPr>
                            </w:pPr>
                            <w:r>
                              <w:rPr>
                                <w:rFonts w:hint="eastAsia"/>
                                <w:szCs w:val="21"/>
                              </w:rPr>
                              <w:t>污水处理设施</w:t>
                            </w:r>
                          </w:p>
                        </w:txbxContent>
                      </wps:txbx>
                      <wps:bodyPr rot="0" vert="horz" wrap="square" lIns="91440" tIns="45720" rIns="91440" bIns="45720" anchor="t" anchorCtr="0" upright="1">
                        <a:noAutofit/>
                      </wps:bodyPr>
                    </wps:wsp>
                  </a:graphicData>
                </a:graphic>
              </wp:anchor>
            </w:drawing>
          </mc:Choice>
          <mc:Fallback>
            <w:pict>
              <v:shape id="Text Box 208" o:spid="_x0000_s1026" o:spt="202" type="#_x0000_t202" style="position:absolute;left:0pt;margin-left:177.1pt;margin-top:20.1pt;height:23.25pt;width:80.25pt;z-index:251797504;mso-width-relative:page;mso-height-relative:page;" fillcolor="#FFFFFF" filled="t" stroked="t" coordsize="21600,21600" o:gfxdata="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hoxG2QAAAAkBAAAPAAAA&#10;AAAAAAEAIAAAACIAAABkcnMvZG93bnJldi54bWxQSwECFAAUAAAACACHTuJAkpZKdRQCAAA8BAAA&#10;DgAAAAAAAAABACAAAAAoAQAAZHJzL2Uyb0RvYy54bWxQSwUGAAAAAAYABgBZAQAArgUAAAAA&#10;">
                <v:fill on="t" focussize="0,0"/>
                <v:stroke color="#000000" miterlimit="8" joinstyle="miter"/>
                <v:imagedata o:title=""/>
                <o:lock v:ext="edit" aspectratio="f"/>
                <v:textbox>
                  <w:txbxContent>
                    <w:p>
                      <w:pPr>
                        <w:spacing w:line="240" w:lineRule="atLeast"/>
                        <w:jc w:val="center"/>
                        <w:rPr>
                          <w:szCs w:val="21"/>
                        </w:rPr>
                      </w:pPr>
                      <w:r>
                        <w:rPr>
                          <w:rFonts w:hint="eastAsia"/>
                          <w:szCs w:val="21"/>
                        </w:rPr>
                        <w:t>污水处理设施</w:t>
                      </w:r>
                    </w:p>
                  </w:txbxContent>
                </v:textbox>
              </v:shape>
            </w:pict>
          </mc:Fallback>
        </mc:AlternateContent>
      </w:r>
      <w:r>
        <w:rPr>
          <w:rFonts w:ascii="Times New Roman" w:hAnsi="Times New Roman"/>
          <w:color w:val="FF0000"/>
          <w:sz w:val="24"/>
          <w:szCs w:val="24"/>
        </w:rPr>
        <mc:AlternateContent>
          <mc:Choice Requires="wps">
            <w:drawing>
              <wp:anchor distT="0" distB="0" distL="114300" distR="114300" simplePos="0" relativeHeight="251793408" behindDoc="0" locked="0" layoutInCell="1" allowOverlap="1">
                <wp:simplePos x="0" y="0"/>
                <wp:positionH relativeFrom="column">
                  <wp:posOffset>1192530</wp:posOffset>
                </wp:positionH>
                <wp:positionV relativeFrom="paragraph">
                  <wp:posOffset>248285</wp:posOffset>
                </wp:positionV>
                <wp:extent cx="847725" cy="295275"/>
                <wp:effectExtent l="11430" t="13970" r="7620" b="5080"/>
                <wp:wrapNone/>
                <wp:docPr id="102" name="Text Box 217"/>
                <wp:cNvGraphicFramePr/>
                <a:graphic xmlns:a="http://schemas.openxmlformats.org/drawingml/2006/main">
                  <a:graphicData uri="http://schemas.microsoft.com/office/word/2010/wordprocessingShape">
                    <wps:wsp>
                      <wps:cNvSpPr txBox="1">
                        <a:spLocks noChangeArrowheads="1"/>
                      </wps:cNvSpPr>
                      <wps:spPr bwMode="auto">
                        <a:xfrm>
                          <a:off x="0" y="0"/>
                          <a:ext cx="847725" cy="295275"/>
                        </a:xfrm>
                        <a:prstGeom prst="rect">
                          <a:avLst/>
                        </a:prstGeom>
                        <a:solidFill>
                          <a:srgbClr val="FFFFFF"/>
                        </a:solidFill>
                        <a:ln w="9525">
                          <a:solidFill>
                            <a:schemeClr val="bg1">
                              <a:lumMod val="100000"/>
                              <a:lumOff val="0"/>
                            </a:schemeClr>
                          </a:solidFill>
                          <a:miter lim="800000"/>
                        </a:ln>
                      </wps:spPr>
                      <wps:txbx>
                        <w:txbxContent>
                          <w:p>
                            <w:pPr>
                              <w:spacing w:line="240" w:lineRule="atLeast"/>
                              <w:jc w:val="center"/>
                              <w:rPr>
                                <w:szCs w:val="21"/>
                              </w:rPr>
                            </w:pPr>
                            <w:r>
                              <w:rPr>
                                <w:rFonts w:hint="eastAsia"/>
                                <w:szCs w:val="21"/>
                              </w:rPr>
                              <w:t>污泥</w:t>
                            </w:r>
                          </w:p>
                        </w:txbxContent>
                      </wps:txbx>
                      <wps:bodyPr rot="0" vert="horz" wrap="square" lIns="91440" tIns="45720" rIns="91440" bIns="45720" anchor="t" anchorCtr="0" upright="1">
                        <a:noAutofit/>
                      </wps:bodyPr>
                    </wps:wsp>
                  </a:graphicData>
                </a:graphic>
              </wp:anchor>
            </w:drawing>
          </mc:Choice>
          <mc:Fallback>
            <w:pict>
              <v:shape id="Text Box 217" o:spid="_x0000_s1026" o:spt="202" type="#_x0000_t202" style="position:absolute;left:0pt;margin-left:93.9pt;margin-top:19.55pt;height:23.25pt;width:66.75pt;z-index:251793408;mso-width-relative:page;mso-height-relative:page;" fillcolor="#FFFFFF" filled="t" stroked="t" coordsize="21600,21600" o:gfxdata="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lYA4vXAAAACQEAAA8AAAAAAAAAAQAgAAAAIgAAAGRycy9kb3ducmV2LnhtbFBLAQIU&#10;ABQAAAAIAIdO4kA+brXBLQIAAHEEAAAOAAAAAAAAAAEAIAAAACYBAABkcnMvZTJvRG9jLnhtbFBL&#10;BQYAAAAABgAGAFkBAADFBQAAAAA=&#10;">
                <v:fill on="t" focussize="0,0"/>
                <v:stroke color="#FFFFFF [3228]" miterlimit="8" joinstyle="miter"/>
                <v:imagedata o:title=""/>
                <o:lock v:ext="edit" aspectratio="f"/>
                <v:textbox>
                  <w:txbxContent>
                    <w:p>
                      <w:pPr>
                        <w:spacing w:line="240" w:lineRule="atLeast"/>
                        <w:jc w:val="center"/>
                        <w:rPr>
                          <w:szCs w:val="21"/>
                        </w:rPr>
                      </w:pPr>
                      <w:r>
                        <w:rPr>
                          <w:rFonts w:hint="eastAsia"/>
                          <w:szCs w:val="21"/>
                        </w:rPr>
                        <w:t>污泥</w:t>
                      </w:r>
                    </w:p>
                  </w:txbxContent>
                </v:textbox>
              </v:shape>
            </w:pict>
          </mc:Fallback>
        </mc:AlternateContent>
      </w:r>
      <w:r>
        <w:rPr>
          <w:rFonts w:ascii="Times New Roman" w:hAnsi="Times New Roman"/>
          <w:color w:val="FF0000"/>
          <w:sz w:val="24"/>
          <w:szCs w:val="24"/>
        </w:rPr>
        <mc:AlternateContent>
          <mc:Choice Requires="wps">
            <w:drawing>
              <wp:anchor distT="0" distB="0" distL="114300" distR="114300" simplePos="0" relativeHeight="251802624" behindDoc="0" locked="0" layoutInCell="1" allowOverlap="1">
                <wp:simplePos x="0" y="0"/>
                <wp:positionH relativeFrom="column">
                  <wp:posOffset>2759710</wp:posOffset>
                </wp:positionH>
                <wp:positionV relativeFrom="paragraph">
                  <wp:posOffset>51435</wp:posOffset>
                </wp:positionV>
                <wp:extent cx="0" cy="203835"/>
                <wp:effectExtent l="54610" t="7620" r="59690" b="17145"/>
                <wp:wrapNone/>
                <wp:docPr id="101" name="AutoShape 213"/>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tailEnd type="triangle" w="med" len="med"/>
                        </a:ln>
                      </wps:spPr>
                      <wps:bodyPr/>
                    </wps:wsp>
                  </a:graphicData>
                </a:graphic>
              </wp:anchor>
            </w:drawing>
          </mc:Choice>
          <mc:Fallback>
            <w:pict>
              <v:shape id="AutoShape 213" o:spid="_x0000_s1026" o:spt="32" type="#_x0000_t32" style="position:absolute;left:0pt;margin-left:217.3pt;margin-top:4.05pt;height:16.05pt;width:0pt;z-index:251802624;mso-width-relative:page;mso-height-relative:page;" filled="f" stroked="t" coordsize="21600,21600" o:gfxdata="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ZXCNcAAAAIAQAADwAAAAAAAAABACAA&#10;AAAiAAAAZHJzL2Rvd25yZXYueG1sUEsBAhQAFAAAAAgAh07iQAhPjXfVAQAAlQMAAA4AAAAAAAAA&#10;AQAgAAAAJgEAAGRycy9lMm9Eb2MueG1sUEsFBgAAAAAGAAYAWQEAAG0FAAAAAA==&#10;">
                <v:fill on="f" focussize="0,0"/>
                <v:stroke color="#000000" joinstyle="round" endarrow="block"/>
                <v:imagedata o:title=""/>
                <o:lock v:ext="edit" aspectratio="f"/>
              </v:shape>
            </w:pict>
          </mc:Fallback>
        </mc:AlternateConten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mc:AlternateContent>
          <mc:Choice Requires="wps">
            <w:drawing>
              <wp:anchor distT="0" distB="0" distL="114300" distR="114300" simplePos="0" relativeHeight="251805696" behindDoc="0" locked="0" layoutInCell="1" allowOverlap="1">
                <wp:simplePos x="0" y="0"/>
                <wp:positionH relativeFrom="column">
                  <wp:posOffset>3265805</wp:posOffset>
                </wp:positionH>
                <wp:positionV relativeFrom="paragraph">
                  <wp:posOffset>97155</wp:posOffset>
                </wp:positionV>
                <wp:extent cx="490855" cy="6985"/>
                <wp:effectExtent l="17780" t="45720" r="5715" b="61595"/>
                <wp:wrapNone/>
                <wp:docPr id="100" name="AutoShape 216"/>
                <wp:cNvGraphicFramePr/>
                <a:graphic xmlns:a="http://schemas.openxmlformats.org/drawingml/2006/main">
                  <a:graphicData uri="http://schemas.microsoft.com/office/word/2010/wordprocessingShape">
                    <wps:wsp>
                      <wps:cNvCnPr>
                        <a:cxnSpLocks noChangeShapeType="1"/>
                      </wps:cNvCnPr>
                      <wps:spPr bwMode="auto">
                        <a:xfrm flipH="1">
                          <a:off x="0" y="0"/>
                          <a:ext cx="490855" cy="698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AutoShape 216" o:spid="_x0000_s1026" o:spt="32" type="#_x0000_t32" style="position:absolute;left:0pt;flip:x;margin-left:257.15pt;margin-top:7.65pt;height:0.55pt;width:38.65pt;z-index:251805696;mso-width-relative:page;mso-height-relative:page;" filled="f" stroked="t" coordsize="21600,21600" o:gfxdata="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Qwm+fU&#10;AAAACQEAAA8AAAAAAAAAAQAgAAAAIgAAAGRycy9kb3ducmV2LnhtbFBLAQIUABQAAAAIAIdO4kCb&#10;28b46wEAALoDAAAOAAAAAAAAAAEAIAAAACMBAABkcnMvZTJvRG9jLnhtbFBLBQYAAAAABgAGAFkB&#10;AACABQAAAAA=&#10;">
                <v:fill on="f" focussize="0,0"/>
                <v:stroke color="#000000" joinstyle="round" dashstyle="dash" endarrow="block"/>
                <v:imagedata o:title=""/>
                <o:lock v:ext="edit" aspectratio="f"/>
              </v:shape>
            </w:pict>
          </mc:Fallback>
        </mc:AlternateContent>
      </w:r>
      <w:r>
        <w:rPr>
          <w:rFonts w:ascii="Times New Roman" w:hAnsi="Times New Roman"/>
          <w:color w:val="FF0000"/>
          <w:sz w:val="24"/>
          <w:szCs w:val="24"/>
        </w:rPr>
        <mc:AlternateContent>
          <mc:Choice Requires="wps">
            <w:drawing>
              <wp:anchor distT="0" distB="0" distL="114300" distR="114300" simplePos="0" relativeHeight="251803648" behindDoc="0" locked="0" layoutInCell="1" allowOverlap="1">
                <wp:simplePos x="0" y="0"/>
                <wp:positionH relativeFrom="column">
                  <wp:posOffset>2764790</wp:posOffset>
                </wp:positionH>
                <wp:positionV relativeFrom="paragraph">
                  <wp:posOffset>253365</wp:posOffset>
                </wp:positionV>
                <wp:extent cx="0" cy="272415"/>
                <wp:effectExtent l="59690" t="11430" r="54610" b="20955"/>
                <wp:wrapNone/>
                <wp:docPr id="99" name="AutoShape 214"/>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round/>
                          <a:tailEnd type="triangle" w="med" len="med"/>
                        </a:ln>
                      </wps:spPr>
                      <wps:bodyPr/>
                    </wps:wsp>
                  </a:graphicData>
                </a:graphic>
              </wp:anchor>
            </w:drawing>
          </mc:Choice>
          <mc:Fallback>
            <w:pict>
              <v:shape id="AutoShape 214" o:spid="_x0000_s1026" o:spt="32" type="#_x0000_t32" style="position:absolute;left:0pt;margin-left:217.7pt;margin-top:19.95pt;height:21.45pt;width:0pt;z-index:251803648;mso-width-relative:page;mso-height-relative:page;" filled="f" stroked="t" coordsize="21600,21600" o:gfxdata="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6frsjZAAAACQEAAA8AAAAAAAAAAQAg&#10;AAAAIgAAAGRycy9kb3ducmV2LnhtbFBLAQIUABQAAAAIAIdO4kCXGaw61AEAAJQDAAAOAAAAAAAA&#10;AAEAIAAAACgBAABkcnMvZTJvRG9jLnhtbFBLBQYAAAAABgAGAFkBAABuBQAAAAA=&#10;">
                <v:fill on="f" focussize="0,0"/>
                <v:stroke color="#000000" joinstyle="round" endarrow="block"/>
                <v:imagedata o:title=""/>
                <o:lock v:ext="edit" aspectratio="f"/>
              </v:shape>
            </w:pict>
          </mc:Fallback>
        </mc:AlternateContent>
      </w:r>
      <w:r>
        <w:rPr>
          <w:rFonts w:ascii="Times New Roman" w:hAnsi="Times New Roman"/>
          <w:color w:val="FF0000"/>
          <w:sz w:val="24"/>
          <w:szCs w:val="24"/>
        </w:rPr>
        <mc:AlternateContent>
          <mc:Choice Requires="wps">
            <w:drawing>
              <wp:anchor distT="0" distB="0" distL="114300" distR="114300" simplePos="0" relativeHeight="251804672" behindDoc="0" locked="0" layoutInCell="1" allowOverlap="1">
                <wp:simplePos x="0" y="0"/>
                <wp:positionH relativeFrom="column">
                  <wp:posOffset>1766570</wp:posOffset>
                </wp:positionH>
                <wp:positionV relativeFrom="paragraph">
                  <wp:posOffset>98425</wp:posOffset>
                </wp:positionV>
                <wp:extent cx="490855" cy="6985"/>
                <wp:effectExtent l="23495" t="46990" r="9525" b="60325"/>
                <wp:wrapNone/>
                <wp:docPr id="98" name="AutoShape 215"/>
                <wp:cNvGraphicFramePr/>
                <a:graphic xmlns:a="http://schemas.openxmlformats.org/drawingml/2006/main">
                  <a:graphicData uri="http://schemas.microsoft.com/office/word/2010/wordprocessingShape">
                    <wps:wsp>
                      <wps:cNvCnPr>
                        <a:cxnSpLocks noChangeShapeType="1"/>
                      </wps:cNvCnPr>
                      <wps:spPr bwMode="auto">
                        <a:xfrm flipH="1">
                          <a:off x="0" y="0"/>
                          <a:ext cx="490855" cy="6985"/>
                        </a:xfrm>
                        <a:prstGeom prst="straightConnector1">
                          <a:avLst/>
                        </a:prstGeom>
                        <a:noFill/>
                        <a:ln w="9525">
                          <a:solidFill>
                            <a:srgbClr val="000000"/>
                          </a:solidFill>
                          <a:prstDash val="dash"/>
                          <a:round/>
                          <a:tailEnd type="triangle" w="med" len="med"/>
                        </a:ln>
                      </wps:spPr>
                      <wps:bodyPr/>
                    </wps:wsp>
                  </a:graphicData>
                </a:graphic>
              </wp:anchor>
            </w:drawing>
          </mc:Choice>
          <mc:Fallback>
            <w:pict>
              <v:shape id="AutoShape 215" o:spid="_x0000_s1026" o:spt="32" type="#_x0000_t32" style="position:absolute;left:0pt;flip:x;margin-left:139.1pt;margin-top:7.75pt;height:0.55pt;width:38.65pt;z-index:251804672;mso-width-relative:page;mso-height-relative:page;" filled="f" stroked="t" coordsize="21600,21600" o:gfxdata="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6DVNQA&#10;AAAJAQAADwAAAAAAAAABACAAAAAiAAAAZHJzL2Rvd25yZXYueG1sUEsBAhQAFAAAAAgAh07iQIsx&#10;xIfqAQAAuQMAAA4AAAAAAAAAAQAgAAAAIwEAAGRycy9lMm9Eb2MueG1sUEsFBgAAAAAGAAYAWQEA&#10;AH8FAAAAAA==&#10;">
                <v:fill on="f" focussize="0,0"/>
                <v:stroke color="#000000" joinstyle="round" dashstyle="dash" endarrow="block"/>
                <v:imagedata o:title=""/>
                <o:lock v:ext="edit" aspectratio="f"/>
              </v:shape>
            </w:pict>
          </mc:Fallback>
        </mc:AlternateConten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mc:AlternateContent>
          <mc:Choice Requires="wps">
            <w:drawing>
              <wp:anchor distT="0" distB="0" distL="114300" distR="114300" simplePos="0" relativeHeight="251798528" behindDoc="0" locked="0" layoutInCell="1" allowOverlap="1">
                <wp:simplePos x="0" y="0"/>
                <wp:positionH relativeFrom="column">
                  <wp:posOffset>2046605</wp:posOffset>
                </wp:positionH>
                <wp:positionV relativeFrom="paragraph">
                  <wp:posOffset>240665</wp:posOffset>
                </wp:positionV>
                <wp:extent cx="1437640" cy="295275"/>
                <wp:effectExtent l="4445" t="4445" r="5715" b="5080"/>
                <wp:wrapNone/>
                <wp:docPr id="97" name="Text Box 209"/>
                <wp:cNvGraphicFramePr/>
                <a:graphic xmlns:a="http://schemas.openxmlformats.org/drawingml/2006/main">
                  <a:graphicData uri="http://schemas.microsoft.com/office/word/2010/wordprocessingShape">
                    <wps:wsp>
                      <wps:cNvSpPr txBox="1">
                        <a:spLocks noChangeArrowheads="1"/>
                      </wps:cNvSpPr>
                      <wps:spPr bwMode="auto">
                        <a:xfrm>
                          <a:off x="0" y="0"/>
                          <a:ext cx="1437640" cy="295275"/>
                        </a:xfrm>
                        <a:prstGeom prst="rect">
                          <a:avLst/>
                        </a:prstGeom>
                        <a:solidFill>
                          <a:srgbClr val="FFFFFF"/>
                        </a:solidFill>
                        <a:ln w="9525">
                          <a:solidFill>
                            <a:schemeClr val="bg1">
                              <a:lumMod val="100000"/>
                              <a:lumOff val="0"/>
                            </a:schemeClr>
                          </a:solidFill>
                          <a:miter lim="800000"/>
                        </a:ln>
                      </wps:spPr>
                      <wps:txbx>
                        <w:txbxContent>
                          <w:p>
                            <w:pPr>
                              <w:rPr>
                                <w:rFonts w:eastAsia="宋体"/>
                              </w:rPr>
                            </w:pPr>
                            <w:r>
                              <w:rPr>
                                <w:rFonts w:hint="eastAsia" w:ascii="Times New Roman" w:hAnsi="Times New Roman" w:eastAsia="宋体" w:cs="Times New Roman"/>
                                <w:color w:val="FF0000"/>
                                <w:kern w:val="0"/>
                                <w:szCs w:val="28"/>
                              </w:rPr>
                              <w:t>晴天回用于绿化，雨天回用于生产</w:t>
                            </w:r>
                          </w:p>
                        </w:txbxContent>
                      </wps:txbx>
                      <wps:bodyPr rot="0" vert="horz" wrap="square" lIns="91440" tIns="45720" rIns="91440" bIns="45720" anchor="t" anchorCtr="0" upright="1">
                        <a:noAutofit/>
                      </wps:bodyPr>
                    </wps:wsp>
                  </a:graphicData>
                </a:graphic>
              </wp:anchor>
            </w:drawing>
          </mc:Choice>
          <mc:Fallback>
            <w:pict>
              <v:shape id="Text Box 209" o:spid="_x0000_s1026" o:spt="202" type="#_x0000_t202" style="position:absolute;left:0pt;margin-left:161.15pt;margin-top:18.95pt;height:23.25pt;width:113.2pt;z-index:251798528;mso-width-relative:page;mso-height-relative:page;" fillcolor="#FFFFFF" filled="t" stroked="t" coordsize="21600,21600" o:gfxdata="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pHLYm2AAAAAkBAAAPAAAAAAAAAAEAIAAAACIAAABkcnMvZG93bnJldi54bWxQ&#10;SwECFAAUAAAACACHTuJAlX3VpjACAABxBAAADgAAAAAAAAABACAAAAAnAQAAZHJzL2Uyb0RvYy54&#10;bWxQSwUGAAAAAAYABgBZAQAAyQUAAAAA&#10;">
                <v:fill on="t" focussize="0,0"/>
                <v:stroke color="#FFFFFF [3228]" miterlimit="8" joinstyle="miter"/>
                <v:imagedata o:title=""/>
                <o:lock v:ext="edit" aspectratio="f"/>
                <v:textbox>
                  <w:txbxContent>
                    <w:p>
                      <w:pPr>
                        <w:rPr>
                          <w:rFonts w:eastAsia="宋体"/>
                        </w:rPr>
                      </w:pPr>
                      <w:r>
                        <w:rPr>
                          <w:rFonts w:hint="eastAsia" w:ascii="Times New Roman" w:hAnsi="Times New Roman" w:eastAsia="宋体" w:cs="Times New Roman"/>
                          <w:color w:val="FF0000"/>
                          <w:kern w:val="0"/>
                          <w:szCs w:val="28"/>
                        </w:rPr>
                        <w:t>晴天回用于绿化，雨天回用于生产</w:t>
                      </w:r>
                    </w:p>
                  </w:txbxContent>
                </v:textbox>
              </v:shape>
            </w:pict>
          </mc:Fallback>
        </mc:AlternateContent>
      </w:r>
    </w:p>
    <w:p>
      <w:pPr>
        <w:spacing w:line="360" w:lineRule="auto"/>
        <w:ind w:firstLine="480" w:firstLineChars="200"/>
        <w:rPr>
          <w:rFonts w:ascii="Times New Roman" w:hAnsi="Times New Roman"/>
          <w:color w:val="FF0000"/>
          <w:sz w:val="24"/>
          <w:szCs w:val="24"/>
        </w:rPr>
      </w:pPr>
    </w:p>
    <w:p>
      <w:pPr>
        <w:spacing w:line="360" w:lineRule="auto"/>
        <w:ind w:firstLine="482" w:firstLineChars="200"/>
        <w:jc w:val="center"/>
        <w:rPr>
          <w:rFonts w:ascii="Times New Roman" w:hAnsi="Times New Roman"/>
          <w:b/>
          <w:color w:val="FF0000"/>
          <w:sz w:val="24"/>
          <w:szCs w:val="24"/>
        </w:rPr>
      </w:pPr>
      <w:r>
        <w:rPr>
          <w:rFonts w:hint="eastAsia" w:ascii="Times New Roman" w:hAnsi="Times New Roman"/>
          <w:b/>
          <w:color w:val="FF0000"/>
          <w:sz w:val="24"/>
          <w:szCs w:val="24"/>
        </w:rPr>
        <w:t>图3.2-6   污水处理工艺流程图</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5）绿化用水</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项目绿地面积为</w:t>
      </w:r>
      <w:r>
        <w:rPr>
          <w:rFonts w:ascii="Times New Roman" w:hAnsi="Times New Roman"/>
          <w:color w:val="FF0000"/>
          <w:sz w:val="24"/>
          <w:szCs w:val="24"/>
        </w:rPr>
        <w:t>3559.07</w:t>
      </w:r>
      <w:r>
        <w:rPr>
          <w:rFonts w:hint="eastAsia" w:ascii="Times New Roman" w:hAnsi="Times New Roman"/>
          <w:color w:val="FF0000"/>
          <w:sz w:val="24"/>
          <w:szCs w:val="24"/>
        </w:rPr>
        <w:t>m</w:t>
      </w:r>
      <w:r>
        <w:rPr>
          <w:rFonts w:hint="eastAsia" w:ascii="Times New Roman" w:hAnsi="Times New Roman"/>
          <w:color w:val="FF0000"/>
          <w:sz w:val="24"/>
          <w:szCs w:val="24"/>
          <w:vertAlign w:val="superscript"/>
        </w:rPr>
        <w:t>2</w:t>
      </w:r>
      <w:r>
        <w:rPr>
          <w:rFonts w:hint="eastAsia" w:ascii="Times New Roman" w:hAnsi="Times New Roman"/>
          <w:color w:val="FF0000"/>
          <w:sz w:val="24"/>
          <w:szCs w:val="24"/>
        </w:rPr>
        <w:t>，绿化用水量按照参考《云南省用水定额》推荐的绿化用水量3.0L</w:t>
      </w:r>
      <w:r>
        <w:rPr>
          <w:rFonts w:ascii="Times New Roman" w:hAnsi="Times New Roman"/>
          <w:color w:val="FF0000"/>
          <w:sz w:val="24"/>
          <w:szCs w:val="24"/>
        </w:rPr>
        <w:t>/</w:t>
      </w:r>
      <w:r>
        <w:rPr>
          <w:rFonts w:hint="eastAsia" w:ascii="Times New Roman" w:hAnsi="Times New Roman"/>
          <w:color w:val="FF0000"/>
          <w:sz w:val="24"/>
          <w:szCs w:val="24"/>
        </w:rPr>
        <w:t>（m</w:t>
      </w:r>
      <w:r>
        <w:rPr>
          <w:rFonts w:ascii="Times New Roman" w:hAnsi="Times New Roman"/>
          <w:color w:val="FF0000"/>
          <w:sz w:val="24"/>
          <w:szCs w:val="24"/>
          <w:vertAlign w:val="superscript"/>
        </w:rPr>
        <w:t>2</w:t>
      </w:r>
      <w:r>
        <w:rPr>
          <w:rFonts w:hint="eastAsia" w:ascii="Times New Roman" w:hAnsi="Times New Roman"/>
          <w:color w:val="FF0000"/>
          <w:sz w:val="24"/>
          <w:szCs w:val="24"/>
        </w:rPr>
        <w:t>·次）计，绿化晴天一天实施一次，晴天按200天计算，则年用水量为2135.44m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，则绿化用水晴天每天为10.68m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。绿化用水经土地吸收渗滤、植物吸收和蒸发后，无废水外排。</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综上分析，本项目运营期用水主要为生产用水、生活用水和绿化用水，废水主要为生产废水和生活污水。生产废水循环使用不外排；生活区的食堂废水经隔油池（2m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）处理后同其他生活污水进入化粪池（5m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）处理后，通过自建的污水处理设施（处理规模为6m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/d）处理后晴天回用于绿化，雨天回用于生产。绿化用水经土地吸收渗滤、植物吸收和蒸发后，无废水外排。</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项目运营过程中用水及废水产生情况见表3.2-7，项目运营期水量平衡图见图3.2-7，蒸汽</w:t>
      </w:r>
      <w:r>
        <w:rPr>
          <w:rFonts w:ascii="Times New Roman" w:hAnsi="Times New Roman"/>
          <w:color w:val="FF0000"/>
          <w:sz w:val="24"/>
          <w:szCs w:val="24"/>
        </w:rPr>
        <w:t>平衡图见图</w:t>
      </w:r>
      <w:r>
        <w:rPr>
          <w:rFonts w:hint="eastAsia" w:ascii="Times New Roman" w:hAnsi="Times New Roman"/>
          <w:color w:val="FF0000"/>
          <w:sz w:val="24"/>
          <w:szCs w:val="24"/>
        </w:rPr>
        <w:t>3.2</w:t>
      </w:r>
      <w:r>
        <w:rPr>
          <w:rFonts w:ascii="Times New Roman" w:hAnsi="Times New Roman"/>
          <w:color w:val="FF0000"/>
          <w:sz w:val="24"/>
          <w:szCs w:val="24"/>
        </w:rPr>
        <w:t>-8</w:t>
      </w:r>
      <w:r>
        <w:rPr>
          <w:rFonts w:hint="eastAsia" w:ascii="Times New Roman" w:hAnsi="Times New Roman"/>
          <w:color w:val="FF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表3.2-</w:t>
      </w:r>
      <w:r>
        <w:rPr>
          <w:rFonts w:ascii="Times New Roman" w:hAnsi="Times New Roman"/>
          <w:b/>
          <w:color w:val="000000"/>
          <w:sz w:val="24"/>
          <w:szCs w:val="24"/>
        </w:rPr>
        <w:t>8</w:t>
      </w:r>
      <w:r>
        <w:rPr>
          <w:rFonts w:hint="eastAsia" w:ascii="Times New Roman" w:hAnsi="Times New Roman"/>
          <w:b/>
          <w:color w:val="000000"/>
          <w:sz w:val="24"/>
          <w:szCs w:val="24"/>
        </w:rPr>
        <w:t xml:space="preserve">   项目用水及废水产生情况  单位</w:t>
      </w:r>
      <w:r>
        <w:rPr>
          <w:rFonts w:ascii="Times New Roman" w:hAnsi="Times New Roman"/>
          <w:b/>
          <w:color w:val="000000"/>
          <w:sz w:val="24"/>
          <w:szCs w:val="24"/>
        </w:rPr>
        <w:t>m</w:t>
      </w:r>
      <w:r>
        <w:rPr>
          <w:rFonts w:ascii="Times New Roman" w:hAnsi="Times New Roman"/>
          <w:b/>
          <w:color w:val="000000"/>
          <w:sz w:val="24"/>
          <w:szCs w:val="24"/>
          <w:vertAlign w:val="superscript"/>
        </w:rPr>
        <w:t>3</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
        <w:gridCol w:w="708"/>
        <w:gridCol w:w="1166"/>
        <w:gridCol w:w="1375"/>
        <w:gridCol w:w="1374"/>
        <w:gridCol w:w="907"/>
        <w:gridCol w:w="728"/>
        <w:gridCol w:w="983"/>
        <w:gridCol w:w="8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序号</w:t>
            </w:r>
          </w:p>
        </w:tc>
        <w:tc>
          <w:tcPr>
            <w:tcW w:w="41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项目</w:t>
            </w:r>
          </w:p>
        </w:tc>
        <w:tc>
          <w:tcPr>
            <w:tcW w:w="68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数量</w:t>
            </w:r>
          </w:p>
        </w:tc>
        <w:tc>
          <w:tcPr>
            <w:tcW w:w="80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用水</w:t>
            </w:r>
            <w:r>
              <w:rPr>
                <w:rFonts w:ascii="Times New Roman" w:hAnsi="Times New Roman" w:eastAsia="宋体" w:cs="Times New Roman"/>
                <w:kern w:val="0"/>
                <w:szCs w:val="28"/>
              </w:rPr>
              <w:t>定额</w:t>
            </w:r>
          </w:p>
        </w:tc>
        <w:tc>
          <w:tcPr>
            <w:tcW w:w="806"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日补充水量</w:t>
            </w:r>
          </w:p>
        </w:tc>
        <w:tc>
          <w:tcPr>
            <w:tcW w:w="53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年</w:t>
            </w:r>
            <w:r>
              <w:rPr>
                <w:rFonts w:ascii="Times New Roman" w:hAnsi="Times New Roman" w:eastAsia="宋体" w:cs="Times New Roman"/>
                <w:kern w:val="0"/>
                <w:szCs w:val="28"/>
              </w:rPr>
              <w:t>用水量</w:t>
            </w:r>
          </w:p>
        </w:tc>
        <w:tc>
          <w:tcPr>
            <w:tcW w:w="42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产污</w:t>
            </w:r>
            <w:r>
              <w:rPr>
                <w:rFonts w:ascii="Times New Roman" w:hAnsi="Times New Roman" w:eastAsia="宋体" w:cs="Times New Roman"/>
                <w:kern w:val="0"/>
                <w:szCs w:val="28"/>
              </w:rPr>
              <w:t>系数</w:t>
            </w:r>
          </w:p>
        </w:tc>
        <w:tc>
          <w:tcPr>
            <w:tcW w:w="57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日产</w:t>
            </w:r>
            <w:r>
              <w:rPr>
                <w:rFonts w:ascii="Times New Roman" w:hAnsi="Times New Roman" w:eastAsia="宋体" w:cs="Times New Roman"/>
                <w:kern w:val="0"/>
                <w:szCs w:val="28"/>
              </w:rPr>
              <w:t>污水量</w:t>
            </w:r>
          </w:p>
        </w:tc>
        <w:tc>
          <w:tcPr>
            <w:tcW w:w="491"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年产</w:t>
            </w:r>
            <w:r>
              <w:rPr>
                <w:rFonts w:ascii="Times New Roman" w:hAnsi="Times New Roman" w:eastAsia="宋体" w:cs="Times New Roman"/>
                <w:kern w:val="0"/>
                <w:szCs w:val="28"/>
              </w:rPr>
              <w:t>污水量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w:t>
            </w:r>
          </w:p>
        </w:tc>
        <w:tc>
          <w:tcPr>
            <w:tcW w:w="41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造纸</w:t>
            </w:r>
            <w:r>
              <w:rPr>
                <w:rFonts w:ascii="Times New Roman" w:hAnsi="Times New Roman" w:eastAsia="宋体" w:cs="Times New Roman"/>
                <w:kern w:val="0"/>
                <w:szCs w:val="28"/>
              </w:rPr>
              <w:t>用水</w:t>
            </w:r>
          </w:p>
        </w:tc>
        <w:tc>
          <w:tcPr>
            <w:tcW w:w="68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300天</w:t>
            </w:r>
          </w:p>
        </w:tc>
        <w:tc>
          <w:tcPr>
            <w:tcW w:w="80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w:t>
            </w:r>
          </w:p>
        </w:tc>
        <w:tc>
          <w:tcPr>
            <w:tcW w:w="806"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36.2</w:t>
            </w:r>
          </w:p>
        </w:tc>
        <w:tc>
          <w:tcPr>
            <w:tcW w:w="53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10860</w:t>
            </w:r>
          </w:p>
        </w:tc>
        <w:tc>
          <w:tcPr>
            <w:tcW w:w="42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0.8</w:t>
            </w:r>
          </w:p>
        </w:tc>
        <w:tc>
          <w:tcPr>
            <w:tcW w:w="57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144.8</w:t>
            </w:r>
          </w:p>
        </w:tc>
        <w:tc>
          <w:tcPr>
            <w:tcW w:w="491"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43440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w:t>
            </w:r>
          </w:p>
        </w:tc>
        <w:tc>
          <w:tcPr>
            <w:tcW w:w="41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除尘用水</w:t>
            </w:r>
          </w:p>
        </w:tc>
        <w:tc>
          <w:tcPr>
            <w:tcW w:w="68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300天</w:t>
            </w:r>
          </w:p>
        </w:tc>
        <w:tc>
          <w:tcPr>
            <w:tcW w:w="80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w:t>
            </w:r>
          </w:p>
        </w:tc>
        <w:tc>
          <w:tcPr>
            <w:tcW w:w="806"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10.9</w:t>
            </w:r>
          </w:p>
        </w:tc>
        <w:tc>
          <w:tcPr>
            <w:tcW w:w="53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3270</w:t>
            </w:r>
          </w:p>
        </w:tc>
        <w:tc>
          <w:tcPr>
            <w:tcW w:w="42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0.9</w:t>
            </w:r>
          </w:p>
        </w:tc>
        <w:tc>
          <w:tcPr>
            <w:tcW w:w="57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98.1</w:t>
            </w:r>
          </w:p>
        </w:tc>
        <w:tc>
          <w:tcPr>
            <w:tcW w:w="491"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29430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w:t>
            </w:r>
          </w:p>
        </w:tc>
        <w:tc>
          <w:tcPr>
            <w:tcW w:w="41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w:t>
            </w:r>
            <w:r>
              <w:rPr>
                <w:rFonts w:ascii="Times New Roman" w:hAnsi="Times New Roman" w:eastAsia="宋体" w:cs="Times New Roman"/>
                <w:kern w:val="0"/>
                <w:szCs w:val="28"/>
              </w:rPr>
              <w:t>用水</w:t>
            </w:r>
          </w:p>
        </w:tc>
        <w:tc>
          <w:tcPr>
            <w:tcW w:w="68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300天（</w:t>
            </w:r>
            <w:r>
              <w:rPr>
                <w:rFonts w:ascii="Times New Roman" w:hAnsi="Times New Roman" w:eastAsia="宋体" w:cs="Times New Roman"/>
                <w:kern w:val="0"/>
                <w:szCs w:val="28"/>
              </w:rPr>
              <w:t>24</w:t>
            </w:r>
            <w:r>
              <w:rPr>
                <w:rFonts w:hint="eastAsia" w:ascii="Times New Roman" w:hAnsi="Times New Roman" w:eastAsia="宋体" w:cs="Times New Roman"/>
                <w:kern w:val="0"/>
                <w:szCs w:val="28"/>
              </w:rPr>
              <w:t>h/d）</w:t>
            </w:r>
          </w:p>
        </w:tc>
        <w:tc>
          <w:tcPr>
            <w:tcW w:w="80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w:t>
            </w:r>
          </w:p>
        </w:tc>
        <w:tc>
          <w:tcPr>
            <w:tcW w:w="806"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57.6</w:t>
            </w:r>
          </w:p>
        </w:tc>
        <w:tc>
          <w:tcPr>
            <w:tcW w:w="53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22160</w:t>
            </w:r>
          </w:p>
        </w:tc>
        <w:tc>
          <w:tcPr>
            <w:tcW w:w="42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0.1</w:t>
            </w:r>
          </w:p>
        </w:tc>
        <w:tc>
          <w:tcPr>
            <w:tcW w:w="57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6.4</w:t>
            </w:r>
          </w:p>
        </w:tc>
        <w:tc>
          <w:tcPr>
            <w:tcW w:w="491"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4</w:t>
            </w:r>
          </w:p>
        </w:tc>
        <w:tc>
          <w:tcPr>
            <w:tcW w:w="41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w:t>
            </w:r>
            <w:r>
              <w:rPr>
                <w:rFonts w:ascii="Times New Roman" w:hAnsi="Times New Roman" w:eastAsia="宋体" w:cs="Times New Roman"/>
                <w:kern w:val="0"/>
                <w:szCs w:val="28"/>
              </w:rPr>
              <w:t>用水</w:t>
            </w:r>
          </w:p>
        </w:tc>
        <w:tc>
          <w:tcPr>
            <w:tcW w:w="684" w:type="pct"/>
            <w:vAlign w:val="center"/>
          </w:tcPr>
          <w:p>
            <w:pPr>
              <w:spacing w:line="240" w:lineRule="atLeast"/>
              <w:jc w:val="center"/>
              <w:rPr>
                <w:rFonts w:ascii="Times New Roman" w:hAnsi="Times New Roman" w:eastAsia="宋体" w:cs="Times New Roman"/>
                <w:kern w:val="0"/>
                <w:szCs w:val="28"/>
              </w:rPr>
            </w:pPr>
            <w:r>
              <w:rPr>
                <w:rFonts w:ascii="Times New Roman" w:hAnsi="Times New Roman" w:eastAsia="宋体" w:cs="Times New Roman"/>
                <w:kern w:val="0"/>
                <w:szCs w:val="28"/>
              </w:rPr>
              <w:t>60</w:t>
            </w:r>
            <w:r>
              <w:rPr>
                <w:rFonts w:hint="eastAsia" w:ascii="Times New Roman" w:hAnsi="Times New Roman" w:eastAsia="宋体" w:cs="Times New Roman"/>
                <w:kern w:val="0"/>
                <w:szCs w:val="28"/>
              </w:rPr>
              <w:t>人</w:t>
            </w:r>
          </w:p>
        </w:tc>
        <w:tc>
          <w:tcPr>
            <w:tcW w:w="80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100L/（人</w:t>
            </w:r>
            <w:r>
              <w:rPr>
                <w:rFonts w:ascii="Times New Roman" w:hAnsi="Times New Roman" w:eastAsia="宋体" w:cs="Times New Roman"/>
                <w:kern w:val="0"/>
                <w:szCs w:val="28"/>
              </w:rPr>
              <w:t>·d</w:t>
            </w:r>
            <w:r>
              <w:rPr>
                <w:rFonts w:hint="eastAsia" w:ascii="Times New Roman" w:hAnsi="Times New Roman" w:eastAsia="宋体" w:cs="Times New Roman"/>
                <w:kern w:val="0"/>
                <w:szCs w:val="28"/>
              </w:rPr>
              <w:t>）</w:t>
            </w:r>
          </w:p>
        </w:tc>
        <w:tc>
          <w:tcPr>
            <w:tcW w:w="806"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6</w:t>
            </w:r>
          </w:p>
        </w:tc>
        <w:tc>
          <w:tcPr>
            <w:tcW w:w="53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1800</w:t>
            </w:r>
          </w:p>
        </w:tc>
        <w:tc>
          <w:tcPr>
            <w:tcW w:w="42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0.8</w:t>
            </w:r>
          </w:p>
        </w:tc>
        <w:tc>
          <w:tcPr>
            <w:tcW w:w="57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4.8</w:t>
            </w:r>
          </w:p>
        </w:tc>
        <w:tc>
          <w:tcPr>
            <w:tcW w:w="491"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5</w:t>
            </w:r>
          </w:p>
        </w:tc>
        <w:tc>
          <w:tcPr>
            <w:tcW w:w="41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绿化</w:t>
            </w:r>
            <w:r>
              <w:rPr>
                <w:rFonts w:ascii="Times New Roman" w:hAnsi="Times New Roman" w:eastAsia="宋体" w:cs="Times New Roman"/>
                <w:kern w:val="0"/>
                <w:szCs w:val="28"/>
              </w:rPr>
              <w:t>用水</w:t>
            </w:r>
          </w:p>
        </w:tc>
        <w:tc>
          <w:tcPr>
            <w:tcW w:w="684" w:type="pct"/>
            <w:vAlign w:val="center"/>
          </w:tcPr>
          <w:p>
            <w:pPr>
              <w:spacing w:line="240" w:lineRule="atLeast"/>
              <w:jc w:val="center"/>
              <w:rPr>
                <w:rFonts w:ascii="Times New Roman" w:hAnsi="Times New Roman" w:eastAsia="宋体" w:cs="Times New Roman"/>
                <w:kern w:val="0"/>
                <w:szCs w:val="28"/>
              </w:rPr>
            </w:pPr>
            <w:r>
              <w:rPr>
                <w:rFonts w:ascii="Times New Roman" w:hAnsi="Times New Roman" w:eastAsia="宋体" w:cs="Times New Roman"/>
                <w:kern w:val="0"/>
                <w:szCs w:val="28"/>
              </w:rPr>
              <w:t>3559.07m</w:t>
            </w:r>
            <w:r>
              <w:rPr>
                <w:rFonts w:ascii="Times New Roman" w:hAnsi="Times New Roman" w:eastAsia="宋体" w:cs="Times New Roman"/>
                <w:kern w:val="0"/>
                <w:szCs w:val="28"/>
                <w:vertAlign w:val="superscript"/>
              </w:rPr>
              <w:t>3</w:t>
            </w:r>
          </w:p>
        </w:tc>
        <w:tc>
          <w:tcPr>
            <w:tcW w:w="80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3L/（m</w:t>
            </w:r>
            <w:r>
              <w:rPr>
                <w:rFonts w:ascii="Times New Roman" w:hAnsi="Times New Roman" w:eastAsia="宋体" w:cs="Times New Roman"/>
                <w:kern w:val="0"/>
                <w:szCs w:val="28"/>
                <w:vertAlign w:val="superscript"/>
              </w:rPr>
              <w:t>3</w:t>
            </w:r>
            <w:r>
              <w:rPr>
                <w:rFonts w:ascii="Times New Roman" w:hAnsi="Times New Roman" w:eastAsia="宋体" w:cs="Times New Roman"/>
                <w:kern w:val="0"/>
                <w:szCs w:val="28"/>
              </w:rPr>
              <w:t>·次</w:t>
            </w:r>
            <w:r>
              <w:rPr>
                <w:rFonts w:hint="eastAsia" w:ascii="Times New Roman" w:hAnsi="Times New Roman" w:eastAsia="宋体" w:cs="Times New Roman"/>
                <w:kern w:val="0"/>
                <w:szCs w:val="28"/>
              </w:rPr>
              <w:t>）</w:t>
            </w:r>
          </w:p>
        </w:tc>
        <w:tc>
          <w:tcPr>
            <w:tcW w:w="806"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雨天：0</w:t>
            </w:r>
          </w:p>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晴天：10.68</w:t>
            </w:r>
          </w:p>
        </w:tc>
        <w:tc>
          <w:tcPr>
            <w:tcW w:w="532"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2135.44</w:t>
            </w:r>
          </w:p>
        </w:tc>
        <w:tc>
          <w:tcPr>
            <w:tcW w:w="42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w:t>
            </w:r>
          </w:p>
        </w:tc>
        <w:tc>
          <w:tcPr>
            <w:tcW w:w="57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w:t>
            </w:r>
          </w:p>
        </w:tc>
        <w:tc>
          <w:tcPr>
            <w:tcW w:w="491"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2" w:type="pct"/>
            <w:gridSpan w:val="2"/>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合计</w:t>
            </w:r>
          </w:p>
        </w:tc>
        <w:tc>
          <w:tcPr>
            <w:tcW w:w="684"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w:t>
            </w:r>
          </w:p>
        </w:tc>
        <w:tc>
          <w:tcPr>
            <w:tcW w:w="807"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w:t>
            </w:r>
          </w:p>
        </w:tc>
        <w:tc>
          <w:tcPr>
            <w:tcW w:w="806" w:type="pc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雨天：116.58</w:t>
            </w:r>
          </w:p>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晴天：105.9</w:t>
            </w:r>
          </w:p>
        </w:tc>
        <w:tc>
          <w:tcPr>
            <w:tcW w:w="532" w:type="pct"/>
            <w:vAlign w:val="center"/>
          </w:tcPr>
          <w:p>
            <w:pPr>
              <w:spacing w:line="240" w:lineRule="atLeast"/>
              <w:jc w:val="center"/>
              <w:rPr>
                <w:rFonts w:ascii="Times New Roman" w:hAnsi="Times New Roman" w:eastAsia="宋体" w:cs="Times New Roman"/>
                <w:kern w:val="0"/>
                <w:szCs w:val="28"/>
              </w:rPr>
            </w:pPr>
          </w:p>
        </w:tc>
        <w:tc>
          <w:tcPr>
            <w:tcW w:w="427" w:type="pct"/>
            <w:vAlign w:val="center"/>
          </w:tcPr>
          <w:p>
            <w:pPr>
              <w:spacing w:line="240" w:lineRule="atLeast"/>
              <w:jc w:val="center"/>
              <w:rPr>
                <w:rFonts w:ascii="Times New Roman" w:hAnsi="Times New Roman" w:eastAsia="宋体" w:cs="Times New Roman"/>
                <w:kern w:val="0"/>
                <w:szCs w:val="28"/>
              </w:rPr>
            </w:pPr>
          </w:p>
        </w:tc>
        <w:tc>
          <w:tcPr>
            <w:tcW w:w="577" w:type="pct"/>
            <w:vAlign w:val="center"/>
          </w:tcPr>
          <w:p>
            <w:pPr>
              <w:spacing w:line="240" w:lineRule="atLeast"/>
              <w:jc w:val="center"/>
              <w:rPr>
                <w:rFonts w:ascii="Times New Roman" w:hAnsi="Times New Roman" w:eastAsia="宋体" w:cs="Times New Roman"/>
                <w:kern w:val="0"/>
                <w:szCs w:val="28"/>
              </w:rPr>
            </w:pPr>
          </w:p>
        </w:tc>
        <w:tc>
          <w:tcPr>
            <w:tcW w:w="491" w:type="pct"/>
            <w:vAlign w:val="center"/>
          </w:tcPr>
          <w:p>
            <w:pPr>
              <w:spacing w:line="240" w:lineRule="atLeast"/>
              <w:jc w:val="center"/>
              <w:rPr>
                <w:rFonts w:ascii="Times New Roman" w:hAnsi="Times New Roman" w:eastAsia="宋体" w:cs="Times New Roman"/>
                <w:kern w:val="0"/>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2" w:type="pct"/>
            <w:gridSpan w:val="2"/>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备注</w:t>
            </w:r>
          </w:p>
        </w:tc>
        <w:tc>
          <w:tcPr>
            <w:tcW w:w="4327" w:type="pct"/>
            <w:gridSpan w:val="7"/>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锅炉产生的洁净废水和处理达标的生活污水回用于生产和绿化</w:t>
            </w:r>
          </w:p>
        </w:tc>
      </w:tr>
    </w:tbl>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4）项目水平衡</w:t>
      </w:r>
    </w:p>
    <w:p>
      <w:pPr>
        <w:spacing w:line="360" w:lineRule="auto"/>
        <w:jc w:val="center"/>
        <w:rPr>
          <w:rFonts w:ascii="Times New Roman" w:hAnsi="Times New Roman"/>
          <w:b/>
          <w:color w:val="000000"/>
          <w:sz w:val="24"/>
          <w:szCs w:val="24"/>
        </w:rPr>
      </w:pPr>
      <w:r>
        <w:rPr>
          <w:rFonts w:hint="eastAsia" w:ascii="Times New Roman" w:hAnsi="Times New Roman"/>
          <w:b/>
          <w:color w:val="000000"/>
          <w:sz w:val="24"/>
          <w:szCs w:val="24"/>
        </w:rPr>
        <w:object>
          <v:shape id="_x0000_i1025" o:spt="75" type="#_x0000_t75" style="height:331.25pt;width:413.25pt;" o:ole="t" filled="f" o:preferrelative="t" stroked="f" coordsize="21600,21600">
            <v:path/>
            <v:fill on="f" focussize="0,0"/>
            <v:stroke on="f" joinstyle="miter"/>
            <v:imagedata r:id="rId9" o:title=""/>
            <o:lock v:ext="edit" aspectratio="f"/>
            <w10:wrap type="none"/>
            <w10:anchorlock/>
          </v:shape>
          <o:OLEObject Type="Embed" ProgID="Visio.Drawing.11" ShapeID="_x0000_i1025" DrawAspect="Content" ObjectID="_1468075725" r:id="rId8">
            <o:LockedField>false</o:LockedField>
          </o:OLEObject>
        </w:object>
      </w:r>
      <w:r>
        <w:rPr>
          <w:rFonts w:hint="eastAsia" w:ascii="Times New Roman" w:hAnsi="Times New Roman"/>
          <w:b/>
          <w:color w:val="000000"/>
          <w:sz w:val="24"/>
          <w:szCs w:val="24"/>
        </w:rPr>
        <w:t xml:space="preserve"> 图3.2-7   项目区水平衡图  单位m</w:t>
      </w:r>
      <w:r>
        <w:rPr>
          <w:rFonts w:hint="eastAsia" w:ascii="Times New Roman" w:hAnsi="Times New Roman"/>
          <w:b/>
          <w:color w:val="000000"/>
          <w:sz w:val="24"/>
          <w:szCs w:val="24"/>
          <w:vertAlign w:val="superscript"/>
        </w:rPr>
        <w:t>3</w:t>
      </w:r>
      <w:r>
        <w:rPr>
          <w:rFonts w:hint="eastAsia" w:ascii="Times New Roman" w:hAnsi="Times New Roman"/>
          <w:b/>
          <w:color w:val="000000"/>
          <w:sz w:val="24"/>
          <w:szCs w:val="24"/>
        </w:rPr>
        <w:t>/</w:t>
      </w:r>
      <w:r>
        <w:rPr>
          <w:rFonts w:ascii="Times New Roman" w:hAnsi="Times New Roman"/>
          <w:b/>
          <w:color w:val="000000"/>
          <w:sz w:val="24"/>
          <w:szCs w:val="24"/>
        </w:rPr>
        <w:t>d</w:t>
      </w:r>
      <w:r>
        <w:rPr>
          <w:rFonts w:hint="eastAsia" w:ascii="Times New Roman" w:hAnsi="Times New Roman"/>
          <w:b/>
          <w:color w:val="000000"/>
          <w:sz w:val="24"/>
          <w:szCs w:val="24"/>
        </w:rPr>
        <w:t xml:space="preserve"> （）雨天用水量</w:t>
      </w:r>
    </w:p>
    <w:p>
      <w:pPr>
        <w:spacing w:line="360" w:lineRule="auto"/>
        <w:ind w:firstLine="480" w:firstLineChars="200"/>
        <w:rPr>
          <w:rFonts w:ascii="Times New Roman" w:hAnsi="Times New Roman"/>
          <w:b/>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890688" behindDoc="0" locked="0" layoutInCell="1" allowOverlap="1">
                <wp:simplePos x="0" y="0"/>
                <wp:positionH relativeFrom="column">
                  <wp:posOffset>1638300</wp:posOffset>
                </wp:positionH>
                <wp:positionV relativeFrom="paragraph">
                  <wp:posOffset>148590</wp:posOffset>
                </wp:positionV>
                <wp:extent cx="1590675" cy="0"/>
                <wp:effectExtent l="38100" t="76200" r="0" b="95250"/>
                <wp:wrapNone/>
                <wp:docPr id="53" name="直接箭头连接符 5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9pt;margin-top:11.7pt;height:0pt;width:125.25pt;z-index:251890688;mso-width-relative:page;mso-height-relative:page;" filled="f" stroked="t" coordsize="21600,21600" o:gfxdata="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2UqQNgAAAAJAQAADwAAAAAAAAABACAAAAAiAAAAZHJzL2Rvd25yZXYueG1sUEsBAhQA&#10;FAAAAAgAh07iQEC7+2PyAQAAnwMAAA4AAAAAAAAAAQAgAAAAJwEAAGRycy9lMm9Eb2MueG1sUEsF&#10;BgAAAAAGAAYAWQEAAIs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889664" behindDoc="0" locked="0" layoutInCell="1" allowOverlap="1">
                <wp:simplePos x="0" y="0"/>
                <wp:positionH relativeFrom="column">
                  <wp:posOffset>3733800</wp:posOffset>
                </wp:positionH>
                <wp:positionV relativeFrom="paragraph">
                  <wp:posOffset>291465</wp:posOffset>
                </wp:positionV>
                <wp:extent cx="9525" cy="447675"/>
                <wp:effectExtent l="76200" t="38100" r="66675" b="28575"/>
                <wp:wrapNone/>
                <wp:docPr id="52" name="直接箭头连接符 52"/>
                <wp:cNvGraphicFramePr/>
                <a:graphic xmlns:a="http://schemas.openxmlformats.org/drawingml/2006/main">
                  <a:graphicData uri="http://schemas.microsoft.com/office/word/2010/wordprocessingShape">
                    <wps:wsp>
                      <wps:cNvCnPr/>
                      <wps:spPr>
                        <a:xfrm flipH="1" flipV="1">
                          <a:off x="0" y="0"/>
                          <a:ext cx="95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94pt;margin-top:22.95pt;height:35.25pt;width:0.75pt;z-index:251889664;mso-width-relative:page;mso-height-relative:page;" filled="f" stroked="t" coordsize="21600,21600" o:gfxdata="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yof2NkAAAAKAQAADwAAAAAAAAABACAAAAAiAAAAZHJzL2Rvd25yZXYu&#10;eG1sUEsBAhQAFAAAAAgAh07iQDKAA2j6AQAAqwMAAA4AAAAAAAAAAQAgAAAAKAEAAGRycy9lMm9E&#10;b2MueG1sUEsFBgAAAAAGAAYAWQEAAJQ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887616" behindDoc="0" locked="0" layoutInCell="1" allowOverlap="1">
                <wp:simplePos x="0" y="0"/>
                <wp:positionH relativeFrom="column">
                  <wp:posOffset>1133475</wp:posOffset>
                </wp:positionH>
                <wp:positionV relativeFrom="paragraph">
                  <wp:posOffset>291465</wp:posOffset>
                </wp:positionV>
                <wp:extent cx="0" cy="438150"/>
                <wp:effectExtent l="76200" t="0" r="57150" b="57150"/>
                <wp:wrapNone/>
                <wp:docPr id="49" name="直接箭头连接符 49"/>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9.25pt;margin-top:22.95pt;height:34.5pt;width:0pt;z-index:251887616;mso-width-relative:page;mso-height-relative:page;" filled="f" stroked="t" coordsize="21600,21600" o:gfxdata="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N6Z&#10;1gAAAAoBAAAPAAAAAAAAAAEAIAAAACIAAABkcnMvZG93bnJldi54bWxQSwECFAAUAAAACACHTuJA&#10;bFBBfuoBAACUAwAADgAAAAAAAAABACAAAAAlAQAAZHJzL2Uyb0RvYy54bWxQSwUGAAAAAAYABgBZ&#10;AQAAgQU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886592" behindDoc="0" locked="0" layoutInCell="1" allowOverlap="1">
                <wp:simplePos x="0" y="0"/>
                <wp:positionH relativeFrom="column">
                  <wp:posOffset>3228975</wp:posOffset>
                </wp:positionH>
                <wp:positionV relativeFrom="paragraph">
                  <wp:posOffset>5715</wp:posOffset>
                </wp:positionV>
                <wp:extent cx="981075" cy="285750"/>
                <wp:effectExtent l="0" t="0" r="28575" b="19050"/>
                <wp:wrapNone/>
                <wp:docPr id="46" name="Text Box 222"/>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冷凝塔</w:t>
                            </w:r>
                          </w:p>
                        </w:txbxContent>
                      </wps:txbx>
                      <wps:bodyPr rot="0" vert="horz" wrap="square" lIns="91440" tIns="45720" rIns="91440" bIns="45720" anchor="t" anchorCtr="0" upright="1">
                        <a:noAutofit/>
                      </wps:bodyPr>
                    </wps:wsp>
                  </a:graphicData>
                </a:graphic>
              </wp:anchor>
            </w:drawing>
          </mc:Choice>
          <mc:Fallback>
            <w:pict>
              <v:shape id="Text Box 222" o:spid="_x0000_s1026" o:spt="202" type="#_x0000_t202" style="position:absolute;left:0pt;margin-left:254.25pt;margin-top:0.45pt;height:22.5pt;width:77.25pt;z-index:251886592;mso-width-relative:page;mso-height-relative:page;" fillcolor="#FFFFFF" filled="t" stroked="t" coordsize="21600,21600" o:gfxdata="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dzDGrXAAAABwEAAA8AAAAA&#10;AAAAAQAgAAAAIgAAAGRycy9kb3ducmV2LnhtbFBLAQIUABQAAAAIAIdO4kASS6zXFQIAADoEAAAO&#10;AAAAAAAAAAEAIAAAACYBAABkcnMvZTJvRG9jLnhtbFBLBQYAAAAABgAGAFkBAACtBQAAAAA=&#10;">
                <v:fill on="t" focussize="0,0"/>
                <v:stroke color="#000000" miterlimit="8" joinstyle="miter"/>
                <v:imagedata o:title=""/>
                <o:lock v:ext="edit" aspectratio="f"/>
                <v:textbox>
                  <w:txbxContent>
                    <w:p>
                      <w:pPr>
                        <w:spacing w:line="240" w:lineRule="atLeast"/>
                        <w:jc w:val="center"/>
                      </w:pPr>
                      <w:r>
                        <w:rPr>
                          <w:rFonts w:hint="eastAsia"/>
                        </w:rPr>
                        <w:t>冷凝塔</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882496" behindDoc="0" locked="0" layoutInCell="1" allowOverlap="1">
                <wp:simplePos x="0" y="0"/>
                <wp:positionH relativeFrom="column">
                  <wp:posOffset>581025</wp:posOffset>
                </wp:positionH>
                <wp:positionV relativeFrom="paragraph">
                  <wp:posOffset>5715</wp:posOffset>
                </wp:positionV>
                <wp:extent cx="1057275" cy="285750"/>
                <wp:effectExtent l="0" t="0" r="28575" b="19050"/>
                <wp:wrapNone/>
                <wp:docPr id="42" name="Text Box 222"/>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1</w:t>
                            </w:r>
                            <w:r>
                              <w:t>2t/h</w:t>
                            </w:r>
                            <w:r>
                              <w:rPr>
                                <w:rFonts w:hint="eastAsia"/>
                              </w:rPr>
                              <w:t>蒸汽</w:t>
                            </w:r>
                            <w:r>
                              <w:t>锅炉</w:t>
                            </w:r>
                          </w:p>
                        </w:txbxContent>
                      </wps:txbx>
                      <wps:bodyPr rot="0" vert="horz" wrap="square" lIns="91440" tIns="45720" rIns="91440" bIns="45720" anchor="t" anchorCtr="0" upright="1">
                        <a:noAutofit/>
                      </wps:bodyPr>
                    </wps:wsp>
                  </a:graphicData>
                </a:graphic>
              </wp:anchor>
            </w:drawing>
          </mc:Choice>
          <mc:Fallback>
            <w:pict>
              <v:shape id="Text Box 222" o:spid="_x0000_s1026" o:spt="202" type="#_x0000_t202" style="position:absolute;left:0pt;margin-left:45.75pt;margin-top:0.45pt;height:22.5pt;width:83.25pt;z-index:251882496;mso-width-relative:page;mso-height-relative:page;" fillcolor="#FFFFFF" filled="t" stroked="t" coordsize="21600,21600" o:gfxdata="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p4rnzXAAAABgEAAA8AAAAA&#10;AAAAAQAgAAAAIgAAAGRycy9kb3ducmV2LnhtbFBLAQIUABQAAAAIAIdO4kDR0fA3FQIAADsEAAAO&#10;AAAAAAAAAAEAIAAAACYBAABkcnMvZTJvRG9jLnhtbFBLBQYAAAAABgAGAFkBAACtBQAAAAA=&#10;">
                <v:fill on="t" focussize="0,0"/>
                <v:stroke color="#000000" miterlimit="8" joinstyle="miter"/>
                <v:imagedata o:title=""/>
                <o:lock v:ext="edit" aspectratio="f"/>
                <v:textbox>
                  <w:txbxContent>
                    <w:p>
                      <w:pPr>
                        <w:spacing w:line="240" w:lineRule="atLeast"/>
                        <w:jc w:val="center"/>
                      </w:pPr>
                      <w:r>
                        <w:rPr>
                          <w:rFonts w:hint="eastAsia"/>
                        </w:rPr>
                        <w:t>1</w:t>
                      </w:r>
                      <w:r>
                        <w:t>2t/h</w:t>
                      </w:r>
                      <w:r>
                        <w:rPr>
                          <w:rFonts w:hint="eastAsia"/>
                        </w:rPr>
                        <w:t>蒸汽</w:t>
                      </w:r>
                      <w:r>
                        <w:t>锅炉</w:t>
                      </w:r>
                    </w:p>
                  </w:txbxContent>
                </v:textbox>
              </v:shape>
            </w:pict>
          </mc:Fallback>
        </mc:AlternateContent>
      </w:r>
    </w:p>
    <w:p>
      <w:pPr>
        <w:spacing w:line="360" w:lineRule="auto"/>
        <w:ind w:firstLine="480" w:firstLineChars="200"/>
        <w:rPr>
          <w:rFonts w:ascii="Times New Roman" w:hAnsi="Times New Roman"/>
          <w:b/>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807744" behindDoc="0" locked="0" layoutInCell="1" allowOverlap="1">
                <wp:simplePos x="0" y="0"/>
                <wp:positionH relativeFrom="margin">
                  <wp:posOffset>3933825</wp:posOffset>
                </wp:positionH>
                <wp:positionV relativeFrom="paragraph">
                  <wp:posOffset>106680</wp:posOffset>
                </wp:positionV>
                <wp:extent cx="381000" cy="287020"/>
                <wp:effectExtent l="0" t="0" r="19050" b="17780"/>
                <wp:wrapNone/>
                <wp:docPr id="60"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381000" cy="287020"/>
                        </a:xfrm>
                        <a:prstGeom prst="rect">
                          <a:avLst/>
                        </a:prstGeom>
                        <a:solidFill>
                          <a:srgbClr val="FFFFFF"/>
                        </a:solidFill>
                        <a:ln w="9525">
                          <a:solidFill>
                            <a:schemeClr val="bg1">
                              <a:lumMod val="100000"/>
                              <a:lumOff val="0"/>
                            </a:schemeClr>
                          </a:solidFill>
                          <a:miter lim="800000"/>
                        </a:ln>
                      </wps:spPr>
                      <wps:txbx>
                        <w:txbxContent>
                          <w:p>
                            <w:pPr>
                              <w:spacing w:line="240" w:lineRule="atLeast"/>
                              <w:jc w:val="left"/>
                              <w:rPr>
                                <w:sz w:val="18"/>
                                <w:szCs w:val="18"/>
                              </w:rPr>
                            </w:pPr>
                            <w:r>
                              <w:rPr>
                                <w:sz w:val="18"/>
                                <w:szCs w:val="18"/>
                              </w:rPr>
                              <w:t>1.2</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309.75pt;margin-top:8.4pt;height:22.6pt;width:30pt;mso-position-horizontal-relative:margin;z-index:251807744;mso-width-relative:page;mso-height-relative:page;" fillcolor="#FFFFFF" filled="t" stroked="t" coordsize="21600,21600" o:gfxdata="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Qm9ONYAAAAJAQAADwAAAAAAAAABACAAAAAiAAAAZHJzL2Rvd25yZXYueG1sUEsB&#10;AhQAFAAAAAgAh07iQBm5xk0wAgAAcAQAAA4AAAAAAAAAAQAgAAAAJQEAAGRycy9lMm9Eb2MueG1s&#10;UEsFBgAAAAAGAAYAWQEAAMcFAAAAAA==&#10;">
                <v:fill on="t" focussize="0,0"/>
                <v:stroke color="#FFFFFF [3228]" miterlimit="8" joinstyle="miter"/>
                <v:imagedata o:title=""/>
                <o:lock v:ext="edit" aspectratio="f"/>
                <v:textbox>
                  <w:txbxContent>
                    <w:p>
                      <w:pPr>
                        <w:spacing w:line="240" w:lineRule="atLeast"/>
                        <w:jc w:val="left"/>
                        <w:rPr>
                          <w:sz w:val="18"/>
                          <w:szCs w:val="18"/>
                        </w:rPr>
                      </w:pPr>
                      <w:r>
                        <w:rPr>
                          <w:sz w:val="18"/>
                          <w:szCs w:val="18"/>
                        </w:rPr>
                        <w:t>1.2</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809792" behindDoc="0" locked="0" layoutInCell="1" allowOverlap="1">
                <wp:simplePos x="0" y="0"/>
                <wp:positionH relativeFrom="margin">
                  <wp:posOffset>3400425</wp:posOffset>
                </wp:positionH>
                <wp:positionV relativeFrom="paragraph">
                  <wp:posOffset>97155</wp:posOffset>
                </wp:positionV>
                <wp:extent cx="438150" cy="287020"/>
                <wp:effectExtent l="0" t="0" r="19050" b="17780"/>
                <wp:wrapNone/>
                <wp:docPr id="57"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438150" cy="287020"/>
                        </a:xfrm>
                        <a:prstGeom prst="rect">
                          <a:avLst/>
                        </a:prstGeom>
                        <a:solidFill>
                          <a:srgbClr val="FFFFFF"/>
                        </a:solidFill>
                        <a:ln w="9525">
                          <a:solidFill>
                            <a:schemeClr val="bg1">
                              <a:lumMod val="100000"/>
                              <a:lumOff val="0"/>
                            </a:schemeClr>
                          </a:solidFill>
                          <a:miter lim="800000"/>
                        </a:ln>
                      </wps:spPr>
                      <wps:txbx>
                        <w:txbxContent>
                          <w:p>
                            <w:pPr>
                              <w:spacing w:line="240" w:lineRule="atLeast"/>
                              <w:jc w:val="left"/>
                              <w:rPr>
                                <w:sz w:val="18"/>
                                <w:szCs w:val="18"/>
                              </w:rPr>
                            </w:pPr>
                            <w:r>
                              <w:rPr>
                                <w:sz w:val="18"/>
                                <w:szCs w:val="18"/>
                              </w:rPr>
                              <w:t>10.8</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267.75pt;margin-top:7.65pt;height:22.6pt;width:34.5pt;mso-position-horizontal-relative:margin;z-index:251809792;mso-width-relative:page;mso-height-relative:page;" fillcolor="#FFFFFF" filled="t" stroked="t" coordsize="21600,21600" o:gfxdata="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P0bB1gAAAAkBAAAPAAAAAAAAAAEAIAAAACIAAABkcnMvZG93bnJldi54bWxQSwEC&#10;FAAUAAAACACHTuJAfz8Dbi8CAABwBAAADgAAAAAAAAABACAAAAAlAQAAZHJzL2Uyb0RvYy54bWxQ&#10;SwUGAAAAAAYABgBZAQAAxgUAAAAA&#10;">
                <v:fill on="t" focussize="0,0"/>
                <v:stroke color="#FFFFFF [3228]" miterlimit="8" joinstyle="miter"/>
                <v:imagedata o:title=""/>
                <o:lock v:ext="edit" aspectratio="f"/>
                <v:textbox>
                  <w:txbxContent>
                    <w:p>
                      <w:pPr>
                        <w:spacing w:line="240" w:lineRule="atLeast"/>
                        <w:jc w:val="left"/>
                        <w:rPr>
                          <w:sz w:val="18"/>
                          <w:szCs w:val="18"/>
                        </w:rPr>
                      </w:pPr>
                      <w:r>
                        <w:rPr>
                          <w:sz w:val="18"/>
                          <w:szCs w:val="18"/>
                        </w:rPr>
                        <w:t>10.8</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891712" behindDoc="0" locked="0" layoutInCell="1" allowOverlap="1">
                <wp:simplePos x="0" y="0"/>
                <wp:positionH relativeFrom="column">
                  <wp:posOffset>3943350</wp:posOffset>
                </wp:positionH>
                <wp:positionV relativeFrom="paragraph">
                  <wp:posOffset>194310</wp:posOffset>
                </wp:positionV>
                <wp:extent cx="447675" cy="238125"/>
                <wp:effectExtent l="0" t="38100" r="47625" b="28575"/>
                <wp:wrapNone/>
                <wp:docPr id="59" name="直接箭头连接符 59"/>
                <wp:cNvGraphicFramePr/>
                <a:graphic xmlns:a="http://schemas.openxmlformats.org/drawingml/2006/main">
                  <a:graphicData uri="http://schemas.microsoft.com/office/word/2010/wordprocessingShape">
                    <wps:wsp>
                      <wps:cNvCnPr/>
                      <wps:spPr>
                        <a:xfrm flipV="1">
                          <a:off x="0" y="0"/>
                          <a:ext cx="447675" cy="23812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10.5pt;margin-top:15.3pt;height:18.75pt;width:35.25pt;z-index:251891712;mso-width-relative:page;mso-height-relative:page;" filled="f" stroked="t" coordsize="21600,21600" o:gfxdata="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iBP4vZAAAACQEAAA8AAAAAAAAAAQAgAAAAIgAAAGRycy9kb3ducmV2Lnht&#10;bFBLAQIUABQAAAAIAIdO4kB1nUkh+AEAAKQDAAAOAAAAAAAAAAEAIAAAACgBAABkcnMvZTJvRG9j&#10;LnhtbFBLBQYAAAAABgAGAFkBAACSBQ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812864" behindDoc="0" locked="0" layoutInCell="1" allowOverlap="1">
                <wp:simplePos x="0" y="0"/>
                <wp:positionH relativeFrom="column">
                  <wp:posOffset>1066800</wp:posOffset>
                </wp:positionH>
                <wp:positionV relativeFrom="paragraph">
                  <wp:posOffset>80010</wp:posOffset>
                </wp:positionV>
                <wp:extent cx="419100" cy="287020"/>
                <wp:effectExtent l="0" t="0" r="19050" b="17780"/>
                <wp:wrapNone/>
                <wp:docPr id="54"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419100" cy="287020"/>
                        </a:xfrm>
                        <a:prstGeom prst="rect">
                          <a:avLst/>
                        </a:prstGeom>
                        <a:solidFill>
                          <a:srgbClr val="FFFFFF"/>
                        </a:solidFill>
                        <a:ln w="9525">
                          <a:solidFill>
                            <a:schemeClr val="bg1">
                              <a:lumMod val="100000"/>
                              <a:lumOff val="0"/>
                            </a:schemeClr>
                          </a:solidFill>
                          <a:miter lim="800000"/>
                        </a:ln>
                      </wps:spPr>
                      <wps:txbx>
                        <w:txbxContent>
                          <w:p>
                            <w:pPr>
                              <w:spacing w:line="240" w:lineRule="atLeast"/>
                              <w:jc w:val="left"/>
                              <w:rPr>
                                <w:sz w:val="18"/>
                                <w:szCs w:val="18"/>
                              </w:rPr>
                            </w:pPr>
                            <w:r>
                              <w:rPr>
                                <w:rFonts w:hint="eastAsia"/>
                                <w:sz w:val="18"/>
                                <w:szCs w:val="18"/>
                              </w:rPr>
                              <w:t>1</w:t>
                            </w:r>
                            <w:r>
                              <w:rPr>
                                <w:sz w:val="18"/>
                                <w:szCs w:val="18"/>
                              </w:rPr>
                              <w:t>2</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84pt;margin-top:6.3pt;height:22.6pt;width:33pt;z-index:251812864;mso-width-relative:page;mso-height-relative:page;" fillcolor="#FFFFFF" filled="t" stroked="t" coordsize="21600,21600" o:gfxdata="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SpbVdcAAAAJAQAADwAAAAAAAAABACAAAAAiAAAAZHJzL2Rvd25yZXYueG1sUEsB&#10;AhQAFAAAAAgAh07iQOndtAgvAgAAcAQAAA4AAAAAAAAAAQAgAAAAJgEAAGRycy9lMm9Eb2MueG1s&#10;UEsFBgAAAAAGAAYAWQEAAMcFAAAAAA==&#10;">
                <v:fill on="t" focussize="0,0"/>
                <v:stroke color="#FFFFFF [3228]" miterlimit="8" joinstyle="miter"/>
                <v:imagedata o:title=""/>
                <o:lock v:ext="edit" aspectratio="f"/>
                <v:textbox>
                  <w:txbxContent>
                    <w:p>
                      <w:pPr>
                        <w:spacing w:line="240" w:lineRule="atLeast"/>
                        <w:jc w:val="left"/>
                        <w:rPr>
                          <w:sz w:val="18"/>
                          <w:szCs w:val="18"/>
                        </w:rPr>
                      </w:pPr>
                      <w:r>
                        <w:rPr>
                          <w:rFonts w:hint="eastAsia"/>
                          <w:sz w:val="18"/>
                          <w:szCs w:val="18"/>
                        </w:rPr>
                        <w:t>1</w:t>
                      </w:r>
                      <w:r>
                        <w:rPr>
                          <w:sz w:val="18"/>
                          <w:szCs w:val="18"/>
                        </w:rPr>
                        <w:t>2</w:t>
                      </w:r>
                    </w:p>
                  </w:txbxContent>
                </v:textbox>
              </v:shape>
            </w:pict>
          </mc:Fallback>
        </mc:AlternateContent>
      </w:r>
    </w:p>
    <w:p>
      <w:pPr>
        <w:spacing w:line="360" w:lineRule="auto"/>
        <w:ind w:firstLine="480" w:firstLineChars="200"/>
        <w:rPr>
          <w:rFonts w:ascii="Times New Roman" w:hAnsi="Times New Roman"/>
          <w:b/>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892736" behindDoc="0" locked="0" layoutInCell="1" allowOverlap="1">
                <wp:simplePos x="0" y="0"/>
                <wp:positionH relativeFrom="column">
                  <wp:posOffset>2676525</wp:posOffset>
                </wp:positionH>
                <wp:positionV relativeFrom="paragraph">
                  <wp:posOffset>278130</wp:posOffset>
                </wp:positionV>
                <wp:extent cx="590550" cy="9525"/>
                <wp:effectExtent l="0" t="76200" r="19050" b="85725"/>
                <wp:wrapNone/>
                <wp:docPr id="62" name="直接箭头连接符 62"/>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10.75pt;margin-top:21.9pt;height:0.75pt;width:46.5pt;z-index:251892736;mso-width-relative:page;mso-height-relative:page;" filled="f" stroked="t" coordsize="21600,21600" o:gfxdata="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8f22AAAAAkBAAAPAAAAAAAAAAEAIAAAACIAAABkcnMvZG93bnJldi54bWxQSwECFAAU&#10;AAAACACHTuJATOv2YvEBAAChAwAADgAAAAAAAAABACAAAAAnAQAAZHJzL2Uyb0RvYy54bWxQSwUG&#10;AAAAAAYABgBZAQAAigU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884544" behindDoc="0" locked="0" layoutInCell="1" allowOverlap="1">
                <wp:simplePos x="0" y="0"/>
                <wp:positionH relativeFrom="column">
                  <wp:posOffset>2181225</wp:posOffset>
                </wp:positionH>
                <wp:positionV relativeFrom="paragraph">
                  <wp:posOffset>144780</wp:posOffset>
                </wp:positionV>
                <wp:extent cx="485775" cy="285750"/>
                <wp:effectExtent l="0" t="0" r="28575" b="19050"/>
                <wp:wrapNone/>
                <wp:docPr id="44" name="Text Box 222"/>
                <wp:cNvGraphicFramePr/>
                <a:graphic xmlns:a="http://schemas.openxmlformats.org/drawingml/2006/main">
                  <a:graphicData uri="http://schemas.microsoft.com/office/word/2010/wordprocessingShape">
                    <wps:wsp>
                      <wps:cNvSpPr txBox="1">
                        <a:spLocks noChangeArrowheads="1"/>
                      </wps:cNvSpPr>
                      <wps:spPr bwMode="auto">
                        <a:xfrm>
                          <a:off x="0" y="0"/>
                          <a:ext cx="485775" cy="28575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管道</w:t>
                            </w:r>
                          </w:p>
                        </w:txbxContent>
                      </wps:txbx>
                      <wps:bodyPr rot="0" vert="horz" wrap="square" lIns="91440" tIns="45720" rIns="91440" bIns="45720" anchor="t" anchorCtr="0" upright="1">
                        <a:noAutofit/>
                      </wps:bodyPr>
                    </wps:wsp>
                  </a:graphicData>
                </a:graphic>
              </wp:anchor>
            </w:drawing>
          </mc:Choice>
          <mc:Fallback>
            <w:pict>
              <v:shape id="Text Box 222" o:spid="_x0000_s1026" o:spt="202" type="#_x0000_t202" style="position:absolute;left:0pt;margin-left:171.75pt;margin-top:11.4pt;height:22.5pt;width:38.25pt;z-index:251884544;mso-width-relative:page;mso-height-relative:page;" fillcolor="#FFFFFF" filled="t" stroked="t" coordsize="21600,21600" o:gfxdata="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zLFL2AAAAAkBAAAPAAAA&#10;AAAAAAEAIAAAACIAAABkcnMvZG93bnJldi54bWxQSwECFAAUAAAACACHTuJAnoJcUhUCAAA6BAAA&#10;DgAAAAAAAAABACAAAAAnAQAAZHJzL2Uyb0RvYy54bWxQSwUGAAAAAAYABgBZAQAArgUAAAAA&#10;">
                <v:fill on="t" focussize="0,0"/>
                <v:stroke color="#000000" miterlimit="8" joinstyle="miter"/>
                <v:imagedata o:title=""/>
                <o:lock v:ext="edit" aspectratio="f"/>
                <v:textbox>
                  <w:txbxContent>
                    <w:p>
                      <w:pPr>
                        <w:spacing w:line="240" w:lineRule="atLeast"/>
                        <w:jc w:val="center"/>
                      </w:pPr>
                      <w:r>
                        <w:rPr>
                          <w:rFonts w:hint="eastAsia"/>
                        </w:rPr>
                        <w:t>管道</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810816" behindDoc="0" locked="0" layoutInCell="1" allowOverlap="1">
                <wp:simplePos x="0" y="0"/>
                <wp:positionH relativeFrom="column">
                  <wp:posOffset>2781300</wp:posOffset>
                </wp:positionH>
                <wp:positionV relativeFrom="paragraph">
                  <wp:posOffset>43815</wp:posOffset>
                </wp:positionV>
                <wp:extent cx="419100" cy="287020"/>
                <wp:effectExtent l="0" t="0" r="19050" b="17780"/>
                <wp:wrapNone/>
                <wp:docPr id="56"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419100" cy="287020"/>
                        </a:xfrm>
                        <a:prstGeom prst="rect">
                          <a:avLst/>
                        </a:prstGeom>
                        <a:solidFill>
                          <a:srgbClr val="FFFFFF"/>
                        </a:solidFill>
                        <a:ln w="9525">
                          <a:solidFill>
                            <a:schemeClr val="bg1">
                              <a:lumMod val="100000"/>
                              <a:lumOff val="0"/>
                            </a:schemeClr>
                          </a:solidFill>
                          <a:miter lim="800000"/>
                        </a:ln>
                      </wps:spPr>
                      <wps:txbx>
                        <w:txbxContent>
                          <w:p>
                            <w:pPr>
                              <w:spacing w:line="240" w:lineRule="atLeast"/>
                              <w:jc w:val="left"/>
                              <w:rPr>
                                <w:sz w:val="18"/>
                                <w:szCs w:val="18"/>
                              </w:rPr>
                            </w:pPr>
                            <w:r>
                              <w:rPr>
                                <w:rFonts w:hint="eastAsia"/>
                                <w:sz w:val="18"/>
                                <w:szCs w:val="18"/>
                              </w:rPr>
                              <w:t>1</w:t>
                            </w:r>
                            <w:r>
                              <w:rPr>
                                <w:sz w:val="18"/>
                                <w:szCs w:val="18"/>
                              </w:rPr>
                              <w:t>2</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219pt;margin-top:3.45pt;height:22.6pt;width:33pt;z-index:251810816;mso-width-relative:page;mso-height-relative:page;" fillcolor="#FFFFFF" filled="t" stroked="t" coordsize="21600,21600" o:gfxdata="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luRAdcAAAAIAQAADwAAAAAAAAABACAAAAAiAAAAZHJzL2Rvd25yZXYueG1sUEsB&#10;AhQAFAAAAAgAh07iQH1jcl4vAgAAcAQAAA4AAAAAAAAAAQAgAAAAJgEAAGRycy9lMm9Eb2MueG1s&#10;UEsFBgAAAAAGAAYAWQEAAMcFAAAAAA==&#10;">
                <v:fill on="t" focussize="0,0"/>
                <v:stroke color="#FFFFFF [3228]" miterlimit="8" joinstyle="miter"/>
                <v:imagedata o:title=""/>
                <o:lock v:ext="edit" aspectratio="f"/>
                <v:textbox>
                  <w:txbxContent>
                    <w:p>
                      <w:pPr>
                        <w:spacing w:line="240" w:lineRule="atLeast"/>
                        <w:jc w:val="left"/>
                        <w:rPr>
                          <w:sz w:val="18"/>
                          <w:szCs w:val="18"/>
                        </w:rPr>
                      </w:pPr>
                      <w:r>
                        <w:rPr>
                          <w:rFonts w:hint="eastAsia"/>
                          <w:sz w:val="18"/>
                          <w:szCs w:val="18"/>
                        </w:rPr>
                        <w:t>1</w:t>
                      </w:r>
                      <w:r>
                        <w:rPr>
                          <w:sz w:val="18"/>
                          <w:szCs w:val="18"/>
                        </w:rPr>
                        <w:t>2</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811840" behindDoc="0" locked="0" layoutInCell="1" allowOverlap="1">
                <wp:simplePos x="0" y="0"/>
                <wp:positionH relativeFrom="column">
                  <wp:posOffset>1733550</wp:posOffset>
                </wp:positionH>
                <wp:positionV relativeFrom="paragraph">
                  <wp:posOffset>81915</wp:posOffset>
                </wp:positionV>
                <wp:extent cx="419100" cy="287020"/>
                <wp:effectExtent l="0" t="0" r="19050" b="17780"/>
                <wp:wrapNone/>
                <wp:docPr id="55"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419100" cy="287020"/>
                        </a:xfrm>
                        <a:prstGeom prst="rect">
                          <a:avLst/>
                        </a:prstGeom>
                        <a:solidFill>
                          <a:srgbClr val="FFFFFF"/>
                        </a:solidFill>
                        <a:ln w="9525">
                          <a:solidFill>
                            <a:schemeClr val="bg1">
                              <a:lumMod val="100000"/>
                              <a:lumOff val="0"/>
                            </a:schemeClr>
                          </a:solidFill>
                          <a:miter lim="800000"/>
                        </a:ln>
                      </wps:spPr>
                      <wps:txbx>
                        <w:txbxContent>
                          <w:p>
                            <w:pPr>
                              <w:spacing w:line="240" w:lineRule="atLeast"/>
                              <w:jc w:val="left"/>
                              <w:rPr>
                                <w:sz w:val="18"/>
                                <w:szCs w:val="18"/>
                              </w:rPr>
                            </w:pPr>
                            <w:r>
                              <w:rPr>
                                <w:rFonts w:hint="eastAsia"/>
                                <w:sz w:val="18"/>
                                <w:szCs w:val="18"/>
                              </w:rPr>
                              <w:t>1</w:t>
                            </w:r>
                            <w:r>
                              <w:rPr>
                                <w:sz w:val="18"/>
                                <w:szCs w:val="18"/>
                              </w:rPr>
                              <w:t>2</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136.5pt;margin-top:6.45pt;height:22.6pt;width:33pt;z-index:251811840;mso-width-relative:page;mso-height-relative:page;" fillcolor="#FFFFFF" filled="t" stroked="t" coordsize="21600,21600" o:gfxdata="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n+VQrYAAAACQEAAA8AAAAAAAAAAQAgAAAAIgAAAGRycy9kb3ducmV2LnhtbFBL&#10;AQIUABQAAAAIAIdO4kCjgtcjLwIAAHAEAAAOAAAAAAAAAAEAIAAAACcBAABkcnMvZTJvRG9jLnht&#10;bFBLBQYAAAAABgAGAFkBAADIBQAAAAA=&#10;">
                <v:fill on="t" focussize="0,0"/>
                <v:stroke color="#FFFFFF [3228]" miterlimit="8" joinstyle="miter"/>
                <v:imagedata o:title=""/>
                <o:lock v:ext="edit" aspectratio="f"/>
                <v:textbox>
                  <w:txbxContent>
                    <w:p>
                      <w:pPr>
                        <w:spacing w:line="240" w:lineRule="atLeast"/>
                        <w:jc w:val="left"/>
                        <w:rPr>
                          <w:sz w:val="18"/>
                          <w:szCs w:val="18"/>
                        </w:rPr>
                      </w:pPr>
                      <w:r>
                        <w:rPr>
                          <w:rFonts w:hint="eastAsia"/>
                          <w:sz w:val="18"/>
                          <w:szCs w:val="18"/>
                        </w:rPr>
                        <w:t>1</w:t>
                      </w:r>
                      <w:r>
                        <w:rPr>
                          <w:sz w:val="18"/>
                          <w:szCs w:val="18"/>
                        </w:rPr>
                        <w:t>2</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888640" behindDoc="0" locked="0" layoutInCell="1" allowOverlap="1">
                <wp:simplePos x="0" y="0"/>
                <wp:positionH relativeFrom="column">
                  <wp:posOffset>1590675</wp:posOffset>
                </wp:positionH>
                <wp:positionV relativeFrom="paragraph">
                  <wp:posOffset>297180</wp:posOffset>
                </wp:positionV>
                <wp:extent cx="590550" cy="0"/>
                <wp:effectExtent l="0" t="76200" r="19050" b="95250"/>
                <wp:wrapNone/>
                <wp:docPr id="50" name="直接箭头连接符 50"/>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5.25pt;margin-top:23.4pt;height:0pt;width:46.5pt;z-index:251888640;mso-width-relative:page;mso-height-relative:page;" filled="f" stroked="t" coordsize="21600,21600" o:gfxdata="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IDiDtUAAAAJ&#10;AQAADwAAAAAAAAABACAAAAAiAAAAZHJzL2Rvd25yZXYueG1sUEsBAhQAFAAAAAgAh07iQLP7X9jm&#10;AQAAlAMAAA4AAAAAAAAAAQAgAAAAJAEAAGRycy9lMm9Eb2MueG1sUEsFBgAAAAAGAAYAWQEAAHwF&#10;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885568" behindDoc="0" locked="0" layoutInCell="1" allowOverlap="1">
                <wp:simplePos x="0" y="0"/>
                <wp:positionH relativeFrom="column">
                  <wp:posOffset>3257550</wp:posOffset>
                </wp:positionH>
                <wp:positionV relativeFrom="paragraph">
                  <wp:posOffset>135255</wp:posOffset>
                </wp:positionV>
                <wp:extent cx="990600" cy="285750"/>
                <wp:effectExtent l="0" t="0" r="19050" b="19050"/>
                <wp:wrapNone/>
                <wp:docPr id="45" name="Text Box 222"/>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生产</w:t>
                            </w:r>
                            <w:r>
                              <w:t>线</w:t>
                            </w:r>
                          </w:p>
                        </w:txbxContent>
                      </wps:txbx>
                      <wps:bodyPr rot="0" vert="horz" wrap="square" lIns="91440" tIns="45720" rIns="91440" bIns="45720" anchor="t" anchorCtr="0" upright="1">
                        <a:noAutofit/>
                      </wps:bodyPr>
                    </wps:wsp>
                  </a:graphicData>
                </a:graphic>
              </wp:anchor>
            </w:drawing>
          </mc:Choice>
          <mc:Fallback>
            <w:pict>
              <v:shape id="Text Box 222" o:spid="_x0000_s1026" o:spt="202" type="#_x0000_t202" style="position:absolute;left:0pt;margin-left:256.5pt;margin-top:10.65pt;height:22.5pt;width:78pt;z-index:251885568;mso-width-relative:page;mso-height-relative:page;" fillcolor="#FFFFFF" filled="t" stroked="t" coordsize="21600,21600" o:gfxdata="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YP8Sc2AAAAAkBAAAPAAAA&#10;AAAAAAEAIAAAACIAAABkcnMvZG93bnJldi54bWxQSwECFAAUAAAACACHTuJAL5dhVhUCAAA6BAAA&#10;DgAAAAAAAAABACAAAAAnAQAAZHJzL2Uyb0RvYy54bWxQSwUGAAAAAAYABgBZAQAArgUAAAAA&#10;">
                <v:fill on="t" focussize="0,0"/>
                <v:stroke color="#000000" miterlimit="8" joinstyle="miter"/>
                <v:imagedata o:title=""/>
                <o:lock v:ext="edit" aspectratio="f"/>
                <v:textbox>
                  <w:txbxContent>
                    <w:p>
                      <w:pPr>
                        <w:spacing w:line="240" w:lineRule="atLeast"/>
                        <w:jc w:val="center"/>
                      </w:pPr>
                      <w:r>
                        <w:rPr>
                          <w:rFonts w:hint="eastAsia"/>
                        </w:rPr>
                        <w:t>生产</w:t>
                      </w:r>
                      <w:r>
                        <w:t>线</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883520" behindDoc="0" locked="0" layoutInCell="1" allowOverlap="1">
                <wp:simplePos x="0" y="0"/>
                <wp:positionH relativeFrom="column">
                  <wp:posOffset>676275</wp:posOffset>
                </wp:positionH>
                <wp:positionV relativeFrom="paragraph">
                  <wp:posOffset>146050</wp:posOffset>
                </wp:positionV>
                <wp:extent cx="904875" cy="285750"/>
                <wp:effectExtent l="0" t="0" r="28575" b="19050"/>
                <wp:wrapNone/>
                <wp:docPr id="43" name="Text Box 222"/>
                <wp:cNvGraphicFramePr/>
                <a:graphic xmlns:a="http://schemas.openxmlformats.org/drawingml/2006/main">
                  <a:graphicData uri="http://schemas.microsoft.com/office/word/2010/wordprocessingShape">
                    <wps:wsp>
                      <wps:cNvSpPr txBox="1">
                        <a:spLocks noChangeArrowheads="1"/>
                      </wps:cNvSpPr>
                      <wps:spPr bwMode="auto">
                        <a:xfrm>
                          <a:off x="0" y="0"/>
                          <a:ext cx="904875" cy="285750"/>
                        </a:xfrm>
                        <a:prstGeom prst="rect">
                          <a:avLst/>
                        </a:prstGeom>
                        <a:solidFill>
                          <a:srgbClr val="FFFFFF"/>
                        </a:solidFill>
                        <a:ln w="9525">
                          <a:solidFill>
                            <a:srgbClr val="000000"/>
                          </a:solidFill>
                          <a:miter lim="800000"/>
                        </a:ln>
                      </wps:spPr>
                      <wps:txbx>
                        <w:txbxContent>
                          <w:p>
                            <w:pPr>
                              <w:spacing w:line="240" w:lineRule="atLeast"/>
                              <w:jc w:val="center"/>
                            </w:pPr>
                            <w:r>
                              <w:rPr>
                                <w:rFonts w:hint="eastAsia"/>
                              </w:rPr>
                              <w:t>燃气</w:t>
                            </w:r>
                            <w:r>
                              <w:t>分缸</w:t>
                            </w:r>
                          </w:p>
                        </w:txbxContent>
                      </wps:txbx>
                      <wps:bodyPr rot="0" vert="horz" wrap="square" lIns="91440" tIns="45720" rIns="91440" bIns="45720" anchor="t" anchorCtr="0" upright="1">
                        <a:noAutofit/>
                      </wps:bodyPr>
                    </wps:wsp>
                  </a:graphicData>
                </a:graphic>
              </wp:anchor>
            </w:drawing>
          </mc:Choice>
          <mc:Fallback>
            <w:pict>
              <v:shape id="Text Box 222" o:spid="_x0000_s1026" o:spt="202" type="#_x0000_t202" style="position:absolute;left:0pt;margin-left:53.25pt;margin-top:11.5pt;height:22.5pt;width:71.25pt;z-index:251883520;mso-width-relative:page;mso-height-relative:page;" fillcolor="#FFFFFF" filled="t" stroked="t" coordsize="21600,21600" o:gfxdata="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dR5s1wAAAAkBAAAPAAAA&#10;AAAAAAEAIAAAACIAAABkcnMvZG93bnJldi54bWxQSwECFAAUAAAACACHTuJAC8DihBYCAAA6BAAA&#10;DgAAAAAAAAABACAAAAAmAQAAZHJzL2Uyb0RvYy54bWxQSwUGAAAAAAYABgBZAQAArgUAAAAA&#10;">
                <v:fill on="t" focussize="0,0"/>
                <v:stroke color="#000000" miterlimit="8" joinstyle="miter"/>
                <v:imagedata o:title=""/>
                <o:lock v:ext="edit" aspectratio="f"/>
                <v:textbox>
                  <w:txbxContent>
                    <w:p>
                      <w:pPr>
                        <w:spacing w:line="240" w:lineRule="atLeast"/>
                        <w:jc w:val="center"/>
                      </w:pPr>
                      <w:r>
                        <w:rPr>
                          <w:rFonts w:hint="eastAsia"/>
                        </w:rPr>
                        <w:t>燃气</w:t>
                      </w:r>
                      <w:r>
                        <w:t>分缸</w:t>
                      </w:r>
                    </w:p>
                  </w:txbxContent>
                </v:textbox>
              </v:shape>
            </w:pict>
          </mc:Fallback>
        </mc:AlternateContent>
      </w:r>
    </w:p>
    <w:p>
      <w:pPr>
        <w:spacing w:line="360" w:lineRule="auto"/>
        <w:ind w:firstLine="482" w:firstLineChars="200"/>
        <w:rPr>
          <w:rFonts w:ascii="Times New Roman" w:hAnsi="Times New Roman"/>
          <w:b/>
          <w:color w:val="000000"/>
          <w:sz w:val="24"/>
          <w:szCs w:val="24"/>
        </w:rPr>
      </w:pP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图3.2</w:t>
      </w:r>
      <w:r>
        <w:rPr>
          <w:rFonts w:ascii="Times New Roman" w:hAnsi="Times New Roman"/>
          <w:b/>
          <w:color w:val="000000"/>
          <w:sz w:val="24"/>
          <w:szCs w:val="24"/>
        </w:rPr>
        <w:t xml:space="preserve">-8   </w:t>
      </w:r>
      <w:r>
        <w:rPr>
          <w:rFonts w:hint="eastAsia" w:ascii="Times New Roman" w:hAnsi="Times New Roman"/>
          <w:b/>
          <w:color w:val="000000"/>
          <w:sz w:val="24"/>
          <w:szCs w:val="24"/>
        </w:rPr>
        <w:t>项目</w:t>
      </w:r>
      <w:r>
        <w:rPr>
          <w:rFonts w:ascii="Times New Roman" w:hAnsi="Times New Roman"/>
          <w:b/>
          <w:color w:val="000000"/>
          <w:sz w:val="24"/>
          <w:szCs w:val="24"/>
        </w:rPr>
        <w:t>蒸汽平衡图</w:t>
      </w:r>
      <w:r>
        <w:rPr>
          <w:rFonts w:hint="eastAsia" w:ascii="Times New Roman" w:hAnsi="Times New Roman"/>
          <w:b/>
          <w:color w:val="000000"/>
          <w:sz w:val="24"/>
          <w:szCs w:val="24"/>
        </w:rPr>
        <w:t xml:space="preserve">  单位t/h</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（3）运营期噪声污染源分析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建设项目噪声污染源主要为造纸机、双盘磨机、立式精浆除砂机、水力碎浆机及其它浆泵设备等，本项目噪声声级范围80~100dB（A），噪声污染防治措施将高噪声设备布置在车间内，并安装减震垫。该项目运营期噪声污染源分析见表3.2-</w:t>
      </w:r>
      <w:r>
        <w:rPr>
          <w:rFonts w:ascii="Times New Roman" w:hAnsi="Times New Roman"/>
          <w:color w:val="000000"/>
          <w:sz w:val="24"/>
          <w:szCs w:val="24"/>
        </w:rPr>
        <w:t>9</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表3.2-</w:t>
      </w:r>
      <w:r>
        <w:rPr>
          <w:rFonts w:ascii="Times New Roman" w:hAnsi="Times New Roman"/>
          <w:b/>
          <w:color w:val="000000"/>
          <w:sz w:val="24"/>
          <w:szCs w:val="24"/>
        </w:rPr>
        <w:t>9</w:t>
      </w:r>
      <w:r>
        <w:rPr>
          <w:rFonts w:hint="eastAsia" w:ascii="Times New Roman" w:hAnsi="Times New Roman"/>
          <w:b/>
          <w:color w:val="000000"/>
          <w:sz w:val="24"/>
          <w:szCs w:val="24"/>
        </w:rPr>
        <w:t xml:space="preserve">   主要噪声源及源强  单位dB（A）</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809"/>
        <w:gridCol w:w="1275"/>
        <w:gridCol w:w="709"/>
        <w:gridCol w:w="709"/>
        <w:gridCol w:w="850"/>
        <w:gridCol w:w="1843"/>
        <w:gridCol w:w="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序号</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设备名称</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安装地点</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单台源强</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数量</w:t>
            </w:r>
          </w:p>
        </w:tc>
        <w:tc>
          <w:tcPr>
            <w:tcW w:w="850"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1m处噪声级</w:t>
            </w:r>
          </w:p>
        </w:tc>
        <w:tc>
          <w:tcPr>
            <w:tcW w:w="1843"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治理措施</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治理后源强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1</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运输车辆</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75</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w:t>
            </w:r>
          </w:p>
        </w:tc>
        <w:tc>
          <w:tcPr>
            <w:tcW w:w="850" w:type="dxa"/>
            <w:vAlign w:val="center"/>
          </w:tcPr>
          <w:p>
            <w:pPr>
              <w:spacing w:line="240" w:lineRule="atLeast"/>
              <w:jc w:val="center"/>
              <w:rPr>
                <w:rFonts w:ascii="Times New Roman" w:hAnsi="宋体" w:eastAsia="宋体" w:cs="Times New Roman"/>
                <w:kern w:val="0"/>
                <w:szCs w:val="28"/>
              </w:rPr>
            </w:pPr>
          </w:p>
        </w:tc>
        <w:tc>
          <w:tcPr>
            <w:tcW w:w="1843"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2</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造纸机</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生产车间</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85</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4台</w:t>
            </w:r>
          </w:p>
        </w:tc>
        <w:tc>
          <w:tcPr>
            <w:tcW w:w="850"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86</w:t>
            </w:r>
          </w:p>
        </w:tc>
        <w:tc>
          <w:tcPr>
            <w:tcW w:w="1843"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建筑隔声、减震垫</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3</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双盘磨机</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生产车间</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80</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4台</w:t>
            </w:r>
          </w:p>
        </w:tc>
        <w:tc>
          <w:tcPr>
            <w:tcW w:w="850"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84</w:t>
            </w:r>
          </w:p>
        </w:tc>
        <w:tc>
          <w:tcPr>
            <w:tcW w:w="1843"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建筑隔声、减震垫</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4</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立式精浆除砂机</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生产车间</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85</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2台</w:t>
            </w:r>
          </w:p>
        </w:tc>
        <w:tc>
          <w:tcPr>
            <w:tcW w:w="850"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82</w:t>
            </w:r>
          </w:p>
        </w:tc>
        <w:tc>
          <w:tcPr>
            <w:tcW w:w="1843"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建筑隔声、减震垫</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5</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水力碎浆机</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碎浆车间</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80</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2台</w:t>
            </w:r>
          </w:p>
        </w:tc>
        <w:tc>
          <w:tcPr>
            <w:tcW w:w="850"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81</w:t>
            </w:r>
          </w:p>
        </w:tc>
        <w:tc>
          <w:tcPr>
            <w:tcW w:w="1843" w:type="dxa"/>
            <w:vAlign w:val="center"/>
          </w:tcPr>
          <w:p>
            <w:pPr>
              <w:spacing w:line="240" w:lineRule="atLeast"/>
              <w:jc w:val="center"/>
              <w:rPr>
                <w:rFonts w:ascii="Times New Roman" w:hAnsi="宋体" w:eastAsia="宋体" w:cs="Times New Roman"/>
                <w:b/>
                <w:kern w:val="0"/>
                <w:szCs w:val="28"/>
              </w:rPr>
            </w:pPr>
            <w:r>
              <w:rPr>
                <w:rFonts w:hint="eastAsia" w:ascii="Times New Roman" w:hAnsi="宋体" w:eastAsia="宋体" w:cs="Times New Roman"/>
                <w:kern w:val="0"/>
                <w:szCs w:val="28"/>
              </w:rPr>
              <w:t>建筑隔声、减震垫</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6</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水膜除尘器</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80</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1台</w:t>
            </w:r>
          </w:p>
        </w:tc>
        <w:tc>
          <w:tcPr>
            <w:tcW w:w="850"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80</w:t>
            </w:r>
          </w:p>
        </w:tc>
        <w:tc>
          <w:tcPr>
            <w:tcW w:w="1843"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建筑隔声、减震垫</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风机</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锅炉房</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80</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1台</w:t>
            </w:r>
          </w:p>
        </w:tc>
        <w:tc>
          <w:tcPr>
            <w:tcW w:w="850"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80</w:t>
            </w:r>
          </w:p>
        </w:tc>
        <w:tc>
          <w:tcPr>
            <w:tcW w:w="1843"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建筑隔声、减震垫</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水泵</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泵房</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80</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4台</w:t>
            </w:r>
          </w:p>
        </w:tc>
        <w:tc>
          <w:tcPr>
            <w:tcW w:w="850"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86</w:t>
            </w:r>
          </w:p>
        </w:tc>
        <w:tc>
          <w:tcPr>
            <w:tcW w:w="1843"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建筑隔声、减震垫</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9</w:t>
            </w:r>
          </w:p>
        </w:tc>
        <w:tc>
          <w:tcPr>
            <w:tcW w:w="18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变压器</w:t>
            </w:r>
          </w:p>
        </w:tc>
        <w:tc>
          <w:tcPr>
            <w:tcW w:w="1275"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配电房</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80</w:t>
            </w:r>
          </w:p>
        </w:tc>
        <w:tc>
          <w:tcPr>
            <w:tcW w:w="709"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1台</w:t>
            </w:r>
          </w:p>
        </w:tc>
        <w:tc>
          <w:tcPr>
            <w:tcW w:w="850"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80</w:t>
            </w:r>
          </w:p>
        </w:tc>
        <w:tc>
          <w:tcPr>
            <w:tcW w:w="1843"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建筑隔声、减震垫</w:t>
            </w:r>
          </w:p>
        </w:tc>
        <w:tc>
          <w:tcPr>
            <w:tcW w:w="9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65</w:t>
            </w:r>
          </w:p>
        </w:tc>
      </w:tr>
    </w:tbl>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（4）运营期固体废物污染源分析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本项目运营期产生的固体废物主要有边角废料、锅炉炉渣、除尘废水循环沉淀池污泥、生活垃圾、化粪池及污水处理站污泥等。</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1）边角废料</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项目生产过程中在成品切割段产生少量的边角废料，其产生量约为年产量的0.1%，项目年产10万吨环保新材料石粉复合纸，则项目边角废料的产生量为100</w:t>
      </w:r>
      <w:r>
        <w:rPr>
          <w:rFonts w:ascii="Times New Roman" w:hAnsi="Times New Roman"/>
          <w:color w:val="000000"/>
          <w:sz w:val="24"/>
          <w:szCs w:val="24"/>
        </w:rPr>
        <w:t>t/a</w:t>
      </w:r>
      <w:r>
        <w:rPr>
          <w:rFonts w:hint="eastAsia" w:ascii="Times New Roman" w:hAnsi="Times New Roman"/>
          <w:color w:val="000000"/>
          <w:sz w:val="24"/>
          <w:szCs w:val="24"/>
        </w:rPr>
        <w:t>，经收集后返回水力碎浆工序。</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2）锅炉炉渣</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项目使用1台燃生物质燃料的锅炉，根据经验类比，炉渣的产生量按照生物质燃料用量的15%~20%进行计算，项目生物质燃料用量为5000t/a，则本项目炉渣产生量为750t/a，定期清理，经收集后暂存于灰尘暂存处（50m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），达到一定量时用于周边</w:t>
      </w:r>
      <w:r>
        <w:rPr>
          <w:rFonts w:ascii="Times New Roman" w:hAnsi="Times New Roman"/>
          <w:color w:val="000000"/>
          <w:sz w:val="24"/>
          <w:szCs w:val="24"/>
        </w:rPr>
        <w:t>农田还田</w:t>
      </w:r>
      <w:r>
        <w:rPr>
          <w:rFonts w:hint="eastAsia" w:ascii="Times New Roman" w:hAnsi="Times New Roman"/>
          <w:color w:val="000000"/>
          <w:sz w:val="24"/>
          <w:szCs w:val="24"/>
        </w:rPr>
        <w:t>处置。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3）除尘废水循环沉淀池污泥</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项目锅炉烟尘产生量为</w:t>
      </w:r>
      <w:r>
        <w:rPr>
          <w:rFonts w:ascii="Times New Roman" w:hAnsi="Times New Roman"/>
          <w:color w:val="000000"/>
          <w:sz w:val="24"/>
          <w:szCs w:val="24"/>
        </w:rPr>
        <w:t>2.5</w:t>
      </w:r>
      <w:r>
        <w:rPr>
          <w:rFonts w:hint="eastAsia" w:ascii="Times New Roman" w:hAnsi="Times New Roman"/>
          <w:color w:val="000000"/>
          <w:sz w:val="24"/>
          <w:szCs w:val="24"/>
        </w:rPr>
        <w:t>t/a，经水膜除尘器处理后通过排气筒排出的有</w:t>
      </w:r>
      <w:r>
        <w:rPr>
          <w:rFonts w:ascii="Times New Roman" w:hAnsi="Times New Roman"/>
          <w:color w:val="000000"/>
          <w:sz w:val="24"/>
          <w:szCs w:val="24"/>
        </w:rPr>
        <w:t>325kg</w:t>
      </w:r>
      <w:r>
        <w:rPr>
          <w:rFonts w:hint="eastAsia" w:ascii="Times New Roman" w:hAnsi="Times New Roman"/>
          <w:color w:val="000000"/>
          <w:sz w:val="24"/>
          <w:szCs w:val="24"/>
        </w:rPr>
        <w:t>/a，剩余</w:t>
      </w:r>
      <w:r>
        <w:rPr>
          <w:rFonts w:ascii="Times New Roman" w:hAnsi="Times New Roman"/>
          <w:color w:val="000000"/>
          <w:sz w:val="24"/>
          <w:szCs w:val="24"/>
        </w:rPr>
        <w:t>2.175</w:t>
      </w:r>
      <w:r>
        <w:rPr>
          <w:rFonts w:hint="eastAsia" w:ascii="Times New Roman" w:hAnsi="Times New Roman"/>
          <w:color w:val="000000"/>
          <w:sz w:val="24"/>
          <w:szCs w:val="24"/>
        </w:rPr>
        <w:t>t/a的除尘废水循环沉淀池污泥定期清理后</w:t>
      </w:r>
      <w:r>
        <w:rPr>
          <w:rFonts w:ascii="Times New Roman" w:hAnsi="Times New Roman"/>
          <w:color w:val="000000"/>
          <w:sz w:val="24"/>
          <w:szCs w:val="24"/>
        </w:rPr>
        <w:t>还田</w:t>
      </w:r>
      <w:r>
        <w:rPr>
          <w:rFonts w:hint="eastAsia" w:ascii="Times New Roman" w:hAnsi="Times New Roman"/>
          <w:color w:val="000000"/>
          <w:sz w:val="24"/>
          <w:szCs w:val="24"/>
        </w:rPr>
        <w:t>处置。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4）生活垃圾</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工作人员数量为70人，其中在项目区食宿的为60人，工作制度为三班制，生活垃圾的产生量按0.5kg/d·人计算，则员工生活垃圾的产生量为30kg/d，9t/a。生活垃圾经垃圾桶收集后，清运至环卫部门指定地点，由环卫部门统一清运处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5）化粪池、污水处理系统污泥</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项目拟建设1个总容积为5m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的化粪池，一个处理能力为6m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/d的污水处理站。项目年生活污水产量为1440m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，根据经验数据，污泥的产生量约为废水量的0.1%，则项目污泥量为4.8kg/d，1.44t/a，委托环卫部门定期清掏。</w:t>
      </w:r>
    </w:p>
    <w:p>
      <w:pPr>
        <w:pStyle w:val="2"/>
        <w:numPr>
          <w:ilvl w:val="0"/>
          <w:numId w:val="3"/>
        </w:numPr>
        <w:snapToGrid/>
        <w:spacing w:before="0" w:beforeLines="0" w:line="360" w:lineRule="auto"/>
      </w:pPr>
      <w:r>
        <w:rPr>
          <w:rFonts w:hint="eastAsia"/>
        </w:rPr>
        <w:t>软水制备系统废树脂</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w:t>
      </w:r>
      <w:r>
        <w:rPr>
          <w:rFonts w:ascii="Times New Roman" w:hAnsi="Times New Roman"/>
          <w:color w:val="000000"/>
          <w:sz w:val="24"/>
          <w:szCs w:val="24"/>
        </w:rPr>
        <w:t>项目采用</w:t>
      </w:r>
      <w:r>
        <w:rPr>
          <w:rFonts w:hint="eastAsia" w:ascii="Times New Roman" w:hAnsi="Times New Roman"/>
          <w:color w:val="000000"/>
          <w:sz w:val="24"/>
          <w:szCs w:val="24"/>
        </w:rPr>
        <w:t>钠离子</w:t>
      </w:r>
      <w:r>
        <w:rPr>
          <w:rFonts w:ascii="Times New Roman" w:hAnsi="Times New Roman"/>
          <w:color w:val="000000"/>
          <w:sz w:val="24"/>
          <w:szCs w:val="24"/>
        </w:rPr>
        <w:t>交换器，工作原理是：水的硬度主要是由其中的阳离子钙（</w:t>
      </w:r>
      <w:r>
        <w:rPr>
          <w:rFonts w:hint="eastAsia" w:ascii="Times New Roman" w:hAnsi="Times New Roman"/>
          <w:color w:val="000000"/>
          <w:sz w:val="24"/>
          <w:szCs w:val="24"/>
        </w:rPr>
        <w:t>G</w:t>
      </w:r>
      <w:r>
        <w:rPr>
          <w:rFonts w:ascii="Times New Roman" w:hAnsi="Times New Roman"/>
          <w:color w:val="000000"/>
          <w:sz w:val="24"/>
          <w:szCs w:val="24"/>
        </w:rPr>
        <w:t>a</w:t>
      </w:r>
      <w:r>
        <w:rPr>
          <w:rFonts w:ascii="Times New Roman" w:hAnsi="Times New Roman"/>
          <w:color w:val="000000"/>
          <w:sz w:val="24"/>
          <w:szCs w:val="24"/>
          <w:vertAlign w:val="superscript"/>
        </w:rPr>
        <w:t>2+</w:t>
      </w:r>
      <w:r>
        <w:rPr>
          <w:rFonts w:ascii="Times New Roman" w:hAnsi="Times New Roman"/>
          <w:color w:val="000000"/>
          <w:sz w:val="24"/>
          <w:szCs w:val="24"/>
        </w:rPr>
        <w:t>）</w:t>
      </w:r>
      <w:r>
        <w:rPr>
          <w:rFonts w:hint="eastAsia" w:ascii="Times New Roman" w:hAnsi="Times New Roman"/>
          <w:color w:val="000000"/>
          <w:sz w:val="24"/>
          <w:szCs w:val="24"/>
        </w:rPr>
        <w:t>、</w:t>
      </w:r>
      <w:r>
        <w:rPr>
          <w:rFonts w:ascii="Times New Roman" w:hAnsi="Times New Roman"/>
          <w:color w:val="000000"/>
          <w:sz w:val="24"/>
          <w:szCs w:val="24"/>
        </w:rPr>
        <w:t>镁（</w:t>
      </w:r>
      <w:r>
        <w:rPr>
          <w:rFonts w:hint="eastAsia" w:ascii="Times New Roman" w:hAnsi="Times New Roman"/>
          <w:color w:val="000000"/>
          <w:sz w:val="24"/>
          <w:szCs w:val="24"/>
        </w:rPr>
        <w:t>M</w:t>
      </w:r>
      <w:r>
        <w:rPr>
          <w:rFonts w:ascii="Times New Roman" w:hAnsi="Times New Roman"/>
          <w:color w:val="000000"/>
          <w:sz w:val="24"/>
          <w:szCs w:val="24"/>
        </w:rPr>
        <w:t>g</w:t>
      </w:r>
      <w:r>
        <w:rPr>
          <w:rFonts w:ascii="Times New Roman" w:hAnsi="Times New Roman"/>
          <w:color w:val="000000"/>
          <w:sz w:val="24"/>
          <w:szCs w:val="24"/>
          <w:vertAlign w:val="superscript"/>
        </w:rPr>
        <w:t>2+</w:t>
      </w:r>
      <w:r>
        <w:rPr>
          <w:rFonts w:ascii="Times New Roman" w:hAnsi="Times New Roman"/>
          <w:color w:val="000000"/>
          <w:sz w:val="24"/>
          <w:szCs w:val="24"/>
        </w:rPr>
        <w:t>）</w:t>
      </w:r>
      <w:r>
        <w:rPr>
          <w:rFonts w:hint="eastAsia" w:ascii="Times New Roman" w:hAnsi="Times New Roman"/>
          <w:color w:val="000000"/>
          <w:sz w:val="24"/>
          <w:szCs w:val="24"/>
        </w:rPr>
        <w:t>离子</w:t>
      </w:r>
      <w:r>
        <w:rPr>
          <w:rFonts w:ascii="Times New Roman" w:hAnsi="Times New Roman"/>
          <w:color w:val="000000"/>
          <w:sz w:val="24"/>
          <w:szCs w:val="24"/>
        </w:rPr>
        <w:t>构成的。</w:t>
      </w:r>
      <w:r>
        <w:rPr>
          <w:rFonts w:hint="eastAsia" w:ascii="Times New Roman" w:hAnsi="Times New Roman"/>
          <w:color w:val="000000"/>
          <w:sz w:val="24"/>
          <w:szCs w:val="24"/>
        </w:rPr>
        <w:t>当</w:t>
      </w:r>
      <w:r>
        <w:rPr>
          <w:rFonts w:ascii="Times New Roman" w:hAnsi="Times New Roman"/>
          <w:color w:val="000000"/>
          <w:sz w:val="24"/>
          <w:szCs w:val="24"/>
        </w:rPr>
        <w:t>含有硬离子的原水通过交换器树脂层时，水中的钙</w:t>
      </w:r>
      <w:r>
        <w:rPr>
          <w:rFonts w:hint="eastAsia" w:ascii="Times New Roman" w:hAnsi="Times New Roman"/>
          <w:color w:val="000000"/>
          <w:sz w:val="24"/>
          <w:szCs w:val="24"/>
        </w:rPr>
        <w:t>、</w:t>
      </w:r>
      <w:r>
        <w:rPr>
          <w:rFonts w:ascii="Times New Roman" w:hAnsi="Times New Roman"/>
          <w:color w:val="000000"/>
          <w:sz w:val="24"/>
          <w:szCs w:val="24"/>
        </w:rPr>
        <w:t>镁</w:t>
      </w:r>
      <w:r>
        <w:rPr>
          <w:rFonts w:hint="eastAsia" w:ascii="Times New Roman" w:hAnsi="Times New Roman"/>
          <w:color w:val="000000"/>
          <w:sz w:val="24"/>
          <w:szCs w:val="24"/>
        </w:rPr>
        <w:t>离子</w:t>
      </w:r>
      <w:r>
        <w:rPr>
          <w:rFonts w:ascii="Times New Roman" w:hAnsi="Times New Roman"/>
          <w:color w:val="000000"/>
          <w:sz w:val="24"/>
          <w:szCs w:val="24"/>
        </w:rPr>
        <w:t>与树脂内的钠离子发生置换，树脂吸附了钙</w:t>
      </w:r>
      <w:r>
        <w:rPr>
          <w:rFonts w:hint="eastAsia" w:ascii="Times New Roman" w:hAnsi="Times New Roman"/>
          <w:color w:val="000000"/>
          <w:sz w:val="24"/>
          <w:szCs w:val="24"/>
        </w:rPr>
        <w:t>、</w:t>
      </w:r>
      <w:r>
        <w:rPr>
          <w:rFonts w:ascii="Times New Roman" w:hAnsi="Times New Roman"/>
          <w:color w:val="000000"/>
          <w:sz w:val="24"/>
          <w:szCs w:val="24"/>
        </w:rPr>
        <w:t>镁</w:t>
      </w:r>
      <w:r>
        <w:rPr>
          <w:rFonts w:hint="eastAsia" w:ascii="Times New Roman" w:hAnsi="Times New Roman"/>
          <w:color w:val="000000"/>
          <w:sz w:val="24"/>
          <w:szCs w:val="24"/>
        </w:rPr>
        <w:t>离子</w:t>
      </w:r>
      <w:r>
        <w:rPr>
          <w:rFonts w:ascii="Times New Roman" w:hAnsi="Times New Roman"/>
          <w:color w:val="000000"/>
          <w:sz w:val="24"/>
          <w:szCs w:val="24"/>
        </w:rPr>
        <w:t>而钠离子进入水中，这样</w:t>
      </w:r>
      <w:r>
        <w:rPr>
          <w:rFonts w:hint="eastAsia" w:ascii="Times New Roman" w:hAnsi="Times New Roman"/>
          <w:color w:val="000000"/>
          <w:sz w:val="24"/>
          <w:szCs w:val="24"/>
        </w:rPr>
        <w:t>从</w:t>
      </w:r>
      <w:r>
        <w:rPr>
          <w:rFonts w:ascii="Times New Roman" w:hAnsi="Times New Roman"/>
          <w:color w:val="000000"/>
          <w:sz w:val="24"/>
          <w:szCs w:val="24"/>
        </w:rPr>
        <w:t>交换器内流出的水就是去除了硬度</w:t>
      </w:r>
      <w:r>
        <w:rPr>
          <w:rFonts w:hint="eastAsia" w:ascii="Times New Roman" w:hAnsi="Times New Roman"/>
          <w:color w:val="000000"/>
          <w:sz w:val="24"/>
          <w:szCs w:val="24"/>
        </w:rPr>
        <w:t>离子</w:t>
      </w:r>
      <w:r>
        <w:rPr>
          <w:rFonts w:ascii="Times New Roman" w:hAnsi="Times New Roman"/>
          <w:color w:val="000000"/>
          <w:sz w:val="24"/>
          <w:szCs w:val="24"/>
        </w:rPr>
        <w:t>的软化水。随着</w:t>
      </w:r>
      <w:r>
        <w:rPr>
          <w:rFonts w:hint="eastAsia" w:ascii="Times New Roman" w:hAnsi="Times New Roman"/>
          <w:color w:val="000000"/>
          <w:sz w:val="24"/>
          <w:szCs w:val="24"/>
        </w:rPr>
        <w:t>交换</w:t>
      </w:r>
      <w:r>
        <w:rPr>
          <w:rFonts w:ascii="Times New Roman" w:hAnsi="Times New Roman"/>
          <w:color w:val="000000"/>
          <w:sz w:val="24"/>
          <w:szCs w:val="24"/>
        </w:rPr>
        <w:t>过程的不断进行，树脂中</w:t>
      </w:r>
      <w:r>
        <w:rPr>
          <w:rFonts w:hint="eastAsia" w:ascii="Times New Roman" w:hAnsi="Times New Roman"/>
          <w:color w:val="000000"/>
          <w:sz w:val="24"/>
          <w:szCs w:val="24"/>
        </w:rPr>
        <w:t>N</w:t>
      </w:r>
      <w:r>
        <w:rPr>
          <w:rFonts w:ascii="Times New Roman" w:hAnsi="Times New Roman"/>
          <w:color w:val="000000"/>
          <w:sz w:val="24"/>
          <w:szCs w:val="24"/>
        </w:rPr>
        <w:t>a+</w:t>
      </w:r>
      <w:r>
        <w:rPr>
          <w:rFonts w:hint="eastAsia" w:ascii="Times New Roman" w:hAnsi="Times New Roman"/>
          <w:color w:val="000000"/>
          <w:sz w:val="24"/>
          <w:szCs w:val="24"/>
        </w:rPr>
        <w:t>全部</w:t>
      </w:r>
      <w:r>
        <w:rPr>
          <w:rFonts w:ascii="Times New Roman" w:hAnsi="Times New Roman"/>
          <w:color w:val="000000"/>
          <w:sz w:val="24"/>
          <w:szCs w:val="24"/>
        </w:rPr>
        <w:t>被置换出来后就失去交换功能，此时</w:t>
      </w:r>
      <w:r>
        <w:rPr>
          <w:rFonts w:hint="eastAsia" w:ascii="Times New Roman" w:hAnsi="Times New Roman"/>
          <w:color w:val="000000"/>
          <w:sz w:val="24"/>
          <w:szCs w:val="24"/>
        </w:rPr>
        <w:t>必须</w:t>
      </w:r>
      <w:r>
        <w:rPr>
          <w:rFonts w:ascii="Times New Roman" w:hAnsi="Times New Roman"/>
          <w:color w:val="000000"/>
          <w:sz w:val="24"/>
          <w:szCs w:val="24"/>
        </w:rPr>
        <w:t>使用</w:t>
      </w:r>
      <w:r>
        <w:rPr>
          <w:rFonts w:hint="eastAsia" w:ascii="Times New Roman" w:hAnsi="Times New Roman"/>
          <w:color w:val="000000"/>
          <w:sz w:val="24"/>
          <w:szCs w:val="24"/>
        </w:rPr>
        <w:t>Na</w:t>
      </w:r>
      <w:r>
        <w:rPr>
          <w:rFonts w:ascii="Times New Roman" w:hAnsi="Times New Roman"/>
          <w:color w:val="000000"/>
          <w:sz w:val="24"/>
          <w:szCs w:val="24"/>
        </w:rPr>
        <w:t>Cl</w:t>
      </w:r>
      <w:r>
        <w:rPr>
          <w:rFonts w:hint="eastAsia" w:ascii="Times New Roman" w:hAnsi="Times New Roman"/>
          <w:color w:val="000000"/>
          <w:sz w:val="24"/>
          <w:szCs w:val="24"/>
        </w:rPr>
        <w:t>溶液</w:t>
      </w:r>
      <w:r>
        <w:rPr>
          <w:rFonts w:ascii="Times New Roman" w:hAnsi="Times New Roman"/>
          <w:color w:val="000000"/>
          <w:sz w:val="24"/>
          <w:szCs w:val="24"/>
        </w:rPr>
        <w:t>对树脂进行再生，将树脂吸附的</w:t>
      </w:r>
      <w:r>
        <w:rPr>
          <w:rFonts w:hint="eastAsia" w:ascii="Times New Roman" w:hAnsi="Times New Roman"/>
          <w:color w:val="000000"/>
          <w:sz w:val="24"/>
          <w:szCs w:val="24"/>
        </w:rPr>
        <w:t>G</w:t>
      </w:r>
      <w:r>
        <w:rPr>
          <w:rFonts w:ascii="Times New Roman" w:hAnsi="Times New Roman"/>
          <w:color w:val="000000"/>
          <w:sz w:val="24"/>
          <w:szCs w:val="24"/>
        </w:rPr>
        <w:t>a2+</w:t>
      </w:r>
      <w:r>
        <w:rPr>
          <w:rFonts w:hint="eastAsia" w:ascii="Times New Roman" w:hAnsi="Times New Roman"/>
          <w:color w:val="000000"/>
          <w:sz w:val="24"/>
          <w:szCs w:val="24"/>
        </w:rPr>
        <w:t>、Mg2+置换</w:t>
      </w:r>
      <w:r>
        <w:rPr>
          <w:rFonts w:ascii="Times New Roman" w:hAnsi="Times New Roman"/>
          <w:color w:val="000000"/>
          <w:sz w:val="24"/>
          <w:szCs w:val="24"/>
        </w:rPr>
        <w:t>下来，树脂重新吸附了钠离子，恢复了软化交换能力。本项目软水制备树脂再生时间为</w:t>
      </w:r>
      <w:r>
        <w:rPr>
          <w:rFonts w:hint="eastAsia" w:ascii="Times New Roman" w:hAnsi="Times New Roman"/>
          <w:color w:val="000000"/>
          <w:sz w:val="24"/>
          <w:szCs w:val="24"/>
        </w:rPr>
        <w:t>1年1次</w:t>
      </w:r>
      <w:r>
        <w:rPr>
          <w:rFonts w:ascii="Times New Roman" w:hAnsi="Times New Roman"/>
          <w:color w:val="000000"/>
          <w:sz w:val="24"/>
          <w:szCs w:val="24"/>
        </w:rPr>
        <w:t>，用量为</w:t>
      </w:r>
      <w:r>
        <w:rPr>
          <w:rFonts w:hint="eastAsia" w:ascii="Times New Roman" w:hAnsi="Times New Roman"/>
          <w:color w:val="000000"/>
          <w:sz w:val="24"/>
          <w:szCs w:val="24"/>
        </w:rPr>
        <w:t>800</w:t>
      </w:r>
      <w:r>
        <w:rPr>
          <w:rFonts w:ascii="Times New Roman" w:hAnsi="Times New Roman"/>
          <w:color w:val="000000"/>
          <w:sz w:val="24"/>
          <w:szCs w:val="24"/>
        </w:rPr>
        <w:t>kg/a</w:t>
      </w:r>
      <w:r>
        <w:rPr>
          <w:rFonts w:hint="eastAsia" w:ascii="Times New Roman" w:hAnsi="Times New Roman"/>
          <w:color w:val="000000"/>
          <w:sz w:val="24"/>
          <w:szCs w:val="24"/>
        </w:rPr>
        <w:t>。软水制备产生的废树脂由更换单位处理，不在项目区收集储存。</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项目运营期固废产生量见表3.2-</w:t>
      </w:r>
      <w:r>
        <w:rPr>
          <w:rFonts w:ascii="Times New Roman" w:hAnsi="Times New Roman"/>
          <w:color w:val="000000"/>
          <w:sz w:val="24"/>
          <w:szCs w:val="24"/>
        </w:rPr>
        <w:t>10</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表3.2-</w:t>
      </w:r>
      <w:r>
        <w:rPr>
          <w:rFonts w:ascii="Times New Roman" w:hAnsi="Times New Roman"/>
          <w:b/>
          <w:color w:val="000000"/>
          <w:sz w:val="24"/>
          <w:szCs w:val="24"/>
        </w:rPr>
        <w:t>10</w:t>
      </w:r>
      <w:r>
        <w:rPr>
          <w:rFonts w:hint="eastAsia" w:ascii="Times New Roman" w:hAnsi="Times New Roman"/>
          <w:b/>
          <w:color w:val="000000"/>
          <w:sz w:val="24"/>
          <w:szCs w:val="24"/>
        </w:rPr>
        <w:t xml:space="preserve">   项目固体废物产生源强  单位：t/a</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807"/>
        <w:gridCol w:w="1146"/>
        <w:gridCol w:w="33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分类</w:t>
            </w:r>
          </w:p>
        </w:tc>
        <w:tc>
          <w:tcPr>
            <w:tcW w:w="1560"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来源</w:t>
            </w:r>
          </w:p>
        </w:tc>
        <w:tc>
          <w:tcPr>
            <w:tcW w:w="1807"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名称</w:t>
            </w:r>
          </w:p>
        </w:tc>
        <w:tc>
          <w:tcPr>
            <w:tcW w:w="1146"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产生量</w:t>
            </w:r>
          </w:p>
        </w:tc>
        <w:tc>
          <w:tcPr>
            <w:tcW w:w="3334"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拟采取的处置方式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一般工业固废</w:t>
            </w:r>
          </w:p>
        </w:tc>
        <w:tc>
          <w:tcPr>
            <w:tcW w:w="156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成品切割车间</w:t>
            </w:r>
          </w:p>
        </w:tc>
        <w:tc>
          <w:tcPr>
            <w:tcW w:w="180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边角废料</w:t>
            </w:r>
          </w:p>
        </w:tc>
        <w:tc>
          <w:tcPr>
            <w:tcW w:w="114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100</w:t>
            </w:r>
          </w:p>
        </w:tc>
        <w:tc>
          <w:tcPr>
            <w:tcW w:w="3334" w:type="dxa"/>
            <w:vAlign w:val="center"/>
          </w:tcPr>
          <w:p>
            <w:pPr>
              <w:spacing w:line="240" w:lineRule="atLeast"/>
              <w:jc w:val="left"/>
              <w:rPr>
                <w:rFonts w:ascii="Times New Roman" w:hAnsi="Times New Roman" w:eastAsia="宋体" w:cs="Times New Roman"/>
                <w:kern w:val="0"/>
                <w:szCs w:val="28"/>
              </w:rPr>
            </w:pPr>
            <w:r>
              <w:rPr>
                <w:rFonts w:hint="eastAsia" w:ascii="Times New Roman" w:hAnsi="Times New Roman" w:eastAsia="宋体" w:cs="Times New Roman"/>
                <w:kern w:val="0"/>
                <w:szCs w:val="28"/>
              </w:rPr>
              <w:t>经收集后返回水力碎浆工序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56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锅炉房</w:t>
            </w:r>
          </w:p>
        </w:tc>
        <w:tc>
          <w:tcPr>
            <w:tcW w:w="180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锅炉炉渣</w:t>
            </w:r>
          </w:p>
        </w:tc>
        <w:tc>
          <w:tcPr>
            <w:tcW w:w="1146" w:type="dxa"/>
            <w:vAlign w:val="center"/>
          </w:tcPr>
          <w:p>
            <w:pPr>
              <w:spacing w:line="240" w:lineRule="atLeast"/>
              <w:jc w:val="center"/>
              <w:rPr>
                <w:rFonts w:ascii="Times New Roman" w:hAnsi="Times New Roman" w:eastAsia="宋体" w:cs="Times New Roman"/>
                <w:kern w:val="0"/>
                <w:szCs w:val="28"/>
              </w:rPr>
            </w:pPr>
            <w:r>
              <w:rPr>
                <w:rFonts w:ascii="Times New Roman" w:hAnsi="Times New Roman" w:eastAsia="宋体" w:cs="Times New Roman"/>
                <w:kern w:val="0"/>
                <w:szCs w:val="28"/>
              </w:rPr>
              <w:t>750</w:t>
            </w:r>
          </w:p>
        </w:tc>
        <w:tc>
          <w:tcPr>
            <w:tcW w:w="3334" w:type="dxa"/>
            <w:vMerge w:val="restart"/>
            <w:vAlign w:val="center"/>
          </w:tcPr>
          <w:p>
            <w:pPr>
              <w:spacing w:line="240" w:lineRule="atLeast"/>
              <w:jc w:val="left"/>
              <w:rPr>
                <w:rFonts w:ascii="Times New Roman" w:hAnsi="Times New Roman" w:eastAsia="宋体" w:cs="Times New Roman"/>
                <w:kern w:val="0"/>
                <w:szCs w:val="28"/>
              </w:rPr>
            </w:pPr>
            <w:r>
              <w:rPr>
                <w:rFonts w:hint="eastAsia" w:ascii="Times New Roman" w:hAnsi="Times New Roman" w:eastAsia="宋体" w:cs="Times New Roman"/>
                <w:kern w:val="0"/>
                <w:szCs w:val="28"/>
              </w:rPr>
              <w:t>定期清理，经收集后暂存于灰尘暂存处（50m</w:t>
            </w:r>
            <w:r>
              <w:rPr>
                <w:rFonts w:hint="eastAsia" w:ascii="Times New Roman" w:hAnsi="Times New Roman" w:eastAsia="宋体" w:cs="Times New Roman"/>
                <w:kern w:val="0"/>
                <w:szCs w:val="28"/>
                <w:vertAlign w:val="superscript"/>
              </w:rPr>
              <w:t>2</w:t>
            </w:r>
            <w:r>
              <w:rPr>
                <w:rFonts w:hint="eastAsia" w:ascii="Times New Roman" w:hAnsi="Times New Roman" w:eastAsia="宋体" w:cs="Times New Roman"/>
                <w:kern w:val="0"/>
                <w:szCs w:val="28"/>
              </w:rPr>
              <w:t>），达到一定量时用于周边</w:t>
            </w:r>
            <w:r>
              <w:rPr>
                <w:rFonts w:ascii="Times New Roman" w:hAnsi="Times New Roman" w:eastAsia="宋体" w:cs="Times New Roman"/>
                <w:kern w:val="0"/>
                <w:szCs w:val="28"/>
              </w:rPr>
              <w:t>农田还田处置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56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水膜除尘器</w:t>
            </w:r>
          </w:p>
        </w:tc>
        <w:tc>
          <w:tcPr>
            <w:tcW w:w="180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除尘器除尘废水循环沉淀池污泥</w:t>
            </w:r>
          </w:p>
        </w:tc>
        <w:tc>
          <w:tcPr>
            <w:tcW w:w="1146" w:type="dxa"/>
            <w:vAlign w:val="center"/>
          </w:tcPr>
          <w:p>
            <w:pPr>
              <w:spacing w:line="240" w:lineRule="atLeast"/>
              <w:jc w:val="center"/>
              <w:rPr>
                <w:rFonts w:ascii="Times New Roman" w:hAnsi="Times New Roman" w:eastAsia="宋体" w:cs="Times New Roman"/>
                <w:kern w:val="0"/>
                <w:szCs w:val="28"/>
              </w:rPr>
            </w:pPr>
            <w:r>
              <w:rPr>
                <w:rFonts w:ascii="Times New Roman" w:hAnsi="Times New Roman" w:eastAsia="宋体" w:cs="Times New Roman"/>
                <w:kern w:val="0"/>
                <w:szCs w:val="28"/>
              </w:rPr>
              <w:t>2.175</w:t>
            </w:r>
          </w:p>
        </w:tc>
        <w:tc>
          <w:tcPr>
            <w:tcW w:w="3334" w:type="dxa"/>
            <w:vMerge w:val="continue"/>
            <w:vAlign w:val="center"/>
          </w:tcPr>
          <w:p>
            <w:pPr>
              <w:spacing w:line="240" w:lineRule="atLeast"/>
              <w:jc w:val="left"/>
              <w:rPr>
                <w:rFonts w:ascii="Times New Roman" w:hAnsi="Times New Roman" w:eastAsia="宋体" w:cs="Times New Roman"/>
                <w:kern w:val="0"/>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56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化粪池及污水处理系统</w:t>
            </w:r>
          </w:p>
        </w:tc>
        <w:tc>
          <w:tcPr>
            <w:tcW w:w="180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化粪池及污水处理系统污泥</w:t>
            </w:r>
          </w:p>
        </w:tc>
        <w:tc>
          <w:tcPr>
            <w:tcW w:w="114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1.44</w:t>
            </w:r>
          </w:p>
        </w:tc>
        <w:tc>
          <w:tcPr>
            <w:tcW w:w="3334" w:type="dxa"/>
            <w:vAlign w:val="center"/>
          </w:tcPr>
          <w:p>
            <w:pPr>
              <w:spacing w:line="240" w:lineRule="atLeast"/>
              <w:jc w:val="left"/>
              <w:rPr>
                <w:rFonts w:ascii="Times New Roman" w:hAnsi="Times New Roman" w:eastAsia="宋体" w:cs="Times New Roman"/>
                <w:kern w:val="0"/>
                <w:szCs w:val="28"/>
              </w:rPr>
            </w:pPr>
            <w:r>
              <w:rPr>
                <w:rFonts w:hint="eastAsia" w:ascii="Times New Roman" w:hAnsi="Times New Roman" w:eastAsia="宋体" w:cs="Times New Roman"/>
                <w:kern w:val="0"/>
                <w:szCs w:val="28"/>
              </w:rPr>
              <w:t>委托环卫部门定期清掏处置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56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软水制备系统</w:t>
            </w:r>
          </w:p>
        </w:tc>
        <w:tc>
          <w:tcPr>
            <w:tcW w:w="1807" w:type="dxa"/>
            <w:vAlign w:val="center"/>
          </w:tcPr>
          <w:p>
            <w:pPr>
              <w:spacing w:line="240" w:lineRule="atLeast"/>
              <w:jc w:val="center"/>
              <w:rPr>
                <w:rFonts w:hint="eastAsia" w:ascii="Times New Roman" w:hAnsi="Times New Roman" w:eastAsia="宋体" w:cs="Times New Roman"/>
                <w:kern w:val="0"/>
                <w:sz w:val="21"/>
                <w:szCs w:val="28"/>
                <w:lang w:val="en-US" w:eastAsia="zh-CN" w:bidi="ar-SA"/>
              </w:rPr>
            </w:pPr>
            <w:r>
              <w:rPr>
                <w:rFonts w:hint="eastAsia" w:ascii="Times New Roman" w:hAnsi="Times New Roman" w:eastAsia="宋体" w:cs="Times New Roman"/>
                <w:kern w:val="0"/>
                <w:szCs w:val="28"/>
              </w:rPr>
              <w:t>废树脂</w:t>
            </w:r>
          </w:p>
        </w:tc>
        <w:tc>
          <w:tcPr>
            <w:tcW w:w="1146" w:type="dxa"/>
            <w:vAlign w:val="center"/>
          </w:tcPr>
          <w:p>
            <w:pPr>
              <w:spacing w:line="240" w:lineRule="atLeas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8"/>
              </w:rPr>
              <w:t>0.8</w:t>
            </w:r>
          </w:p>
        </w:tc>
        <w:tc>
          <w:tcPr>
            <w:tcW w:w="3334" w:type="dxa"/>
            <w:vAlign w:val="center"/>
          </w:tcPr>
          <w:p>
            <w:pPr>
              <w:spacing w:line="240" w:lineRule="atLeast"/>
              <w:jc w:val="left"/>
              <w:rPr>
                <w:rFonts w:ascii="Times New Roman" w:hAnsi="Times New Roman" w:eastAsia="宋体" w:cs="Times New Roman"/>
                <w:kern w:val="0"/>
                <w:szCs w:val="28"/>
              </w:rPr>
            </w:pPr>
            <w:r>
              <w:rPr>
                <w:rFonts w:hint="eastAsia" w:ascii="Times New Roman" w:hAnsi="Times New Roman" w:eastAsia="宋体" w:cs="Times New Roman"/>
                <w:kern w:val="0"/>
                <w:szCs w:val="28"/>
              </w:rPr>
              <w:t>由更换单位处理，不在项目区收集储存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42" w:type="dxa"/>
            <w:gridSpan w:val="3"/>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生活垃圾</w:t>
            </w:r>
          </w:p>
        </w:tc>
        <w:tc>
          <w:tcPr>
            <w:tcW w:w="114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9</w:t>
            </w:r>
          </w:p>
        </w:tc>
        <w:tc>
          <w:tcPr>
            <w:tcW w:w="3334" w:type="dxa"/>
            <w:vAlign w:val="center"/>
          </w:tcPr>
          <w:p>
            <w:pPr>
              <w:spacing w:line="240" w:lineRule="atLeast"/>
              <w:jc w:val="left"/>
              <w:rPr>
                <w:rFonts w:ascii="Times New Roman" w:hAnsi="Times New Roman" w:eastAsia="宋体" w:cs="Times New Roman"/>
                <w:kern w:val="0"/>
                <w:szCs w:val="28"/>
              </w:rPr>
            </w:pPr>
            <w:r>
              <w:rPr>
                <w:rFonts w:hint="eastAsia" w:ascii="Times New Roman" w:hAnsi="Times New Roman" w:eastAsia="宋体" w:cs="Times New Roman"/>
                <w:kern w:val="0"/>
                <w:szCs w:val="28"/>
              </w:rPr>
              <w:t>通过垃圾桶收集，交由环卫部门统一清运处置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42" w:type="dxa"/>
            <w:gridSpan w:val="3"/>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合计</w:t>
            </w:r>
          </w:p>
        </w:tc>
        <w:tc>
          <w:tcPr>
            <w:tcW w:w="1146" w:type="dxa"/>
            <w:vAlign w:val="center"/>
          </w:tcPr>
          <w:p>
            <w:pPr>
              <w:spacing w:line="240" w:lineRule="atLeast"/>
              <w:jc w:val="center"/>
              <w:rPr>
                <w:rFonts w:ascii="Times New Roman" w:hAnsi="Times New Roman" w:eastAsia="宋体" w:cs="Times New Roman"/>
                <w:kern w:val="0"/>
                <w:szCs w:val="28"/>
              </w:rPr>
            </w:pPr>
            <w:r>
              <w:rPr>
                <w:rFonts w:ascii="Times New Roman" w:hAnsi="Times New Roman" w:eastAsia="宋体" w:cs="Times New Roman"/>
                <w:kern w:val="0"/>
                <w:szCs w:val="28"/>
              </w:rPr>
              <w:t>862.615</w:t>
            </w:r>
          </w:p>
        </w:tc>
        <w:tc>
          <w:tcPr>
            <w:tcW w:w="33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w:t>
            </w:r>
          </w:p>
        </w:tc>
      </w:tr>
    </w:tbl>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本项目物料平衡见图3.2-9。</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894784" behindDoc="0" locked="0" layoutInCell="1" allowOverlap="1">
                <wp:simplePos x="0" y="0"/>
                <wp:positionH relativeFrom="column">
                  <wp:posOffset>419100</wp:posOffset>
                </wp:positionH>
                <wp:positionV relativeFrom="paragraph">
                  <wp:posOffset>86995</wp:posOffset>
                </wp:positionV>
                <wp:extent cx="1338580" cy="287020"/>
                <wp:effectExtent l="0" t="0" r="13970" b="17780"/>
                <wp:wrapNone/>
                <wp:docPr id="308"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1338681" cy="287020"/>
                        </a:xfrm>
                        <a:prstGeom prst="rect">
                          <a:avLst/>
                        </a:prstGeom>
                        <a:solidFill>
                          <a:srgbClr val="FFFFFF"/>
                        </a:solidFill>
                        <a:ln w="9525">
                          <a:solidFill>
                            <a:sysClr val="window" lastClr="FFFFFF">
                              <a:lumMod val="100000"/>
                              <a:lumOff val="0"/>
                            </a:sysClr>
                          </a:solidFill>
                          <a:miter lim="800000"/>
                        </a:ln>
                      </wps:spPr>
                      <wps:txbx>
                        <w:txbxContent>
                          <w:p>
                            <w:pPr>
                              <w:spacing w:line="240" w:lineRule="atLeast"/>
                              <w:jc w:val="left"/>
                              <w:rPr>
                                <w:sz w:val="18"/>
                                <w:szCs w:val="18"/>
                              </w:rPr>
                            </w:pPr>
                            <w:r>
                              <w:rPr>
                                <w:rFonts w:hint="eastAsia"/>
                                <w:sz w:val="18"/>
                                <w:szCs w:val="18"/>
                              </w:rPr>
                              <w:t>原辅料</w:t>
                            </w:r>
                            <w:r>
                              <w:rPr>
                                <w:sz w:val="18"/>
                                <w:szCs w:val="18"/>
                              </w:rPr>
                              <w:t>总用量</w:t>
                            </w:r>
                            <w:r>
                              <w:rPr>
                                <w:rFonts w:hint="eastAsia"/>
                                <w:sz w:val="18"/>
                                <w:szCs w:val="18"/>
                              </w:rPr>
                              <w:t>105100</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33pt;margin-top:6.85pt;height:22.6pt;width:105.4pt;z-index:251894784;mso-width-relative:page;mso-height-relative:page;" fillcolor="#FFFFFF" filled="t" stroked="t" coordsize="21600,21600" o:gfxdata="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s7warXAAAACAEAAA8AAAAAAAAAAQAgAAAAIgAAAGRy&#10;cy9kb3ducmV2LnhtbFBLAQIUABQAAAAIAIdO4kAJtrEfPwIAAIEEAAAOAAAAAAAAAAEAIAAAACYB&#10;AABkcnMvZTJvRG9jLnhtbFBLBQYAAAAABgAGAFkBAADXBQAAAAA=&#10;">
                <v:fill on="t" focussize="0,0"/>
                <v:stroke color="#FFFFFF" miterlimit="8" joinstyle="miter"/>
                <v:imagedata o:title=""/>
                <o:lock v:ext="edit" aspectratio="f"/>
                <v:textbox>
                  <w:txbxContent>
                    <w:p>
                      <w:pPr>
                        <w:spacing w:line="240" w:lineRule="atLeast"/>
                        <w:jc w:val="left"/>
                        <w:rPr>
                          <w:sz w:val="18"/>
                          <w:szCs w:val="18"/>
                        </w:rPr>
                      </w:pPr>
                      <w:r>
                        <w:rPr>
                          <w:rFonts w:hint="eastAsia"/>
                          <w:sz w:val="18"/>
                          <w:szCs w:val="18"/>
                        </w:rPr>
                        <w:t>原辅料</w:t>
                      </w:r>
                      <w:r>
                        <w:rPr>
                          <w:sz w:val="18"/>
                          <w:szCs w:val="18"/>
                        </w:rPr>
                        <w:t>总用量</w:t>
                      </w:r>
                      <w:r>
                        <w:rPr>
                          <w:rFonts w:hint="eastAsia"/>
                          <w:sz w:val="18"/>
                          <w:szCs w:val="18"/>
                        </w:rPr>
                        <w:t>105100</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14240" behindDoc="0" locked="0" layoutInCell="1" allowOverlap="1">
                <wp:simplePos x="0" y="0"/>
                <wp:positionH relativeFrom="column">
                  <wp:posOffset>447675</wp:posOffset>
                </wp:positionH>
                <wp:positionV relativeFrom="paragraph">
                  <wp:posOffset>10160</wp:posOffset>
                </wp:positionV>
                <wp:extent cx="19050" cy="2895600"/>
                <wp:effectExtent l="0" t="0" r="19050" b="19050"/>
                <wp:wrapNone/>
                <wp:docPr id="210" name="直接连接符 210"/>
                <wp:cNvGraphicFramePr/>
                <a:graphic xmlns:a="http://schemas.openxmlformats.org/drawingml/2006/main">
                  <a:graphicData uri="http://schemas.microsoft.com/office/word/2010/wordprocessingShape">
                    <wps:wsp>
                      <wps:cNvCnPr/>
                      <wps:spPr>
                        <a:xfrm>
                          <a:off x="0" y="0"/>
                          <a:ext cx="19050" cy="289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25pt;margin-top:0.8pt;height:228pt;width:1.5pt;z-index:251914240;mso-width-relative:page;mso-height-relative:page;" filled="f" stroked="t" coordsize="21600,21600" o:gfxdata="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9JyRLdQAAAAHAQAADwAAAAAAAAABACAAAAAiAAAAZHJzL2Rv&#10;d25yZXYueG1sUEsBAhQAFAAAAAgAh07iQJAP0aLMAQAAawMAAA4AAAAAAAAAAQAgAAAAIwEAAGRy&#10;cy9lMm9Eb2MueG1sUEsFBgAAAAAGAAYAWQEAAGEFA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909120" behindDoc="0" locked="0" layoutInCell="1" allowOverlap="1">
                <wp:simplePos x="0" y="0"/>
                <wp:positionH relativeFrom="column">
                  <wp:posOffset>487680</wp:posOffset>
                </wp:positionH>
                <wp:positionV relativeFrom="paragraph">
                  <wp:posOffset>191135</wp:posOffset>
                </wp:positionV>
                <wp:extent cx="577850" cy="287020"/>
                <wp:effectExtent l="0" t="0" r="12700" b="17780"/>
                <wp:wrapNone/>
                <wp:docPr id="293"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577901" cy="287020"/>
                        </a:xfrm>
                        <a:prstGeom prst="rect">
                          <a:avLst/>
                        </a:prstGeom>
                        <a:solidFill>
                          <a:srgbClr val="FFFFFF"/>
                        </a:solidFill>
                        <a:ln w="9525">
                          <a:solidFill>
                            <a:sysClr val="window" lastClr="FFFFFF">
                              <a:lumMod val="100000"/>
                              <a:lumOff val="0"/>
                            </a:sysClr>
                          </a:solidFill>
                          <a:miter lim="800000"/>
                        </a:ln>
                      </wps:spPr>
                      <wps:txbx>
                        <w:txbxContent>
                          <w:p>
                            <w:pPr>
                              <w:spacing w:line="240" w:lineRule="atLeast"/>
                              <w:jc w:val="left"/>
                              <w:rPr>
                                <w:sz w:val="18"/>
                                <w:szCs w:val="18"/>
                              </w:rPr>
                            </w:pPr>
                            <w:r>
                              <w:rPr>
                                <w:rFonts w:hint="eastAsia"/>
                                <w:sz w:val="18"/>
                                <w:szCs w:val="18"/>
                              </w:rPr>
                              <w:t>18</w:t>
                            </w:r>
                            <w:r>
                              <w:rPr>
                                <w:sz w:val="18"/>
                                <w:szCs w:val="18"/>
                              </w:rPr>
                              <w:t>100</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38.4pt;margin-top:15.05pt;height:22.6pt;width:45.5pt;z-index:251909120;mso-width-relative:page;mso-height-relative:page;" fillcolor="#FFFFFF" filled="t" stroked="t" coordsize="21600,21600" o:gfxdata="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TWoF1gAAAAgBAAAPAAAAAAAAAAEAIAAAACIAAABkcnMv&#10;ZG93bnJldi54bWxQSwECFAAUAAAACACHTuJAUm8TRD4CAACABAAADgAAAAAAAAABACAAAAAlAQAA&#10;ZHJzL2Uyb0RvYy54bWxQSwUGAAAAAAYABgBZAQAA1QUAAAAA&#10;">
                <v:fill on="t" focussize="0,0"/>
                <v:stroke color="#FFFFFF" miterlimit="8" joinstyle="miter"/>
                <v:imagedata o:title=""/>
                <o:lock v:ext="edit" aspectratio="f"/>
                <v:textbox>
                  <w:txbxContent>
                    <w:p>
                      <w:pPr>
                        <w:spacing w:line="240" w:lineRule="atLeast"/>
                        <w:jc w:val="left"/>
                        <w:rPr>
                          <w:sz w:val="18"/>
                          <w:szCs w:val="18"/>
                        </w:rPr>
                      </w:pPr>
                      <w:r>
                        <w:rPr>
                          <w:rFonts w:hint="eastAsia"/>
                          <w:sz w:val="18"/>
                          <w:szCs w:val="18"/>
                        </w:rPr>
                        <w:t>18</w:t>
                      </w:r>
                      <w:r>
                        <w:rPr>
                          <w:sz w:val="18"/>
                          <w:szCs w:val="18"/>
                        </w:rPr>
                        <w:t>100</w:t>
                      </w:r>
                    </w:p>
                  </w:txbxContent>
                </v:textbox>
              </v:shape>
            </w:pict>
          </mc:Fallback>
        </mc:AlternateContent>
      </w:r>
      <w:r>
        <w:rPr>
          <w:rFonts w:hint="eastAsia" w:ascii="Times New Roman" w:hAnsi="Times New Roman"/>
          <w:color w:val="000000"/>
          <w:sz w:val="24"/>
          <w:szCs w:val="24"/>
        </w:rPr>
        <w:t xml:space="preserve"> </w:t>
      </w:r>
      <w:r>
        <w:rPr>
          <w:rFonts w:ascii="Times New Roman" w:hAnsi="Times New Roman"/>
          <w:color w:val="000000"/>
          <w:sz w:val="24"/>
          <w:szCs w:val="24"/>
        </w:rPr>
        <w:t xml:space="preserve">    </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04000" behindDoc="0" locked="0" layoutInCell="1" allowOverlap="1">
                <wp:simplePos x="0" y="0"/>
                <wp:positionH relativeFrom="column">
                  <wp:posOffset>2076450</wp:posOffset>
                </wp:positionH>
                <wp:positionV relativeFrom="paragraph">
                  <wp:posOffset>7620</wp:posOffset>
                </wp:positionV>
                <wp:extent cx="803910" cy="487045"/>
                <wp:effectExtent l="0" t="0" r="15240" b="27305"/>
                <wp:wrapNone/>
                <wp:docPr id="298"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803910" cy="487045"/>
                        </a:xfrm>
                        <a:prstGeom prst="rect">
                          <a:avLst/>
                        </a:prstGeom>
                        <a:solidFill>
                          <a:srgbClr val="FFFFFF"/>
                        </a:solidFill>
                        <a:ln w="9525">
                          <a:solidFill>
                            <a:sysClr val="window" lastClr="FFFFFF">
                              <a:lumMod val="100000"/>
                              <a:lumOff val="0"/>
                            </a:sysClr>
                          </a:solidFill>
                          <a:miter lim="800000"/>
                        </a:ln>
                      </wps:spPr>
                      <wps:txbx>
                        <w:txbxContent>
                          <w:p>
                            <w:pPr>
                              <w:spacing w:line="240" w:lineRule="atLeast"/>
                              <w:jc w:val="left"/>
                              <w:rPr>
                                <w:sz w:val="18"/>
                                <w:szCs w:val="18"/>
                              </w:rPr>
                            </w:pPr>
                            <w:r>
                              <w:rPr>
                                <w:rFonts w:hint="eastAsia"/>
                                <w:sz w:val="18"/>
                                <w:szCs w:val="18"/>
                              </w:rPr>
                              <w:t>少量小石子</w:t>
                            </w:r>
                          </w:p>
                          <w:p>
                            <w:pPr>
                              <w:spacing w:line="240" w:lineRule="atLeast"/>
                              <w:jc w:val="left"/>
                              <w:rPr>
                                <w:sz w:val="18"/>
                                <w:szCs w:val="18"/>
                              </w:rPr>
                            </w:pPr>
                            <w:r>
                              <w:rPr>
                                <w:rFonts w:hint="eastAsia"/>
                                <w:sz w:val="18"/>
                                <w:szCs w:val="18"/>
                              </w:rPr>
                              <w:t>和</w:t>
                            </w:r>
                            <w:r>
                              <w:rPr>
                                <w:sz w:val="18"/>
                                <w:szCs w:val="18"/>
                              </w:rPr>
                              <w:t>杂物</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163.5pt;margin-top:0.6pt;height:38.35pt;width:63.3pt;z-index:251904000;mso-width-relative:page;mso-height-relative:page;" fillcolor="#FFFFFF" filled="t" stroked="t" coordsize="21600,21600" o:gfxdata="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EImDNcAAAAIAQAADwAAAAAAAAABACAAAAAiAAAAZHJzL2Rv&#10;d25yZXYueG1sUEsBAhQAFAAAAAgAh07iQDJllR47AgAAgAQAAA4AAAAAAAAAAQAgAAAAJgEAAGRy&#10;cy9lMm9Eb2MueG1sUEsFBgAAAAAGAAYAWQEAANMFAAAAAA==&#10;">
                <v:fill on="t" focussize="0,0"/>
                <v:stroke color="#FFFFFF" miterlimit="8" joinstyle="miter"/>
                <v:imagedata o:title=""/>
                <o:lock v:ext="edit" aspectratio="f"/>
                <v:textbox>
                  <w:txbxContent>
                    <w:p>
                      <w:pPr>
                        <w:spacing w:line="240" w:lineRule="atLeast"/>
                        <w:jc w:val="left"/>
                        <w:rPr>
                          <w:sz w:val="18"/>
                          <w:szCs w:val="18"/>
                        </w:rPr>
                      </w:pPr>
                      <w:r>
                        <w:rPr>
                          <w:rFonts w:hint="eastAsia"/>
                          <w:sz w:val="18"/>
                          <w:szCs w:val="18"/>
                        </w:rPr>
                        <w:t>少量小石子</w:t>
                      </w:r>
                    </w:p>
                    <w:p>
                      <w:pPr>
                        <w:spacing w:line="240" w:lineRule="atLeast"/>
                        <w:jc w:val="left"/>
                        <w:rPr>
                          <w:sz w:val="18"/>
                          <w:szCs w:val="18"/>
                        </w:rPr>
                      </w:pPr>
                      <w:r>
                        <w:rPr>
                          <w:rFonts w:hint="eastAsia"/>
                          <w:sz w:val="18"/>
                          <w:szCs w:val="18"/>
                        </w:rPr>
                        <w:t>和</w:t>
                      </w:r>
                      <w:r>
                        <w:rPr>
                          <w:sz w:val="18"/>
                          <w:szCs w:val="18"/>
                        </w:rPr>
                        <w:t>杂物</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25504" behindDoc="0" locked="0" layoutInCell="1" allowOverlap="1">
                <wp:simplePos x="0" y="0"/>
                <wp:positionH relativeFrom="column">
                  <wp:posOffset>1638300</wp:posOffset>
                </wp:positionH>
                <wp:positionV relativeFrom="paragraph">
                  <wp:posOffset>127635</wp:posOffset>
                </wp:positionV>
                <wp:extent cx="15240" cy="1266825"/>
                <wp:effectExtent l="0" t="0" r="22860" b="28575"/>
                <wp:wrapNone/>
                <wp:docPr id="268" name="直接连接符 268"/>
                <wp:cNvGraphicFramePr/>
                <a:graphic xmlns:a="http://schemas.openxmlformats.org/drawingml/2006/main">
                  <a:graphicData uri="http://schemas.microsoft.com/office/word/2010/wordprocessingShape">
                    <wps:wsp>
                      <wps:cNvCnPr/>
                      <wps:spPr>
                        <a:xfrm>
                          <a:off x="0" y="0"/>
                          <a:ext cx="15240"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9pt;margin-top:10.05pt;height:99.75pt;width:1.2pt;z-index:251925504;mso-width-relative:page;mso-height-relative:page;" filled="f" stroked="t" coordsize="21600,21600" o:gfxdata="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OPU3tcAAAAKAQAADwAAAAAAAAABACAAAAAiAAAAZHJz&#10;L2Rvd25yZXYueG1sUEsBAhQAFAAAAAgAh07iQNLYrwrMAQAAawMAAA4AAAAAAAAAAQAgAAAAJgEA&#10;AGRycy9lMm9Eb2MueG1sUEsFBgAAAAAGAAYAWQEAAGQFA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905024" behindDoc="0" locked="0" layoutInCell="1" allowOverlap="1">
                <wp:simplePos x="0" y="0"/>
                <wp:positionH relativeFrom="column">
                  <wp:posOffset>3536315</wp:posOffset>
                </wp:positionH>
                <wp:positionV relativeFrom="paragraph">
                  <wp:posOffset>287655</wp:posOffset>
                </wp:positionV>
                <wp:extent cx="803910" cy="287020"/>
                <wp:effectExtent l="0" t="0" r="15240" b="17780"/>
                <wp:wrapNone/>
                <wp:docPr id="297"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803910" cy="287020"/>
                        </a:xfrm>
                        <a:prstGeom prst="rect">
                          <a:avLst/>
                        </a:prstGeom>
                        <a:solidFill>
                          <a:srgbClr val="FFFFFF"/>
                        </a:solidFill>
                        <a:ln w="9525">
                          <a:solidFill>
                            <a:sysClr val="window" lastClr="FFFFFF">
                              <a:lumMod val="100000"/>
                              <a:lumOff val="0"/>
                            </a:sysClr>
                          </a:solidFill>
                          <a:miter lim="800000"/>
                        </a:ln>
                      </wps:spPr>
                      <wps:txbx>
                        <w:txbxContent>
                          <w:p>
                            <w:pPr>
                              <w:spacing w:line="240" w:lineRule="atLeast"/>
                              <w:jc w:val="left"/>
                              <w:rPr>
                                <w:sz w:val="18"/>
                                <w:szCs w:val="18"/>
                              </w:rPr>
                            </w:pPr>
                            <w:r>
                              <w:rPr>
                                <w:rFonts w:hint="eastAsia"/>
                                <w:sz w:val="18"/>
                                <w:szCs w:val="18"/>
                              </w:rPr>
                              <w:t>边角</w:t>
                            </w:r>
                            <w:r>
                              <w:rPr>
                                <w:sz w:val="18"/>
                                <w:szCs w:val="18"/>
                              </w:rPr>
                              <w:t>料</w:t>
                            </w:r>
                            <w:r>
                              <w:rPr>
                                <w:rFonts w:hint="eastAsia"/>
                                <w:sz w:val="18"/>
                                <w:szCs w:val="18"/>
                              </w:rPr>
                              <w:t>100</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278.45pt;margin-top:22.65pt;height:22.6pt;width:63.3pt;z-index:251905024;mso-width-relative:page;mso-height-relative:page;" fillcolor="#FFFFFF" filled="t" stroked="t" coordsize="21600,21600" o:gfxdata="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4MhN9gAAAAJAQAADwAAAAAAAAABACAAAAAiAAAAZHJz&#10;L2Rvd25yZXYueG1sUEsBAhQAFAAAAAgAh07iQFcCNZE9AgAAgAQAAA4AAAAAAAAAAQAgAAAAJwEA&#10;AGRycy9lMm9Eb2MueG1sUEsFBgAAAAAGAAYAWQEAANYFAAAAAA==&#10;">
                <v:fill on="t" focussize="0,0"/>
                <v:stroke color="#FFFFFF" miterlimit="8" joinstyle="miter"/>
                <v:imagedata o:title=""/>
                <o:lock v:ext="edit" aspectratio="f"/>
                <v:textbox>
                  <w:txbxContent>
                    <w:p>
                      <w:pPr>
                        <w:spacing w:line="240" w:lineRule="atLeast"/>
                        <w:jc w:val="left"/>
                        <w:rPr>
                          <w:sz w:val="18"/>
                          <w:szCs w:val="18"/>
                        </w:rPr>
                      </w:pPr>
                      <w:r>
                        <w:rPr>
                          <w:rFonts w:hint="eastAsia"/>
                          <w:sz w:val="18"/>
                          <w:szCs w:val="18"/>
                        </w:rPr>
                        <w:t>边角</w:t>
                      </w:r>
                      <w:r>
                        <w:rPr>
                          <w:sz w:val="18"/>
                          <w:szCs w:val="18"/>
                        </w:rPr>
                        <w:t>料</w:t>
                      </w:r>
                      <w:r>
                        <w:rPr>
                          <w:rFonts w:hint="eastAsia"/>
                          <w:sz w:val="18"/>
                          <w:szCs w:val="18"/>
                        </w:rPr>
                        <w:t>100</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30624" behindDoc="0" locked="0" layoutInCell="1" allowOverlap="1">
                <wp:simplePos x="0" y="0"/>
                <wp:positionH relativeFrom="column">
                  <wp:posOffset>4979670</wp:posOffset>
                </wp:positionH>
                <wp:positionV relativeFrom="paragraph">
                  <wp:posOffset>265430</wp:posOffset>
                </wp:positionV>
                <wp:extent cx="7620" cy="922655"/>
                <wp:effectExtent l="76200" t="38100" r="69215" b="48895"/>
                <wp:wrapNone/>
                <wp:docPr id="274" name="直接箭头连接符 274"/>
                <wp:cNvGraphicFramePr/>
                <a:graphic xmlns:a="http://schemas.openxmlformats.org/drawingml/2006/main">
                  <a:graphicData uri="http://schemas.microsoft.com/office/word/2010/wordprocessingShape">
                    <wps:wsp>
                      <wps:cNvCnPr/>
                      <wps:spPr>
                        <a:xfrm>
                          <a:off x="0" y="0"/>
                          <a:ext cx="7316" cy="92280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2.1pt;margin-top:20.9pt;height:72.65pt;width:0.6pt;z-index:251930624;mso-width-relative:page;mso-height-relative:page;" filled="f" stroked="t" coordsize="21600,21600" o:gfxdata="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AnHH7YAAAACgEAAA8AAAAAAAAAAQAgAAAAIgAAAGRycy9kb3ducmV2LnhtbFBL&#10;AQIUABQAAAAIAIdO4kAxrjgB9gEAALUDAAAOAAAAAAAAAAEAIAAAACcBAABkcnMvZTJvRG9jLnht&#10;bFBLBQYAAAAABgAGAFkBAACPBQAAAAA=&#10;">
                <v:fill on="f" focussize="0,0"/>
                <v:stroke weight="0.5pt" color="#000000 [3200]" miterlimit="8" joinstyle="miter" startarrow="block"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26528" behindDoc="0" locked="0" layoutInCell="1" allowOverlap="1">
                <wp:simplePos x="0" y="0"/>
                <wp:positionH relativeFrom="column">
                  <wp:posOffset>1459230</wp:posOffset>
                </wp:positionH>
                <wp:positionV relativeFrom="paragraph">
                  <wp:posOffset>135255</wp:posOffset>
                </wp:positionV>
                <wp:extent cx="176530" cy="0"/>
                <wp:effectExtent l="0" t="0" r="33655" b="19050"/>
                <wp:wrapNone/>
                <wp:docPr id="269" name="直接连接符 269"/>
                <wp:cNvGraphicFramePr/>
                <a:graphic xmlns:a="http://schemas.openxmlformats.org/drawingml/2006/main">
                  <a:graphicData uri="http://schemas.microsoft.com/office/word/2010/wordprocessingShape">
                    <wps:wsp>
                      <wps:cNvCnPr/>
                      <wps:spPr>
                        <a:xfrm>
                          <a:off x="0" y="0"/>
                          <a:ext cx="1763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4.9pt;margin-top:10.65pt;height:0pt;width:13.9pt;z-index:251926528;mso-width-relative:page;mso-height-relative:page;" filled="f" stroked="t" coordsize="21600,21600" o:gfxdata="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niHN01gAAAAkBAAAPAAAAAAAAAAEAIAAAACIAAABkcnMvZG93&#10;bnJldi54bWxQSwECFAAUAAAACACHTuJAfPKaMskBAABmAwAADgAAAAAAAAABACAAAAAlAQAAZHJz&#10;L2Uyb0RvYy54bWxQSwUGAAAAAAYABgBZAQAAYAU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922432" behindDoc="0" locked="0" layoutInCell="1" allowOverlap="1">
                <wp:simplePos x="0" y="0"/>
                <wp:positionH relativeFrom="margin">
                  <wp:posOffset>4556760</wp:posOffset>
                </wp:positionH>
                <wp:positionV relativeFrom="paragraph">
                  <wp:posOffset>6350</wp:posOffset>
                </wp:positionV>
                <wp:extent cx="808355" cy="262255"/>
                <wp:effectExtent l="0" t="0" r="10795" b="23495"/>
                <wp:wrapNone/>
                <wp:docPr id="265"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808355"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果蔬</w:t>
                            </w:r>
                            <w:r>
                              <w:rPr>
                                <w:sz w:val="18"/>
                              </w:rPr>
                              <w:t>包装纸</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358.8pt;margin-top:0.5pt;height:20.65pt;width:63.65pt;mso-position-horizontal-relative:margin;z-index:251922432;mso-width-relative:page;mso-height-relative:page;" fillcolor="#FFFFFF" filled="t" stroked="t" coordsize="21600,21600" o:gfxdata="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fCbsLXAAAACAEAAA8AAAAA&#10;AAAAAQAgAAAAIgAAAGRycy9kb3ducmV2LnhtbFBLAQIUABQAAAAIAIdO4kDZWiW2FQIAADsEAAAO&#10;AAAAAAAAAAEAIAAAACYBAABkcnMvZTJvRG9jLnhtbFBLBQYAAAAABgAGAFkBAACtBQAAAAA=&#10;">
                <v:fill on="t" focussize="0,0"/>
                <v:stroke color="#000000" miterlimit="8" joinstyle="miter"/>
                <v:imagedata o:title=""/>
                <o:lock v:ext="edit" aspectratio="f"/>
                <v:textbox>
                  <w:txbxContent>
                    <w:p>
                      <w:pPr>
                        <w:spacing w:line="240" w:lineRule="atLeast"/>
                        <w:jc w:val="center"/>
                        <w:rPr>
                          <w:sz w:val="18"/>
                        </w:rPr>
                      </w:pPr>
                      <w:r>
                        <w:rPr>
                          <w:rFonts w:hint="eastAsia"/>
                          <w:sz w:val="18"/>
                        </w:rPr>
                        <w:t>果蔬</w:t>
                      </w:r>
                      <w:r>
                        <w:rPr>
                          <w:sz w:val="18"/>
                        </w:rPr>
                        <w:t>包装纸</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10144" behindDoc="0" locked="0" layoutInCell="1" allowOverlap="1">
                <wp:simplePos x="0" y="0"/>
                <wp:positionH relativeFrom="column">
                  <wp:posOffset>1036320</wp:posOffset>
                </wp:positionH>
                <wp:positionV relativeFrom="paragraph">
                  <wp:posOffset>17780</wp:posOffset>
                </wp:positionV>
                <wp:extent cx="424180" cy="262255"/>
                <wp:effectExtent l="0" t="0" r="13970" b="23495"/>
                <wp:wrapNone/>
                <wp:docPr id="63"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424281"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废纸</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81.6pt;margin-top:1.4pt;height:20.65pt;width:33.4pt;z-index:251910144;mso-width-relative:page;mso-height-relative:page;" fillcolor="#FFFFFF" filled="t" stroked="t" coordsize="21600,21600" o:gfxdata="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aJamjWAAAACAEAAA8AAAAA&#10;AAAAAQAgAAAAIgAAAGRycy9kb3ducmV2LnhtbFBLAQIUABQAAAAIAIdO4kChUNVyFgIAADoEAAAO&#10;AAAAAAAAAAEAIAAAACUBAABkcnMvZTJvRG9jLnhtbFBLBQYAAAAABgAGAFkBAACtBQAAAAA=&#10;">
                <v:fill on="t" focussize="0,0"/>
                <v:stroke color="#000000" miterlimit="8" joinstyle="miter"/>
                <v:imagedata o:title=""/>
                <o:lock v:ext="edit" aspectratio="f"/>
                <v:textbox>
                  <w:txbxContent>
                    <w:p>
                      <w:pPr>
                        <w:spacing w:line="240" w:lineRule="atLeast"/>
                        <w:jc w:val="center"/>
                        <w:rPr>
                          <w:sz w:val="18"/>
                        </w:rPr>
                      </w:pPr>
                      <w:r>
                        <w:rPr>
                          <w:rFonts w:hint="eastAsia"/>
                          <w:sz w:val="18"/>
                        </w:rPr>
                        <w:t>废纸</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15264" behindDoc="0" locked="0" layoutInCell="1" allowOverlap="1">
                <wp:simplePos x="0" y="0"/>
                <wp:positionH relativeFrom="column">
                  <wp:posOffset>471805</wp:posOffset>
                </wp:positionH>
                <wp:positionV relativeFrom="paragraph">
                  <wp:posOffset>139065</wp:posOffset>
                </wp:positionV>
                <wp:extent cx="556260" cy="0"/>
                <wp:effectExtent l="0" t="76200" r="15875" b="95250"/>
                <wp:wrapNone/>
                <wp:docPr id="256" name="直接箭头连接符 256"/>
                <wp:cNvGraphicFramePr/>
                <a:graphic xmlns:a="http://schemas.openxmlformats.org/drawingml/2006/main">
                  <a:graphicData uri="http://schemas.microsoft.com/office/word/2010/wordprocessingShape">
                    <wps:wsp>
                      <wps:cNvCnPr/>
                      <wps:spPr>
                        <a:xfrm>
                          <a:off x="0" y="0"/>
                          <a:ext cx="5559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15pt;margin-top:10.95pt;height:0pt;width:43.8pt;z-index:251915264;mso-width-relative:page;mso-height-relative:page;" filled="f" stroked="t" coordsize="21600,21600" o:gfxdata="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HnIN&#10;1AAAAAgBAAAPAAAAAAAAAAEAIAAAACIAAABkcnMvZG93bnJldi54bWxQSwECFAAUAAAACACHTuJA&#10;CCMzbuwBAACWAwAADgAAAAAAAAABACAAAAAjAQAAZHJzL2Uyb0RvYy54bWxQSwUGAAAAAAYABgBZ&#10;AQAAgQUAAAAA&#10;">
                <v:fill on="f" focussize="0,0"/>
                <v:stroke weight="0.5pt" color="#000000 [3200]" miterlimit="8" joinstyle="miter"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02976" behindDoc="0" locked="0" layoutInCell="1" allowOverlap="1">
                <wp:simplePos x="0" y="0"/>
                <wp:positionH relativeFrom="column">
                  <wp:posOffset>4925695</wp:posOffset>
                </wp:positionH>
                <wp:positionV relativeFrom="paragraph">
                  <wp:posOffset>9525</wp:posOffset>
                </wp:positionV>
                <wp:extent cx="511810" cy="287020"/>
                <wp:effectExtent l="0" t="0" r="21590" b="17780"/>
                <wp:wrapNone/>
                <wp:docPr id="299"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512014" cy="287020"/>
                        </a:xfrm>
                        <a:prstGeom prst="rect">
                          <a:avLst/>
                        </a:prstGeom>
                        <a:solidFill>
                          <a:srgbClr val="FFFFFF"/>
                        </a:solidFill>
                        <a:ln w="9525">
                          <a:solidFill>
                            <a:sysClr val="window" lastClr="FFFFFF">
                              <a:lumMod val="100000"/>
                              <a:lumOff val="0"/>
                            </a:sysClr>
                          </a:solidFill>
                          <a:miter lim="800000"/>
                        </a:ln>
                      </wps:spPr>
                      <wps:txbx>
                        <w:txbxContent>
                          <w:p>
                            <w:pPr>
                              <w:spacing w:line="240" w:lineRule="atLeast"/>
                              <w:jc w:val="left"/>
                              <w:rPr>
                                <w:sz w:val="18"/>
                                <w:szCs w:val="18"/>
                              </w:rPr>
                            </w:pPr>
                            <w:r>
                              <w:rPr>
                                <w:sz w:val="18"/>
                                <w:szCs w:val="18"/>
                              </w:rPr>
                              <w:t>90000</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387.85pt;margin-top:0.75pt;height:22.6pt;width:40.3pt;z-index:251902976;mso-width-relative:page;mso-height-relative:page;" fillcolor="#FFFFFF" filled="t" stroked="t" coordsize="21600,21600" o:gfxdata="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x4mCXXAAAACAEAAA8AAAAAAAAAAQAgAAAAIgAAAGRycy9k&#10;b3ducmV2LnhtbFBLAQIUABQAAAAIAIdO4kCNlCiSPAIAAIAEAAAOAAAAAAAAAAEAIAAAACYBAABk&#10;cnMvZTJvRG9jLnhtbFBLBQYAAAAABgAGAFkBAADUBQAAAAA=&#10;">
                <v:fill on="t" focussize="0,0"/>
                <v:stroke color="#FFFFFF" miterlimit="8" joinstyle="miter"/>
                <v:imagedata o:title=""/>
                <o:lock v:ext="edit" aspectratio="f"/>
                <v:textbox>
                  <w:txbxContent>
                    <w:p>
                      <w:pPr>
                        <w:spacing w:line="240" w:lineRule="atLeast"/>
                        <w:jc w:val="left"/>
                        <w:rPr>
                          <w:sz w:val="18"/>
                          <w:szCs w:val="18"/>
                        </w:rPr>
                      </w:pPr>
                      <w:r>
                        <w:rPr>
                          <w:sz w:val="18"/>
                          <w:szCs w:val="18"/>
                        </w:rPr>
                        <w:t>90000</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08096" behindDoc="0" locked="0" layoutInCell="1" allowOverlap="1">
                <wp:simplePos x="0" y="0"/>
                <wp:positionH relativeFrom="column">
                  <wp:posOffset>508000</wp:posOffset>
                </wp:positionH>
                <wp:positionV relativeFrom="paragraph">
                  <wp:posOffset>232410</wp:posOffset>
                </wp:positionV>
                <wp:extent cx="511810" cy="287020"/>
                <wp:effectExtent l="0" t="0" r="21590" b="17780"/>
                <wp:wrapNone/>
                <wp:docPr id="294"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512014" cy="287020"/>
                        </a:xfrm>
                        <a:prstGeom prst="rect">
                          <a:avLst/>
                        </a:prstGeom>
                        <a:solidFill>
                          <a:srgbClr val="FFFFFF"/>
                        </a:solidFill>
                        <a:ln w="9525">
                          <a:solidFill>
                            <a:sysClr val="window" lastClr="FFFFFF">
                              <a:lumMod val="100000"/>
                              <a:lumOff val="0"/>
                            </a:sysClr>
                          </a:solidFill>
                          <a:miter lim="800000"/>
                        </a:ln>
                      </wps:spPr>
                      <wps:txbx>
                        <w:txbxContent>
                          <w:p>
                            <w:pPr>
                              <w:spacing w:line="240" w:lineRule="atLeast"/>
                              <w:jc w:val="left"/>
                              <w:rPr>
                                <w:sz w:val="18"/>
                                <w:szCs w:val="18"/>
                              </w:rPr>
                            </w:pPr>
                            <w:r>
                              <w:rPr>
                                <w:rFonts w:hint="eastAsia"/>
                                <w:sz w:val="18"/>
                                <w:szCs w:val="18"/>
                              </w:rPr>
                              <w:t>80000</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40pt;margin-top:18.3pt;height:22.6pt;width:40.3pt;z-index:251908096;mso-width-relative:page;mso-height-relative:page;" fillcolor="#FFFFFF" filled="t" stroked="t" coordsize="21600,21600" o:gfxdata="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wu8Am1QAAAAgBAAAPAAAAAAAAAAEAIAAAACIAAABkcnMvZG93&#10;bnJldi54bWxQSwECFAAUAAAACACHTuJAQ2aSuDwCAACABAAADgAAAAAAAAABACAAAAAkAQAAZHJz&#10;L2Uyb0RvYy54bWxQSwUGAAAAAAYABgBZAQAA0gUAAAAA&#10;">
                <v:fill on="t" focussize="0,0"/>
                <v:stroke color="#FFFFFF" miterlimit="8" joinstyle="miter"/>
                <v:imagedata o:title=""/>
                <o:lock v:ext="edit" aspectratio="f"/>
                <v:textbox>
                  <w:txbxContent>
                    <w:p>
                      <w:pPr>
                        <w:spacing w:line="240" w:lineRule="atLeast"/>
                        <w:jc w:val="left"/>
                        <w:rPr>
                          <w:sz w:val="18"/>
                          <w:szCs w:val="18"/>
                        </w:rPr>
                      </w:pPr>
                      <w:r>
                        <w:rPr>
                          <w:rFonts w:hint="eastAsia"/>
                          <w:sz w:val="18"/>
                          <w:szCs w:val="18"/>
                        </w:rPr>
                        <w:t>80000</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33696" behindDoc="0" locked="0" layoutInCell="1" allowOverlap="1">
                <wp:simplePos x="0" y="0"/>
                <wp:positionH relativeFrom="column">
                  <wp:posOffset>4021455</wp:posOffset>
                </wp:positionH>
                <wp:positionV relativeFrom="paragraph">
                  <wp:posOffset>115570</wp:posOffset>
                </wp:positionV>
                <wp:extent cx="299720" cy="190500"/>
                <wp:effectExtent l="0" t="38100" r="62230" b="19685"/>
                <wp:wrapNone/>
                <wp:docPr id="277" name="直接箭头连接符 277"/>
                <wp:cNvGraphicFramePr/>
                <a:graphic xmlns:a="http://schemas.openxmlformats.org/drawingml/2006/main">
                  <a:graphicData uri="http://schemas.microsoft.com/office/word/2010/wordprocessingShape">
                    <wps:wsp>
                      <wps:cNvCnPr/>
                      <wps:spPr>
                        <a:xfrm flipV="1">
                          <a:off x="0" y="0"/>
                          <a:ext cx="299923" cy="190195"/>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16.65pt;margin-top:9.1pt;height:15pt;width:23.6pt;z-index:251933696;mso-width-relative:page;mso-height-relative:page;" filled="f" stroked="t" coordsize="21600,21600" o:gfxdata="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WvZRfYAAAACQEAAA8AAAAAAAAAAQAgAAAAIgAAAGRycy9kb3ducmV2Lnht&#10;bFBLAQIUABQAAAAIAIdO4kAquHil+QEAAKYDAAAOAAAAAAAAAAEAIAAAACcBAABkcnMvZTJvRG9j&#10;LnhtbFBLBQYAAAAABgAGAFkBAACSBQ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32672" behindDoc="0" locked="0" layoutInCell="1" allowOverlap="1">
                <wp:simplePos x="0" y="0"/>
                <wp:positionH relativeFrom="column">
                  <wp:posOffset>2294890</wp:posOffset>
                </wp:positionH>
                <wp:positionV relativeFrom="paragraph">
                  <wp:posOffset>93980</wp:posOffset>
                </wp:positionV>
                <wp:extent cx="351155" cy="212090"/>
                <wp:effectExtent l="0" t="38100" r="49530" b="35560"/>
                <wp:wrapNone/>
                <wp:docPr id="276" name="直接箭头连接符 276"/>
                <wp:cNvGraphicFramePr/>
                <a:graphic xmlns:a="http://schemas.openxmlformats.org/drawingml/2006/main">
                  <a:graphicData uri="http://schemas.microsoft.com/office/word/2010/wordprocessingShape">
                    <wps:wsp>
                      <wps:cNvCnPr/>
                      <wps:spPr>
                        <a:xfrm flipV="1">
                          <a:off x="0" y="0"/>
                          <a:ext cx="351130" cy="212141"/>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80.7pt;margin-top:7.4pt;height:16.7pt;width:27.65pt;z-index:251932672;mso-width-relative:page;mso-height-relative:page;" filled="f" stroked="t" coordsize="21600,21600" o:gfxdata="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oTpT9kAAAAJAQAADwAAAAAAAAABACAAAAAiAAAAZHJzL2Rvd25yZXYueG1s&#10;UEsBAhQAFAAAAAgAh07iQCm+xbL3AQAApgMAAA4AAAAAAAAAAQAgAAAAKAEAAGRycy9lMm9Eb2Mu&#10;eG1sUEsFBgAAAAAGAAYAWQEAAJEFAAAAAA==&#10;">
                <v:fill on="f" focussize="0,0"/>
                <v:stroke weight="0.5pt" color="#000000 [3200]" miterlimit="8" joinstyle="miter" dashstyle="longDash"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20384" behindDoc="0" locked="0" layoutInCell="1" allowOverlap="1">
                <wp:simplePos x="0" y="0"/>
                <wp:positionH relativeFrom="column">
                  <wp:posOffset>2983230</wp:posOffset>
                </wp:positionH>
                <wp:positionV relativeFrom="paragraph">
                  <wp:posOffset>191770</wp:posOffset>
                </wp:positionV>
                <wp:extent cx="438785" cy="497205"/>
                <wp:effectExtent l="0" t="0" r="18415" b="17145"/>
                <wp:wrapNone/>
                <wp:docPr id="262"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438785" cy="49720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造纸</w:t>
                            </w:r>
                          </w:p>
                          <w:p>
                            <w:pPr>
                              <w:spacing w:line="240" w:lineRule="atLeast"/>
                              <w:jc w:val="center"/>
                              <w:rPr>
                                <w:sz w:val="18"/>
                              </w:rPr>
                            </w:pPr>
                            <w:r>
                              <w:rPr>
                                <w:rFonts w:hint="eastAsia"/>
                                <w:sz w:val="18"/>
                              </w:rPr>
                              <w:t>干燥</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234.9pt;margin-top:15.1pt;height:39.15pt;width:34.55pt;z-index:251920384;mso-width-relative:page;mso-height-relative:page;" fillcolor="#FFFFFF" filled="t" stroked="t" coordsize="21600,21600" o:gfxdata="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F1jY2QAAAAoBAAAP&#10;AAAAAAAAAAEAIAAAACIAAABkcnMvZG93bnJldi54bWxQSwECFAAUAAAACACHTuJARqWADhcCAAA7&#10;BAAADgAAAAAAAAABACAAAAAoAQAAZHJzL2Uyb0RvYy54bWxQSwUGAAAAAAYABgBZAQAAsQUAAAAA&#10;">
                <v:fill on="t" focussize="0,0"/>
                <v:stroke color="#000000" miterlimit="8" joinstyle="miter"/>
                <v:imagedata o:title=""/>
                <o:lock v:ext="edit" aspectratio="f"/>
                <v:textbox>
                  <w:txbxContent>
                    <w:p>
                      <w:pPr>
                        <w:spacing w:line="240" w:lineRule="atLeast"/>
                        <w:jc w:val="center"/>
                        <w:rPr>
                          <w:sz w:val="18"/>
                        </w:rPr>
                      </w:pPr>
                      <w:r>
                        <w:rPr>
                          <w:rFonts w:hint="eastAsia"/>
                          <w:sz w:val="18"/>
                        </w:rPr>
                        <w:t>造纸</w:t>
                      </w:r>
                    </w:p>
                    <w:p>
                      <w:pPr>
                        <w:spacing w:line="240" w:lineRule="atLeast"/>
                        <w:jc w:val="center"/>
                        <w:rPr>
                          <w:sz w:val="18"/>
                        </w:rPr>
                      </w:pPr>
                      <w:r>
                        <w:rPr>
                          <w:rFonts w:hint="eastAsia"/>
                          <w:sz w:val="18"/>
                        </w:rPr>
                        <w:t>干燥</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01952" behindDoc="0" locked="0" layoutInCell="1" allowOverlap="1">
                <wp:simplePos x="0" y="0"/>
                <wp:positionH relativeFrom="column">
                  <wp:posOffset>4906010</wp:posOffset>
                </wp:positionH>
                <wp:positionV relativeFrom="paragraph">
                  <wp:posOffset>237490</wp:posOffset>
                </wp:positionV>
                <wp:extent cx="511810" cy="287020"/>
                <wp:effectExtent l="0" t="0" r="21590" b="17780"/>
                <wp:wrapNone/>
                <wp:docPr id="300"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511810" cy="287020"/>
                        </a:xfrm>
                        <a:prstGeom prst="rect">
                          <a:avLst/>
                        </a:prstGeom>
                        <a:solidFill>
                          <a:srgbClr val="FFFFFF"/>
                        </a:solidFill>
                        <a:ln w="9525">
                          <a:solidFill>
                            <a:sysClr val="window" lastClr="FFFFFF">
                              <a:lumMod val="100000"/>
                              <a:lumOff val="0"/>
                            </a:sysClr>
                          </a:solidFill>
                          <a:miter lim="800000"/>
                        </a:ln>
                      </wps:spPr>
                      <wps:txbx>
                        <w:txbxContent>
                          <w:p>
                            <w:pPr>
                              <w:spacing w:line="240" w:lineRule="atLeast"/>
                              <w:jc w:val="left"/>
                              <w:rPr>
                                <w:sz w:val="18"/>
                                <w:szCs w:val="18"/>
                              </w:rPr>
                            </w:pPr>
                            <w:r>
                              <w:rPr>
                                <w:sz w:val="18"/>
                                <w:szCs w:val="18"/>
                              </w:rPr>
                              <w:t>10000</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386.3pt;margin-top:18.7pt;height:22.6pt;width:40.3pt;z-index:251901952;mso-width-relative:page;mso-height-relative:page;" fillcolor="#FFFFFF" filled="t" stroked="t" coordsize="21600,21600" o:gfxdata="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aMDDrXAAAACQEAAA8AAAAAAAAAAQAgAAAAIgAAAGRycy9k&#10;b3ducmV2LnhtbFBLAQIUABQAAAAIAIdO4kDHDVsfPAIAAIAEAAAOAAAAAAAAAAEAIAAAACYBAABk&#10;cnMvZTJvRG9jLnhtbFBLBQYAAAAABgAGAFkBAADUBQAAAAA=&#10;">
                <v:fill on="t" focussize="0,0"/>
                <v:stroke color="#FFFFFF" miterlimit="8" joinstyle="miter"/>
                <v:imagedata o:title=""/>
                <o:lock v:ext="edit" aspectratio="f"/>
                <v:textbox>
                  <w:txbxContent>
                    <w:p>
                      <w:pPr>
                        <w:spacing w:line="240" w:lineRule="atLeast"/>
                        <w:jc w:val="left"/>
                        <w:rPr>
                          <w:sz w:val="18"/>
                          <w:szCs w:val="18"/>
                        </w:rPr>
                      </w:pPr>
                      <w:r>
                        <w:rPr>
                          <w:sz w:val="18"/>
                          <w:szCs w:val="18"/>
                        </w:rPr>
                        <w:t>10000</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31648" behindDoc="0" locked="0" layoutInCell="1" allowOverlap="1">
                <wp:simplePos x="0" y="0"/>
                <wp:positionH relativeFrom="column">
                  <wp:posOffset>4248150</wp:posOffset>
                </wp:positionH>
                <wp:positionV relativeFrom="paragraph">
                  <wp:posOffset>125730</wp:posOffset>
                </wp:positionV>
                <wp:extent cx="738505" cy="0"/>
                <wp:effectExtent l="0" t="0" r="23495" b="19050"/>
                <wp:wrapNone/>
                <wp:docPr id="275" name="直接连接符 275"/>
                <wp:cNvGraphicFramePr/>
                <a:graphic xmlns:a="http://schemas.openxmlformats.org/drawingml/2006/main">
                  <a:graphicData uri="http://schemas.microsoft.com/office/word/2010/wordprocessingShape">
                    <wps:wsp>
                      <wps:cNvCnPr/>
                      <wps:spPr>
                        <a:xfrm>
                          <a:off x="0" y="0"/>
                          <a:ext cx="738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4.5pt;margin-top:9.9pt;height:0pt;width:58.15pt;z-index:251931648;mso-width-relative:page;mso-height-relative:page;" filled="f" stroked="t" coordsize="21600,21600" o:gfxdata="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bPU021gAAAAkBAAAPAAAAAAAAAAEAIAAAACIAAABkcnMvZG93&#10;bnJldi54bWxQSwECFAAUAAAACACHTuJAnuldjckBAABmAwAADgAAAAAAAAABACAAAAAlAQAAZHJz&#10;L2Uyb0RvYy54bWxQSwUGAAAAAAYABgBZAQAAYAU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929600" behindDoc="0" locked="0" layoutInCell="1" allowOverlap="1">
                <wp:simplePos x="0" y="0"/>
                <wp:positionH relativeFrom="column">
                  <wp:posOffset>3429000</wp:posOffset>
                </wp:positionH>
                <wp:positionV relativeFrom="paragraph">
                  <wp:posOffset>125730</wp:posOffset>
                </wp:positionV>
                <wp:extent cx="387985" cy="0"/>
                <wp:effectExtent l="0" t="76200" r="12700" b="95250"/>
                <wp:wrapNone/>
                <wp:docPr id="273" name="直接箭头连接符 273"/>
                <wp:cNvGraphicFramePr/>
                <a:graphic xmlns:a="http://schemas.openxmlformats.org/drawingml/2006/main">
                  <a:graphicData uri="http://schemas.microsoft.com/office/word/2010/wordprocessingShape">
                    <wps:wsp>
                      <wps:cNvCnPr/>
                      <wps:spPr>
                        <a:xfrm>
                          <a:off x="0" y="0"/>
                          <a:ext cx="3877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70pt;margin-top:9.9pt;height:0pt;width:30.55pt;z-index:251929600;mso-width-relative:page;mso-height-relative:page;" filled="f" stroked="t" coordsize="21600,21600" o:gfxdata="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WwoB&#10;1QAAAAkBAAAPAAAAAAAAAAEAIAAAACIAAABkcnMvZG93bnJldi54bWxQSwECFAAUAAAACACHTuJA&#10;TDubnesBAACWAwAADgAAAAAAAAABACAAAAAkAQAAZHJzL2Uyb0RvYy54bWxQSwUGAAAAAAYABgBZ&#10;AQAAgQU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28576" behindDoc="0" locked="0" layoutInCell="1" allowOverlap="1">
                <wp:simplePos x="0" y="0"/>
                <wp:positionH relativeFrom="column">
                  <wp:posOffset>2646045</wp:posOffset>
                </wp:positionH>
                <wp:positionV relativeFrom="paragraph">
                  <wp:posOffset>140335</wp:posOffset>
                </wp:positionV>
                <wp:extent cx="343535" cy="0"/>
                <wp:effectExtent l="0" t="76200" r="18415" b="95250"/>
                <wp:wrapNone/>
                <wp:docPr id="271" name="直接箭头连接符 271"/>
                <wp:cNvGraphicFramePr/>
                <a:graphic xmlns:a="http://schemas.openxmlformats.org/drawingml/2006/main">
                  <a:graphicData uri="http://schemas.microsoft.com/office/word/2010/wordprocessingShape">
                    <wps:wsp>
                      <wps:cNvCnPr/>
                      <wps:spPr>
                        <a:xfrm>
                          <a:off x="0" y="0"/>
                          <a:ext cx="3438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35pt;margin-top:11.05pt;height:0pt;width:27.05pt;z-index:251928576;mso-width-relative:page;mso-height-relative:page;" filled="f" stroked="t" coordsize="21600,21600" o:gfxdata="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l7&#10;bwTWAAAACQEAAA8AAAAAAAAAAQAgAAAAIgAAAGRycy9kb3ducmV2LnhtbFBLAQIUABQAAAAIAIdO&#10;4kDplJgU7AEAAJYDAAAOAAAAAAAAAAEAIAAAACUBAABkcnMvZTJvRG9jLnhtbFBLBQYAAAAABgAG&#10;AFkBAACDBQ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24480" behindDoc="0" locked="0" layoutInCell="1" allowOverlap="1">
                <wp:simplePos x="0" y="0"/>
                <wp:positionH relativeFrom="column">
                  <wp:posOffset>1482725</wp:posOffset>
                </wp:positionH>
                <wp:positionV relativeFrom="paragraph">
                  <wp:posOffset>125730</wp:posOffset>
                </wp:positionV>
                <wp:extent cx="482600" cy="7620"/>
                <wp:effectExtent l="0" t="57150" r="31750" b="88265"/>
                <wp:wrapNone/>
                <wp:docPr id="267" name="直接箭头连接符 267"/>
                <wp:cNvGraphicFramePr/>
                <a:graphic xmlns:a="http://schemas.openxmlformats.org/drawingml/2006/main">
                  <a:graphicData uri="http://schemas.microsoft.com/office/word/2010/wordprocessingShape">
                    <wps:wsp>
                      <wps:cNvCnPr/>
                      <wps:spPr>
                        <a:xfrm>
                          <a:off x="0" y="0"/>
                          <a:ext cx="482803"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6.75pt;margin-top:9.9pt;height:0.6pt;width:38pt;z-index:251924480;mso-width-relative:page;mso-height-relative:page;" filled="f" stroked="t" coordsize="21600,21600" o:gfxdata="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Wr&#10;M5PUAAAACQEAAA8AAAAAAAAAAQAgAAAAIgAAAGRycy9kb3ducmV2LnhtbFBLAQIUABQAAAAIAIdO&#10;4kAXS7g87gEAAJkDAAAOAAAAAAAAAAEAIAAAACMBAABkcnMvZTJvRG9jLnhtbFBLBQYAAAAABgAG&#10;AFkBAACDBQ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21408" behindDoc="0" locked="0" layoutInCell="1" allowOverlap="1">
                <wp:simplePos x="0" y="0"/>
                <wp:positionH relativeFrom="column">
                  <wp:posOffset>3807460</wp:posOffset>
                </wp:positionH>
                <wp:positionV relativeFrom="paragraph">
                  <wp:posOffset>8890</wp:posOffset>
                </wp:positionV>
                <wp:extent cx="424180" cy="262255"/>
                <wp:effectExtent l="0" t="0" r="13970" b="23495"/>
                <wp:wrapNone/>
                <wp:docPr id="264"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424180" cy="262255"/>
                        </a:xfrm>
                        <a:prstGeom prst="rect">
                          <a:avLst/>
                        </a:prstGeom>
                        <a:solidFill>
                          <a:srgbClr val="FFFFFF"/>
                        </a:solidFill>
                        <a:ln w="9525">
                          <a:solidFill>
                            <a:srgbClr val="000000"/>
                          </a:solidFill>
                          <a:miter lim="800000"/>
                        </a:ln>
                      </wps:spPr>
                      <wps:txbx>
                        <w:txbxContent>
                          <w:p>
                            <w:pPr>
                              <w:spacing w:line="240" w:lineRule="atLeast"/>
                              <w:rPr>
                                <w:sz w:val="18"/>
                              </w:rPr>
                            </w:pPr>
                            <w:r>
                              <w:rPr>
                                <w:rFonts w:hint="eastAsia"/>
                                <w:sz w:val="18"/>
                              </w:rPr>
                              <w:t>切纸</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299.8pt;margin-top:0.7pt;height:20.65pt;width:33.4pt;z-index:251921408;mso-width-relative:page;mso-height-relative:page;" fillcolor="#FFFFFF" filled="t" stroked="t" coordsize="21600,21600" o:gfxdata="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H/w/1wAAAAgBAAAPAAAA&#10;AAAAAAEAIAAAACIAAABkcnMvZG93bnJldi54bWxQSwECFAAUAAAACACHTuJAwF7HtBYCAAA7BAAA&#10;DgAAAAAAAAABACAAAAAmAQAAZHJzL2Uyb0RvYy54bWxQSwUGAAAAAAYABgBZAQAArgUAAAAA&#10;">
                <v:fill on="t" focussize="0,0"/>
                <v:stroke color="#000000" miterlimit="8" joinstyle="miter"/>
                <v:imagedata o:title=""/>
                <o:lock v:ext="edit" aspectratio="f"/>
                <v:textbox>
                  <w:txbxContent>
                    <w:p>
                      <w:pPr>
                        <w:spacing w:line="240" w:lineRule="atLeast"/>
                        <w:rPr>
                          <w:sz w:val="18"/>
                        </w:rPr>
                      </w:pPr>
                      <w:r>
                        <w:rPr>
                          <w:rFonts w:hint="eastAsia"/>
                          <w:sz w:val="18"/>
                        </w:rPr>
                        <w:t>切纸</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19360" behindDoc="0" locked="0" layoutInCell="1" allowOverlap="1">
                <wp:simplePos x="0" y="0"/>
                <wp:positionH relativeFrom="column">
                  <wp:posOffset>1965325</wp:posOffset>
                </wp:positionH>
                <wp:positionV relativeFrom="paragraph">
                  <wp:posOffset>8890</wp:posOffset>
                </wp:positionV>
                <wp:extent cx="673100" cy="262255"/>
                <wp:effectExtent l="0" t="0" r="13335" b="23495"/>
                <wp:wrapNone/>
                <wp:docPr id="261"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672999"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水力</w:t>
                            </w:r>
                            <w:r>
                              <w:rPr>
                                <w:sz w:val="18"/>
                              </w:rPr>
                              <w:t>碎浆</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154.75pt;margin-top:0.7pt;height:20.65pt;width:53pt;z-index:251919360;mso-width-relative:page;mso-height-relative:page;" fillcolor="#FFFFFF" filled="t" stroked="t" coordsize="21600,21600" o:gfxdata="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fGJdNcAAAAIAQAADwAA&#10;AAAAAAABACAAAAAiAAAAZHJzL2Rvd25yZXYueG1sUEsBAhQAFAAAAAgAh07iQG4RgFMXAgAAOwQA&#10;AA4AAAAAAAAAAQAgAAAAJgEAAGRycy9lMm9Eb2MueG1sUEsFBgAAAAAGAAYAWQEAAK8FAAAAAA==&#10;">
                <v:fill on="t" focussize="0,0"/>
                <v:stroke color="#000000" miterlimit="8" joinstyle="miter"/>
                <v:imagedata o:title=""/>
                <o:lock v:ext="edit" aspectratio="f"/>
                <v:textbox>
                  <w:txbxContent>
                    <w:p>
                      <w:pPr>
                        <w:spacing w:line="240" w:lineRule="atLeast"/>
                        <w:jc w:val="center"/>
                        <w:rPr>
                          <w:sz w:val="18"/>
                        </w:rPr>
                      </w:pPr>
                      <w:r>
                        <w:rPr>
                          <w:rFonts w:hint="eastAsia"/>
                          <w:sz w:val="18"/>
                        </w:rPr>
                        <w:t>水力</w:t>
                      </w:r>
                      <w:r>
                        <w:rPr>
                          <w:sz w:val="18"/>
                        </w:rPr>
                        <w:t>碎浆</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11168" behindDoc="0" locked="0" layoutInCell="1" allowOverlap="1">
                <wp:simplePos x="0" y="0"/>
                <wp:positionH relativeFrom="column">
                  <wp:posOffset>1036320</wp:posOffset>
                </wp:positionH>
                <wp:positionV relativeFrom="paragraph">
                  <wp:posOffset>16510</wp:posOffset>
                </wp:positionV>
                <wp:extent cx="438785" cy="262255"/>
                <wp:effectExtent l="0" t="0" r="19050" b="23495"/>
                <wp:wrapNone/>
                <wp:docPr id="190"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438480"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石粉</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81.6pt;margin-top:1.3pt;height:20.65pt;width:34.55pt;z-index:251911168;mso-width-relative:page;mso-height-relative:page;" fillcolor="#FFFFFF" filled="t" stroked="t" coordsize="21600,21600" o:gfxdata="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ujEInXAAAACAEAAA8AAAAA&#10;AAAAAQAgAAAAIgAAAGRycy9kb3ducmV2LnhtbFBLAQIUABQAAAAIAIdO4kDqNz0xFQIAADsEAAAO&#10;AAAAAAAAAAEAIAAAACYBAABkcnMvZTJvRG9jLnhtbFBLBQYAAAAABgAGAFkBAACtBQAAAAA=&#10;">
                <v:fill on="t" focussize="0,0"/>
                <v:stroke color="#000000" miterlimit="8" joinstyle="miter"/>
                <v:imagedata o:title=""/>
                <o:lock v:ext="edit" aspectratio="f"/>
                <v:textbox>
                  <w:txbxContent>
                    <w:p>
                      <w:pPr>
                        <w:spacing w:line="240" w:lineRule="atLeast"/>
                        <w:jc w:val="center"/>
                        <w:rPr>
                          <w:sz w:val="18"/>
                        </w:rPr>
                      </w:pPr>
                      <w:r>
                        <w:rPr>
                          <w:rFonts w:hint="eastAsia"/>
                          <w:sz w:val="18"/>
                        </w:rPr>
                        <w:t>石粉</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16288" behindDoc="0" locked="0" layoutInCell="1" allowOverlap="1">
                <wp:simplePos x="0" y="0"/>
                <wp:positionH relativeFrom="column">
                  <wp:posOffset>481965</wp:posOffset>
                </wp:positionH>
                <wp:positionV relativeFrom="paragraph">
                  <wp:posOffset>158750</wp:posOffset>
                </wp:positionV>
                <wp:extent cx="556260" cy="0"/>
                <wp:effectExtent l="0" t="76200" r="15875" b="95250"/>
                <wp:wrapNone/>
                <wp:docPr id="257" name="直接箭头连接符 257"/>
                <wp:cNvGraphicFramePr/>
                <a:graphic xmlns:a="http://schemas.openxmlformats.org/drawingml/2006/main">
                  <a:graphicData uri="http://schemas.microsoft.com/office/word/2010/wordprocessingShape">
                    <wps:wsp>
                      <wps:cNvCnPr/>
                      <wps:spPr>
                        <a:xfrm>
                          <a:off x="0" y="0"/>
                          <a:ext cx="5559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95pt;margin-top:12.5pt;height:0pt;width:43.8pt;z-index:251916288;mso-width-relative:page;mso-height-relative:page;" filled="f" stroked="t" coordsize="21600,21600" o:gfxdata="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IEB&#10;y9UAAAAIAQAADwAAAAAAAAABACAAAAAiAAAAZHJzL2Rvd25yZXYueG1sUEsBAhQAFAAAAAgAh07i&#10;QA0RMZHsAQAAlgMAAA4AAAAAAAAAAQAgAAAAJAEAAGRycy9lMm9Eb2MueG1sUEsFBgAAAAAGAAYA&#10;WQEAAIIFAAAAAA==&#10;">
                <v:fill on="f" focussize="0,0"/>
                <v:stroke weight="0.5pt" color="#000000 [3200]" miterlimit="8" joinstyle="miter"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00928" behindDoc="0" locked="0" layoutInCell="1" allowOverlap="1">
                <wp:simplePos x="0" y="0"/>
                <wp:positionH relativeFrom="margin">
                  <wp:posOffset>2257425</wp:posOffset>
                </wp:positionH>
                <wp:positionV relativeFrom="paragraph">
                  <wp:posOffset>215900</wp:posOffset>
                </wp:positionV>
                <wp:extent cx="710565" cy="265430"/>
                <wp:effectExtent l="0" t="0" r="13335" b="20320"/>
                <wp:wrapNone/>
                <wp:docPr id="302" name="Text Box 317"/>
                <wp:cNvGraphicFramePr/>
                <a:graphic xmlns:a="http://schemas.openxmlformats.org/drawingml/2006/main">
                  <a:graphicData uri="http://schemas.microsoft.com/office/word/2010/wordprocessingShape">
                    <wps:wsp>
                      <wps:cNvSpPr txBox="1">
                        <a:spLocks noChangeArrowheads="1"/>
                      </wps:cNvSpPr>
                      <wps:spPr bwMode="auto">
                        <a:xfrm>
                          <a:off x="0" y="0"/>
                          <a:ext cx="710565" cy="265430"/>
                        </a:xfrm>
                        <a:prstGeom prst="rect">
                          <a:avLst/>
                        </a:prstGeom>
                        <a:solidFill>
                          <a:srgbClr val="FFFFFF"/>
                        </a:solidFill>
                        <a:ln w="9525">
                          <a:solidFill>
                            <a:schemeClr val="bg1">
                              <a:lumMod val="100000"/>
                              <a:lumOff val="0"/>
                            </a:schemeClr>
                          </a:solidFill>
                          <a:miter lim="800000"/>
                        </a:ln>
                      </wps:spPr>
                      <wps:txbx>
                        <w:txbxContent>
                          <w:p>
                            <w:pPr>
                              <w:spacing w:line="240" w:lineRule="atLeast"/>
                              <w:jc w:val="center"/>
                              <w:rPr>
                                <w:sz w:val="18"/>
                              </w:rPr>
                            </w:pPr>
                            <w:r>
                              <w:rPr>
                                <w:sz w:val="18"/>
                              </w:rPr>
                              <w:t>4239.85</w:t>
                            </w:r>
                          </w:p>
                        </w:txbxContent>
                      </wps:txbx>
                      <wps:bodyPr rot="0" vert="horz" wrap="square" lIns="91440" tIns="45720" rIns="91440" bIns="45720" anchor="t" anchorCtr="0" upright="1">
                        <a:noAutofit/>
                      </wps:bodyPr>
                    </wps:wsp>
                  </a:graphicData>
                </a:graphic>
              </wp:anchor>
            </w:drawing>
          </mc:Choice>
          <mc:Fallback>
            <w:pict>
              <v:shape id="Text Box 317" o:spid="_x0000_s1026" o:spt="202" type="#_x0000_t202" style="position:absolute;left:0pt;margin-left:177.75pt;margin-top:17pt;height:20.9pt;width:55.95pt;mso-position-horizontal-relative:margin;z-index:251900928;mso-width-relative:page;mso-height-relative:page;" fillcolor="#FFFFFF" filled="t" stroked="t" coordsize="21600,21600" o:gfxdata="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cFHJTYAAAACQEAAA8AAAAAAAAAAQAgAAAAIgAAAGRycy9kb3ducmV2Lnht&#10;bFBLAQIUABQAAAAIAIdO4kA+ZZG9MgIAAHEEAAAOAAAAAAAAAAEAIAAAACcBAABkcnMvZTJvRG9j&#10;LnhtbFBLBQYAAAAABgAGAFkBAADLBQAAAAA=&#10;">
                <v:fill on="t" focussize="0,0"/>
                <v:stroke color="#FFFFFF [3228]" miterlimit="8" joinstyle="miter"/>
                <v:imagedata o:title=""/>
                <o:lock v:ext="edit" aspectratio="f"/>
                <v:textbox>
                  <w:txbxContent>
                    <w:p>
                      <w:pPr>
                        <w:spacing w:line="240" w:lineRule="atLeast"/>
                        <w:jc w:val="center"/>
                        <w:rPr>
                          <w:sz w:val="18"/>
                        </w:rPr>
                      </w:pPr>
                      <w:r>
                        <w:rPr>
                          <w:sz w:val="18"/>
                        </w:rPr>
                        <w:t>4239.85</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07072" behindDoc="0" locked="0" layoutInCell="1" allowOverlap="1">
                <wp:simplePos x="0" y="0"/>
                <wp:positionH relativeFrom="column">
                  <wp:posOffset>539115</wp:posOffset>
                </wp:positionH>
                <wp:positionV relativeFrom="paragraph">
                  <wp:posOffset>210185</wp:posOffset>
                </wp:positionV>
                <wp:extent cx="511810" cy="287020"/>
                <wp:effectExtent l="0" t="0" r="21590" b="17780"/>
                <wp:wrapNone/>
                <wp:docPr id="295"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512014" cy="287020"/>
                        </a:xfrm>
                        <a:prstGeom prst="rect">
                          <a:avLst/>
                        </a:prstGeom>
                        <a:solidFill>
                          <a:srgbClr val="FFFFFF"/>
                        </a:solidFill>
                        <a:ln w="9525">
                          <a:solidFill>
                            <a:sysClr val="window" lastClr="FFFFFF">
                              <a:lumMod val="100000"/>
                              <a:lumOff val="0"/>
                            </a:sysClr>
                          </a:solidFill>
                          <a:miter lim="800000"/>
                        </a:ln>
                      </wps:spPr>
                      <wps:txbx>
                        <w:txbxContent>
                          <w:p>
                            <w:pPr>
                              <w:spacing w:line="240" w:lineRule="atLeast"/>
                              <w:jc w:val="left"/>
                              <w:rPr>
                                <w:sz w:val="18"/>
                                <w:szCs w:val="18"/>
                              </w:rPr>
                            </w:pPr>
                            <w:r>
                              <w:rPr>
                                <w:rFonts w:hint="eastAsia"/>
                                <w:sz w:val="18"/>
                                <w:szCs w:val="18"/>
                              </w:rPr>
                              <w:t>2000</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42.45pt;margin-top:16.55pt;height:22.6pt;width:40.3pt;z-index:251907072;mso-width-relative:page;mso-height-relative:page;" fillcolor="#FFFFFF" filled="t" stroked="t" coordsize="21600,21600" o:gfxdata="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qH3XAAAACAEAAA8AAAAAAAAAAQAgAAAAIgAAAGRycy9k&#10;b3ducmV2LnhtbFBLAQIUABQAAAAIAIdO4kAl1mO+PAIAAIAEAAAOAAAAAAAAAAEAIAAAACYBAABk&#10;cnMvZTJvRG9jLnhtbFBLBQYAAAAABgAGAFkBAADUBQAAAAA=&#10;">
                <v:fill on="t" focussize="0,0"/>
                <v:stroke color="#FFFFFF" miterlimit="8" joinstyle="miter"/>
                <v:imagedata o:title=""/>
                <o:lock v:ext="edit" aspectratio="f"/>
                <v:textbox>
                  <w:txbxContent>
                    <w:p>
                      <w:pPr>
                        <w:spacing w:line="240" w:lineRule="atLeast"/>
                        <w:jc w:val="left"/>
                        <w:rPr>
                          <w:sz w:val="18"/>
                          <w:szCs w:val="18"/>
                        </w:rPr>
                      </w:pPr>
                      <w:r>
                        <w:rPr>
                          <w:rFonts w:hint="eastAsia"/>
                          <w:sz w:val="18"/>
                          <w:szCs w:val="18"/>
                        </w:rPr>
                        <w:t>2000</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34720" behindDoc="0" locked="0" layoutInCell="1" allowOverlap="1">
                <wp:simplePos x="0" y="0"/>
                <wp:positionH relativeFrom="column">
                  <wp:posOffset>2959100</wp:posOffset>
                </wp:positionH>
                <wp:positionV relativeFrom="paragraph">
                  <wp:posOffset>300355</wp:posOffset>
                </wp:positionV>
                <wp:extent cx="592455" cy="262255"/>
                <wp:effectExtent l="0" t="0" r="17145" b="23495"/>
                <wp:wrapNone/>
                <wp:docPr id="278" name="Text Box 272"/>
                <wp:cNvGraphicFramePr/>
                <a:graphic xmlns:a="http://schemas.openxmlformats.org/drawingml/2006/main">
                  <a:graphicData uri="http://schemas.microsoft.com/office/word/2010/wordprocessingShape">
                    <wps:wsp>
                      <wps:cNvSpPr txBox="1">
                        <a:spLocks noChangeArrowheads="1"/>
                      </wps:cNvSpPr>
                      <wps:spPr bwMode="auto">
                        <a:xfrm>
                          <a:off x="0" y="0"/>
                          <a:ext cx="592455"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燃烧</w:t>
                            </w:r>
                          </w:p>
                        </w:txbxContent>
                      </wps:txbx>
                      <wps:bodyPr rot="0" vert="horz" wrap="square" lIns="91440" tIns="45720" rIns="91440" bIns="45720" anchor="t" anchorCtr="0" upright="1">
                        <a:noAutofit/>
                      </wps:bodyPr>
                    </wps:wsp>
                  </a:graphicData>
                </a:graphic>
              </wp:anchor>
            </w:drawing>
          </mc:Choice>
          <mc:Fallback>
            <w:pict>
              <v:shape id="Text Box 272" o:spid="_x0000_s1026" o:spt="202" type="#_x0000_t202" style="position:absolute;left:0pt;margin-left:233pt;margin-top:23.65pt;height:20.65pt;width:46.65pt;z-index:251934720;mso-width-relative:page;mso-height-relative:page;" fillcolor="#FFFFFF" filled="t" stroked="t" coordsize="21600,21600" o:gfxdata="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H+Y2AAAAAkBAAAPAAAA&#10;AAAAAAEAIAAAACIAAABkcnMvZG93bnJldi54bWxQSwECFAAUAAAACACHTuJAszAb7BUCAAA7BAAA&#10;DgAAAAAAAAABACAAAAAnAQAAZHJzL2Uyb0RvYy54bWxQSwUGAAAAAAYABgBZAQAArgUAAAAA&#10;">
                <v:fill on="t" focussize="0,0"/>
                <v:stroke color="#000000" miterlimit="8" joinstyle="miter"/>
                <v:imagedata o:title=""/>
                <o:lock v:ext="edit" aspectratio="f"/>
                <v:textbox>
                  <w:txbxContent>
                    <w:p>
                      <w:pPr>
                        <w:spacing w:line="240" w:lineRule="atLeast"/>
                        <w:jc w:val="center"/>
                        <w:rPr>
                          <w:sz w:val="18"/>
                        </w:rPr>
                      </w:pPr>
                      <w:r>
                        <w:rPr>
                          <w:rFonts w:hint="eastAsia"/>
                          <w:sz w:val="18"/>
                        </w:rPr>
                        <w:t>燃烧</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40864" behindDoc="0" locked="0" layoutInCell="1" allowOverlap="1">
                <wp:simplePos x="0" y="0"/>
                <wp:positionH relativeFrom="column">
                  <wp:posOffset>2390775</wp:posOffset>
                </wp:positionH>
                <wp:positionV relativeFrom="paragraph">
                  <wp:posOffset>124460</wp:posOffset>
                </wp:positionV>
                <wp:extent cx="9525" cy="2447925"/>
                <wp:effectExtent l="0" t="0" r="28575" b="28575"/>
                <wp:wrapNone/>
                <wp:docPr id="284" name="直接连接符 284"/>
                <wp:cNvGraphicFramePr/>
                <a:graphic xmlns:a="http://schemas.openxmlformats.org/drawingml/2006/main">
                  <a:graphicData uri="http://schemas.microsoft.com/office/word/2010/wordprocessingShape">
                    <wps:wsp>
                      <wps:cNvCnPr/>
                      <wps:spPr>
                        <a:xfrm>
                          <a:off x="0" y="0"/>
                          <a:ext cx="9525" cy="2447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8.25pt;margin-top:9.8pt;height:192.75pt;width:0.75pt;z-index:251940864;mso-width-relative:page;mso-height-relative:page;" filled="f" stroked="t" coordsize="21600,21600" o:gfxdata="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kyT9HYAAAACgEAAA8AAAAAAAAAAQAgAAAAIgAAAGRy&#10;cy9kb3ducmV2LnhtbFBLAQIUABQAAAAIAIdO4kCPBQ+MzAEAAGoDAAAOAAAAAAAAAAEAIAAAACcB&#10;AABkcnMvZTJvRG9jLnhtbFBLBQYAAAAABgAGAFkBAABlBQ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923456" behindDoc="0" locked="0" layoutInCell="1" allowOverlap="1">
                <wp:simplePos x="0" y="0"/>
                <wp:positionH relativeFrom="margin">
                  <wp:posOffset>4362450</wp:posOffset>
                </wp:positionH>
                <wp:positionV relativeFrom="paragraph">
                  <wp:posOffset>4445</wp:posOffset>
                </wp:positionV>
                <wp:extent cx="1131570" cy="262255"/>
                <wp:effectExtent l="0" t="0" r="11430" b="23495"/>
                <wp:wrapNone/>
                <wp:docPr id="266"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1131570" cy="262255"/>
                        </a:xfrm>
                        <a:prstGeom prst="rect">
                          <a:avLst/>
                        </a:prstGeom>
                        <a:solidFill>
                          <a:srgbClr val="FFFFFF"/>
                        </a:solidFill>
                        <a:ln w="9525">
                          <a:solidFill>
                            <a:srgbClr val="000000"/>
                          </a:solidFill>
                          <a:miter lim="800000"/>
                        </a:ln>
                      </wps:spPr>
                      <wps:txbx>
                        <w:txbxContent>
                          <w:p>
                            <w:pPr>
                              <w:spacing w:line="240" w:lineRule="atLeast"/>
                              <w:rPr>
                                <w:sz w:val="18"/>
                              </w:rPr>
                            </w:pPr>
                            <w:r>
                              <w:rPr>
                                <w:rFonts w:hint="eastAsia"/>
                                <w:sz w:val="18"/>
                              </w:rPr>
                              <w:t>工程</w:t>
                            </w:r>
                            <w:r>
                              <w:rPr>
                                <w:sz w:val="18"/>
                              </w:rPr>
                              <w:t>用机械擦油纸</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343.5pt;margin-top:0.35pt;height:20.65pt;width:89.1pt;mso-position-horizontal-relative:margin;z-index:251923456;mso-width-relative:page;mso-height-relative:page;" fillcolor="#FFFFFF" filled="t" stroked="t" coordsize="21600,21600" o:gfxdata="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9KI9cAAAAHAQAADwAA&#10;AAAAAAABACAAAAAiAAAAZHJzL2Rvd25yZXYueG1sUEsBAhQAFAAAAAgAh07iQFQviPoXAgAAPAQA&#10;AA4AAAAAAAAAAQAgAAAAJgEAAGRycy9lMm9Eb2MueG1sUEsFBgAAAAAGAAYAWQEAAK8FAAAAAA==&#10;">
                <v:fill on="t" focussize="0,0"/>
                <v:stroke color="#000000" miterlimit="8" joinstyle="miter"/>
                <v:imagedata o:title=""/>
                <o:lock v:ext="edit" aspectratio="f"/>
                <v:textbox>
                  <w:txbxContent>
                    <w:p>
                      <w:pPr>
                        <w:spacing w:line="240" w:lineRule="atLeast"/>
                        <w:rPr>
                          <w:sz w:val="18"/>
                        </w:rPr>
                      </w:pPr>
                      <w:r>
                        <w:rPr>
                          <w:rFonts w:hint="eastAsia"/>
                          <w:sz w:val="18"/>
                        </w:rPr>
                        <w:t>工程</w:t>
                      </w:r>
                      <w:r>
                        <w:rPr>
                          <w:sz w:val="18"/>
                        </w:rPr>
                        <w:t>用机械擦油纸</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41888" behindDoc="0" locked="0" layoutInCell="1" allowOverlap="1">
                <wp:simplePos x="0" y="0"/>
                <wp:positionH relativeFrom="column">
                  <wp:posOffset>2400935</wp:posOffset>
                </wp:positionH>
                <wp:positionV relativeFrom="paragraph">
                  <wp:posOffset>131445</wp:posOffset>
                </wp:positionV>
                <wp:extent cx="570865" cy="0"/>
                <wp:effectExtent l="0" t="76200" r="20320" b="95250"/>
                <wp:wrapNone/>
                <wp:docPr id="285" name="直接箭头连接符 285"/>
                <wp:cNvGraphicFramePr/>
                <a:graphic xmlns:a="http://schemas.openxmlformats.org/drawingml/2006/main">
                  <a:graphicData uri="http://schemas.microsoft.com/office/word/2010/wordprocessingShape">
                    <wps:wsp>
                      <wps:cNvCnPr/>
                      <wps:spPr>
                        <a:xfrm>
                          <a:off x="0" y="0"/>
                          <a:ext cx="570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05pt;margin-top:10.35pt;height:0pt;width:44.95pt;z-index:251941888;mso-width-relative:page;mso-height-relative:page;" filled="f" stroked="t" coordsize="21600,21600" o:gfxdata="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2pcbdUA&#10;AAAJAQAADwAAAAAAAAABACAAAAAiAAAAZHJzL2Rvd25yZXYueG1sUEsBAhQAFAAAAAgAh07iQFin&#10;/grpAQAAlgMAAA4AAAAAAAAAAQAgAAAAJAEAAGRycy9lMm9Eb2MueG1sUEsFBgAAAAAGAAYAWQEA&#10;AH8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27552" behindDoc="0" locked="0" layoutInCell="1" allowOverlap="1">
                <wp:simplePos x="0" y="0"/>
                <wp:positionH relativeFrom="column">
                  <wp:posOffset>1482725</wp:posOffset>
                </wp:positionH>
                <wp:positionV relativeFrom="paragraph">
                  <wp:posOffset>145415</wp:posOffset>
                </wp:positionV>
                <wp:extent cx="168275" cy="0"/>
                <wp:effectExtent l="0" t="0" r="22860" b="19050"/>
                <wp:wrapNone/>
                <wp:docPr id="270" name="直接连接符 270"/>
                <wp:cNvGraphicFramePr/>
                <a:graphic xmlns:a="http://schemas.openxmlformats.org/drawingml/2006/main">
                  <a:graphicData uri="http://schemas.microsoft.com/office/word/2010/wordprocessingShape">
                    <wps:wsp>
                      <wps:cNvCnPr/>
                      <wps:spPr>
                        <a:xfrm>
                          <a:off x="0" y="0"/>
                          <a:ext cx="1682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6.75pt;margin-top:11.45pt;height:0pt;width:13.25pt;z-index:251927552;mso-width-relative:page;mso-height-relative:page;" filled="f" stroked="t" coordsize="21600,21600" o:gfxdata="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K6DJfWAAAACQEAAA8AAAAAAAAAAQAgAAAAIgAAAGRycy9kb3du&#10;cmV2LnhtbFBLAQIUABQAAAAIAIdO4kAaSqSJyAEAAGYDAAAOAAAAAAAAAAEAIAAAACUBAABkcnMv&#10;ZTJvRG9jLnhtbFBLBQYAAAAABgAGAFkBAABfBQ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912192" behindDoc="0" locked="0" layoutInCell="1" allowOverlap="1">
                <wp:simplePos x="0" y="0"/>
                <wp:positionH relativeFrom="column">
                  <wp:posOffset>1043940</wp:posOffset>
                </wp:positionH>
                <wp:positionV relativeFrom="paragraph">
                  <wp:posOffset>21590</wp:posOffset>
                </wp:positionV>
                <wp:extent cx="431800" cy="262255"/>
                <wp:effectExtent l="0" t="0" r="26035" b="23495"/>
                <wp:wrapNone/>
                <wp:docPr id="199"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431597"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淀粉</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82.2pt;margin-top:1.7pt;height:20.65pt;width:34pt;z-index:251912192;mso-width-relative:page;mso-height-relative:page;" fillcolor="#FFFFFF" filled="t" stroked="t" coordsize="21600,21600" o:gfxdata="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XRdwNcAAAAIAQAADwAA&#10;AAAAAAABACAAAAAiAAAAZHJzL2Rvd25yZXYueG1sUEsBAhQAFAAAAAgAh07iQJQl9CkXAgAAOwQA&#10;AA4AAAAAAAAAAQAgAAAAJgEAAGRycy9lMm9Eb2MueG1sUEsFBgAAAAAGAAYAWQEAAK8FAAAAAA==&#10;">
                <v:fill on="t" focussize="0,0"/>
                <v:stroke color="#000000" miterlimit="8" joinstyle="miter"/>
                <v:imagedata o:title=""/>
                <o:lock v:ext="edit" aspectratio="f"/>
                <v:textbox>
                  <w:txbxContent>
                    <w:p>
                      <w:pPr>
                        <w:spacing w:line="240" w:lineRule="atLeast"/>
                        <w:jc w:val="center"/>
                        <w:rPr>
                          <w:sz w:val="18"/>
                        </w:rPr>
                      </w:pPr>
                      <w:r>
                        <w:rPr>
                          <w:rFonts w:hint="eastAsia"/>
                          <w:sz w:val="18"/>
                        </w:rPr>
                        <w:t>淀粉</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17312" behindDoc="0" locked="0" layoutInCell="1" allowOverlap="1">
                <wp:simplePos x="0" y="0"/>
                <wp:positionH relativeFrom="column">
                  <wp:posOffset>490220</wp:posOffset>
                </wp:positionH>
                <wp:positionV relativeFrom="paragraph">
                  <wp:posOffset>145415</wp:posOffset>
                </wp:positionV>
                <wp:extent cx="556260" cy="0"/>
                <wp:effectExtent l="0" t="76200" r="15875" b="95250"/>
                <wp:wrapNone/>
                <wp:docPr id="258" name="直接箭头连接符 258"/>
                <wp:cNvGraphicFramePr/>
                <a:graphic xmlns:a="http://schemas.openxmlformats.org/drawingml/2006/main">
                  <a:graphicData uri="http://schemas.microsoft.com/office/word/2010/wordprocessingShape">
                    <wps:wsp>
                      <wps:cNvCnPr/>
                      <wps:spPr>
                        <a:xfrm>
                          <a:off x="0" y="0"/>
                          <a:ext cx="5559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6pt;margin-top:11.45pt;height:0pt;width:43.8pt;z-index:251917312;mso-width-relative:page;mso-height-relative:page;" filled="f" stroked="t" coordsize="21600,21600" o:gfxdata="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4t4TV&#10;AAAACAEAAA8AAAAAAAAAAQAgAAAAIgAAAGRycy9kb3ducmV2LnhtbFBLAQIUABQAAAAIAIdO4kD5&#10;DHmU6gEAAJYDAAAOAAAAAAAAAAEAIAAAACQBAABkcnMvZTJvRG9jLnhtbFBLBQYAAAAABgAGAFkB&#10;AACABQAAAAA=&#10;">
                <v:fill on="f" focussize="0,0"/>
                <v:stroke weight="0.5pt" color="#000000 [3200]" miterlimit="8" joinstyle="miter"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899904" behindDoc="0" locked="0" layoutInCell="1" allowOverlap="1">
                <wp:simplePos x="0" y="0"/>
                <wp:positionH relativeFrom="column">
                  <wp:posOffset>2434590</wp:posOffset>
                </wp:positionH>
                <wp:positionV relativeFrom="paragraph">
                  <wp:posOffset>34290</wp:posOffset>
                </wp:positionV>
                <wp:extent cx="447040" cy="265430"/>
                <wp:effectExtent l="0" t="0" r="10160" b="20320"/>
                <wp:wrapNone/>
                <wp:docPr id="303" name="Text Box 312"/>
                <wp:cNvGraphicFramePr/>
                <a:graphic xmlns:a="http://schemas.openxmlformats.org/drawingml/2006/main">
                  <a:graphicData uri="http://schemas.microsoft.com/office/word/2010/wordprocessingShape">
                    <wps:wsp>
                      <wps:cNvSpPr txBox="1">
                        <a:spLocks noChangeArrowheads="1"/>
                      </wps:cNvSpPr>
                      <wps:spPr bwMode="auto">
                        <a:xfrm>
                          <a:off x="0" y="0"/>
                          <a:ext cx="447040" cy="265430"/>
                        </a:xfrm>
                        <a:prstGeom prst="rect">
                          <a:avLst/>
                        </a:prstGeom>
                        <a:solidFill>
                          <a:srgbClr val="FFFFFF"/>
                        </a:solidFill>
                        <a:ln w="9525">
                          <a:solidFill>
                            <a:schemeClr val="bg1">
                              <a:lumMod val="100000"/>
                              <a:lumOff val="0"/>
                            </a:schemeClr>
                          </a:solidFill>
                          <a:miter lim="800000"/>
                        </a:ln>
                      </wps:spPr>
                      <wps:txbx>
                        <w:txbxContent>
                          <w:p>
                            <w:pPr>
                              <w:spacing w:line="240" w:lineRule="atLeast"/>
                              <w:jc w:val="center"/>
                              <w:rPr>
                                <w:sz w:val="18"/>
                              </w:rPr>
                            </w:pPr>
                            <w:r>
                              <w:rPr>
                                <w:rFonts w:hint="eastAsia"/>
                                <w:sz w:val="18"/>
                              </w:rPr>
                              <w:t>750</w:t>
                            </w:r>
                          </w:p>
                        </w:txbxContent>
                      </wps:txbx>
                      <wps:bodyPr rot="0" vert="horz" wrap="square" lIns="91440" tIns="45720" rIns="91440" bIns="45720" anchor="t" anchorCtr="0" upright="1">
                        <a:noAutofit/>
                      </wps:bodyPr>
                    </wps:wsp>
                  </a:graphicData>
                </a:graphic>
              </wp:anchor>
            </w:drawing>
          </mc:Choice>
          <mc:Fallback>
            <w:pict>
              <v:shape id="Text Box 312" o:spid="_x0000_s1026" o:spt="202" type="#_x0000_t202" style="position:absolute;left:0pt;margin-left:191.7pt;margin-top:2.7pt;height:20.9pt;width:35.2pt;z-index:251899904;mso-width-relative:page;mso-height-relative:page;" fillcolor="#FFFFFF" filled="t" stroked="t" coordsize="21600,21600" o:gfxdata="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kqi69cAAAAIAQAADwAAAAAAAAABACAAAAAiAAAAZHJzL2Rvd25yZXYueG1sUEsB&#10;AhQAFAAAAAgAh07iQJjO6TMvAgAAcQQAAA4AAAAAAAAAAQAgAAAAJgEAAGRycy9lMm9Eb2MueG1s&#10;UEsFBgAAAAAGAAYAWQEAAMcFAAAAAA==&#10;">
                <v:fill on="t" focussize="0,0"/>
                <v:stroke color="#FFFFFF [3228]" miterlimit="8" joinstyle="miter"/>
                <v:imagedata o:title=""/>
                <o:lock v:ext="edit" aspectratio="f"/>
                <v:textbox>
                  <w:txbxContent>
                    <w:p>
                      <w:pPr>
                        <w:spacing w:line="240" w:lineRule="atLeast"/>
                        <w:jc w:val="center"/>
                        <w:rPr>
                          <w:sz w:val="18"/>
                        </w:rPr>
                      </w:pPr>
                      <w:r>
                        <w:rPr>
                          <w:rFonts w:hint="eastAsia"/>
                          <w:sz w:val="18"/>
                        </w:rPr>
                        <w:t>750</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42912" behindDoc="0" locked="0" layoutInCell="1" allowOverlap="1">
                <wp:simplePos x="0" y="0"/>
                <wp:positionH relativeFrom="margin">
                  <wp:posOffset>2397760</wp:posOffset>
                </wp:positionH>
                <wp:positionV relativeFrom="paragraph">
                  <wp:posOffset>245110</wp:posOffset>
                </wp:positionV>
                <wp:extent cx="570865" cy="0"/>
                <wp:effectExtent l="0" t="76200" r="20320" b="95250"/>
                <wp:wrapNone/>
                <wp:docPr id="287" name="直接箭头连接符 287"/>
                <wp:cNvGraphicFramePr/>
                <a:graphic xmlns:a="http://schemas.openxmlformats.org/drawingml/2006/main">
                  <a:graphicData uri="http://schemas.microsoft.com/office/word/2010/wordprocessingShape">
                    <wps:wsp>
                      <wps:cNvCnPr/>
                      <wps:spPr>
                        <a:xfrm>
                          <a:off x="0" y="0"/>
                          <a:ext cx="570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8pt;margin-top:19.3pt;height:0pt;width:44.95pt;mso-position-horizontal-relative:margin;z-index:251942912;mso-width-relative:page;mso-height-relative:page;" filled="f" stroked="t" coordsize="21600,21600" o:gfxdata="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n20&#10;bNUAAAAJAQAADwAAAAAAAAABACAAAAAiAAAAZHJzL2Rvd25yZXYueG1sUEsBAhQAFAAAAAgAh07i&#10;QBPFiy/sAQAAlgMAAA4AAAAAAAAAAQAgAAAAJAEAAGRycy9lMm9Eb2MueG1sUEsFBgAAAAAGAAYA&#10;WQEAAII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35744" behindDoc="0" locked="0" layoutInCell="1" allowOverlap="1">
                <wp:simplePos x="0" y="0"/>
                <wp:positionH relativeFrom="column">
                  <wp:posOffset>2969260</wp:posOffset>
                </wp:positionH>
                <wp:positionV relativeFrom="paragraph">
                  <wp:posOffset>123190</wp:posOffset>
                </wp:positionV>
                <wp:extent cx="592455" cy="262255"/>
                <wp:effectExtent l="6985" t="7620" r="10160" b="6350"/>
                <wp:wrapNone/>
                <wp:docPr id="279" name="Text Box 272"/>
                <wp:cNvGraphicFramePr/>
                <a:graphic xmlns:a="http://schemas.openxmlformats.org/drawingml/2006/main">
                  <a:graphicData uri="http://schemas.microsoft.com/office/word/2010/wordprocessingShape">
                    <wps:wsp>
                      <wps:cNvSpPr txBox="1">
                        <a:spLocks noChangeArrowheads="1"/>
                      </wps:cNvSpPr>
                      <wps:spPr bwMode="auto">
                        <a:xfrm>
                          <a:off x="0" y="0"/>
                          <a:ext cx="592455"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炉渣</w:t>
                            </w:r>
                          </w:p>
                        </w:txbxContent>
                      </wps:txbx>
                      <wps:bodyPr rot="0" vert="horz" wrap="square" lIns="91440" tIns="45720" rIns="91440" bIns="45720" anchor="t" anchorCtr="0" upright="1">
                        <a:noAutofit/>
                      </wps:bodyPr>
                    </wps:wsp>
                  </a:graphicData>
                </a:graphic>
              </wp:anchor>
            </w:drawing>
          </mc:Choice>
          <mc:Fallback>
            <w:pict>
              <v:shape id="Text Box 272" o:spid="_x0000_s1026" o:spt="202" type="#_x0000_t202" style="position:absolute;left:0pt;margin-left:233.8pt;margin-top:9.7pt;height:20.65pt;width:46.65pt;z-index:251935744;mso-width-relative:page;mso-height-relative:page;" fillcolor="#FFFFFF" filled="t" stroked="t" coordsize="21600,21600" o:gfxdata="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KYsK2AAAAAkBAAAPAAAA&#10;AAAAAAEAIAAAACIAAABkcnMvZG93bnJldi54bWxQSwECFAAUAAAACACHTuJAsTBK0xUCAAA7BAAA&#10;DgAAAAAAAAABACAAAAAnAQAAZHJzL2Uyb0RvYy54bWxQSwUGAAAAAAYABgBZAQAArgUAAAAA&#10;">
                <v:fill on="t" focussize="0,0"/>
                <v:stroke color="#000000" miterlimit="8" joinstyle="miter"/>
                <v:imagedata o:title=""/>
                <o:lock v:ext="edit" aspectratio="f"/>
                <v:textbox>
                  <w:txbxContent>
                    <w:p>
                      <w:pPr>
                        <w:spacing w:line="240" w:lineRule="atLeast"/>
                        <w:jc w:val="center"/>
                        <w:rPr>
                          <w:sz w:val="18"/>
                        </w:rPr>
                      </w:pPr>
                      <w:r>
                        <w:rPr>
                          <w:rFonts w:hint="eastAsia"/>
                          <w:sz w:val="18"/>
                        </w:rPr>
                        <w:t>炉渣</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898880" behindDoc="0" locked="0" layoutInCell="1" allowOverlap="1">
                <wp:simplePos x="0" y="0"/>
                <wp:positionH relativeFrom="column">
                  <wp:posOffset>2428875</wp:posOffset>
                </wp:positionH>
                <wp:positionV relativeFrom="paragraph">
                  <wp:posOffset>178435</wp:posOffset>
                </wp:positionV>
                <wp:extent cx="527050" cy="265430"/>
                <wp:effectExtent l="0" t="0" r="25400" b="20320"/>
                <wp:wrapNone/>
                <wp:docPr id="304" name="Text Box 313"/>
                <wp:cNvGraphicFramePr/>
                <a:graphic xmlns:a="http://schemas.openxmlformats.org/drawingml/2006/main">
                  <a:graphicData uri="http://schemas.microsoft.com/office/word/2010/wordprocessingShape">
                    <wps:wsp>
                      <wps:cNvSpPr txBox="1">
                        <a:spLocks noChangeArrowheads="1"/>
                      </wps:cNvSpPr>
                      <wps:spPr bwMode="auto">
                        <a:xfrm>
                          <a:off x="0" y="0"/>
                          <a:ext cx="527050" cy="265430"/>
                        </a:xfrm>
                        <a:prstGeom prst="rect">
                          <a:avLst/>
                        </a:prstGeom>
                        <a:solidFill>
                          <a:srgbClr val="FFFFFF"/>
                        </a:solidFill>
                        <a:ln w="9525">
                          <a:solidFill>
                            <a:schemeClr val="bg1">
                              <a:lumMod val="100000"/>
                              <a:lumOff val="0"/>
                            </a:schemeClr>
                          </a:solidFill>
                          <a:miter lim="800000"/>
                        </a:ln>
                      </wps:spPr>
                      <wps:txbx>
                        <w:txbxContent>
                          <w:p>
                            <w:pPr>
                              <w:spacing w:line="240" w:lineRule="atLeast"/>
                              <w:jc w:val="center"/>
                              <w:rPr>
                                <w:sz w:val="18"/>
                              </w:rPr>
                            </w:pPr>
                            <w:r>
                              <w:rPr>
                                <w:sz w:val="18"/>
                              </w:rPr>
                              <w:t>2.175</w:t>
                            </w:r>
                          </w:p>
                        </w:txbxContent>
                      </wps:txbx>
                      <wps:bodyPr rot="0" vert="horz" wrap="square" lIns="91440" tIns="45720" rIns="91440" bIns="45720" anchor="t" anchorCtr="0" upright="1">
                        <a:noAutofit/>
                      </wps:bodyPr>
                    </wps:wsp>
                  </a:graphicData>
                </a:graphic>
              </wp:anchor>
            </w:drawing>
          </mc:Choice>
          <mc:Fallback>
            <w:pict>
              <v:shape id="Text Box 313" o:spid="_x0000_s1026" o:spt="202" type="#_x0000_t202" style="position:absolute;left:0pt;margin-left:191.25pt;margin-top:14.05pt;height:20.9pt;width:41.5pt;z-index:251898880;mso-width-relative:page;mso-height-relative:page;" fillcolor="#FFFFFF" filled="t" stroked="t" coordsize="21600,21600" o:gfxdata="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sgH2AAAAAkBAAAPAAAAAAAAAAEAIAAAACIAAABkcnMvZG93bnJldi54bWxQ&#10;SwECFAAUAAAACACHTuJAm71lmjACAABxBAAADgAAAAAAAAABACAAAAAnAQAAZHJzL2Uyb0RvYy54&#10;bWxQSwUGAAAAAAYABgBZAQAAyQUAAAAA&#10;">
                <v:fill on="t" focussize="0,0"/>
                <v:stroke color="#FFFFFF [3228]" miterlimit="8" joinstyle="miter"/>
                <v:imagedata o:title=""/>
                <o:lock v:ext="edit" aspectratio="f"/>
                <v:textbox>
                  <w:txbxContent>
                    <w:p>
                      <w:pPr>
                        <w:spacing w:line="240" w:lineRule="atLeast"/>
                        <w:jc w:val="center"/>
                        <w:rPr>
                          <w:sz w:val="18"/>
                        </w:rPr>
                      </w:pPr>
                      <w:r>
                        <w:rPr>
                          <w:sz w:val="18"/>
                        </w:rPr>
                        <w:t>2.175</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36768" behindDoc="0" locked="0" layoutInCell="1" allowOverlap="1">
                <wp:simplePos x="0" y="0"/>
                <wp:positionH relativeFrom="column">
                  <wp:posOffset>2974975</wp:posOffset>
                </wp:positionH>
                <wp:positionV relativeFrom="paragraph">
                  <wp:posOffset>268605</wp:posOffset>
                </wp:positionV>
                <wp:extent cx="577850" cy="262255"/>
                <wp:effectExtent l="0" t="0" r="13335" b="23495"/>
                <wp:wrapNone/>
                <wp:docPr id="280" name="Text Box 272"/>
                <wp:cNvGraphicFramePr/>
                <a:graphic xmlns:a="http://schemas.openxmlformats.org/drawingml/2006/main">
                  <a:graphicData uri="http://schemas.microsoft.com/office/word/2010/wordprocessingShape">
                    <wps:wsp>
                      <wps:cNvSpPr txBox="1">
                        <a:spLocks noChangeArrowheads="1"/>
                      </wps:cNvSpPr>
                      <wps:spPr bwMode="auto">
                        <a:xfrm>
                          <a:off x="0" y="0"/>
                          <a:ext cx="577824"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除尘废水循环沉淀池污泥</w:t>
                            </w:r>
                          </w:p>
                        </w:txbxContent>
                      </wps:txbx>
                      <wps:bodyPr rot="0" vert="horz" wrap="square" lIns="91440" tIns="45720" rIns="91440" bIns="45720" anchor="t" anchorCtr="0" upright="1">
                        <a:noAutofit/>
                      </wps:bodyPr>
                    </wps:wsp>
                  </a:graphicData>
                </a:graphic>
              </wp:anchor>
            </w:drawing>
          </mc:Choice>
          <mc:Fallback>
            <w:pict>
              <v:shape id="Text Box 272" o:spid="_x0000_s1026" o:spt="202" type="#_x0000_t202" style="position:absolute;left:0pt;margin-left:234.25pt;margin-top:21.15pt;height:20.65pt;width:45.5pt;z-index:251936768;mso-width-relative:page;mso-height-relative:page;" fillcolor="#FFFFFF" filled="t" stroked="t" coordsize="21600,21600" o:gfxdata="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lYPGdgAAAAJAQAADwAA&#10;AAAAAAABACAAAAAiAAAAZHJzL2Rvd25yZXYueG1sUEsBAhQAFAAAAAgAh07iQP1rR08WAgAAOwQA&#10;AA4AAAAAAAAAAQAgAAAAJwEAAGRycy9lMm9Eb2MueG1sUEsFBgAAAAAGAAYAWQEAAK8FAAAAAA==&#10;">
                <v:fill on="t" focussize="0,0"/>
                <v:stroke color="#000000" miterlimit="8" joinstyle="miter"/>
                <v:imagedata o:title=""/>
                <o:lock v:ext="edit" aspectratio="f"/>
                <v:textbox>
                  <w:txbxContent>
                    <w:p>
                      <w:pPr>
                        <w:spacing w:line="240" w:lineRule="atLeast"/>
                        <w:jc w:val="center"/>
                        <w:rPr>
                          <w:sz w:val="18"/>
                        </w:rPr>
                      </w:pPr>
                      <w:r>
                        <w:rPr>
                          <w:rFonts w:hint="eastAsia"/>
                          <w:sz w:val="18"/>
                        </w:rPr>
                        <w:t>除尘废水循环沉淀池污泥</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06048" behindDoc="0" locked="0" layoutInCell="1" allowOverlap="1">
                <wp:simplePos x="0" y="0"/>
                <wp:positionH relativeFrom="column">
                  <wp:posOffset>503555</wp:posOffset>
                </wp:positionH>
                <wp:positionV relativeFrom="paragraph">
                  <wp:posOffset>196850</wp:posOffset>
                </wp:positionV>
                <wp:extent cx="511810" cy="287020"/>
                <wp:effectExtent l="0" t="0" r="21590" b="17780"/>
                <wp:wrapNone/>
                <wp:docPr id="296"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512014" cy="287020"/>
                        </a:xfrm>
                        <a:prstGeom prst="rect">
                          <a:avLst/>
                        </a:prstGeom>
                        <a:solidFill>
                          <a:srgbClr val="FFFFFF"/>
                        </a:solidFill>
                        <a:ln w="9525">
                          <a:solidFill>
                            <a:sysClr val="window" lastClr="FFFFFF">
                              <a:lumMod val="100000"/>
                              <a:lumOff val="0"/>
                            </a:sysClr>
                          </a:solidFill>
                          <a:miter lim="800000"/>
                        </a:ln>
                      </wps:spPr>
                      <wps:txbx>
                        <w:txbxContent>
                          <w:p>
                            <w:pPr>
                              <w:spacing w:line="240" w:lineRule="atLeast"/>
                              <w:jc w:val="left"/>
                              <w:rPr>
                                <w:sz w:val="18"/>
                                <w:szCs w:val="18"/>
                              </w:rPr>
                            </w:pPr>
                            <w:r>
                              <w:rPr>
                                <w:rFonts w:hint="eastAsia"/>
                                <w:sz w:val="18"/>
                                <w:szCs w:val="18"/>
                              </w:rPr>
                              <w:t>5000</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39.65pt;margin-top:15.5pt;height:22.6pt;width:40.3pt;z-index:251906048;mso-width-relative:page;mso-height-relative:page;" fillcolor="#FFFFFF" filled="t" stroked="t" coordsize="21600,21600" o:gfxdata="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DcmJ/WAAAACAEAAA8AAAAAAAAAAQAgAAAAIgAAAGRycy9k&#10;b3ducmV2LnhtbFBLAQIUABQAAAAIAIdO4kCPBnG1PQIAAIAEAAAOAAAAAAAAAAEAIAAAACUBAABk&#10;cnMvZTJvRG9jLnhtbFBLBQYAAAAABgAGAFkBAADUBQAAAAA=&#10;">
                <v:fill on="t" focussize="0,0"/>
                <v:stroke color="#FFFFFF" miterlimit="8" joinstyle="miter"/>
                <v:imagedata o:title=""/>
                <o:lock v:ext="edit" aspectratio="f"/>
                <v:textbox>
                  <w:txbxContent>
                    <w:p>
                      <w:pPr>
                        <w:spacing w:line="240" w:lineRule="atLeast"/>
                        <w:jc w:val="left"/>
                        <w:rPr>
                          <w:sz w:val="18"/>
                          <w:szCs w:val="18"/>
                        </w:rPr>
                      </w:pPr>
                      <w:r>
                        <w:rPr>
                          <w:rFonts w:hint="eastAsia"/>
                          <w:sz w:val="18"/>
                          <w:szCs w:val="18"/>
                        </w:rPr>
                        <w:t>5000</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43936" behindDoc="0" locked="0" layoutInCell="1" allowOverlap="1">
                <wp:simplePos x="0" y="0"/>
                <wp:positionH relativeFrom="margin">
                  <wp:posOffset>2395220</wp:posOffset>
                </wp:positionH>
                <wp:positionV relativeFrom="paragraph">
                  <wp:posOffset>99060</wp:posOffset>
                </wp:positionV>
                <wp:extent cx="570865" cy="0"/>
                <wp:effectExtent l="0" t="76200" r="20320" b="95250"/>
                <wp:wrapNone/>
                <wp:docPr id="288" name="直接箭头连接符 288"/>
                <wp:cNvGraphicFramePr/>
                <a:graphic xmlns:a="http://schemas.openxmlformats.org/drawingml/2006/main">
                  <a:graphicData uri="http://schemas.microsoft.com/office/word/2010/wordprocessingShape">
                    <wps:wsp>
                      <wps:cNvCnPr/>
                      <wps:spPr>
                        <a:xfrm>
                          <a:off x="0" y="0"/>
                          <a:ext cx="570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6pt;margin-top:7.8pt;height:0pt;width:44.95pt;mso-position-horizontal-relative:margin;z-index:251943936;mso-width-relative:page;mso-height-relative:page;" filled="f" stroked="t" coordsize="21600,21600" o:gfxdata="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jhpQXV&#10;AAAACQEAAA8AAAAAAAAAAQAgAAAAIgAAAGRycy9kb3ducmV2LnhtbFBLAQIUABQAAAAIAIdO4kDn&#10;2MMq6gEAAJYDAAAOAAAAAAAAAAEAIAAAACQBAABkcnMvZTJvRG9jLnhtbFBLBQYAAAAABgAGAFkB&#10;AACABQ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13216" behindDoc="0" locked="0" layoutInCell="1" allowOverlap="1">
                <wp:simplePos x="0" y="0"/>
                <wp:positionH relativeFrom="column">
                  <wp:posOffset>1035685</wp:posOffset>
                </wp:positionH>
                <wp:positionV relativeFrom="paragraph">
                  <wp:posOffset>294005</wp:posOffset>
                </wp:positionV>
                <wp:extent cx="808355" cy="262255"/>
                <wp:effectExtent l="0" t="0" r="10795" b="23495"/>
                <wp:wrapNone/>
                <wp:docPr id="209"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808355"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生物质燃料</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81.55pt;margin-top:23.15pt;height:20.65pt;width:63.65pt;z-index:251913216;mso-width-relative:page;mso-height-relative:page;" fillcolor="#FFFFFF" filled="t" stroked="t" coordsize="21600,21600" o:gfxdata="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QXWi9gAAAAJAQAADwAA&#10;AAAAAAABACAAAAAiAAAAZHJzL2Rvd25yZXYueG1sUEsBAhQAFAAAAAgAh07iQKv2rWMWAgAAOwQA&#10;AA4AAAAAAAAAAQAgAAAAJwEAAGRycy9lMm9Eb2MueG1sUEsFBgAAAAAGAAYAWQEAAK8FAAAAAA==&#10;">
                <v:fill on="t" focussize="0,0"/>
                <v:stroke color="#000000" miterlimit="8" joinstyle="miter"/>
                <v:imagedata o:title=""/>
                <o:lock v:ext="edit" aspectratio="f"/>
                <v:textbox>
                  <w:txbxContent>
                    <w:p>
                      <w:pPr>
                        <w:spacing w:line="240" w:lineRule="atLeast"/>
                        <w:jc w:val="center"/>
                        <w:rPr>
                          <w:sz w:val="18"/>
                        </w:rPr>
                      </w:pPr>
                      <w:r>
                        <w:rPr>
                          <w:rFonts w:hint="eastAsia"/>
                          <w:sz w:val="18"/>
                        </w:rPr>
                        <w:t>生物质燃料</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897856" behindDoc="0" locked="0" layoutInCell="1" allowOverlap="1">
                <wp:simplePos x="0" y="0"/>
                <wp:positionH relativeFrom="column">
                  <wp:posOffset>2392045</wp:posOffset>
                </wp:positionH>
                <wp:positionV relativeFrom="paragraph">
                  <wp:posOffset>82550</wp:posOffset>
                </wp:positionV>
                <wp:extent cx="565150" cy="265430"/>
                <wp:effectExtent l="0" t="0" r="25400" b="20320"/>
                <wp:wrapNone/>
                <wp:docPr id="305" name="Text Box 314"/>
                <wp:cNvGraphicFramePr/>
                <a:graphic xmlns:a="http://schemas.openxmlformats.org/drawingml/2006/main">
                  <a:graphicData uri="http://schemas.microsoft.com/office/word/2010/wordprocessingShape">
                    <wps:wsp>
                      <wps:cNvSpPr txBox="1">
                        <a:spLocks noChangeArrowheads="1"/>
                      </wps:cNvSpPr>
                      <wps:spPr bwMode="auto">
                        <a:xfrm>
                          <a:off x="0" y="0"/>
                          <a:ext cx="565150" cy="265430"/>
                        </a:xfrm>
                        <a:prstGeom prst="rect">
                          <a:avLst/>
                        </a:prstGeom>
                        <a:solidFill>
                          <a:srgbClr val="FFFFFF"/>
                        </a:solidFill>
                        <a:ln w="9525">
                          <a:solidFill>
                            <a:schemeClr val="bg1">
                              <a:lumMod val="100000"/>
                              <a:lumOff val="0"/>
                            </a:schemeClr>
                          </a:solidFill>
                          <a:miter lim="800000"/>
                        </a:ln>
                      </wps:spPr>
                      <wps:txbx>
                        <w:txbxContent>
                          <w:p>
                            <w:pPr>
                              <w:spacing w:line="240" w:lineRule="atLeast"/>
                              <w:jc w:val="center"/>
                              <w:rPr>
                                <w:sz w:val="18"/>
                              </w:rPr>
                            </w:pPr>
                            <w:r>
                              <w:rPr>
                                <w:sz w:val="18"/>
                              </w:rPr>
                              <w:t>0.325</w:t>
                            </w:r>
                          </w:p>
                        </w:txbxContent>
                      </wps:txbx>
                      <wps:bodyPr rot="0" vert="horz" wrap="square" lIns="91440" tIns="45720" rIns="91440" bIns="45720" anchor="t" anchorCtr="0" upright="1">
                        <a:noAutofit/>
                      </wps:bodyPr>
                    </wps:wsp>
                  </a:graphicData>
                </a:graphic>
              </wp:anchor>
            </w:drawing>
          </mc:Choice>
          <mc:Fallback>
            <w:pict>
              <v:shape id="Text Box 314" o:spid="_x0000_s1026" o:spt="202" type="#_x0000_t202" style="position:absolute;left:0pt;margin-left:188.35pt;margin-top:6.5pt;height:20.9pt;width:44.5pt;z-index:251897856;mso-width-relative:page;mso-height-relative:page;" fillcolor="#FFFFFF" filled="t" stroked="t" coordsize="21600,21600" o:gfxdata="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4RRrF2AAAAAkBAAAPAAAAAAAAAAEAIAAAACIAAABkcnMvZG93bnJldi54bWxQ&#10;SwECFAAUAAAACACHTuJAVIjTPDACAABxBAAADgAAAAAAAAABACAAAAAnAQAAZHJzL2Uyb0RvYy54&#10;bWxQSwUGAAAAAAYABgBZAQAAyQUAAAAA&#10;">
                <v:fill on="t" focussize="0,0"/>
                <v:stroke color="#FFFFFF [3228]" miterlimit="8" joinstyle="miter"/>
                <v:imagedata o:title=""/>
                <o:lock v:ext="edit" aspectratio="f"/>
                <v:textbox>
                  <w:txbxContent>
                    <w:p>
                      <w:pPr>
                        <w:spacing w:line="240" w:lineRule="atLeast"/>
                        <w:jc w:val="center"/>
                        <w:rPr>
                          <w:sz w:val="18"/>
                        </w:rPr>
                      </w:pPr>
                      <w:r>
                        <w:rPr>
                          <w:sz w:val="18"/>
                        </w:rPr>
                        <w:t>0.325</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48032" behindDoc="0" locked="0" layoutInCell="1" allowOverlap="1">
                <wp:simplePos x="0" y="0"/>
                <wp:positionH relativeFrom="column">
                  <wp:posOffset>1844675</wp:posOffset>
                </wp:positionH>
                <wp:positionV relativeFrom="paragraph">
                  <wp:posOffset>127635</wp:posOffset>
                </wp:positionV>
                <wp:extent cx="552450" cy="635"/>
                <wp:effectExtent l="0" t="0" r="19685" b="19050"/>
                <wp:wrapNone/>
                <wp:docPr id="301" name="直接连接符 301"/>
                <wp:cNvGraphicFramePr/>
                <a:graphic xmlns:a="http://schemas.openxmlformats.org/drawingml/2006/main">
                  <a:graphicData uri="http://schemas.microsoft.com/office/word/2010/wordprocessingShape">
                    <wps:wsp>
                      <wps:cNvCnPr/>
                      <wps:spPr>
                        <a:xfrm>
                          <a:off x="0" y="0"/>
                          <a:ext cx="552272" cy="4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5.25pt;margin-top:10.05pt;height:0.05pt;width:43.5pt;z-index:251948032;mso-width-relative:page;mso-height-relative:page;" filled="f" stroked="t" coordsize="21600,21600" o:gfxdata="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x7lGB1gAAAAkBAAAPAAAAAAAAAAEAIAAAACIAAABkcnMv&#10;ZG93bnJldi54bWxQSwECFAAUAAAACACHTuJAqOaM9MwBAABoAwAADgAAAAAAAAABACAAAAAlAQAA&#10;ZHJzL2Uyb0RvYy54bWxQSwUGAAAAAAYABgBZAQAAYwU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mc:AlternateContent>
          <mc:Choice Requires="wps">
            <w:drawing>
              <wp:anchor distT="0" distB="0" distL="114300" distR="114300" simplePos="0" relativeHeight="251937792" behindDoc="0" locked="0" layoutInCell="1" allowOverlap="1">
                <wp:simplePos x="0" y="0"/>
                <wp:positionH relativeFrom="column">
                  <wp:posOffset>2976880</wp:posOffset>
                </wp:positionH>
                <wp:positionV relativeFrom="paragraph">
                  <wp:posOffset>172720</wp:posOffset>
                </wp:positionV>
                <wp:extent cx="592455" cy="262255"/>
                <wp:effectExtent l="6985" t="7620" r="10160" b="6350"/>
                <wp:wrapNone/>
                <wp:docPr id="281" name="Text Box 272"/>
                <wp:cNvGraphicFramePr/>
                <a:graphic xmlns:a="http://schemas.openxmlformats.org/drawingml/2006/main">
                  <a:graphicData uri="http://schemas.microsoft.com/office/word/2010/wordprocessingShape">
                    <wps:wsp>
                      <wps:cNvSpPr txBox="1">
                        <a:spLocks noChangeArrowheads="1"/>
                      </wps:cNvSpPr>
                      <wps:spPr bwMode="auto">
                        <a:xfrm>
                          <a:off x="0" y="0"/>
                          <a:ext cx="592455"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烟尘</w:t>
                            </w:r>
                          </w:p>
                        </w:txbxContent>
                      </wps:txbx>
                      <wps:bodyPr rot="0" vert="horz" wrap="square" lIns="91440" tIns="45720" rIns="91440" bIns="45720" anchor="t" anchorCtr="0" upright="1">
                        <a:noAutofit/>
                      </wps:bodyPr>
                    </wps:wsp>
                  </a:graphicData>
                </a:graphic>
              </wp:anchor>
            </w:drawing>
          </mc:Choice>
          <mc:Fallback>
            <w:pict>
              <v:shape id="Text Box 272" o:spid="_x0000_s1026" o:spt="202" type="#_x0000_t202" style="position:absolute;left:0pt;margin-left:234.4pt;margin-top:13.6pt;height:20.65pt;width:46.65pt;z-index:251937792;mso-width-relative:page;mso-height-relative:page;" fillcolor="#FFFFFF" filled="t" stroked="t" coordsize="21600,21600" o:gfxdata="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SFneNkAAAAJAQAADwAA&#10;AAAAAAABACAAAAAiAAAAZHJzL2Rvd25yZXYueG1sUEsBAhQAFAAAAAgAh07iQIM0+gkVAgAAOwQA&#10;AA4AAAAAAAAAAQAgAAAAKAEAAGRycy9lMm9Eb2MueG1sUEsFBgAAAAAGAAYAWQEAAK8FAAAAAA==&#10;">
                <v:fill on="t" focussize="0,0"/>
                <v:stroke color="#000000" miterlimit="8" joinstyle="miter"/>
                <v:imagedata o:title=""/>
                <o:lock v:ext="edit" aspectratio="f"/>
                <v:textbox>
                  <w:txbxContent>
                    <w:p>
                      <w:pPr>
                        <w:spacing w:line="240" w:lineRule="atLeast"/>
                        <w:jc w:val="center"/>
                        <w:rPr>
                          <w:sz w:val="18"/>
                        </w:rPr>
                      </w:pPr>
                      <w:r>
                        <w:rPr>
                          <w:rFonts w:hint="eastAsia"/>
                          <w:sz w:val="18"/>
                        </w:rPr>
                        <w:t>烟尘</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18336" behindDoc="0" locked="0" layoutInCell="1" allowOverlap="1">
                <wp:simplePos x="0" y="0"/>
                <wp:positionH relativeFrom="column">
                  <wp:posOffset>471170</wp:posOffset>
                </wp:positionH>
                <wp:positionV relativeFrom="paragraph">
                  <wp:posOffset>128270</wp:posOffset>
                </wp:positionV>
                <wp:extent cx="556260" cy="0"/>
                <wp:effectExtent l="0" t="76200" r="15875" b="95250"/>
                <wp:wrapNone/>
                <wp:docPr id="259" name="直接箭头连接符 259"/>
                <wp:cNvGraphicFramePr/>
                <a:graphic xmlns:a="http://schemas.openxmlformats.org/drawingml/2006/main">
                  <a:graphicData uri="http://schemas.microsoft.com/office/word/2010/wordprocessingShape">
                    <wps:wsp>
                      <wps:cNvCnPr/>
                      <wps:spPr>
                        <a:xfrm>
                          <a:off x="0" y="0"/>
                          <a:ext cx="5559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1pt;margin-top:10.1pt;height:0pt;width:43.8pt;z-index:251918336;mso-width-relative:page;mso-height-relative:page;" filled="f" stroked="t" coordsize="21600,21600" o:gfxdata="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kD2&#10;EtUAAAAIAQAADwAAAAAAAAABACAAAAAiAAAAZHJzL2Rvd25yZXYueG1sUEsBAhQAFAAAAAgAh07i&#10;QPw+e2vsAQAAlgMAAA4AAAAAAAAAAQAgAAAAJAEAAGRycy9lMm9Eb2MueG1sUEsFBgAAAAAGAAYA&#10;WQEAAIIFAAAAAA==&#10;">
                <v:fill on="f" focussize="0,0"/>
                <v:stroke weight="0.5pt" color="#000000 [3200]" miterlimit="8" joinstyle="miter"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896832" behindDoc="0" locked="0" layoutInCell="1" allowOverlap="1">
                <wp:simplePos x="0" y="0"/>
                <wp:positionH relativeFrom="margin">
                  <wp:posOffset>2411730</wp:posOffset>
                </wp:positionH>
                <wp:positionV relativeFrom="paragraph">
                  <wp:posOffset>250825</wp:posOffset>
                </wp:positionV>
                <wp:extent cx="562610" cy="265430"/>
                <wp:effectExtent l="0" t="0" r="27940" b="20320"/>
                <wp:wrapNone/>
                <wp:docPr id="306" name="Text Box 315"/>
                <wp:cNvGraphicFramePr/>
                <a:graphic xmlns:a="http://schemas.openxmlformats.org/drawingml/2006/main">
                  <a:graphicData uri="http://schemas.microsoft.com/office/word/2010/wordprocessingShape">
                    <wps:wsp>
                      <wps:cNvSpPr txBox="1">
                        <a:spLocks noChangeArrowheads="1"/>
                      </wps:cNvSpPr>
                      <wps:spPr bwMode="auto">
                        <a:xfrm>
                          <a:off x="0" y="0"/>
                          <a:ext cx="562610" cy="265430"/>
                        </a:xfrm>
                        <a:prstGeom prst="rect">
                          <a:avLst/>
                        </a:prstGeom>
                        <a:solidFill>
                          <a:srgbClr val="FFFFFF"/>
                        </a:solidFill>
                        <a:ln w="9525">
                          <a:solidFill>
                            <a:schemeClr val="bg1">
                              <a:lumMod val="100000"/>
                              <a:lumOff val="0"/>
                            </a:schemeClr>
                          </a:solidFill>
                          <a:miter lim="800000"/>
                        </a:ln>
                      </wps:spPr>
                      <wps:txbx>
                        <w:txbxContent>
                          <w:p>
                            <w:pPr>
                              <w:spacing w:line="240" w:lineRule="atLeast"/>
                              <w:jc w:val="center"/>
                              <w:rPr>
                                <w:sz w:val="18"/>
                              </w:rPr>
                            </w:pPr>
                            <w:r>
                              <w:rPr>
                                <w:rFonts w:hint="eastAsia"/>
                                <w:sz w:val="18"/>
                              </w:rPr>
                              <w:t>2.55</w:t>
                            </w:r>
                          </w:p>
                        </w:txbxContent>
                      </wps:txbx>
                      <wps:bodyPr rot="0" vert="horz" wrap="square" lIns="91440" tIns="45720" rIns="91440" bIns="45720" anchor="t" anchorCtr="0" upright="1">
                        <a:noAutofit/>
                      </wps:bodyPr>
                    </wps:wsp>
                  </a:graphicData>
                </a:graphic>
              </wp:anchor>
            </w:drawing>
          </mc:Choice>
          <mc:Fallback>
            <w:pict>
              <v:shape id="Text Box 315" o:spid="_x0000_s1026" o:spt="202" type="#_x0000_t202" style="position:absolute;left:0pt;margin-left:189.9pt;margin-top:19.75pt;height:20.9pt;width:44.3pt;mso-position-horizontal-relative:margin;z-index:251896832;mso-width-relative:page;mso-height-relative:page;" fillcolor="#FFFFFF" filled="t" stroked="t" coordsize="21600,21600" o:gfxdata="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lCWotkAAAAJAQAADwAAAAAAAAABACAAAAAiAAAAZHJzL2Rvd25yZXYueG1s&#10;UEsBAhQAFAAAAAgAh07iQPF4wzcwAgAAcQQAAA4AAAAAAAAAAQAgAAAAKAEAAGRycy9lMm9Eb2Mu&#10;eG1sUEsFBgAAAAAGAAYAWQEAAMoFAAAAAA==&#10;">
                <v:fill on="t" focussize="0,0"/>
                <v:stroke color="#FFFFFF [3228]" miterlimit="8" joinstyle="miter"/>
                <v:imagedata o:title=""/>
                <o:lock v:ext="edit" aspectratio="f"/>
                <v:textbox>
                  <w:txbxContent>
                    <w:p>
                      <w:pPr>
                        <w:spacing w:line="240" w:lineRule="atLeast"/>
                        <w:jc w:val="center"/>
                        <w:rPr>
                          <w:sz w:val="18"/>
                        </w:rPr>
                      </w:pPr>
                      <w:r>
                        <w:rPr>
                          <w:rFonts w:hint="eastAsia"/>
                          <w:sz w:val="18"/>
                        </w:rPr>
                        <w:t>2.55</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44960" behindDoc="0" locked="0" layoutInCell="1" allowOverlap="1">
                <wp:simplePos x="0" y="0"/>
                <wp:positionH relativeFrom="column">
                  <wp:posOffset>2399030</wp:posOffset>
                </wp:positionH>
                <wp:positionV relativeFrom="paragraph">
                  <wp:posOffset>14605</wp:posOffset>
                </wp:positionV>
                <wp:extent cx="570865" cy="0"/>
                <wp:effectExtent l="0" t="76200" r="20320" b="95250"/>
                <wp:wrapNone/>
                <wp:docPr id="289" name="直接箭头连接符 289"/>
                <wp:cNvGraphicFramePr/>
                <a:graphic xmlns:a="http://schemas.openxmlformats.org/drawingml/2006/main">
                  <a:graphicData uri="http://schemas.microsoft.com/office/word/2010/wordprocessingShape">
                    <wps:wsp>
                      <wps:cNvCnPr/>
                      <wps:spPr>
                        <a:xfrm>
                          <a:off x="0" y="0"/>
                          <a:ext cx="570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9pt;margin-top:1.15pt;height:0pt;width:44.95pt;z-index:251944960;mso-width-relative:page;mso-height-relative:page;" filled="f" stroked="t" coordsize="21600,21600" o:gfxdata="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g8AIP&#10;1AAAAAcBAAAPAAAAAAAAAAEAIAAAACIAAABkcnMvZG93bnJldi54bWxQSwECFAAUAAAACACHTuJA&#10;4urB1ewBAACWAwAADgAAAAAAAAABACAAAAAjAQAAZHJzL2Uyb0RvYy54bWxQSwUGAAAAAAYABgBZ&#10;AQAAgQUAAAAA&#10;">
                <v:fill on="f" focussize="0,0"/>
                <v:stroke weight="0.5pt" color="#000000 [3200]" miterlimit="8" joinstyle="miter"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45984" behindDoc="0" locked="0" layoutInCell="1" allowOverlap="1">
                <wp:simplePos x="0" y="0"/>
                <wp:positionH relativeFrom="margin">
                  <wp:posOffset>2407920</wp:posOffset>
                </wp:positionH>
                <wp:positionV relativeFrom="paragraph">
                  <wp:posOffset>177165</wp:posOffset>
                </wp:positionV>
                <wp:extent cx="570865" cy="0"/>
                <wp:effectExtent l="0" t="76200" r="20320" b="95250"/>
                <wp:wrapNone/>
                <wp:docPr id="290" name="直接箭头连接符 290"/>
                <wp:cNvGraphicFramePr/>
                <a:graphic xmlns:a="http://schemas.openxmlformats.org/drawingml/2006/main">
                  <a:graphicData uri="http://schemas.microsoft.com/office/word/2010/wordprocessingShape">
                    <wps:wsp>
                      <wps:cNvCnPr/>
                      <wps:spPr>
                        <a:xfrm>
                          <a:off x="0" y="0"/>
                          <a:ext cx="570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6pt;margin-top:13.95pt;height:0pt;width:44.95pt;mso-position-horizontal-relative:margin;z-index:251945984;mso-width-relative:page;mso-height-relative:page;" filled="f" stroked="t" coordsize="21600,21600" o:gfxdata="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XPg&#10;J9YAAAAJAQAADwAAAAAAAAABACAAAAAiAAAAZHJzL2Rvd25yZXYueG1sUEsBAhQAFAAAAAgAh07i&#10;QHang8/rAQAAlgMAAA4AAAAAAAAAAQAgAAAAJQEAAGRycy9lMm9Eb2MueG1sUEsFBgAAAAAGAAYA&#10;WQEAAIIFAAAAAA==&#10;">
                <v:fill on="f" focussize="0,0"/>
                <v:stroke weight="0.5pt" color="#000000 [3200]" miterlimit="8" joinstyle="miter" endarrow="block"/>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938816" behindDoc="0" locked="0" layoutInCell="1" allowOverlap="1">
                <wp:simplePos x="0" y="0"/>
                <wp:positionH relativeFrom="column">
                  <wp:posOffset>2991485</wp:posOffset>
                </wp:positionH>
                <wp:positionV relativeFrom="paragraph">
                  <wp:posOffset>42545</wp:posOffset>
                </wp:positionV>
                <wp:extent cx="592455" cy="262255"/>
                <wp:effectExtent l="6985" t="7620" r="10160" b="6350"/>
                <wp:wrapNone/>
                <wp:docPr id="282" name="Text Box 272"/>
                <wp:cNvGraphicFramePr/>
                <a:graphic xmlns:a="http://schemas.openxmlformats.org/drawingml/2006/main">
                  <a:graphicData uri="http://schemas.microsoft.com/office/word/2010/wordprocessingShape">
                    <wps:wsp>
                      <wps:cNvSpPr txBox="1">
                        <a:spLocks noChangeArrowheads="1"/>
                      </wps:cNvSpPr>
                      <wps:spPr bwMode="auto">
                        <a:xfrm>
                          <a:off x="0" y="0"/>
                          <a:ext cx="592455" cy="262255"/>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S</w:t>
                            </w:r>
                            <w:r>
                              <w:rPr>
                                <w:sz w:val="18"/>
                              </w:rPr>
                              <w:t>O</w:t>
                            </w:r>
                            <w:r>
                              <w:rPr>
                                <w:sz w:val="18"/>
                                <w:vertAlign w:val="subscript"/>
                              </w:rPr>
                              <w:t>2</w:t>
                            </w:r>
                          </w:p>
                        </w:txbxContent>
                      </wps:txbx>
                      <wps:bodyPr rot="0" vert="horz" wrap="square" lIns="91440" tIns="45720" rIns="91440" bIns="45720" anchor="t" anchorCtr="0" upright="1">
                        <a:noAutofit/>
                      </wps:bodyPr>
                    </wps:wsp>
                  </a:graphicData>
                </a:graphic>
              </wp:anchor>
            </w:drawing>
          </mc:Choice>
          <mc:Fallback>
            <w:pict>
              <v:shape id="Text Box 272" o:spid="_x0000_s1026" o:spt="202" type="#_x0000_t202" style="position:absolute;left:0pt;margin-left:235.55pt;margin-top:3.35pt;height:20.65pt;width:46.65pt;z-index:251938816;mso-width-relative:page;mso-height-relative:page;" fillcolor="#FFFFFF" filled="t" stroked="t" coordsize="21600,21600" o:gfxdata="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NTK3XAAAACAEAAA8AAAAA&#10;AAAAAQAgAAAAIgAAAGRycy9kb3ducmV2LnhtbFBLAQIUABQAAAAIAIdO4kCFNAlIFQIAADsEAAAO&#10;AAAAAAAAAAEAIAAAACYBAABkcnMvZTJvRG9jLnhtbFBLBQYAAAAABgAGAFkBAACtBQAAAAA=&#10;">
                <v:fill on="t" focussize="0,0"/>
                <v:stroke color="#000000" miterlimit="8" joinstyle="miter"/>
                <v:imagedata o:title=""/>
                <o:lock v:ext="edit" aspectratio="f"/>
                <v:textbox>
                  <w:txbxContent>
                    <w:p>
                      <w:pPr>
                        <w:spacing w:line="240" w:lineRule="atLeast"/>
                        <w:jc w:val="center"/>
                        <w:rPr>
                          <w:sz w:val="18"/>
                        </w:rPr>
                      </w:pPr>
                      <w:r>
                        <w:rPr>
                          <w:rFonts w:hint="eastAsia"/>
                          <w:sz w:val="18"/>
                        </w:rPr>
                        <w:t>S</w:t>
                      </w:r>
                      <w:r>
                        <w:rPr>
                          <w:sz w:val="18"/>
                        </w:rPr>
                        <w:t>O</w:t>
                      </w:r>
                      <w:r>
                        <w:rPr>
                          <w:sz w:val="18"/>
                          <w:vertAlign w:val="subscript"/>
                        </w:rPr>
                        <w:t>2</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895808" behindDoc="0" locked="0" layoutInCell="1" allowOverlap="1">
                <wp:simplePos x="0" y="0"/>
                <wp:positionH relativeFrom="column">
                  <wp:posOffset>2448560</wp:posOffset>
                </wp:positionH>
                <wp:positionV relativeFrom="paragraph">
                  <wp:posOffset>160655</wp:posOffset>
                </wp:positionV>
                <wp:extent cx="447040" cy="265430"/>
                <wp:effectExtent l="0" t="0" r="10160" b="20320"/>
                <wp:wrapNone/>
                <wp:docPr id="307" name="Text Box 316"/>
                <wp:cNvGraphicFramePr/>
                <a:graphic xmlns:a="http://schemas.openxmlformats.org/drawingml/2006/main">
                  <a:graphicData uri="http://schemas.microsoft.com/office/word/2010/wordprocessingShape">
                    <wps:wsp>
                      <wps:cNvSpPr txBox="1">
                        <a:spLocks noChangeArrowheads="1"/>
                      </wps:cNvSpPr>
                      <wps:spPr bwMode="auto">
                        <a:xfrm>
                          <a:off x="0" y="0"/>
                          <a:ext cx="447040" cy="265430"/>
                        </a:xfrm>
                        <a:prstGeom prst="rect">
                          <a:avLst/>
                        </a:prstGeom>
                        <a:solidFill>
                          <a:srgbClr val="FFFFFF"/>
                        </a:solidFill>
                        <a:ln w="9525">
                          <a:solidFill>
                            <a:schemeClr val="bg1">
                              <a:lumMod val="100000"/>
                              <a:lumOff val="0"/>
                            </a:schemeClr>
                          </a:solidFill>
                          <a:miter lim="800000"/>
                        </a:ln>
                      </wps:spPr>
                      <wps:txbx>
                        <w:txbxContent>
                          <w:p>
                            <w:pPr>
                              <w:spacing w:line="240" w:lineRule="atLeast"/>
                              <w:jc w:val="center"/>
                              <w:rPr>
                                <w:sz w:val="18"/>
                              </w:rPr>
                            </w:pPr>
                            <w:r>
                              <w:rPr>
                                <w:rFonts w:hint="eastAsia"/>
                                <w:sz w:val="18"/>
                              </w:rPr>
                              <w:t>5.1</w:t>
                            </w:r>
                          </w:p>
                        </w:txbxContent>
                      </wps:txbx>
                      <wps:bodyPr rot="0" vert="horz" wrap="square" lIns="91440" tIns="45720" rIns="91440" bIns="45720" anchor="t" anchorCtr="0" upright="1">
                        <a:noAutofit/>
                      </wps:bodyPr>
                    </wps:wsp>
                  </a:graphicData>
                </a:graphic>
              </wp:anchor>
            </w:drawing>
          </mc:Choice>
          <mc:Fallback>
            <w:pict>
              <v:shape id="Text Box 316" o:spid="_x0000_s1026" o:spt="202" type="#_x0000_t202" style="position:absolute;left:0pt;margin-left:192.8pt;margin-top:12.65pt;height:20.9pt;width:35.2pt;z-index:251895808;mso-width-relative:page;mso-height-relative:page;" fillcolor="#FFFFFF" filled="t" stroked="t" coordsize="21600,21600" o:gfxdata="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amfe2AAAAAkBAAAPAAAAAAAAAAEAIAAAACIAAABkcnMvZG93bnJldi54bWxQ&#10;SwECFAAUAAAACACHTuJA5Uh13zACAABxBAAADgAAAAAAAAABACAAAAAnAQAAZHJzL2Uyb0RvYy54&#10;bWxQSwUGAAAAAAYABgBZAQAAyQUAAAAA&#10;">
                <v:fill on="t" focussize="0,0"/>
                <v:stroke color="#FFFFFF [3228]" miterlimit="8" joinstyle="miter"/>
                <v:imagedata o:title=""/>
                <o:lock v:ext="edit" aspectratio="f"/>
                <v:textbox>
                  <w:txbxContent>
                    <w:p>
                      <w:pPr>
                        <w:spacing w:line="240" w:lineRule="atLeast"/>
                        <w:jc w:val="center"/>
                        <w:rPr>
                          <w:sz w:val="18"/>
                        </w:rPr>
                      </w:pPr>
                      <w:r>
                        <w:rPr>
                          <w:rFonts w:hint="eastAsia"/>
                          <w:sz w:val="18"/>
                        </w:rPr>
                        <w:t>5.1</w:t>
                      </w:r>
                    </w:p>
                  </w:txbxContent>
                </v:textbox>
              </v:shape>
            </w:pict>
          </mc:Fallback>
        </mc:AlternateContent>
      </w:r>
      <w:r>
        <w:rPr>
          <w:rFonts w:ascii="Times New Roman" w:hAnsi="Times New Roman"/>
          <w:color w:val="000000"/>
          <w:sz w:val="24"/>
          <w:szCs w:val="24"/>
        </w:rPr>
        <mc:AlternateContent>
          <mc:Choice Requires="wps">
            <w:drawing>
              <wp:anchor distT="0" distB="0" distL="114300" distR="114300" simplePos="0" relativeHeight="251939840" behindDoc="0" locked="0" layoutInCell="1" allowOverlap="1">
                <wp:simplePos x="0" y="0"/>
                <wp:positionH relativeFrom="column">
                  <wp:posOffset>2982595</wp:posOffset>
                </wp:positionH>
                <wp:positionV relativeFrom="paragraph">
                  <wp:posOffset>252730</wp:posOffset>
                </wp:positionV>
                <wp:extent cx="592455" cy="307340"/>
                <wp:effectExtent l="0" t="0" r="17145" b="17145"/>
                <wp:wrapNone/>
                <wp:docPr id="283" name="Text Box 272"/>
                <wp:cNvGraphicFramePr/>
                <a:graphic xmlns:a="http://schemas.openxmlformats.org/drawingml/2006/main">
                  <a:graphicData uri="http://schemas.microsoft.com/office/word/2010/wordprocessingShape">
                    <wps:wsp>
                      <wps:cNvSpPr txBox="1">
                        <a:spLocks noChangeArrowheads="1"/>
                      </wps:cNvSpPr>
                      <wps:spPr bwMode="auto">
                        <a:xfrm>
                          <a:off x="0" y="0"/>
                          <a:ext cx="592455" cy="307238"/>
                        </a:xfrm>
                        <a:prstGeom prst="rect">
                          <a:avLst/>
                        </a:prstGeom>
                        <a:solidFill>
                          <a:srgbClr val="FFFFFF"/>
                        </a:solidFill>
                        <a:ln w="9525">
                          <a:solidFill>
                            <a:srgbClr val="000000"/>
                          </a:solidFill>
                          <a:miter lim="800000"/>
                        </a:ln>
                      </wps:spPr>
                      <wps:txbx>
                        <w:txbxContent>
                          <w:p>
                            <w:pPr>
                              <w:spacing w:line="240" w:lineRule="atLeast"/>
                              <w:jc w:val="center"/>
                              <w:rPr>
                                <w:sz w:val="18"/>
                              </w:rPr>
                            </w:pPr>
                            <w:r>
                              <w:rPr>
                                <w:rFonts w:hint="eastAsia"/>
                                <w:sz w:val="18"/>
                              </w:rPr>
                              <w:t>N</w:t>
                            </w:r>
                            <w:r>
                              <w:rPr>
                                <w:sz w:val="18"/>
                              </w:rPr>
                              <w:t>O</w:t>
                            </w:r>
                            <w:r>
                              <w:rPr>
                                <w:sz w:val="18"/>
                                <w:vertAlign w:val="subscript"/>
                              </w:rPr>
                              <w:t>X</w:t>
                            </w:r>
                          </w:p>
                        </w:txbxContent>
                      </wps:txbx>
                      <wps:bodyPr rot="0" vert="horz" wrap="square" lIns="91440" tIns="45720" rIns="91440" bIns="45720" anchor="t" anchorCtr="0" upright="1">
                        <a:noAutofit/>
                      </wps:bodyPr>
                    </wps:wsp>
                  </a:graphicData>
                </a:graphic>
              </wp:anchor>
            </w:drawing>
          </mc:Choice>
          <mc:Fallback>
            <w:pict>
              <v:shape id="Text Box 272" o:spid="_x0000_s1026" o:spt="202" type="#_x0000_t202" style="position:absolute;left:0pt;margin-left:234.85pt;margin-top:19.9pt;height:24.2pt;width:46.65pt;z-index:251939840;mso-width-relative:page;mso-height-relative:page;" fillcolor="#FFFFFF" filled="t" stroked="t" coordsize="21600,21600" o:gfxdata="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DQNFdkAAAAJAQAA&#10;DwAAAAAAAAABACAAAAAiAAAAZHJzL2Rvd25yZXYueG1sUEsBAhQAFAAAAAgAh07iQLRuwasYAgAA&#10;OwQAAA4AAAAAAAAAAQAgAAAAKAEAAGRycy9lMm9Eb2MueG1sUEsFBgAAAAAGAAYAWQEAALIFAAAA&#10;AA==&#10;">
                <v:fill on="t" focussize="0,0"/>
                <v:stroke color="#000000" miterlimit="8" joinstyle="miter"/>
                <v:imagedata o:title=""/>
                <o:lock v:ext="edit" aspectratio="f"/>
                <v:textbox>
                  <w:txbxContent>
                    <w:p>
                      <w:pPr>
                        <w:spacing w:line="240" w:lineRule="atLeast"/>
                        <w:jc w:val="center"/>
                        <w:rPr>
                          <w:sz w:val="18"/>
                        </w:rPr>
                      </w:pPr>
                      <w:r>
                        <w:rPr>
                          <w:rFonts w:hint="eastAsia"/>
                          <w:sz w:val="18"/>
                        </w:rPr>
                        <w:t>N</w:t>
                      </w:r>
                      <w:r>
                        <w:rPr>
                          <w:sz w:val="18"/>
                        </w:rPr>
                        <w:t>O</w:t>
                      </w:r>
                      <w:r>
                        <w:rPr>
                          <w:sz w:val="18"/>
                          <w:vertAlign w:val="subscript"/>
                        </w:rPr>
                        <w:t>X</w:t>
                      </w:r>
                    </w:p>
                  </w:txbxContent>
                </v:textbox>
              </v:shape>
            </w:pict>
          </mc:Fallback>
        </mc:AlternateConten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947008" behindDoc="0" locked="0" layoutInCell="1" allowOverlap="1">
                <wp:simplePos x="0" y="0"/>
                <wp:positionH relativeFrom="margin">
                  <wp:posOffset>2409825</wp:posOffset>
                </wp:positionH>
                <wp:positionV relativeFrom="paragraph">
                  <wp:posOffset>91440</wp:posOffset>
                </wp:positionV>
                <wp:extent cx="570865" cy="0"/>
                <wp:effectExtent l="0" t="76200" r="20320" b="95250"/>
                <wp:wrapNone/>
                <wp:docPr id="291" name="直接箭头连接符 291"/>
                <wp:cNvGraphicFramePr/>
                <a:graphic xmlns:a="http://schemas.openxmlformats.org/drawingml/2006/main">
                  <a:graphicData uri="http://schemas.microsoft.com/office/word/2010/wordprocessingShape">
                    <wps:wsp>
                      <wps:cNvCnPr/>
                      <wps:spPr>
                        <a:xfrm>
                          <a:off x="0" y="0"/>
                          <a:ext cx="570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75pt;margin-top:7.2pt;height:0pt;width:44.95pt;mso-position-horizontal-relative:margin;z-index:251947008;mso-width-relative:page;mso-height-relative:page;" filled="f" stroked="t" coordsize="21600,21600" o:gfxdata="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r3&#10;YNfWAAAACQEAAA8AAAAAAAAAAQAgAAAAIgAAAGRycy9kb3ducmV2LnhtbFBLAQIUABQAAAAIAIdO&#10;4kBzlYEw7AEAAJYDAAAOAAAAAAAAAAEAIAAAACUBAABkcnMvZTJvRG9jLnhtbFBLBQYAAAAABgAG&#10;AFkBAACDBQAAAAA=&#10;">
                <v:fill on="f" focussize="0,0"/>
                <v:stroke weight="0.5pt" color="#000000 [3200]" miterlimit="8" joinstyle="miter" endarrow="block"/>
                <v:imagedata o:title=""/>
                <o:lock v:ext="edit" aspectratio="f"/>
              </v:shape>
            </w:pict>
          </mc:Fallback>
        </mc:AlternateContent>
      </w:r>
    </w:p>
    <w:p>
      <w:pPr>
        <w:spacing w:line="360" w:lineRule="auto"/>
        <w:ind w:firstLine="480" w:firstLineChars="200"/>
        <w:rPr>
          <w:rFonts w:ascii="Times New Roman" w:hAnsi="Times New Roman"/>
          <w:color w:val="000000"/>
          <w:sz w:val="24"/>
          <w:szCs w:val="24"/>
        </w:rPr>
      </w:pP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图3.2-8   项目物料平衡图  单位：t/a</w:t>
      </w:r>
    </w:p>
    <w:p>
      <w:pPr>
        <w:pStyle w:val="6"/>
        <w:spacing w:line="360" w:lineRule="auto"/>
        <w:ind w:firstLine="482" w:firstLineChars="200"/>
        <w:rPr>
          <w:rFonts w:ascii="Times New Roman" w:hAnsi="Times New Roman" w:eastAsia="宋体" w:cs="Times New Roman"/>
          <w:sz w:val="24"/>
        </w:rPr>
      </w:pPr>
      <w:bookmarkStart w:id="151" w:name="_Toc23843338"/>
      <w:bookmarkStart w:id="152" w:name="_Toc21803"/>
      <w:bookmarkStart w:id="153" w:name="_Toc23000"/>
      <w:r>
        <w:rPr>
          <w:rFonts w:hint="eastAsia" w:ascii="Times New Roman" w:hAnsi="Times New Roman" w:eastAsia="宋体" w:cs="Times New Roman"/>
          <w:sz w:val="24"/>
        </w:rPr>
        <w:t>3.2.3建设项目主要污染物排放及处置汇总</w:t>
      </w:r>
      <w:bookmarkEnd w:id="151"/>
      <w:bookmarkEnd w:id="152"/>
      <w:bookmarkEnd w:id="153"/>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建设项目运营期主要污染物排放量汇总详见表3.2-1</w:t>
      </w:r>
      <w:r>
        <w:rPr>
          <w:rFonts w:ascii="Times New Roman" w:hAnsi="Times New Roman"/>
          <w:color w:val="000000"/>
          <w:sz w:val="24"/>
          <w:szCs w:val="24"/>
        </w:rPr>
        <w:t>1</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表3.2-1</w:t>
      </w:r>
      <w:r>
        <w:rPr>
          <w:rFonts w:ascii="Times New Roman" w:hAnsi="Times New Roman"/>
          <w:b/>
          <w:color w:val="000000"/>
          <w:sz w:val="24"/>
          <w:szCs w:val="24"/>
        </w:rPr>
        <w:t>1</w:t>
      </w:r>
      <w:r>
        <w:rPr>
          <w:rFonts w:hint="eastAsia" w:ascii="Times New Roman" w:hAnsi="Times New Roman"/>
          <w:b/>
          <w:color w:val="000000"/>
          <w:sz w:val="24"/>
          <w:szCs w:val="24"/>
        </w:rPr>
        <w:t xml:space="preserve">   项目运营期主要污染物产生量汇总</w:t>
      </w:r>
    </w:p>
    <w:tbl>
      <w:tblPr>
        <w:tblStyle w:val="20"/>
        <w:tblW w:w="8931" w:type="dxa"/>
        <w:tblInd w:w="-31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09"/>
        <w:gridCol w:w="851"/>
        <w:gridCol w:w="1153"/>
        <w:gridCol w:w="1115"/>
        <w:gridCol w:w="1153"/>
        <w:gridCol w:w="1134"/>
        <w:gridCol w:w="23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34" w:type="dxa"/>
            <w:gridSpan w:val="2"/>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污染物</w:t>
            </w:r>
          </w:p>
        </w:tc>
        <w:tc>
          <w:tcPr>
            <w:tcW w:w="851"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名称</w:t>
            </w:r>
          </w:p>
        </w:tc>
        <w:tc>
          <w:tcPr>
            <w:tcW w:w="1153" w:type="dxa"/>
            <w:vAlign w:val="center"/>
          </w:tcPr>
          <w:p>
            <w:pPr>
              <w:spacing w:line="240" w:lineRule="atLeast"/>
              <w:rPr>
                <w:rFonts w:ascii="Times New Roman" w:hAnsi="Times New Roman" w:eastAsia="宋体" w:cs="Times New Roman"/>
                <w:b/>
                <w:kern w:val="0"/>
                <w:szCs w:val="21"/>
              </w:rPr>
            </w:pPr>
            <w:r>
              <w:rPr>
                <w:rFonts w:hint="eastAsia" w:ascii="Times New Roman" w:hAnsi="Times New Roman" w:eastAsia="宋体" w:cs="Times New Roman"/>
                <w:b/>
                <w:kern w:val="0"/>
                <w:szCs w:val="21"/>
              </w:rPr>
              <w:t>产生浓度</w:t>
            </w:r>
          </w:p>
        </w:tc>
        <w:tc>
          <w:tcPr>
            <w:tcW w:w="1115"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产生量</w:t>
            </w:r>
          </w:p>
        </w:tc>
        <w:tc>
          <w:tcPr>
            <w:tcW w:w="1153"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排放浓度</w:t>
            </w:r>
          </w:p>
        </w:tc>
        <w:tc>
          <w:tcPr>
            <w:tcW w:w="1134"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排放量</w:t>
            </w:r>
          </w:p>
        </w:tc>
        <w:tc>
          <w:tcPr>
            <w:tcW w:w="2391" w:type="dxa"/>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废气</w:t>
            </w:r>
          </w:p>
        </w:tc>
        <w:tc>
          <w:tcPr>
            <w:tcW w:w="709"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锅炉废气</w:t>
            </w: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烟尘</w:t>
            </w:r>
          </w:p>
        </w:tc>
        <w:tc>
          <w:tcPr>
            <w:tcW w:w="1153"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76.3mg/m</w:t>
            </w:r>
            <w:r>
              <w:rPr>
                <w:rFonts w:hint="eastAsia" w:ascii="Times New Roman" w:hAnsi="Times New Roman" w:eastAsia="宋体" w:cs="Times New Roman"/>
                <w:color w:val="000000" w:themeColor="text1"/>
                <w:kern w:val="0"/>
                <w:szCs w:val="21"/>
                <w:vertAlign w:val="superscript"/>
                <w14:textFill>
                  <w14:solidFill>
                    <w14:schemeClr w14:val="tx1"/>
                  </w14:solidFill>
                </w14:textFill>
              </w:rPr>
              <w:t>3</w:t>
            </w:r>
          </w:p>
        </w:tc>
        <w:tc>
          <w:tcPr>
            <w:tcW w:w="1115"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2.5</w:t>
            </w:r>
            <w:r>
              <w:rPr>
                <w:rFonts w:hint="eastAsia" w:ascii="Times New Roman" w:hAnsi="Times New Roman" w:eastAsia="宋体" w:cs="Times New Roman"/>
                <w:color w:val="000000" w:themeColor="text1"/>
                <w:kern w:val="0"/>
                <w:szCs w:val="21"/>
                <w14:textFill>
                  <w14:solidFill>
                    <w14:schemeClr w14:val="tx1"/>
                  </w14:solidFill>
                </w14:textFill>
              </w:rPr>
              <w:t xml:space="preserve"> t/a</w:t>
            </w:r>
          </w:p>
        </w:tc>
        <w:tc>
          <w:tcPr>
            <w:tcW w:w="1153"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9.92</w:t>
            </w:r>
          </w:p>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mg/m</w:t>
            </w:r>
            <w:r>
              <w:rPr>
                <w:rFonts w:hint="eastAsia" w:ascii="Times New Roman" w:hAnsi="Times New Roman" w:eastAsia="宋体" w:cs="Times New Roman"/>
                <w:color w:val="000000" w:themeColor="text1"/>
                <w:kern w:val="0"/>
                <w:szCs w:val="21"/>
                <w:vertAlign w:val="superscript"/>
                <w14:textFill>
                  <w14:solidFill>
                    <w14:schemeClr w14:val="tx1"/>
                  </w14:solidFill>
                </w14:textFill>
              </w:rPr>
              <w:t>3</w:t>
            </w:r>
          </w:p>
        </w:tc>
        <w:tc>
          <w:tcPr>
            <w:tcW w:w="1134"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325kg</w:t>
            </w:r>
            <w:r>
              <w:rPr>
                <w:rFonts w:hint="eastAsia" w:ascii="Times New Roman" w:hAnsi="Times New Roman" w:eastAsia="宋体" w:cs="Times New Roman"/>
                <w:color w:val="000000" w:themeColor="text1"/>
                <w:kern w:val="0"/>
                <w:szCs w:val="21"/>
                <w14:textFill>
                  <w14:solidFill>
                    <w14:schemeClr w14:val="tx1"/>
                  </w14:solidFill>
                </w14:textFill>
              </w:rPr>
              <w:t>/a</w:t>
            </w:r>
          </w:p>
        </w:tc>
        <w:tc>
          <w:tcPr>
            <w:tcW w:w="2391"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rPr>
              <w:t>锅炉烟气</w:t>
            </w:r>
            <w:r>
              <w:rPr>
                <w:rFonts w:ascii="Times New Roman" w:hAnsi="Times New Roman" w:eastAsia="宋体" w:cs="Times New Roman"/>
                <w:color w:val="FF0000"/>
                <w:kern w:val="0"/>
                <w:szCs w:val="21"/>
              </w:rPr>
              <w:t>通过</w:t>
            </w:r>
            <w:r>
              <w:rPr>
                <w:rFonts w:hint="eastAsia" w:ascii="Times New Roman" w:hAnsi="Times New Roman" w:eastAsia="宋体" w:cs="Times New Roman"/>
                <w:color w:val="FF0000"/>
                <w:kern w:val="0"/>
                <w:szCs w:val="21"/>
              </w:rPr>
              <w:t>水膜收尘后通过1根4</w:t>
            </w:r>
            <w:r>
              <w:rPr>
                <w:rFonts w:ascii="Times New Roman" w:hAnsi="Times New Roman" w:eastAsia="宋体" w:cs="Times New Roman"/>
                <w:color w:val="FF0000"/>
                <w:kern w:val="0"/>
                <w:szCs w:val="21"/>
              </w:rPr>
              <w:t>0</w:t>
            </w:r>
            <w:r>
              <w:rPr>
                <w:rFonts w:hint="eastAsia" w:ascii="Times New Roman" w:hAnsi="Times New Roman" w:eastAsia="宋体" w:cs="Times New Roman"/>
                <w:color w:val="FF0000"/>
                <w:kern w:val="0"/>
                <w:szCs w:val="21"/>
              </w:rPr>
              <w:t>m的排气筒排放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709" w:type="dxa"/>
            <w:vMerge w:val="continue"/>
            <w:vAlign w:val="center"/>
          </w:tcPr>
          <w:p>
            <w:pPr>
              <w:spacing w:line="240" w:lineRule="atLeast"/>
              <w:jc w:val="center"/>
              <w:rPr>
                <w:rFonts w:ascii="Times New Roman" w:hAnsi="Times New Roman" w:eastAsia="宋体" w:cs="Times New Roman"/>
                <w:kern w:val="0"/>
                <w:szCs w:val="21"/>
              </w:rPr>
            </w:pP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1153"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77.83 mg/m</w:t>
            </w:r>
            <w:r>
              <w:rPr>
                <w:rFonts w:hint="eastAsia" w:ascii="Times New Roman" w:hAnsi="Times New Roman" w:eastAsia="宋体" w:cs="Times New Roman"/>
                <w:color w:val="000000" w:themeColor="text1"/>
                <w:kern w:val="0"/>
                <w:szCs w:val="21"/>
                <w:vertAlign w:val="superscript"/>
                <w14:textFill>
                  <w14:solidFill>
                    <w14:schemeClr w14:val="tx1"/>
                  </w14:solidFill>
                </w14:textFill>
              </w:rPr>
              <w:t>3</w:t>
            </w:r>
          </w:p>
        </w:tc>
        <w:tc>
          <w:tcPr>
            <w:tcW w:w="1115"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2.55</w:t>
            </w:r>
            <w:r>
              <w:rPr>
                <w:rFonts w:hint="eastAsia" w:ascii="Times New Roman" w:hAnsi="Times New Roman" w:eastAsia="宋体" w:cs="Times New Roman"/>
                <w:color w:val="000000" w:themeColor="text1"/>
                <w:kern w:val="0"/>
                <w:szCs w:val="21"/>
                <w14:textFill>
                  <w14:solidFill>
                    <w14:schemeClr w14:val="tx1"/>
                  </w14:solidFill>
                </w14:textFill>
              </w:rPr>
              <w:t xml:space="preserve"> t/a</w:t>
            </w:r>
          </w:p>
        </w:tc>
        <w:tc>
          <w:tcPr>
            <w:tcW w:w="1153"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77.83</w:t>
            </w:r>
          </w:p>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mg/m</w:t>
            </w:r>
            <w:r>
              <w:rPr>
                <w:rFonts w:hint="eastAsia" w:ascii="Times New Roman" w:hAnsi="Times New Roman" w:eastAsia="宋体" w:cs="Times New Roman"/>
                <w:color w:val="000000" w:themeColor="text1"/>
                <w:kern w:val="0"/>
                <w:szCs w:val="21"/>
                <w:vertAlign w:val="superscript"/>
                <w14:textFill>
                  <w14:solidFill>
                    <w14:schemeClr w14:val="tx1"/>
                  </w14:solidFill>
                </w14:textFill>
              </w:rPr>
              <w:t>3</w:t>
            </w:r>
          </w:p>
        </w:tc>
        <w:tc>
          <w:tcPr>
            <w:tcW w:w="1134"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2.55</w:t>
            </w:r>
            <w:r>
              <w:rPr>
                <w:rFonts w:hint="eastAsia" w:ascii="Times New Roman" w:hAnsi="Times New Roman" w:eastAsia="宋体" w:cs="Times New Roman"/>
                <w:color w:val="000000" w:themeColor="text1"/>
                <w:kern w:val="0"/>
                <w:szCs w:val="21"/>
                <w14:textFill>
                  <w14:solidFill>
                    <w14:schemeClr w14:val="tx1"/>
                  </w14:solidFill>
                </w14:textFill>
              </w:rPr>
              <w:t xml:space="preserve"> t/a</w:t>
            </w:r>
          </w:p>
        </w:tc>
        <w:tc>
          <w:tcPr>
            <w:tcW w:w="2391"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709" w:type="dxa"/>
            <w:vMerge w:val="continue"/>
            <w:vAlign w:val="center"/>
          </w:tcPr>
          <w:p>
            <w:pPr>
              <w:spacing w:line="240" w:lineRule="atLeast"/>
              <w:jc w:val="center"/>
              <w:rPr>
                <w:rFonts w:ascii="Times New Roman" w:hAnsi="Times New Roman" w:eastAsia="宋体" w:cs="Times New Roman"/>
                <w:kern w:val="0"/>
                <w:szCs w:val="21"/>
              </w:rPr>
            </w:pPr>
          </w:p>
        </w:tc>
        <w:tc>
          <w:tcPr>
            <w:tcW w:w="85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1153"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155.67 mg/m</w:t>
            </w:r>
            <w:r>
              <w:rPr>
                <w:rFonts w:hint="eastAsia" w:ascii="Times New Roman" w:hAnsi="Times New Roman" w:eastAsia="宋体" w:cs="Times New Roman"/>
                <w:color w:val="000000" w:themeColor="text1"/>
                <w:kern w:val="0"/>
                <w:szCs w:val="21"/>
                <w:vertAlign w:val="superscript"/>
                <w14:textFill>
                  <w14:solidFill>
                    <w14:schemeClr w14:val="tx1"/>
                  </w14:solidFill>
                </w14:textFill>
              </w:rPr>
              <w:t>3</w:t>
            </w:r>
          </w:p>
        </w:tc>
        <w:tc>
          <w:tcPr>
            <w:tcW w:w="1115"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5.1 t/a</w:t>
            </w:r>
          </w:p>
        </w:tc>
        <w:tc>
          <w:tcPr>
            <w:tcW w:w="1153"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155.67 mg/m</w:t>
            </w:r>
            <w:r>
              <w:rPr>
                <w:rFonts w:hint="eastAsia" w:ascii="Times New Roman" w:hAnsi="Times New Roman" w:eastAsia="宋体" w:cs="Times New Roman"/>
                <w:color w:val="000000" w:themeColor="text1"/>
                <w:kern w:val="0"/>
                <w:szCs w:val="21"/>
                <w:vertAlign w:val="superscript"/>
                <w14:textFill>
                  <w14:solidFill>
                    <w14:schemeClr w14:val="tx1"/>
                  </w14:solidFill>
                </w14:textFill>
              </w:rPr>
              <w:t>3</w:t>
            </w:r>
          </w:p>
        </w:tc>
        <w:tc>
          <w:tcPr>
            <w:tcW w:w="1134" w:type="dxa"/>
            <w:vAlign w:val="center"/>
          </w:tcPr>
          <w:p>
            <w:pPr>
              <w:spacing w:line="240" w:lineRule="atLeas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5.1 t/a</w:t>
            </w:r>
          </w:p>
        </w:tc>
        <w:tc>
          <w:tcPr>
            <w:tcW w:w="2391"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1560"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食堂</w:t>
            </w:r>
            <w:r>
              <w:rPr>
                <w:rFonts w:ascii="Times New Roman" w:hAnsi="Times New Roman" w:eastAsia="宋体" w:cs="Times New Roman"/>
                <w:kern w:val="0"/>
                <w:szCs w:val="21"/>
              </w:rPr>
              <w:t>油烟</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24.75 mg/m</w:t>
            </w:r>
            <w:r>
              <w:rPr>
                <w:rFonts w:hint="eastAsia" w:ascii="Times New Roman" w:hAnsi="Times New Roman" w:eastAsia="宋体" w:cs="Times New Roman"/>
                <w:kern w:val="0"/>
                <w:szCs w:val="21"/>
                <w:vertAlign w:val="superscript"/>
              </w:rPr>
              <w:t>3</w:t>
            </w:r>
          </w:p>
        </w:tc>
        <w:tc>
          <w:tcPr>
            <w:tcW w:w="1115"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7.425t/a</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1.23 mg/m</w:t>
            </w:r>
            <w:r>
              <w:rPr>
                <w:rFonts w:hint="eastAsia" w:ascii="Times New Roman" w:hAnsi="Times New Roman" w:eastAsia="宋体" w:cs="Times New Roman"/>
                <w:kern w:val="0"/>
                <w:szCs w:val="21"/>
                <w:vertAlign w:val="superscript"/>
              </w:rPr>
              <w:t>3</w:t>
            </w:r>
          </w:p>
        </w:tc>
        <w:tc>
          <w:tcPr>
            <w:tcW w:w="1134"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0.369</w:t>
            </w:r>
            <w:r>
              <w:rPr>
                <w:rFonts w:ascii="Times New Roman" w:hAnsi="Times New Roman" w:eastAsia="宋体" w:cs="Times New Roman"/>
                <w:kern w:val="0"/>
                <w:szCs w:val="21"/>
              </w:rPr>
              <w:t>t/a</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食堂</w:t>
            </w:r>
            <w:r>
              <w:rPr>
                <w:rFonts w:ascii="Times New Roman" w:hAnsi="Times New Roman" w:eastAsia="宋体" w:cs="Times New Roman"/>
                <w:kern w:val="0"/>
                <w:szCs w:val="21"/>
              </w:rPr>
              <w:t>油烟经油烟净化器（</w:t>
            </w:r>
            <w:r>
              <w:rPr>
                <w:rFonts w:hint="eastAsia" w:ascii="Times New Roman" w:hAnsi="Times New Roman" w:eastAsia="宋体" w:cs="Times New Roman"/>
                <w:kern w:val="0"/>
                <w:szCs w:val="21"/>
              </w:rPr>
              <w:t>净化率</w:t>
            </w:r>
            <w:r>
              <w:rPr>
                <w:rFonts w:ascii="Times New Roman" w:hAnsi="Times New Roman" w:eastAsia="宋体" w:cs="Times New Roman"/>
                <w:kern w:val="0"/>
                <w:szCs w:val="21"/>
              </w:rPr>
              <w:t>为</w:t>
            </w:r>
            <w:r>
              <w:rPr>
                <w:rFonts w:hint="eastAsia" w:ascii="Times New Roman" w:hAnsi="Times New Roman" w:eastAsia="宋体" w:cs="Times New Roman"/>
                <w:kern w:val="0"/>
                <w:szCs w:val="21"/>
              </w:rPr>
              <w:t>9</w:t>
            </w:r>
            <w:r>
              <w:rPr>
                <w:rFonts w:ascii="Times New Roman" w:hAnsi="Times New Roman" w:eastAsia="宋体" w:cs="Times New Roman"/>
                <w:kern w:val="0"/>
                <w:szCs w:val="21"/>
              </w:rPr>
              <w:t>0%）</w:t>
            </w:r>
            <w:r>
              <w:rPr>
                <w:rFonts w:hint="eastAsia" w:ascii="Times New Roman" w:hAnsi="Times New Roman" w:eastAsia="宋体" w:cs="Times New Roman"/>
                <w:kern w:val="0"/>
                <w:szCs w:val="21"/>
              </w:rPr>
              <w:t>处理</w:t>
            </w:r>
            <w:r>
              <w:rPr>
                <w:rFonts w:ascii="Times New Roman" w:hAnsi="Times New Roman" w:eastAsia="宋体" w:cs="Times New Roman"/>
                <w:kern w:val="0"/>
                <w:szCs w:val="21"/>
              </w:rPr>
              <w:t>后经烟囱排放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废水</w:t>
            </w:r>
          </w:p>
        </w:tc>
        <w:tc>
          <w:tcPr>
            <w:tcW w:w="709"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生活污水1440m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/a</w:t>
            </w:r>
          </w:p>
        </w:tc>
        <w:tc>
          <w:tcPr>
            <w:tcW w:w="851"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CODcr</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350 mg/l</w:t>
            </w:r>
          </w:p>
        </w:tc>
        <w:tc>
          <w:tcPr>
            <w:tcW w:w="111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0.504</w:t>
            </w:r>
            <w:r>
              <w:rPr>
                <w:rFonts w:hint="eastAsia" w:ascii="Times New Roman" w:hAnsi="Times New Roman" w:eastAsia="宋体" w:cs="Times New Roman"/>
                <w:kern w:val="0"/>
                <w:szCs w:val="21"/>
              </w:rPr>
              <w:t xml:space="preserve"> t/a</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 mg/l</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w:t>
            </w:r>
          </w:p>
        </w:tc>
        <w:tc>
          <w:tcPr>
            <w:tcW w:w="2391"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宋体" w:eastAsia="宋体" w:cs="Times New Roman"/>
                <w:kern w:val="0"/>
                <w:szCs w:val="21"/>
              </w:rPr>
              <w:t>生活</w:t>
            </w:r>
            <w:r>
              <w:rPr>
                <w:rFonts w:hint="eastAsia" w:ascii="Times New Roman" w:hAnsi="宋体" w:eastAsia="宋体" w:cs="Times New Roman"/>
                <w:color w:val="FF0000"/>
                <w:kern w:val="0"/>
                <w:szCs w:val="21"/>
              </w:rPr>
              <w:t>区的食堂废水经隔油池（2m</w:t>
            </w:r>
            <w:r>
              <w:rPr>
                <w:rFonts w:hint="eastAsia" w:ascii="Times New Roman" w:hAnsi="宋体" w:eastAsia="宋体" w:cs="Times New Roman"/>
                <w:color w:val="FF0000"/>
                <w:kern w:val="0"/>
                <w:szCs w:val="21"/>
                <w:vertAlign w:val="superscript"/>
              </w:rPr>
              <w:t>3</w:t>
            </w:r>
            <w:r>
              <w:rPr>
                <w:rFonts w:hint="eastAsia" w:ascii="Times New Roman" w:hAnsi="宋体" w:eastAsia="宋体" w:cs="Times New Roman"/>
                <w:color w:val="FF0000"/>
                <w:kern w:val="0"/>
                <w:szCs w:val="21"/>
              </w:rPr>
              <w:t>）处理后同其他生活污水进入化粪池（5m</w:t>
            </w:r>
            <w:r>
              <w:rPr>
                <w:rFonts w:hint="eastAsia" w:ascii="Times New Roman" w:hAnsi="宋体" w:eastAsia="宋体" w:cs="Times New Roman"/>
                <w:color w:val="FF0000"/>
                <w:kern w:val="0"/>
                <w:szCs w:val="21"/>
                <w:vertAlign w:val="superscript"/>
              </w:rPr>
              <w:t>3</w:t>
            </w:r>
            <w:r>
              <w:rPr>
                <w:rFonts w:hint="eastAsia" w:ascii="Times New Roman" w:hAnsi="宋体" w:eastAsia="宋体" w:cs="Times New Roman"/>
                <w:color w:val="FF0000"/>
                <w:kern w:val="0"/>
                <w:szCs w:val="21"/>
              </w:rPr>
              <w:t>）处理后，通过自建污水处理设施（处理规模6m</w:t>
            </w:r>
            <w:r>
              <w:rPr>
                <w:rFonts w:hint="eastAsia" w:ascii="Times New Roman" w:hAnsi="宋体" w:eastAsia="宋体" w:cs="Times New Roman"/>
                <w:color w:val="FF0000"/>
                <w:kern w:val="0"/>
                <w:szCs w:val="21"/>
                <w:vertAlign w:val="superscript"/>
              </w:rPr>
              <w:t>3</w:t>
            </w:r>
            <w:r>
              <w:rPr>
                <w:rFonts w:hint="eastAsia" w:ascii="Times New Roman" w:hAnsi="宋体" w:eastAsia="宋体" w:cs="Times New Roman"/>
                <w:color w:val="FF0000"/>
                <w:kern w:val="0"/>
                <w:szCs w:val="21"/>
              </w:rPr>
              <w:t>/d）处理后晴天回用于绿化，雨天回用于生产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709" w:type="dxa"/>
            <w:vMerge w:val="continue"/>
            <w:vAlign w:val="center"/>
          </w:tcPr>
          <w:p>
            <w:pPr>
              <w:spacing w:line="240" w:lineRule="atLeast"/>
              <w:jc w:val="center"/>
              <w:rPr>
                <w:rFonts w:ascii="Times New Roman" w:hAnsi="Times New Roman" w:eastAsia="宋体" w:cs="Times New Roman"/>
                <w:kern w:val="0"/>
                <w:szCs w:val="21"/>
              </w:rPr>
            </w:pPr>
          </w:p>
        </w:tc>
        <w:tc>
          <w:tcPr>
            <w:tcW w:w="851"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BOD</w:t>
            </w:r>
            <w:r>
              <w:rPr>
                <w:rFonts w:hint="eastAsia" w:ascii="Times New Roman" w:hAnsi="Times New Roman" w:eastAsia="宋体" w:cs="Times New Roman"/>
                <w:kern w:val="0"/>
                <w:szCs w:val="28"/>
                <w:vertAlign w:val="subscript"/>
              </w:rPr>
              <w:t>5</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200 mg/l</w:t>
            </w:r>
          </w:p>
        </w:tc>
        <w:tc>
          <w:tcPr>
            <w:tcW w:w="111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0.288</w:t>
            </w:r>
            <w:r>
              <w:rPr>
                <w:rFonts w:hint="eastAsia" w:ascii="Times New Roman" w:hAnsi="Times New Roman" w:eastAsia="宋体" w:cs="Times New Roman"/>
                <w:kern w:val="0"/>
                <w:szCs w:val="21"/>
              </w:rPr>
              <w:t xml:space="preserve"> t/a</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 mg/l</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w:t>
            </w:r>
          </w:p>
        </w:tc>
        <w:tc>
          <w:tcPr>
            <w:tcW w:w="2391"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709" w:type="dxa"/>
            <w:vMerge w:val="continue"/>
            <w:vAlign w:val="center"/>
          </w:tcPr>
          <w:p>
            <w:pPr>
              <w:spacing w:line="240" w:lineRule="atLeast"/>
              <w:jc w:val="center"/>
              <w:rPr>
                <w:rFonts w:ascii="Times New Roman" w:hAnsi="Times New Roman" w:eastAsia="宋体" w:cs="Times New Roman"/>
                <w:kern w:val="0"/>
                <w:szCs w:val="21"/>
              </w:rPr>
            </w:pPr>
          </w:p>
        </w:tc>
        <w:tc>
          <w:tcPr>
            <w:tcW w:w="851"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SS</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 mg/l</w:t>
            </w:r>
          </w:p>
        </w:tc>
        <w:tc>
          <w:tcPr>
            <w:tcW w:w="111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0.36</w:t>
            </w:r>
            <w:r>
              <w:rPr>
                <w:rFonts w:hint="eastAsia" w:ascii="Times New Roman" w:hAnsi="Times New Roman" w:eastAsia="宋体" w:cs="Times New Roman"/>
                <w:kern w:val="0"/>
                <w:szCs w:val="21"/>
              </w:rPr>
              <w:t xml:space="preserve"> t/a</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 mg/l</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w:t>
            </w:r>
          </w:p>
        </w:tc>
        <w:tc>
          <w:tcPr>
            <w:tcW w:w="2391"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709" w:type="dxa"/>
            <w:vMerge w:val="continue"/>
            <w:vAlign w:val="center"/>
          </w:tcPr>
          <w:p>
            <w:pPr>
              <w:spacing w:line="240" w:lineRule="atLeast"/>
              <w:jc w:val="center"/>
              <w:rPr>
                <w:rFonts w:ascii="Times New Roman" w:hAnsi="Times New Roman" w:eastAsia="宋体" w:cs="Times New Roman"/>
                <w:kern w:val="0"/>
                <w:szCs w:val="21"/>
              </w:rPr>
            </w:pPr>
          </w:p>
        </w:tc>
        <w:tc>
          <w:tcPr>
            <w:tcW w:w="851"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NH</w:t>
            </w:r>
            <w:r>
              <w:rPr>
                <w:rFonts w:hint="eastAsia" w:ascii="Times New Roman" w:hAnsi="Times New Roman" w:eastAsia="宋体" w:cs="Times New Roman"/>
                <w:kern w:val="0"/>
                <w:szCs w:val="28"/>
                <w:vertAlign w:val="subscript"/>
              </w:rPr>
              <w:t>3</w:t>
            </w:r>
            <w:r>
              <w:rPr>
                <w:rFonts w:hint="eastAsia" w:ascii="Times New Roman" w:hAnsi="Times New Roman" w:eastAsia="宋体" w:cs="Times New Roman"/>
                <w:kern w:val="0"/>
                <w:szCs w:val="28"/>
              </w:rPr>
              <w:t>-N</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 mg/l</w:t>
            </w:r>
          </w:p>
        </w:tc>
        <w:tc>
          <w:tcPr>
            <w:tcW w:w="111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0.0504</w:t>
            </w:r>
            <w:r>
              <w:rPr>
                <w:rFonts w:hint="eastAsia" w:ascii="Times New Roman" w:hAnsi="Times New Roman" w:eastAsia="宋体" w:cs="Times New Roman"/>
                <w:kern w:val="0"/>
                <w:szCs w:val="21"/>
              </w:rPr>
              <w:t xml:space="preserve"> t/a</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 mg/l</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w:t>
            </w:r>
          </w:p>
        </w:tc>
        <w:tc>
          <w:tcPr>
            <w:tcW w:w="2391"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709" w:type="dxa"/>
            <w:vMerge w:val="continue"/>
            <w:vAlign w:val="center"/>
          </w:tcPr>
          <w:p>
            <w:pPr>
              <w:spacing w:line="240" w:lineRule="atLeast"/>
              <w:jc w:val="center"/>
              <w:rPr>
                <w:rFonts w:ascii="Times New Roman" w:hAnsi="Times New Roman" w:eastAsia="宋体" w:cs="Times New Roman"/>
                <w:kern w:val="0"/>
                <w:szCs w:val="21"/>
              </w:rPr>
            </w:pPr>
          </w:p>
        </w:tc>
        <w:tc>
          <w:tcPr>
            <w:tcW w:w="851"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TP</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 mg/l</w:t>
            </w:r>
          </w:p>
        </w:tc>
        <w:tc>
          <w:tcPr>
            <w:tcW w:w="111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0.00144</w:t>
            </w:r>
            <w:r>
              <w:rPr>
                <w:rFonts w:hint="eastAsia" w:ascii="Times New Roman" w:hAnsi="Times New Roman" w:eastAsia="宋体" w:cs="Times New Roman"/>
                <w:kern w:val="0"/>
                <w:szCs w:val="21"/>
              </w:rPr>
              <w:t xml:space="preserve"> t/a</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 mg/l</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w:t>
            </w:r>
          </w:p>
        </w:tc>
        <w:tc>
          <w:tcPr>
            <w:tcW w:w="2391"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709" w:type="dxa"/>
            <w:vMerge w:val="continue"/>
            <w:vAlign w:val="center"/>
          </w:tcPr>
          <w:p>
            <w:pPr>
              <w:spacing w:line="240" w:lineRule="atLeast"/>
              <w:jc w:val="center"/>
              <w:rPr>
                <w:rFonts w:ascii="Times New Roman" w:hAnsi="Times New Roman" w:eastAsia="宋体" w:cs="Times New Roman"/>
                <w:kern w:val="0"/>
                <w:szCs w:val="21"/>
              </w:rPr>
            </w:pPr>
          </w:p>
        </w:tc>
        <w:tc>
          <w:tcPr>
            <w:tcW w:w="851"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动植物油</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 mg/l</w:t>
            </w:r>
          </w:p>
        </w:tc>
        <w:tc>
          <w:tcPr>
            <w:tcW w:w="111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0.144</w:t>
            </w:r>
            <w:r>
              <w:rPr>
                <w:rFonts w:hint="eastAsia" w:ascii="Times New Roman" w:hAnsi="Times New Roman" w:eastAsia="宋体" w:cs="Times New Roman"/>
                <w:kern w:val="0"/>
                <w:szCs w:val="21"/>
              </w:rPr>
              <w:t xml:space="preserve"> t/a</w:t>
            </w:r>
          </w:p>
        </w:tc>
        <w:tc>
          <w:tcPr>
            <w:tcW w:w="1153"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40 mg/l</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w:t>
            </w:r>
          </w:p>
        </w:tc>
        <w:tc>
          <w:tcPr>
            <w:tcW w:w="2391"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1560"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锅炉</w:t>
            </w:r>
            <w:r>
              <w:rPr>
                <w:rFonts w:ascii="Times New Roman" w:hAnsi="Times New Roman" w:eastAsia="宋体" w:cs="Times New Roman"/>
                <w:kern w:val="0"/>
                <w:szCs w:val="21"/>
              </w:rPr>
              <w:t>用水</w:t>
            </w:r>
          </w:p>
        </w:tc>
        <w:tc>
          <w:tcPr>
            <w:tcW w:w="2268" w:type="dxa"/>
            <w:gridSpan w:val="2"/>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22160</w:t>
            </w:r>
            <w:r>
              <w:rPr>
                <w:rFonts w:hint="eastAsia" w:ascii="Times New Roman" w:hAnsi="Times New Roman" w:eastAsia="宋体" w:cs="Times New Roman"/>
                <w:kern w:val="0"/>
                <w:szCs w:val="21"/>
              </w:rPr>
              <w:t xml:space="preserve"> m</w:t>
            </w:r>
            <w:r>
              <w:rPr>
                <w:rFonts w:hint="eastAsia" w:ascii="Times New Roman" w:hAnsi="Times New Roman" w:eastAsia="宋体" w:cs="Times New Roman"/>
                <w:kern w:val="0"/>
                <w:szCs w:val="21"/>
                <w:vertAlign w:val="superscript"/>
              </w:rPr>
              <w:t>3</w:t>
            </w:r>
            <w:r>
              <w:rPr>
                <w:rFonts w:ascii="Times New Roman" w:hAnsi="Times New Roman" w:eastAsia="宋体" w:cs="Times New Roman"/>
                <w:kern w:val="0"/>
                <w:szCs w:val="21"/>
              </w:rPr>
              <w:t>/a</w:t>
            </w:r>
          </w:p>
        </w:tc>
        <w:tc>
          <w:tcPr>
            <w:tcW w:w="2287"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rPr>
              <w:t>制备</w:t>
            </w:r>
            <w:r>
              <w:rPr>
                <w:rFonts w:ascii="Times New Roman" w:hAnsi="Times New Roman" w:eastAsia="宋体" w:cs="Times New Roman"/>
                <w:color w:val="FF0000"/>
                <w:kern w:val="0"/>
                <w:szCs w:val="21"/>
              </w:rPr>
              <w:t>软水</w:t>
            </w:r>
            <w:r>
              <w:rPr>
                <w:rFonts w:hint="eastAsia" w:ascii="Times New Roman" w:hAnsi="Times New Roman" w:eastAsia="宋体" w:cs="Times New Roman"/>
                <w:color w:val="FF0000"/>
                <w:kern w:val="0"/>
                <w:szCs w:val="21"/>
              </w:rPr>
              <w:t>时</w:t>
            </w:r>
            <w:r>
              <w:rPr>
                <w:rFonts w:ascii="Times New Roman" w:hAnsi="Times New Roman" w:eastAsia="宋体" w:cs="Times New Roman"/>
                <w:color w:val="FF0000"/>
                <w:kern w:val="0"/>
                <w:szCs w:val="21"/>
              </w:rPr>
              <w:t>产生的</w:t>
            </w:r>
            <w:r>
              <w:rPr>
                <w:rFonts w:hint="eastAsia" w:ascii="Times New Roman" w:hAnsi="Times New Roman" w:eastAsia="宋体" w:cs="Times New Roman"/>
                <w:color w:val="FF0000"/>
                <w:kern w:val="0"/>
                <w:szCs w:val="21"/>
              </w:rPr>
              <w:t>反冲洗废水回用于水膜除尘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1560"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生产用水</w:t>
            </w:r>
          </w:p>
        </w:tc>
        <w:tc>
          <w:tcPr>
            <w:tcW w:w="2268" w:type="dxa"/>
            <w:gridSpan w:val="2"/>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54300</w:t>
            </w:r>
            <w:r>
              <w:rPr>
                <w:rFonts w:hint="eastAsia" w:ascii="Times New Roman" w:hAnsi="Times New Roman" w:eastAsia="宋体" w:cs="Times New Roman"/>
                <w:kern w:val="0"/>
                <w:szCs w:val="21"/>
              </w:rPr>
              <w:t>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/a</w:t>
            </w:r>
          </w:p>
        </w:tc>
        <w:tc>
          <w:tcPr>
            <w:tcW w:w="2287"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循环使用不外排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1560"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绿化用水</w:t>
            </w:r>
          </w:p>
        </w:tc>
        <w:tc>
          <w:tcPr>
            <w:tcW w:w="2268" w:type="dxa"/>
            <w:gridSpan w:val="2"/>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5.3</w:t>
            </w:r>
            <w:r>
              <w:rPr>
                <w:rFonts w:hint="eastAsia" w:ascii="Times New Roman" w:hAnsi="Times New Roman" w:eastAsia="宋体" w:cs="Times New Roman"/>
                <w:kern w:val="0"/>
                <w:szCs w:val="21"/>
              </w:rPr>
              <w:t xml:space="preserve"> m</w:t>
            </w:r>
            <w:r>
              <w:rPr>
                <w:rFonts w:hint="eastAsia"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/d</w:t>
            </w:r>
          </w:p>
        </w:tc>
        <w:tc>
          <w:tcPr>
            <w:tcW w:w="2287"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宋体" w:eastAsia="宋体" w:cs="Times New Roman"/>
                <w:kern w:val="0"/>
                <w:szCs w:val="21"/>
              </w:rPr>
              <w:t>土地吸收渗滤、植物吸收和蒸发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噪声</w:t>
            </w:r>
          </w:p>
        </w:tc>
        <w:tc>
          <w:tcPr>
            <w:tcW w:w="1560"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生产设备</w:t>
            </w:r>
          </w:p>
        </w:tc>
        <w:tc>
          <w:tcPr>
            <w:tcW w:w="2268"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80~100dB（A）</w:t>
            </w:r>
          </w:p>
        </w:tc>
        <w:tc>
          <w:tcPr>
            <w:tcW w:w="2287"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《工业企业厂界环境噪声排放标准》3类标准</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基础减震、合理布局、厂房阻隔、绿化、距离衰减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固体废物</w:t>
            </w:r>
          </w:p>
        </w:tc>
        <w:tc>
          <w:tcPr>
            <w:tcW w:w="1560" w:type="dxa"/>
            <w:gridSpan w:val="2"/>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边角废料</w:t>
            </w:r>
          </w:p>
        </w:tc>
        <w:tc>
          <w:tcPr>
            <w:tcW w:w="2268"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100t/a</w:t>
            </w:r>
          </w:p>
        </w:tc>
        <w:tc>
          <w:tcPr>
            <w:tcW w:w="2287"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经收集后回用生产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1560" w:type="dxa"/>
            <w:gridSpan w:val="2"/>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锅炉炉渣</w:t>
            </w:r>
          </w:p>
        </w:tc>
        <w:tc>
          <w:tcPr>
            <w:tcW w:w="2268"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750t/a</w:t>
            </w:r>
          </w:p>
        </w:tc>
        <w:tc>
          <w:tcPr>
            <w:tcW w:w="2287"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391"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定期清理，经收集后暂存于</w:t>
            </w:r>
            <w:r>
              <w:rPr>
                <w:rFonts w:hint="eastAsia" w:ascii="Times New Roman" w:hAnsi="Times New Roman" w:eastAsia="宋体" w:cs="Times New Roman"/>
                <w:kern w:val="0"/>
                <w:szCs w:val="21"/>
                <w:lang w:eastAsia="zh-CN"/>
              </w:rPr>
              <w:t>炉渣</w:t>
            </w:r>
            <w:r>
              <w:rPr>
                <w:rFonts w:hint="eastAsia" w:ascii="Times New Roman" w:hAnsi="Times New Roman" w:eastAsia="宋体" w:cs="Times New Roman"/>
                <w:kern w:val="0"/>
                <w:szCs w:val="21"/>
              </w:rPr>
              <w:t>暂存</w:t>
            </w:r>
            <w:r>
              <w:rPr>
                <w:rFonts w:hint="eastAsia" w:ascii="Times New Roman" w:hAnsi="Times New Roman" w:eastAsia="宋体" w:cs="Times New Roman"/>
                <w:kern w:val="0"/>
                <w:szCs w:val="21"/>
                <w:lang w:eastAsia="zh-CN"/>
              </w:rPr>
              <w:t>减</w:t>
            </w:r>
            <w:r>
              <w:rPr>
                <w:rFonts w:hint="eastAsia" w:ascii="Times New Roman" w:hAnsi="Times New Roman" w:eastAsia="宋体" w:cs="Times New Roman"/>
                <w:kern w:val="0"/>
                <w:szCs w:val="21"/>
              </w:rPr>
              <w:t>，达到一定量时用于</w:t>
            </w:r>
            <w:r>
              <w:rPr>
                <w:rFonts w:ascii="Times New Roman" w:hAnsi="Times New Roman" w:eastAsia="宋体" w:cs="Times New Roman"/>
                <w:kern w:val="0"/>
                <w:szCs w:val="21"/>
              </w:rPr>
              <w:t>周边农田还田</w:t>
            </w:r>
            <w:r>
              <w:rPr>
                <w:rFonts w:hint="eastAsia" w:ascii="Times New Roman" w:hAnsi="Times New Roman" w:eastAsia="宋体" w:cs="Times New Roman"/>
                <w:kern w:val="0"/>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1560" w:type="dxa"/>
            <w:gridSpan w:val="2"/>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除尘器除尘废水循环沉淀池污泥</w:t>
            </w:r>
          </w:p>
        </w:tc>
        <w:tc>
          <w:tcPr>
            <w:tcW w:w="2268" w:type="dxa"/>
            <w:gridSpan w:val="2"/>
            <w:vAlign w:val="center"/>
          </w:tcPr>
          <w:p>
            <w:pPr>
              <w:spacing w:line="24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178.6</w:t>
            </w:r>
            <w:r>
              <w:rPr>
                <w:rFonts w:hint="eastAsia" w:ascii="Times New Roman" w:hAnsi="Times New Roman" w:eastAsia="宋体" w:cs="Times New Roman"/>
                <w:kern w:val="0"/>
                <w:szCs w:val="21"/>
              </w:rPr>
              <w:t>t/a</w:t>
            </w:r>
          </w:p>
        </w:tc>
        <w:tc>
          <w:tcPr>
            <w:tcW w:w="2287"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391"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1560" w:type="dxa"/>
            <w:gridSpan w:val="2"/>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化粪池及污水处理系统污泥</w:t>
            </w:r>
          </w:p>
        </w:tc>
        <w:tc>
          <w:tcPr>
            <w:tcW w:w="2268"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1.44t/a</w:t>
            </w:r>
          </w:p>
        </w:tc>
        <w:tc>
          <w:tcPr>
            <w:tcW w:w="2287"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委托环卫部门定期清掏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1560" w:type="dxa"/>
            <w:gridSpan w:val="2"/>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生活垃圾</w:t>
            </w:r>
          </w:p>
        </w:tc>
        <w:tc>
          <w:tcPr>
            <w:tcW w:w="2268"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9t/a</w:t>
            </w:r>
          </w:p>
        </w:tc>
        <w:tc>
          <w:tcPr>
            <w:tcW w:w="2287" w:type="dxa"/>
            <w:gridSpan w:val="2"/>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2391"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通过垃圾桶收集，交由环卫部门统一清运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spacing w:line="240" w:lineRule="atLeast"/>
              <w:jc w:val="center"/>
              <w:rPr>
                <w:rFonts w:ascii="Times New Roman" w:hAnsi="Times New Roman" w:eastAsia="宋体" w:cs="Times New Roman"/>
                <w:kern w:val="0"/>
                <w:szCs w:val="21"/>
              </w:rPr>
            </w:pPr>
          </w:p>
        </w:tc>
        <w:tc>
          <w:tcPr>
            <w:tcW w:w="1560" w:type="dxa"/>
            <w:gridSpan w:val="2"/>
            <w:vAlign w:val="center"/>
          </w:tcPr>
          <w:p>
            <w:pPr>
              <w:spacing w:line="240" w:lineRule="atLeast"/>
              <w:jc w:val="center"/>
              <w:rPr>
                <w:rFonts w:hint="eastAsia" w:ascii="Times New Roman" w:hAnsi="Times New Roman" w:eastAsia="宋体" w:cs="Times New Roman"/>
                <w:kern w:val="0"/>
                <w:szCs w:val="28"/>
              </w:rPr>
            </w:pPr>
            <w:r>
              <w:rPr>
                <w:rFonts w:hint="eastAsia" w:ascii="Times New Roman" w:hAnsi="Times New Roman" w:eastAsia="宋体" w:cs="Times New Roman"/>
                <w:kern w:val="0"/>
                <w:szCs w:val="28"/>
              </w:rPr>
              <w:t>废树脂</w:t>
            </w:r>
          </w:p>
        </w:tc>
        <w:tc>
          <w:tcPr>
            <w:tcW w:w="2268" w:type="dxa"/>
            <w:gridSpan w:val="2"/>
            <w:vAlign w:val="center"/>
          </w:tcPr>
          <w:p>
            <w:pPr>
              <w:spacing w:line="240" w:lineRule="atLeast"/>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8"/>
              </w:rPr>
              <w:t>0.8</w:t>
            </w:r>
            <w:r>
              <w:rPr>
                <w:rFonts w:hint="eastAsia" w:ascii="Times New Roman" w:hAnsi="Times New Roman" w:eastAsia="宋体" w:cs="Times New Roman"/>
                <w:kern w:val="0"/>
                <w:szCs w:val="28"/>
                <w:lang w:val="en-US" w:eastAsia="zh-CN"/>
              </w:rPr>
              <w:t>t</w:t>
            </w:r>
            <w:r>
              <w:rPr>
                <w:rFonts w:hint="eastAsia" w:ascii="Times New Roman" w:hAnsi="Times New Roman" w:eastAsia="宋体" w:cs="Times New Roman"/>
                <w:kern w:val="0"/>
                <w:szCs w:val="21"/>
              </w:rPr>
              <w:t>/a</w:t>
            </w:r>
          </w:p>
        </w:tc>
        <w:tc>
          <w:tcPr>
            <w:tcW w:w="2287" w:type="dxa"/>
            <w:gridSpan w:val="2"/>
            <w:vAlign w:val="center"/>
          </w:tcPr>
          <w:p>
            <w:pPr>
              <w:spacing w:line="240" w:lineRule="atLeas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w:t>
            </w:r>
          </w:p>
        </w:tc>
        <w:tc>
          <w:tcPr>
            <w:tcW w:w="2391" w:type="dxa"/>
            <w:vAlign w:val="center"/>
          </w:tcPr>
          <w:p>
            <w:pPr>
              <w:spacing w:line="240" w:lineRule="atLeast"/>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8"/>
              </w:rPr>
              <w:t>由更换单位处理，不在项目区收集储存</w:t>
            </w:r>
          </w:p>
        </w:tc>
      </w:tr>
    </w:tbl>
    <w:p>
      <w:pPr>
        <w:pStyle w:val="5"/>
        <w:ind w:firstLine="562"/>
        <w:rPr>
          <w:rFonts w:hAnsi="Times New Roman"/>
        </w:rPr>
      </w:pPr>
      <w:bookmarkStart w:id="154" w:name="_Toc22391"/>
      <w:bookmarkStart w:id="155" w:name="_Toc25103"/>
      <w:bookmarkStart w:id="156" w:name="_Toc23843339"/>
      <w:r>
        <w:rPr>
          <w:rFonts w:hint="eastAsia" w:hAnsi="Times New Roman"/>
        </w:rPr>
        <w:t>3.3项目合理性分析</w:t>
      </w:r>
      <w:bookmarkEnd w:id="154"/>
      <w:bookmarkEnd w:id="155"/>
      <w:bookmarkEnd w:id="156"/>
    </w:p>
    <w:p>
      <w:pPr>
        <w:pStyle w:val="6"/>
        <w:spacing w:line="360" w:lineRule="auto"/>
        <w:ind w:firstLine="482" w:firstLineChars="200"/>
        <w:rPr>
          <w:rFonts w:ascii="Times New Roman" w:hAnsi="Times New Roman"/>
          <w:color w:val="000000"/>
          <w:sz w:val="24"/>
          <w:szCs w:val="24"/>
        </w:rPr>
      </w:pPr>
      <w:bookmarkStart w:id="157" w:name="_Toc22889"/>
      <w:r>
        <w:rPr>
          <w:rFonts w:hint="eastAsia" w:ascii="Times New Roman" w:hAnsi="Times New Roman" w:eastAsia="宋体" w:cs="Times New Roman"/>
          <w:sz w:val="24"/>
        </w:rPr>
        <w:t>3.3.1产业政策符合性分析</w:t>
      </w:r>
      <w:bookmarkEnd w:id="157"/>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本项目为新建10万吨/年环保新材料石粉复合果蔬包装生产线项目</w:t>
      </w:r>
      <w:r>
        <w:rPr>
          <w:rFonts w:hint="eastAsia" w:ascii="Times New Roman" w:hAnsi="Times New Roman"/>
          <w:color w:val="FF0000"/>
          <w:sz w:val="24"/>
          <w:szCs w:val="24"/>
        </w:rPr>
        <w:t>，根据中华人民共和国国家发展和改革委员会令第29号《产业结构调整指导目录（201</w:t>
      </w:r>
      <w:r>
        <w:rPr>
          <w:rFonts w:ascii="Times New Roman" w:hAnsi="Times New Roman"/>
          <w:color w:val="FF0000"/>
          <w:sz w:val="24"/>
          <w:szCs w:val="24"/>
        </w:rPr>
        <w:t>9</w:t>
      </w:r>
      <w:r>
        <w:rPr>
          <w:rFonts w:hint="eastAsia" w:ascii="Times New Roman" w:hAnsi="Times New Roman"/>
          <w:color w:val="FF0000"/>
          <w:sz w:val="24"/>
          <w:szCs w:val="24"/>
        </w:rPr>
        <w:t>年本）》</w:t>
      </w:r>
      <w:r>
        <w:rPr>
          <w:rFonts w:hint="eastAsia" w:ascii="Times New Roman" w:hAnsi="Times New Roman"/>
          <w:color w:val="000000"/>
          <w:sz w:val="24"/>
          <w:szCs w:val="24"/>
        </w:rPr>
        <w:t>和《云南省工业产业结构调整指导目录（2006年本）》，本项目不属于其中限制类和淘汰类，属于鼓励类。</w:t>
      </w:r>
    </w:p>
    <w:p>
      <w:pPr>
        <w:spacing w:line="360" w:lineRule="auto"/>
        <w:ind w:firstLine="480" w:firstLineChars="200"/>
        <w:rPr>
          <w:rFonts w:hint="eastAsia" w:ascii="Times New Roman" w:hAnsi="Times New Roman" w:eastAsiaTheme="minorEastAsia"/>
          <w:color w:val="000000"/>
          <w:sz w:val="24"/>
          <w:szCs w:val="24"/>
          <w:lang w:eastAsia="zh-CN"/>
        </w:rPr>
      </w:pPr>
      <w:r>
        <w:rPr>
          <w:rFonts w:hint="eastAsia" w:ascii="Times New Roman" w:hAnsi="Times New Roman"/>
          <w:color w:val="000000"/>
          <w:sz w:val="24"/>
          <w:szCs w:val="24"/>
        </w:rPr>
        <w:t>本项目已于时间2018年12月27日获得元谋县发展和改革局建设项目备案文件，备案编号：5323282018120447</w:t>
      </w:r>
      <w:r>
        <w:rPr>
          <w:rFonts w:hint="eastAsia" w:ascii="Times New Roman" w:hAnsi="Times New Roman"/>
          <w:color w:val="000000"/>
          <w:sz w:val="24"/>
          <w:szCs w:val="24"/>
          <w:lang w:eastAsia="zh-CN"/>
        </w:rPr>
        <w:t>。</w:t>
      </w:r>
    </w:p>
    <w:p>
      <w:pPr>
        <w:pStyle w:val="6"/>
        <w:spacing w:line="360" w:lineRule="auto"/>
        <w:ind w:firstLine="482" w:firstLineChars="200"/>
        <w:rPr>
          <w:rFonts w:ascii="Times New Roman" w:hAnsi="Times New Roman" w:eastAsia="宋体" w:cs="Times New Roman"/>
          <w:sz w:val="24"/>
        </w:rPr>
      </w:pPr>
      <w:bookmarkStart w:id="158" w:name="_Toc23843341"/>
      <w:bookmarkStart w:id="159" w:name="_Toc3663"/>
      <w:bookmarkStart w:id="160" w:name="_Toc23843342"/>
      <w:r>
        <w:rPr>
          <w:rFonts w:hint="eastAsia" w:ascii="Times New Roman" w:hAnsi="Times New Roman" w:eastAsia="宋体" w:cs="Times New Roman"/>
          <w:sz w:val="24"/>
        </w:rPr>
        <w:t>3.3.2选址可行性分析</w:t>
      </w:r>
      <w:bookmarkEnd w:id="158"/>
      <w:bookmarkEnd w:id="159"/>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根据环境质量现状调查及现状监测，拟建项目所在区域环境空气质量满足《环境空气质量标准》（GB3095-2012）中二级标准要求，声环境质量满足《声环境质量标准》（GB3096-2008）中的3类标准，地表水环境质量满足《地表水环境质量标准》（GB/T14848-2017）中的</w:t>
      </w:r>
      <w:r>
        <w:rPr>
          <w:rFonts w:hint="eastAsia" w:ascii="Times New Roman" w:hAnsi="Times New Roman"/>
          <w:color w:val="000000"/>
          <w:sz w:val="24"/>
          <w:szCs w:val="24"/>
        </w:rPr>
        <w:fldChar w:fldCharType="begin"/>
      </w:r>
      <w:r>
        <w:rPr>
          <w:rFonts w:hint="eastAsia" w:ascii="Times New Roman" w:hAnsi="Times New Roman"/>
          <w:color w:val="000000"/>
          <w:sz w:val="24"/>
          <w:szCs w:val="24"/>
        </w:rPr>
        <w:instrText xml:space="preserve"> = 4 \* ROMAN \* MERGEFORMAT </w:instrText>
      </w:r>
      <w:r>
        <w:rPr>
          <w:rFonts w:hint="eastAsia" w:ascii="Times New Roman" w:hAnsi="Times New Roman"/>
          <w:color w:val="000000"/>
          <w:sz w:val="24"/>
          <w:szCs w:val="24"/>
        </w:rPr>
        <w:fldChar w:fldCharType="separate"/>
      </w:r>
      <w:r>
        <w:rPr>
          <w:sz w:val="24"/>
          <w:szCs w:val="24"/>
        </w:rPr>
        <w:t>IV</w:t>
      </w:r>
      <w:r>
        <w:rPr>
          <w:rFonts w:hint="eastAsia" w:ascii="Times New Roman" w:hAnsi="Times New Roman"/>
          <w:color w:val="000000"/>
          <w:sz w:val="24"/>
          <w:szCs w:val="24"/>
        </w:rPr>
        <w:fldChar w:fldCharType="end"/>
      </w:r>
      <w:r>
        <w:rPr>
          <w:rFonts w:hint="eastAsia" w:ascii="Times New Roman" w:hAnsi="Times New Roman"/>
          <w:color w:val="000000"/>
          <w:sz w:val="24"/>
          <w:szCs w:val="24"/>
        </w:rPr>
        <w:t>类标准，项目所在地生态环境一般，本项目位于工业园区内，项目建设与周边环境相容及项目污染物得到妥善处置后对周边的环境不会造成较大影响、不会改变当地的环境质量；</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2、项目于2019年2月14日取得了元谋县工业园区管理委员会给出的项目选址意见书（选字第53232820190001号）；</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3、项目位于元谋县工业园区金雷片区，通过现场的踏勘与调查环境空气质量、地表水质量以及声环境质量均较好，有一定的环境容量。</w:t>
      </w:r>
    </w:p>
    <w:p>
      <w:pPr>
        <w:pStyle w:val="6"/>
        <w:spacing w:line="360" w:lineRule="auto"/>
        <w:ind w:firstLine="482" w:firstLineChars="200"/>
        <w:rPr>
          <w:rFonts w:ascii="Times New Roman" w:hAnsi="Times New Roman" w:eastAsia="宋体" w:cs="Times New Roman"/>
          <w:sz w:val="24"/>
        </w:rPr>
      </w:pPr>
      <w:bookmarkStart w:id="161" w:name="_Toc32216"/>
      <w:r>
        <w:rPr>
          <w:rFonts w:hint="eastAsia" w:ascii="Times New Roman" w:hAnsi="Times New Roman" w:eastAsia="宋体" w:cs="Times New Roman"/>
          <w:sz w:val="24"/>
        </w:rPr>
        <w:t>3.3.3规划符合性分析</w:t>
      </w:r>
      <w:bookmarkEnd w:id="160"/>
      <w:bookmarkEnd w:id="161"/>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《元谋工业园区总体规划修编</w:t>
      </w:r>
      <w:r>
        <w:rPr>
          <w:rFonts w:ascii="Times New Roman" w:hAnsi="Times New Roman"/>
          <w:color w:val="000000"/>
          <w:sz w:val="24"/>
          <w:szCs w:val="24"/>
        </w:rPr>
        <w:t>（</w:t>
      </w:r>
      <w:r>
        <w:rPr>
          <w:rFonts w:hint="eastAsia" w:ascii="Times New Roman" w:hAnsi="Times New Roman"/>
          <w:color w:val="000000"/>
          <w:sz w:val="24"/>
          <w:szCs w:val="24"/>
        </w:rPr>
        <w:t>2018</w:t>
      </w:r>
      <w:r>
        <w:rPr>
          <w:rFonts w:ascii="Times New Roman" w:hAnsi="Times New Roman"/>
          <w:color w:val="000000"/>
          <w:sz w:val="24"/>
          <w:szCs w:val="24"/>
        </w:rPr>
        <w:t>-2025）</w:t>
      </w:r>
      <w:r>
        <w:rPr>
          <w:rFonts w:hint="eastAsia" w:ascii="Times New Roman" w:hAnsi="Times New Roman"/>
          <w:color w:val="000000"/>
          <w:sz w:val="24"/>
          <w:szCs w:val="24"/>
        </w:rPr>
        <w:t>环境影响报告书》于201</w:t>
      </w:r>
      <w:r>
        <w:rPr>
          <w:rFonts w:ascii="Times New Roman" w:hAnsi="Times New Roman"/>
          <w:color w:val="000000"/>
          <w:sz w:val="24"/>
          <w:szCs w:val="24"/>
        </w:rPr>
        <w:t>9</w:t>
      </w:r>
      <w:r>
        <w:rPr>
          <w:rFonts w:hint="eastAsia" w:ascii="Times New Roman" w:hAnsi="Times New Roman"/>
          <w:color w:val="000000"/>
          <w:sz w:val="24"/>
          <w:szCs w:val="24"/>
        </w:rPr>
        <w:t>年</w:t>
      </w:r>
      <w:r>
        <w:rPr>
          <w:rFonts w:ascii="Times New Roman" w:hAnsi="Times New Roman"/>
          <w:color w:val="000000"/>
          <w:sz w:val="24"/>
          <w:szCs w:val="24"/>
        </w:rPr>
        <w:t>8</w:t>
      </w:r>
      <w:r>
        <w:rPr>
          <w:rFonts w:hint="eastAsia" w:ascii="Times New Roman" w:hAnsi="Times New Roman"/>
          <w:color w:val="000000"/>
          <w:sz w:val="24"/>
          <w:szCs w:val="24"/>
        </w:rPr>
        <w:t>月</w:t>
      </w:r>
      <w:r>
        <w:rPr>
          <w:rFonts w:ascii="Times New Roman" w:hAnsi="Times New Roman"/>
          <w:color w:val="000000"/>
          <w:sz w:val="24"/>
          <w:szCs w:val="24"/>
        </w:rPr>
        <w:t>30</w:t>
      </w:r>
      <w:r>
        <w:rPr>
          <w:rFonts w:hint="eastAsia" w:ascii="Times New Roman" w:hAnsi="Times New Roman"/>
          <w:color w:val="000000"/>
          <w:sz w:val="24"/>
          <w:szCs w:val="24"/>
        </w:rPr>
        <w:t>日由楚雄州环境保护局审定；于201</w:t>
      </w:r>
      <w:r>
        <w:rPr>
          <w:rFonts w:ascii="Times New Roman" w:hAnsi="Times New Roman"/>
          <w:color w:val="000000"/>
          <w:sz w:val="24"/>
          <w:szCs w:val="24"/>
        </w:rPr>
        <w:t>9</w:t>
      </w:r>
      <w:r>
        <w:rPr>
          <w:rFonts w:hint="eastAsia" w:ascii="Times New Roman" w:hAnsi="Times New Roman"/>
          <w:color w:val="000000"/>
          <w:sz w:val="24"/>
          <w:szCs w:val="24"/>
        </w:rPr>
        <w:t>年</w:t>
      </w:r>
      <w:r>
        <w:rPr>
          <w:rFonts w:ascii="Times New Roman" w:hAnsi="Times New Roman"/>
          <w:color w:val="000000"/>
          <w:sz w:val="24"/>
          <w:szCs w:val="24"/>
        </w:rPr>
        <w:t>10</w:t>
      </w:r>
      <w:r>
        <w:rPr>
          <w:rFonts w:hint="eastAsia" w:ascii="Times New Roman" w:hAnsi="Times New Roman"/>
          <w:color w:val="000000"/>
          <w:sz w:val="24"/>
          <w:szCs w:val="24"/>
        </w:rPr>
        <w:t>月</w:t>
      </w:r>
      <w:r>
        <w:rPr>
          <w:rFonts w:ascii="Times New Roman" w:hAnsi="Times New Roman"/>
          <w:color w:val="000000"/>
          <w:sz w:val="24"/>
          <w:szCs w:val="24"/>
        </w:rPr>
        <w:t>17</w:t>
      </w:r>
      <w:r>
        <w:rPr>
          <w:rFonts w:hint="eastAsia" w:ascii="Times New Roman" w:hAnsi="Times New Roman"/>
          <w:color w:val="000000"/>
          <w:sz w:val="24"/>
          <w:szCs w:val="24"/>
        </w:rPr>
        <w:t>日通过楚雄州环境保护局的审查并取得了&lt;楚雄州环境保护局关于提交《元谋工业园区总体规划修编</w:t>
      </w:r>
      <w:r>
        <w:rPr>
          <w:rFonts w:ascii="Times New Roman" w:hAnsi="Times New Roman"/>
          <w:color w:val="000000"/>
          <w:sz w:val="24"/>
          <w:szCs w:val="24"/>
        </w:rPr>
        <w:t>（</w:t>
      </w:r>
      <w:r>
        <w:rPr>
          <w:rFonts w:hint="eastAsia" w:ascii="Times New Roman" w:hAnsi="Times New Roman"/>
          <w:color w:val="000000"/>
          <w:sz w:val="24"/>
          <w:szCs w:val="24"/>
        </w:rPr>
        <w:t>2018</w:t>
      </w:r>
      <w:r>
        <w:rPr>
          <w:rFonts w:ascii="Times New Roman" w:hAnsi="Times New Roman"/>
          <w:color w:val="000000"/>
          <w:sz w:val="24"/>
          <w:szCs w:val="24"/>
        </w:rPr>
        <w:t>-2020）</w:t>
      </w:r>
      <w:r>
        <w:rPr>
          <w:rFonts w:hint="eastAsia" w:ascii="Times New Roman" w:hAnsi="Times New Roman"/>
          <w:color w:val="000000"/>
          <w:sz w:val="24"/>
          <w:szCs w:val="24"/>
        </w:rPr>
        <w:t>环境影响报告书》审查意见的函&gt;。元谋工业园区总体规划为一园二</w:t>
      </w:r>
      <w:r>
        <w:rPr>
          <w:rFonts w:ascii="Times New Roman" w:hAnsi="Times New Roman"/>
          <w:color w:val="000000"/>
          <w:sz w:val="24"/>
          <w:szCs w:val="24"/>
        </w:rPr>
        <w:t>地块，金雷片区和新桥片区</w:t>
      </w:r>
      <w:r>
        <w:rPr>
          <w:rFonts w:hint="eastAsia" w:ascii="Times New Roman" w:hAnsi="Times New Roman"/>
          <w:color w:val="000000"/>
          <w:sz w:val="24"/>
          <w:szCs w:val="24"/>
        </w:rPr>
        <w:t>，本项目位于元谋工业</w:t>
      </w:r>
      <w:r>
        <w:rPr>
          <w:rFonts w:ascii="Times New Roman" w:hAnsi="Times New Roman"/>
          <w:color w:val="000000"/>
          <w:sz w:val="24"/>
          <w:szCs w:val="24"/>
        </w:rPr>
        <w:t>园区</w:t>
      </w:r>
      <w:r>
        <w:rPr>
          <w:rFonts w:hint="eastAsia" w:ascii="Times New Roman" w:hAnsi="Times New Roman"/>
          <w:color w:val="000000"/>
          <w:sz w:val="24"/>
          <w:szCs w:val="24"/>
        </w:rPr>
        <w:t>金雷片区，该片区产业功能定位主要以特色食品</w:t>
      </w:r>
      <w:r>
        <w:rPr>
          <w:rFonts w:ascii="Times New Roman" w:hAnsi="Times New Roman"/>
          <w:color w:val="000000"/>
          <w:sz w:val="24"/>
          <w:szCs w:val="24"/>
        </w:rPr>
        <w:t>制造、轻工制造产业和装备制造产业</w:t>
      </w:r>
      <w:r>
        <w:rPr>
          <w:rFonts w:hint="eastAsia" w:ascii="Times New Roman" w:hAnsi="Times New Roman"/>
          <w:color w:val="000000"/>
          <w:sz w:val="24"/>
          <w:szCs w:val="24"/>
        </w:rPr>
        <w:t>为主导，本项目符合产业园区产业功能定位。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根据《楚雄工业园区总体规划修编</w:t>
      </w:r>
      <w:r>
        <w:rPr>
          <w:rFonts w:ascii="Times New Roman" w:hAnsi="Times New Roman"/>
          <w:color w:val="000000"/>
          <w:sz w:val="24"/>
          <w:szCs w:val="24"/>
        </w:rPr>
        <w:t>（</w:t>
      </w:r>
      <w:r>
        <w:rPr>
          <w:rFonts w:hint="eastAsia" w:ascii="Times New Roman" w:hAnsi="Times New Roman"/>
          <w:color w:val="000000"/>
          <w:sz w:val="24"/>
          <w:szCs w:val="24"/>
        </w:rPr>
        <w:t>2018</w:t>
      </w:r>
      <w:r>
        <w:rPr>
          <w:rFonts w:ascii="Times New Roman" w:hAnsi="Times New Roman"/>
          <w:color w:val="000000"/>
          <w:sz w:val="24"/>
          <w:szCs w:val="24"/>
        </w:rPr>
        <w:t>-2020）</w:t>
      </w:r>
      <w:r>
        <w:rPr>
          <w:rFonts w:hint="eastAsia" w:ascii="Times New Roman" w:hAnsi="Times New Roman"/>
          <w:color w:val="000000"/>
          <w:sz w:val="24"/>
          <w:szCs w:val="24"/>
        </w:rPr>
        <w:t>环境影响报告书》及其审查意见，本项目符合园区总体规划。</w:t>
      </w:r>
    </w:p>
    <w:p>
      <w:pPr>
        <w:pStyle w:val="6"/>
        <w:spacing w:line="360" w:lineRule="auto"/>
        <w:ind w:firstLine="482" w:firstLineChars="200"/>
        <w:rPr>
          <w:rFonts w:ascii="Times New Roman" w:hAnsi="Times New Roman" w:eastAsia="宋体" w:cs="Times New Roman"/>
          <w:sz w:val="24"/>
        </w:rPr>
      </w:pPr>
      <w:bookmarkStart w:id="162" w:name="_Toc23843343"/>
      <w:bookmarkStart w:id="163" w:name="_Toc2369"/>
      <w:r>
        <w:rPr>
          <w:rFonts w:hint="eastAsia" w:ascii="Times New Roman" w:hAnsi="Times New Roman" w:eastAsia="宋体" w:cs="Times New Roman"/>
          <w:sz w:val="24"/>
        </w:rPr>
        <w:t>3.</w:t>
      </w:r>
      <w:r>
        <w:rPr>
          <w:rFonts w:ascii="Times New Roman" w:hAnsi="Times New Roman" w:eastAsia="宋体" w:cs="Times New Roman"/>
          <w:sz w:val="24"/>
        </w:rPr>
        <w:t>3</w:t>
      </w:r>
      <w:r>
        <w:rPr>
          <w:rFonts w:hint="eastAsia" w:ascii="Times New Roman" w:hAnsi="Times New Roman" w:eastAsia="宋体" w:cs="Times New Roman"/>
          <w:sz w:val="24"/>
        </w:rPr>
        <w:t>.4建设</w:t>
      </w:r>
      <w:r>
        <w:rPr>
          <w:rFonts w:ascii="Times New Roman" w:hAnsi="Times New Roman" w:eastAsia="宋体" w:cs="Times New Roman"/>
          <w:sz w:val="24"/>
        </w:rPr>
        <w:t>项目</w:t>
      </w:r>
      <w:r>
        <w:rPr>
          <w:rFonts w:hint="eastAsia" w:ascii="Times New Roman" w:hAnsi="Times New Roman" w:eastAsia="宋体" w:cs="Times New Roman"/>
          <w:sz w:val="24"/>
        </w:rPr>
        <w:t>“</w:t>
      </w:r>
      <w:r>
        <w:rPr>
          <w:rFonts w:ascii="Times New Roman" w:hAnsi="Times New Roman" w:eastAsia="宋体" w:cs="Times New Roman"/>
          <w:sz w:val="24"/>
        </w:rPr>
        <w:t>三线一单</w:t>
      </w:r>
      <w:r>
        <w:rPr>
          <w:rFonts w:hint="eastAsia" w:ascii="Times New Roman" w:hAnsi="Times New Roman" w:eastAsia="宋体" w:cs="Times New Roman"/>
          <w:sz w:val="24"/>
        </w:rPr>
        <w:t>”</w:t>
      </w:r>
      <w:r>
        <w:rPr>
          <w:rFonts w:ascii="Times New Roman" w:hAnsi="Times New Roman" w:eastAsia="宋体" w:cs="Times New Roman"/>
          <w:sz w:val="24"/>
        </w:rPr>
        <w:t>符合性分析</w:t>
      </w:r>
      <w:bookmarkEnd w:id="162"/>
      <w:bookmarkEnd w:id="163"/>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“三线</w:t>
      </w:r>
      <w:r>
        <w:rPr>
          <w:rFonts w:ascii="Times New Roman" w:hAnsi="Times New Roman"/>
          <w:color w:val="000000"/>
          <w:sz w:val="24"/>
          <w:szCs w:val="24"/>
        </w:rPr>
        <w:t>一单</w:t>
      </w:r>
      <w:r>
        <w:rPr>
          <w:rFonts w:hint="eastAsia" w:ascii="Times New Roman" w:hAnsi="Times New Roman"/>
          <w:color w:val="000000"/>
          <w:sz w:val="24"/>
          <w:szCs w:val="24"/>
        </w:rPr>
        <w:t>”指的</w:t>
      </w:r>
      <w:r>
        <w:rPr>
          <w:rFonts w:ascii="Times New Roman" w:hAnsi="Times New Roman"/>
          <w:color w:val="000000"/>
          <w:sz w:val="24"/>
          <w:szCs w:val="24"/>
        </w:rPr>
        <w:t>是生态保护红线、环境质量底线、资源利用上线以及负面清单。本</w:t>
      </w:r>
      <w:r>
        <w:rPr>
          <w:rFonts w:hint="eastAsia" w:ascii="Times New Roman" w:hAnsi="Times New Roman"/>
          <w:color w:val="000000"/>
          <w:sz w:val="24"/>
          <w:szCs w:val="24"/>
        </w:rPr>
        <w:t>项目</w:t>
      </w:r>
      <w:r>
        <w:rPr>
          <w:rFonts w:ascii="Times New Roman" w:hAnsi="Times New Roman"/>
          <w:color w:val="000000"/>
          <w:sz w:val="24"/>
          <w:szCs w:val="24"/>
        </w:rPr>
        <w:t>所在地为</w:t>
      </w:r>
      <w:r>
        <w:rPr>
          <w:rFonts w:hint="eastAsia" w:ascii="Times New Roman" w:hAnsi="Times New Roman"/>
          <w:color w:val="000000"/>
          <w:sz w:val="24"/>
          <w:szCs w:val="24"/>
        </w:rPr>
        <w:t>元谋县工业园区金雷片区，</w:t>
      </w:r>
      <w:r>
        <w:rPr>
          <w:rFonts w:ascii="Times New Roman" w:hAnsi="Times New Roman"/>
          <w:color w:val="000000"/>
          <w:sz w:val="24"/>
          <w:szCs w:val="24"/>
        </w:rPr>
        <w:t>项目所在地不属于</w:t>
      </w:r>
      <w:r>
        <w:rPr>
          <w:rFonts w:hint="eastAsia" w:ascii="Times New Roman" w:hAnsi="Times New Roman"/>
          <w:color w:val="000000"/>
          <w:sz w:val="24"/>
          <w:szCs w:val="24"/>
        </w:rPr>
        <w:t>自然</w:t>
      </w:r>
      <w:r>
        <w:rPr>
          <w:rFonts w:ascii="Times New Roman" w:hAnsi="Times New Roman"/>
          <w:color w:val="000000"/>
          <w:sz w:val="24"/>
          <w:szCs w:val="24"/>
        </w:rPr>
        <w:t>生态红线区，</w:t>
      </w:r>
      <w:r>
        <w:rPr>
          <w:rFonts w:hint="eastAsia" w:ascii="Times New Roman" w:hAnsi="Times New Roman"/>
          <w:color w:val="000000"/>
          <w:sz w:val="24"/>
          <w:szCs w:val="24"/>
        </w:rPr>
        <w:t>符合</w:t>
      </w:r>
      <w:r>
        <w:rPr>
          <w:rFonts w:ascii="Times New Roman" w:hAnsi="Times New Roman"/>
          <w:color w:val="000000"/>
          <w:sz w:val="24"/>
          <w:szCs w:val="24"/>
        </w:rPr>
        <w:t>生态保护红线要求；根据项目所在地环境质量现状</w:t>
      </w:r>
      <w:r>
        <w:rPr>
          <w:rFonts w:hint="eastAsia" w:ascii="Times New Roman" w:hAnsi="Times New Roman"/>
          <w:color w:val="000000"/>
          <w:sz w:val="24"/>
          <w:szCs w:val="24"/>
        </w:rPr>
        <w:t>调查</w:t>
      </w:r>
      <w:r>
        <w:rPr>
          <w:rFonts w:ascii="Times New Roman" w:hAnsi="Times New Roman"/>
          <w:color w:val="000000"/>
          <w:sz w:val="24"/>
          <w:szCs w:val="24"/>
        </w:rPr>
        <w:t>和污染物</w:t>
      </w:r>
      <w:r>
        <w:rPr>
          <w:rFonts w:hint="eastAsia" w:ascii="Times New Roman" w:hAnsi="Times New Roman"/>
          <w:color w:val="000000"/>
          <w:sz w:val="24"/>
          <w:szCs w:val="24"/>
        </w:rPr>
        <w:t>环境</w:t>
      </w:r>
      <w:r>
        <w:rPr>
          <w:rFonts w:ascii="Times New Roman" w:hAnsi="Times New Roman"/>
          <w:color w:val="000000"/>
          <w:sz w:val="24"/>
          <w:szCs w:val="24"/>
        </w:rPr>
        <w:t>影响预测，本项目实施后对区域内环境影响</w:t>
      </w:r>
      <w:r>
        <w:rPr>
          <w:rFonts w:hint="eastAsia" w:ascii="Times New Roman" w:hAnsi="Times New Roman"/>
          <w:color w:val="000000"/>
          <w:sz w:val="24"/>
          <w:szCs w:val="24"/>
        </w:rPr>
        <w:t>较小</w:t>
      </w:r>
      <w:r>
        <w:rPr>
          <w:rFonts w:ascii="Times New Roman" w:hAnsi="Times New Roman"/>
          <w:color w:val="000000"/>
          <w:sz w:val="24"/>
          <w:szCs w:val="24"/>
        </w:rPr>
        <w:t>。环境</w:t>
      </w:r>
      <w:r>
        <w:rPr>
          <w:rFonts w:hint="eastAsia" w:ascii="Times New Roman" w:hAnsi="Times New Roman"/>
          <w:color w:val="000000"/>
          <w:sz w:val="24"/>
          <w:szCs w:val="24"/>
        </w:rPr>
        <w:t>质量</w:t>
      </w:r>
      <w:r>
        <w:rPr>
          <w:rFonts w:ascii="Times New Roman" w:hAnsi="Times New Roman"/>
          <w:color w:val="000000"/>
          <w:sz w:val="24"/>
          <w:szCs w:val="24"/>
        </w:rPr>
        <w:t>可以保持现有水平，符合环境质量底线要求；本项目综合利用产生固废，实现固体废物的减量化和资源化，符合资源利用上线要求；本项目不属于环境功能区划中的负面清单项目。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因此</w:t>
      </w:r>
      <w:r>
        <w:rPr>
          <w:rFonts w:ascii="Times New Roman" w:hAnsi="Times New Roman"/>
          <w:color w:val="000000"/>
          <w:sz w:val="24"/>
          <w:szCs w:val="24"/>
        </w:rPr>
        <w:t>本项目符合</w:t>
      </w:r>
      <w:r>
        <w:rPr>
          <w:rFonts w:hint="eastAsia" w:ascii="Times New Roman" w:hAnsi="Times New Roman"/>
          <w:color w:val="000000"/>
          <w:sz w:val="24"/>
          <w:szCs w:val="24"/>
        </w:rPr>
        <w:t>“三线</w:t>
      </w:r>
      <w:r>
        <w:rPr>
          <w:rFonts w:ascii="Times New Roman" w:hAnsi="Times New Roman"/>
          <w:color w:val="000000"/>
          <w:sz w:val="24"/>
          <w:szCs w:val="24"/>
        </w:rPr>
        <w:t>一单</w:t>
      </w:r>
      <w:r>
        <w:rPr>
          <w:rFonts w:hint="eastAsia" w:ascii="Times New Roman" w:hAnsi="Times New Roman"/>
          <w:color w:val="000000"/>
          <w:sz w:val="24"/>
          <w:szCs w:val="24"/>
        </w:rPr>
        <w:t>”相关</w:t>
      </w:r>
      <w:r>
        <w:rPr>
          <w:rFonts w:ascii="Times New Roman" w:hAnsi="Times New Roman"/>
          <w:color w:val="000000"/>
          <w:sz w:val="24"/>
          <w:szCs w:val="24"/>
        </w:rPr>
        <w:t>要求。</w:t>
      </w:r>
    </w:p>
    <w:p>
      <w:pPr>
        <w:pStyle w:val="6"/>
        <w:spacing w:line="360" w:lineRule="auto"/>
        <w:ind w:firstLine="482" w:firstLineChars="200"/>
        <w:rPr>
          <w:rFonts w:ascii="Times New Roman" w:hAnsi="Times New Roman" w:eastAsia="宋体" w:cs="Times New Roman"/>
          <w:sz w:val="24"/>
        </w:rPr>
      </w:pPr>
      <w:bookmarkStart w:id="164" w:name="_Toc23843344"/>
      <w:bookmarkStart w:id="165" w:name="_Toc2794"/>
      <w:r>
        <w:rPr>
          <w:rFonts w:hint="eastAsia" w:ascii="Times New Roman" w:hAnsi="Times New Roman" w:eastAsia="宋体" w:cs="Times New Roman"/>
          <w:sz w:val="24"/>
        </w:rPr>
        <w:t>3.3.</w:t>
      </w:r>
      <w:r>
        <w:rPr>
          <w:rFonts w:ascii="Times New Roman" w:hAnsi="Times New Roman" w:eastAsia="宋体" w:cs="Times New Roman"/>
          <w:sz w:val="24"/>
        </w:rPr>
        <w:t>5</w:t>
      </w:r>
      <w:r>
        <w:rPr>
          <w:rFonts w:hint="eastAsia" w:ascii="Times New Roman" w:hAnsi="Times New Roman" w:eastAsia="宋体" w:cs="Times New Roman"/>
          <w:sz w:val="24"/>
        </w:rPr>
        <w:t>项目区平面布置合理性分析</w:t>
      </w:r>
      <w:bookmarkEnd w:id="164"/>
      <w:bookmarkEnd w:id="165"/>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1、项目总图布置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位于元谋县工业园区金雷片区，项目拟建生产车间（包括破碎配浆车间、纸机生产车间和成品车间）；辅助工程包括成品仓库、辅助用房（包括原辅料仓库和除尘废水循环沉淀池污泥暂存处）、综合楼（包括办公楼、职工宿舍、食堂和公厕）、锅炉房及其相关配套设施，项目拟建设年产</w:t>
      </w:r>
      <w:r>
        <w:rPr>
          <w:rFonts w:ascii="Times New Roman" w:hAnsi="Times New Roman"/>
          <w:color w:val="000000"/>
          <w:sz w:val="24"/>
          <w:szCs w:val="24"/>
        </w:rPr>
        <w:t>10</w:t>
      </w:r>
      <w:r>
        <w:rPr>
          <w:rFonts w:hint="eastAsia" w:ascii="Times New Roman" w:hAnsi="Times New Roman"/>
          <w:color w:val="000000"/>
          <w:sz w:val="24"/>
          <w:szCs w:val="24"/>
        </w:rPr>
        <w:t>万吨环保新材料石粉复合果蔬包装纸。项目平面布置相对简单，办公楼和</w:t>
      </w:r>
      <w:r>
        <w:rPr>
          <w:rFonts w:ascii="Times New Roman" w:hAnsi="Times New Roman"/>
          <w:color w:val="000000"/>
          <w:sz w:val="24"/>
          <w:szCs w:val="24"/>
        </w:rPr>
        <w:t>研发中心</w:t>
      </w:r>
      <w:r>
        <w:rPr>
          <w:rFonts w:hint="eastAsia" w:ascii="Times New Roman" w:hAnsi="Times New Roman"/>
          <w:color w:val="000000"/>
          <w:sz w:val="24"/>
          <w:szCs w:val="24"/>
        </w:rPr>
        <w:t>设置于项目南面，宿舍位于项目东面，食堂位于</w:t>
      </w:r>
      <w:r>
        <w:rPr>
          <w:rFonts w:ascii="Times New Roman" w:hAnsi="Times New Roman"/>
          <w:color w:val="000000"/>
          <w:sz w:val="24"/>
          <w:szCs w:val="24"/>
        </w:rPr>
        <w:t>宿舍楼一楼</w:t>
      </w:r>
      <w:r>
        <w:rPr>
          <w:rFonts w:hint="eastAsia" w:ascii="Times New Roman" w:hAnsi="Times New Roman"/>
          <w:color w:val="000000"/>
          <w:sz w:val="24"/>
          <w:szCs w:val="24"/>
        </w:rPr>
        <w:t>；项目生产车间设置于项目西面，成品仓库位于项目中央；锅炉房、配电室、公厕</w:t>
      </w:r>
      <w:r>
        <w:rPr>
          <w:rFonts w:ascii="Times New Roman" w:hAnsi="Times New Roman"/>
          <w:color w:val="000000"/>
          <w:sz w:val="24"/>
          <w:szCs w:val="24"/>
        </w:rPr>
        <w:t>、</w:t>
      </w:r>
      <w:r>
        <w:rPr>
          <w:rFonts w:hint="eastAsia" w:ascii="Times New Roman" w:hAnsi="Times New Roman"/>
          <w:color w:val="000000"/>
          <w:sz w:val="24"/>
          <w:szCs w:val="24"/>
        </w:rPr>
        <w:t>除尘废水循环沉淀池污泥暂存处、原料仓库位于项目北面；消防水池及应急水池设置于项目南面，位于办公楼东北</w:t>
      </w:r>
      <w:r>
        <w:rPr>
          <w:rFonts w:ascii="Times New Roman" w:hAnsi="Times New Roman"/>
          <w:color w:val="000000"/>
          <w:sz w:val="24"/>
          <w:szCs w:val="24"/>
        </w:rPr>
        <w:t>侧</w:t>
      </w:r>
      <w:r>
        <w:rPr>
          <w:rFonts w:hint="eastAsia" w:ascii="Times New Roman" w:hAnsi="Times New Roman"/>
          <w:color w:val="000000"/>
          <w:sz w:val="24"/>
          <w:szCs w:val="24"/>
        </w:rPr>
        <w:t>。</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2、项目平面布局合理性分析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各区域根据功能的不同进行了合理布置，且项目原料、生产车间及相关生产设备设施、仓库等生产区紧密相连，方便生产，污染源产生集中在生产区，方便管理治理。项目生活区单独设置，远离生产区，项目生产区产生的污染对员工影响较小。生产区位于小雷宰村下风向，项目生产区产生的污染对小雷宰村居民影响小。项目生产区与产品仓库与生活区均有一定的距离，且项目区内各区域相互之间由道路联系，互不交叉，有利人流、工作和生活的互不干扰。综上所述，项目的平面布置基本合理。</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br w:type="page"/>
      </w:r>
    </w:p>
    <w:p>
      <w:pPr>
        <w:pStyle w:val="4"/>
        <w:ind w:firstLine="602"/>
      </w:pPr>
      <w:bookmarkStart w:id="166" w:name="_Toc23843345"/>
      <w:bookmarkStart w:id="167" w:name="_Toc3078"/>
      <w:bookmarkStart w:id="168" w:name="_Toc17520"/>
      <w:r>
        <w:rPr>
          <w:rFonts w:hint="eastAsia"/>
        </w:rPr>
        <w:t>4环境质量现状调查及评价</w:t>
      </w:r>
      <w:bookmarkEnd w:id="166"/>
      <w:bookmarkEnd w:id="167"/>
      <w:bookmarkEnd w:id="168"/>
    </w:p>
    <w:p>
      <w:pPr>
        <w:pStyle w:val="5"/>
        <w:ind w:firstLine="562"/>
        <w:rPr>
          <w:rFonts w:hAnsi="Times New Roman"/>
        </w:rPr>
      </w:pPr>
      <w:bookmarkStart w:id="169" w:name="_Toc23843346"/>
      <w:bookmarkStart w:id="170" w:name="_Toc9961"/>
      <w:bookmarkStart w:id="171" w:name="_Toc7625"/>
      <w:r>
        <w:rPr>
          <w:rFonts w:hint="eastAsia" w:hAnsi="Times New Roman"/>
        </w:rPr>
        <w:t>4.1区域自然环境现状调查</w:t>
      </w:r>
      <w:bookmarkEnd w:id="169"/>
      <w:bookmarkEnd w:id="170"/>
      <w:bookmarkEnd w:id="171"/>
    </w:p>
    <w:p>
      <w:pPr>
        <w:pStyle w:val="5"/>
        <w:ind w:firstLine="562"/>
        <w:rPr>
          <w:rFonts w:hAnsi="Times New Roman"/>
          <w:sz w:val="24"/>
        </w:rPr>
      </w:pPr>
      <w:bookmarkStart w:id="172" w:name="_Toc23843347"/>
      <w:bookmarkStart w:id="173" w:name="_Toc11226"/>
      <w:bookmarkStart w:id="174" w:name="_Toc31662"/>
      <w:r>
        <w:rPr>
          <w:rFonts w:hint="eastAsia" w:hAnsi="Times New Roman"/>
          <w:sz w:val="24"/>
        </w:rPr>
        <w:t>4.1.1地理位置</w:t>
      </w:r>
      <w:bookmarkEnd w:id="172"/>
      <w:bookmarkEnd w:id="173"/>
      <w:bookmarkEnd w:id="174"/>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元谋地处滇中高原北部，地处东经</w:t>
      </w:r>
      <w:r>
        <w:rPr>
          <w:rFonts w:ascii="Times New Roman" w:hAnsi="Times New Roman"/>
          <w:color w:val="000000"/>
          <w:sz w:val="24"/>
          <w:szCs w:val="24"/>
        </w:rPr>
        <w:t>101°35′-102°06′</w:t>
      </w:r>
      <w:r>
        <w:rPr>
          <w:rFonts w:hint="eastAsia" w:ascii="Times New Roman" w:hAnsi="Times New Roman"/>
          <w:color w:val="000000"/>
          <w:sz w:val="24"/>
          <w:szCs w:val="24"/>
        </w:rPr>
        <w:t>、北纬</w:t>
      </w:r>
      <w:r>
        <w:rPr>
          <w:rFonts w:ascii="Times New Roman" w:hAnsi="Times New Roman"/>
          <w:color w:val="000000"/>
          <w:sz w:val="24"/>
          <w:szCs w:val="24"/>
        </w:rPr>
        <w:t>25°23′-26°06′</w:t>
      </w:r>
      <w:r>
        <w:rPr>
          <w:rFonts w:hint="eastAsia" w:ascii="Times New Roman" w:hAnsi="Times New Roman"/>
          <w:color w:val="000000"/>
          <w:sz w:val="24"/>
          <w:szCs w:val="24"/>
        </w:rPr>
        <w:t>之间，全县国土面积2021.69km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其中，坝区面积占55.7%，山区面积占44.3%，是楚雄彝族自治州下辖县，东依武定，南接禄丰，西邻大姚，北街四川会理，西南与牟定接壤，西北与永仁毗连。县城距省会昆明189km，距四川省攀枝花市143km，距楚雄州府134km。交通便利。</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项目所在地位于元谋县工业园区金雷片区，位于黄瓜园镇西北面，东至该片区制高点，西至黄瓜园镇与物贸乡界线，北至蜻蛉河边，规划面积5.84km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，项目地理坐标为北纬24</w:t>
      </w:r>
      <w:r>
        <w:rPr>
          <w:rFonts w:ascii="Times New Roman" w:hAnsi="Times New Roman"/>
          <w:color w:val="000000"/>
          <w:sz w:val="24"/>
          <w:szCs w:val="24"/>
        </w:rPr>
        <w:t>°</w:t>
      </w:r>
      <w:r>
        <w:rPr>
          <w:rFonts w:hint="eastAsia" w:ascii="Times New Roman" w:hAnsi="Times New Roman"/>
          <w:color w:val="000000"/>
          <w:sz w:val="24"/>
          <w:szCs w:val="24"/>
        </w:rPr>
        <w:t>55</w:t>
      </w:r>
      <w:r>
        <w:rPr>
          <w:rFonts w:ascii="Times New Roman" w:hAnsi="Times New Roman"/>
          <w:color w:val="000000"/>
          <w:sz w:val="24"/>
          <w:szCs w:val="24"/>
        </w:rPr>
        <w:t>′</w:t>
      </w:r>
      <w:r>
        <w:rPr>
          <w:rFonts w:hint="eastAsia" w:ascii="Times New Roman" w:hAnsi="Times New Roman"/>
          <w:color w:val="000000"/>
          <w:sz w:val="24"/>
          <w:szCs w:val="24"/>
        </w:rPr>
        <w:t>50,6</w:t>
      </w:r>
      <w:r>
        <w:rPr>
          <w:rFonts w:ascii="Times New Roman" w:hAnsi="Times New Roman"/>
          <w:color w:val="000000"/>
          <w:sz w:val="24"/>
          <w:szCs w:val="24"/>
        </w:rPr>
        <w:t>8″</w:t>
      </w:r>
      <w:r>
        <w:rPr>
          <w:rFonts w:hint="eastAsia" w:ascii="Times New Roman" w:hAnsi="Times New Roman"/>
          <w:color w:val="000000"/>
          <w:sz w:val="24"/>
          <w:szCs w:val="24"/>
        </w:rPr>
        <w:t>，东经</w:t>
      </w:r>
      <w:r>
        <w:rPr>
          <w:rFonts w:ascii="Times New Roman" w:hAnsi="Times New Roman"/>
          <w:color w:val="000000"/>
          <w:sz w:val="24"/>
          <w:szCs w:val="24"/>
        </w:rPr>
        <w:t>102°25′42.70″</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项目区地理位置图详见附图一。</w:t>
      </w:r>
    </w:p>
    <w:p>
      <w:pPr>
        <w:pStyle w:val="5"/>
        <w:ind w:firstLine="562"/>
        <w:rPr>
          <w:rFonts w:hAnsi="Times New Roman"/>
          <w:sz w:val="24"/>
        </w:rPr>
      </w:pPr>
      <w:bookmarkStart w:id="175" w:name="_Toc23843348"/>
      <w:bookmarkStart w:id="176" w:name="_Toc31849"/>
      <w:bookmarkStart w:id="177" w:name="_Toc28962"/>
      <w:r>
        <w:rPr>
          <w:rFonts w:hint="eastAsia" w:hAnsi="Times New Roman"/>
          <w:sz w:val="24"/>
        </w:rPr>
        <w:t>4.1.2地形、地貌、地质</w:t>
      </w:r>
      <w:bookmarkEnd w:id="175"/>
      <w:bookmarkEnd w:id="176"/>
      <w:bookmarkEnd w:id="177"/>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元谋盆地位于云南省北部，金沙江畔，是滇中高原上最低的一个盆地，海拔高度1100m左右，南北长约30km，东西宽度不一，平均7km左右。元谋县地势呈四周高，中间低，由南向北倾斜的“筲箕凹”形。境内最低海拔898m，最高海拔2835.9m。盆地西部是与前寒武纪变质岩系（前寒武纪灯影灰岩和花岗岩）所组成的低矮山梁，海拔高度约1400m，东部则由中生代的侏罗纪、白垩纪红层构成，通常称“东山”，最高处海拔高度达2700m。盆地内新生代地层，特别是下更新世（元谋组）很发育，在龙川江东岸的东山山地前地带出露最好，并形成几条近东西向丘岭“梁子”，伸向盆地的中西部。元谋盆地与东山接壤处为红格元谋断裂带，此处形成了明显的断层崖地形。</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建设所在场址位于元谋县黄瓜园镇西北面，根据现场实际踏勘来看，项目呈东西走向，地下无暗河、溶洞，项目用地地势平坦，地耐力强度较高，项目建设选址可以满足建筑的地址条件。最低海拔1741.9m，最高海拔1774.5m，项目区西面约440m处为蜻蛉河。项目东北处为齐兴包装厂和茂源实业，西面为在建三家企业用地，东面为林地。</w:t>
      </w:r>
    </w:p>
    <w:p>
      <w:pPr>
        <w:pStyle w:val="5"/>
        <w:ind w:firstLine="562"/>
        <w:rPr>
          <w:rFonts w:hAnsi="Times New Roman"/>
          <w:sz w:val="24"/>
        </w:rPr>
      </w:pPr>
      <w:bookmarkStart w:id="178" w:name="_Toc23843349"/>
      <w:bookmarkStart w:id="179" w:name="_Toc3081"/>
      <w:bookmarkStart w:id="180" w:name="_Toc15497"/>
      <w:r>
        <w:rPr>
          <w:rFonts w:hint="eastAsia" w:hAnsi="Times New Roman"/>
          <w:sz w:val="24"/>
        </w:rPr>
        <w:t>4.1.3气候、气象特征</w:t>
      </w:r>
      <w:bookmarkEnd w:id="178"/>
      <w:bookmarkEnd w:id="179"/>
      <w:bookmarkEnd w:id="180"/>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元谋县地处南亚热带干热季风气候区，年平均气温为21.9</w:t>
      </w:r>
      <w:r>
        <w:rPr>
          <w:rFonts w:hint="eastAsia" w:ascii="宋体" w:hAnsi="宋体" w:eastAsia="宋体" w:cs="宋体"/>
          <w:color w:val="000000"/>
          <w:sz w:val="24"/>
          <w:szCs w:val="24"/>
        </w:rPr>
        <w:t>℃</w:t>
      </w:r>
      <w:r>
        <w:rPr>
          <w:rFonts w:hint="eastAsia" w:ascii="Times New Roman" w:hAnsi="Times New Roman"/>
          <w:color w:val="000000"/>
          <w:sz w:val="24"/>
          <w:szCs w:val="24"/>
        </w:rPr>
        <w:t>，极端最高温度为42</w:t>
      </w:r>
      <w:r>
        <w:rPr>
          <w:rFonts w:hint="eastAsia" w:ascii="宋体" w:hAnsi="宋体" w:eastAsia="宋体" w:cs="宋体"/>
          <w:color w:val="000000"/>
          <w:sz w:val="24"/>
          <w:szCs w:val="24"/>
        </w:rPr>
        <w:t>℃</w:t>
      </w:r>
      <w:r>
        <w:rPr>
          <w:rFonts w:hint="eastAsia" w:ascii="Times New Roman" w:hAnsi="Times New Roman"/>
          <w:color w:val="000000"/>
          <w:sz w:val="24"/>
          <w:szCs w:val="24"/>
        </w:rPr>
        <w:t>，最低温度为-0.1</w:t>
      </w:r>
      <w:r>
        <w:rPr>
          <w:rFonts w:hint="eastAsia" w:ascii="宋体" w:hAnsi="宋体" w:eastAsia="宋体" w:cs="宋体"/>
          <w:color w:val="000000"/>
          <w:sz w:val="24"/>
          <w:szCs w:val="24"/>
        </w:rPr>
        <w:t>℃</w:t>
      </w:r>
      <w:r>
        <w:rPr>
          <w:rFonts w:hint="eastAsia" w:ascii="Times New Roman" w:hAnsi="Times New Roman"/>
          <w:color w:val="000000"/>
          <w:sz w:val="24"/>
          <w:szCs w:val="24"/>
        </w:rPr>
        <w:t>。年日照时数为2670.4小时，年平均日照时数为7.3小时/天，日照百分率60%。山区无霜期305~314天，半山区302~331天，坝区平均霜日2天。年蒸发量为降水量的6.4倍。年平均相对湿度53%。年平均降雨量613.8mm。最多年906.7mm（1966年），最少年287.4mm（1960年）。雨季开始一般在5月~10月。7月降雨最多，平均为137.8mm；1月份最少，为3.1mm。由于分山区、半山区、坝区，形成立体气候：地处金沙江河谷的江边乡平均气温达23.1℃；地处山区的花同乡年平均气温仅13.4℃；20年一遇1h最大降雨量为49.84mm，6h最大降雨量为92.56mm，24h最大降雨量为124.60mm。常年主导风向为东南风，风向稳定。平均风速为2.5m/s，静风频率为29%。</w:t>
      </w:r>
    </w:p>
    <w:p>
      <w:pPr>
        <w:pStyle w:val="5"/>
        <w:ind w:firstLine="562"/>
        <w:rPr>
          <w:rFonts w:hAnsi="Times New Roman"/>
          <w:sz w:val="24"/>
        </w:rPr>
      </w:pPr>
      <w:bookmarkStart w:id="181" w:name="_Toc23843350"/>
      <w:bookmarkStart w:id="182" w:name="_Toc15090"/>
      <w:bookmarkStart w:id="183" w:name="_Toc2942"/>
      <w:r>
        <w:rPr>
          <w:rFonts w:hint="eastAsia" w:hAnsi="Times New Roman"/>
          <w:sz w:val="24"/>
        </w:rPr>
        <w:t>4.1.4水文特征</w:t>
      </w:r>
      <w:bookmarkEnd w:id="181"/>
      <w:bookmarkEnd w:id="182"/>
      <w:bookmarkEnd w:id="183"/>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元谋县境内河流57条，分属金沙江水系（其中常流河17条，季节河40条），年过境水量16.02亿m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，水能理论蕴藏量达89485kw，可利用量11715kw，占13.1%。境内年降水量15.22亿m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，地表水年径流量2.67亿m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。盆地富水块地下水储量丰富，年地下平均径流量0.36亿m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，可开发利用地下水200万m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蜻蛉河属于龙川江水系，是楚雄大姚县人民的母亲河，大姚、姚安两个坝子的水全部汇聚于此。流经赵家店双沟的时候，山势突陡，河床断层，形成了著名三潭瀑布。</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位于元谋工业园区金雷片区，根据现场调查，项目所在地现状无地下水开发利用、无人畜饮用及农灌等用途，无地下水泉眼分布，地下水埋藏相对较深。项目最近地表水为项目西面440m处的蜻蛉河，蜻蛉河流向：蜻蛉河→龙川江→金沙江→长江，项目水系图详见附图五。</w:t>
      </w:r>
    </w:p>
    <w:p>
      <w:pPr>
        <w:pStyle w:val="5"/>
        <w:ind w:firstLine="562"/>
        <w:rPr>
          <w:rFonts w:hAnsi="Times New Roman"/>
          <w:sz w:val="24"/>
        </w:rPr>
      </w:pPr>
      <w:bookmarkStart w:id="184" w:name="_Toc191798299"/>
      <w:bookmarkStart w:id="185" w:name="_Toc186365115"/>
      <w:bookmarkStart w:id="186" w:name="_Toc193520435"/>
      <w:bookmarkStart w:id="187" w:name="_Toc186570626"/>
      <w:bookmarkStart w:id="188" w:name="_Toc203356344"/>
      <w:bookmarkStart w:id="189" w:name="_Toc203357538"/>
      <w:bookmarkStart w:id="190" w:name="_Toc203357982"/>
      <w:bookmarkStart w:id="191" w:name="_Toc191798643"/>
      <w:bookmarkStart w:id="192" w:name="_Toc17982"/>
      <w:bookmarkStart w:id="193" w:name="_Toc200595382"/>
      <w:bookmarkStart w:id="194" w:name="_Toc203357760"/>
      <w:bookmarkStart w:id="195" w:name="_Toc421541521"/>
      <w:bookmarkStart w:id="196" w:name="_Toc416699732"/>
      <w:bookmarkStart w:id="197" w:name="_Toc186375782"/>
      <w:bookmarkStart w:id="198" w:name="_Toc203357094"/>
      <w:bookmarkStart w:id="199" w:name="_Toc203358204"/>
      <w:bookmarkStart w:id="200" w:name="_Toc485220931"/>
      <w:bookmarkStart w:id="201" w:name="_Toc142667296"/>
      <w:bookmarkStart w:id="202" w:name="_Toc16250"/>
      <w:bookmarkStart w:id="203" w:name="_Toc529463311"/>
      <w:bookmarkStart w:id="204" w:name="_Toc12235"/>
      <w:bookmarkStart w:id="205" w:name="_Toc11731"/>
      <w:r>
        <w:rPr>
          <w:rFonts w:hAnsi="Times New Roman"/>
          <w:sz w:val="24"/>
        </w:rPr>
        <w:t>4.1.5</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hAnsi="Times New Roman"/>
          <w:sz w:val="24"/>
        </w:rPr>
        <w:t xml:space="preserve"> </w:t>
      </w:r>
      <w:bookmarkEnd w:id="203"/>
      <w:r>
        <w:rPr>
          <w:rFonts w:hAnsi="Times New Roman"/>
          <w:sz w:val="24"/>
        </w:rPr>
        <w:t>土壤</w:t>
      </w:r>
      <w:bookmarkEnd w:id="204"/>
      <w:bookmarkEnd w:id="205"/>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元谋县土壤共分9类，25属51种。由于受母质、地形、生物、气候、时间的影响，从最低海拔基带土壤开始，随海拔增高、纬度增大，依次出现相似土壤类型的规律，其分布为：1000～1300m为燥红壤；1300～1600m为燥红壤与红壤过渡型的褐红壤（红壤亚类）；1600～1900m形成地带性黄壤。黄壤分布在流域的西部和东北部，大部分是山区、半山区，土壤质地差，土层薄（一般在30～50cm），肥力低，植物以栎树等灌木为主。</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项目区土壤以燥红壤为主。</w:t>
      </w:r>
    </w:p>
    <w:p>
      <w:pPr>
        <w:pStyle w:val="5"/>
        <w:ind w:firstLine="562"/>
        <w:rPr>
          <w:rFonts w:hAnsi="Times New Roman"/>
          <w:sz w:val="24"/>
        </w:rPr>
      </w:pPr>
      <w:bookmarkStart w:id="206" w:name="_Toc15289"/>
      <w:bookmarkStart w:id="207" w:name="_Toc28965"/>
      <w:r>
        <w:rPr>
          <w:rFonts w:hAnsi="Times New Roman"/>
          <w:sz w:val="24"/>
        </w:rPr>
        <w:t>4.1.6 植被</w:t>
      </w:r>
      <w:bookmarkEnd w:id="206"/>
      <w:bookmarkEnd w:id="207"/>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元谋县植被类型属干热河谷稀树灌草丛，在海拔1300m以下，盆地内主要是荒山荒坡，种类少，主要生长稀疏灌木草丛，草本占大部分。常见树种有攀枝花、西果树、密油枝、霸王鞭、仙人掌、酸角树、小相只、车桑子、合欢；在海拔1300m~1800m之间，有部分云南松幼树、疏林出现；在海拔1800m~2200m之间有云南松、思茅松、栗树和黑果裸、灰叶子等灌木丛及山草、山茅草等；在海拔2200m~2500m之间有云南松、白栎、野八角、马缨花、山茶花等阔叶混交中幼林。</w:t>
      </w:r>
    </w:p>
    <w:p>
      <w:pPr>
        <w:pStyle w:val="5"/>
        <w:ind w:firstLine="562"/>
        <w:rPr>
          <w:rFonts w:hAnsi="Times New Roman"/>
        </w:rPr>
      </w:pPr>
      <w:bookmarkStart w:id="208" w:name="_Toc19185"/>
      <w:bookmarkStart w:id="209" w:name="_Toc24687"/>
      <w:r>
        <w:rPr>
          <w:rFonts w:hint="eastAsia" w:hAnsi="Times New Roman"/>
        </w:rPr>
        <w:t>4.2区域污染源</w:t>
      </w:r>
      <w:r>
        <w:rPr>
          <w:rFonts w:hAnsi="Times New Roman"/>
        </w:rPr>
        <w:t>调查</w:t>
      </w:r>
      <w:bookmarkEnd w:id="208"/>
      <w:bookmarkEnd w:id="209"/>
    </w:p>
    <w:p>
      <w:pPr>
        <w:pStyle w:val="6"/>
        <w:spacing w:line="360" w:lineRule="auto"/>
        <w:ind w:firstLine="482" w:firstLineChars="200"/>
        <w:rPr>
          <w:rFonts w:ascii="Times New Roman" w:hAnsi="Times New Roman" w:eastAsia="宋体" w:cs="Times New Roman"/>
          <w:color w:val="FF0000"/>
          <w:sz w:val="24"/>
        </w:rPr>
      </w:pPr>
      <w:bookmarkStart w:id="210" w:name="_Toc27890"/>
      <w:bookmarkStart w:id="211" w:name="_Toc32323"/>
      <w:r>
        <w:rPr>
          <w:rFonts w:ascii="Times New Roman" w:hAnsi="Times New Roman" w:eastAsia="宋体" w:cs="Times New Roman"/>
          <w:color w:val="FF0000"/>
          <w:sz w:val="24"/>
        </w:rPr>
        <w:t>4.2.</w:t>
      </w:r>
      <w:r>
        <w:rPr>
          <w:rFonts w:hint="eastAsia" w:ascii="Times New Roman" w:hAnsi="Times New Roman" w:eastAsia="宋体" w:cs="Times New Roman"/>
          <w:color w:val="FF0000"/>
          <w:sz w:val="24"/>
        </w:rPr>
        <w:t>1元谋</w:t>
      </w:r>
      <w:r>
        <w:rPr>
          <w:rFonts w:ascii="Times New Roman" w:hAnsi="Times New Roman" w:eastAsia="宋体" w:cs="Times New Roman"/>
          <w:color w:val="FF0000"/>
          <w:sz w:val="24"/>
        </w:rPr>
        <w:t>工业</w:t>
      </w:r>
      <w:r>
        <w:rPr>
          <w:rFonts w:hint="eastAsia" w:ascii="Times New Roman" w:hAnsi="Times New Roman" w:eastAsia="宋体" w:cs="Times New Roman"/>
          <w:color w:val="FF0000"/>
          <w:sz w:val="24"/>
        </w:rPr>
        <w:t>园区规划概述</w:t>
      </w:r>
      <w:bookmarkEnd w:id="210"/>
      <w:bookmarkEnd w:id="211"/>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元谋工业园区总体规划为一园</w:t>
      </w:r>
      <w:r>
        <w:rPr>
          <w:rFonts w:ascii="Times New Roman" w:hAnsi="Times New Roman"/>
          <w:color w:val="FF0000"/>
          <w:sz w:val="24"/>
          <w:szCs w:val="24"/>
        </w:rPr>
        <w:t>二片区、2个地块，金雷片区和新桥片区；</w:t>
      </w:r>
      <w:r>
        <w:rPr>
          <w:rFonts w:hint="eastAsia" w:ascii="Times New Roman" w:hAnsi="Times New Roman"/>
          <w:color w:val="FF0000"/>
          <w:sz w:val="24"/>
          <w:szCs w:val="24"/>
        </w:rPr>
        <w:t>2个</w:t>
      </w:r>
      <w:r>
        <w:rPr>
          <w:rFonts w:ascii="Times New Roman" w:hAnsi="Times New Roman"/>
          <w:color w:val="FF0000"/>
          <w:sz w:val="24"/>
          <w:szCs w:val="24"/>
        </w:rPr>
        <w:t>片区规划总用地为</w:t>
      </w:r>
      <w:r>
        <w:rPr>
          <w:rFonts w:hint="eastAsia" w:ascii="Times New Roman" w:hAnsi="Times New Roman"/>
          <w:color w:val="FF0000"/>
          <w:sz w:val="24"/>
          <w:szCs w:val="24"/>
        </w:rPr>
        <w:t>9.58</w:t>
      </w:r>
      <w:r>
        <w:rPr>
          <w:rFonts w:ascii="Times New Roman" w:hAnsi="Times New Roman"/>
          <w:color w:val="FF0000"/>
          <w:sz w:val="24"/>
          <w:szCs w:val="24"/>
        </w:rPr>
        <w:t>km</w:t>
      </w:r>
      <w:r>
        <w:rPr>
          <w:rFonts w:ascii="Times New Roman" w:hAnsi="Times New Roman"/>
          <w:color w:val="FF0000"/>
          <w:sz w:val="24"/>
          <w:szCs w:val="24"/>
          <w:vertAlign w:val="superscript"/>
        </w:rPr>
        <w:t>2</w:t>
      </w:r>
      <w:r>
        <w:rPr>
          <w:rFonts w:hint="eastAsia" w:ascii="Times New Roman" w:hAnsi="Times New Roman"/>
          <w:color w:val="FF0000"/>
          <w:sz w:val="24"/>
          <w:szCs w:val="24"/>
        </w:rPr>
        <w:t>，</w:t>
      </w:r>
      <w:r>
        <w:rPr>
          <w:rFonts w:ascii="Times New Roman" w:hAnsi="Times New Roman"/>
          <w:color w:val="FF0000"/>
          <w:sz w:val="24"/>
          <w:szCs w:val="24"/>
        </w:rPr>
        <w:t>其中金雷片区</w:t>
      </w:r>
      <w:r>
        <w:rPr>
          <w:rFonts w:hint="eastAsia" w:ascii="Times New Roman" w:hAnsi="Times New Roman"/>
          <w:color w:val="FF0000"/>
          <w:sz w:val="24"/>
          <w:szCs w:val="24"/>
        </w:rPr>
        <w:t>7.02</w:t>
      </w:r>
      <w:r>
        <w:rPr>
          <w:rFonts w:ascii="Times New Roman" w:hAnsi="Times New Roman"/>
          <w:color w:val="FF0000"/>
          <w:sz w:val="24"/>
          <w:szCs w:val="24"/>
        </w:rPr>
        <w:t>km</w:t>
      </w:r>
      <w:r>
        <w:rPr>
          <w:rFonts w:ascii="Times New Roman" w:hAnsi="Times New Roman"/>
          <w:color w:val="FF0000"/>
          <w:sz w:val="24"/>
          <w:szCs w:val="24"/>
          <w:vertAlign w:val="superscript"/>
        </w:rPr>
        <w:t>2</w:t>
      </w:r>
      <w:r>
        <w:rPr>
          <w:rFonts w:hint="eastAsia" w:ascii="Times New Roman" w:hAnsi="Times New Roman"/>
          <w:color w:val="FF0000"/>
          <w:sz w:val="24"/>
          <w:szCs w:val="24"/>
        </w:rPr>
        <w:t>，</w:t>
      </w:r>
      <w:r>
        <w:rPr>
          <w:rFonts w:ascii="Times New Roman" w:hAnsi="Times New Roman"/>
          <w:color w:val="FF0000"/>
          <w:sz w:val="24"/>
          <w:szCs w:val="24"/>
        </w:rPr>
        <w:t>新桥片区</w:t>
      </w:r>
      <w:r>
        <w:rPr>
          <w:rFonts w:hint="eastAsia" w:ascii="Times New Roman" w:hAnsi="Times New Roman"/>
          <w:color w:val="FF0000"/>
          <w:sz w:val="24"/>
          <w:szCs w:val="24"/>
        </w:rPr>
        <w:t>2.56</w:t>
      </w:r>
      <w:r>
        <w:rPr>
          <w:rFonts w:ascii="Times New Roman" w:hAnsi="Times New Roman"/>
          <w:color w:val="FF0000"/>
          <w:sz w:val="24"/>
          <w:szCs w:val="24"/>
        </w:rPr>
        <w:t>km</w:t>
      </w:r>
      <w:r>
        <w:rPr>
          <w:rFonts w:ascii="Times New Roman" w:hAnsi="Times New Roman"/>
          <w:color w:val="FF0000"/>
          <w:sz w:val="24"/>
          <w:szCs w:val="24"/>
          <w:vertAlign w:val="superscript"/>
        </w:rPr>
        <w:t>2</w:t>
      </w:r>
      <w:r>
        <w:rPr>
          <w:rFonts w:hint="eastAsia"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本项目位于元谋工业</w:t>
      </w:r>
      <w:r>
        <w:rPr>
          <w:rFonts w:ascii="Times New Roman" w:hAnsi="Times New Roman"/>
          <w:color w:val="FF0000"/>
          <w:sz w:val="24"/>
          <w:szCs w:val="24"/>
        </w:rPr>
        <w:t>园区金雷片区</w:t>
      </w:r>
      <w:r>
        <w:rPr>
          <w:rFonts w:hint="eastAsia" w:ascii="Times New Roman" w:hAnsi="Times New Roman"/>
          <w:color w:val="FF0000"/>
          <w:sz w:val="24"/>
          <w:szCs w:val="24"/>
        </w:rPr>
        <w:t>，该</w:t>
      </w:r>
      <w:r>
        <w:rPr>
          <w:rFonts w:ascii="Times New Roman" w:hAnsi="Times New Roman"/>
          <w:color w:val="FF0000"/>
          <w:sz w:val="24"/>
          <w:szCs w:val="24"/>
        </w:rPr>
        <w:t>片区产业为：工业集聚区，重点发展特色食品制造、轻工制造产业和装备制造产业</w:t>
      </w:r>
      <w:r>
        <w:rPr>
          <w:rFonts w:hint="eastAsia"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项目在工业园区位置详见附图六。</w:t>
      </w:r>
    </w:p>
    <w:p>
      <w:pPr>
        <w:spacing w:line="360" w:lineRule="auto"/>
        <w:ind w:firstLine="482" w:firstLineChars="200"/>
        <w:rPr>
          <w:rFonts w:ascii="Times New Roman" w:hAnsi="Times New Roman"/>
          <w:b/>
          <w:color w:val="FF0000"/>
          <w:sz w:val="24"/>
          <w:szCs w:val="24"/>
        </w:rPr>
      </w:pPr>
      <w:r>
        <w:rPr>
          <w:rFonts w:hint="eastAsia" w:ascii="Times New Roman" w:hAnsi="Times New Roman"/>
          <w:b/>
          <w:color w:val="FF0000"/>
          <w:sz w:val="24"/>
          <w:szCs w:val="24"/>
        </w:rPr>
        <w:t>（1）金雷片区</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金雷片区位于元谋县黄瓜园镇西北部，总面积约</w:t>
      </w:r>
      <w:r>
        <w:rPr>
          <w:rFonts w:ascii="Times New Roman" w:hAnsi="Times New Roman"/>
          <w:color w:val="FF0000"/>
          <w:sz w:val="24"/>
          <w:szCs w:val="24"/>
        </w:rPr>
        <w:t>7.02</w:t>
      </w:r>
      <w:r>
        <w:rPr>
          <w:rFonts w:hint="eastAsia" w:ascii="Times New Roman" w:hAnsi="Times New Roman"/>
          <w:color w:val="FF0000"/>
          <w:sz w:val="24"/>
          <w:szCs w:val="24"/>
        </w:rPr>
        <w:t xml:space="preserve"> km</w:t>
      </w:r>
      <w:r>
        <w:rPr>
          <w:rFonts w:hint="eastAsia" w:ascii="Times New Roman" w:hAnsi="Times New Roman"/>
          <w:color w:val="FF0000"/>
          <w:sz w:val="24"/>
          <w:szCs w:val="24"/>
          <w:vertAlign w:val="superscript"/>
        </w:rPr>
        <w:t>2</w:t>
      </w:r>
      <w:r>
        <w:rPr>
          <w:rFonts w:hint="eastAsia" w:ascii="Times New Roman" w:hAnsi="Times New Roman"/>
          <w:color w:val="FF0000"/>
          <w:sz w:val="24"/>
          <w:szCs w:val="24"/>
        </w:rPr>
        <w:t>。东至</w:t>
      </w:r>
      <w:r>
        <w:rPr>
          <w:rFonts w:ascii="Times New Roman" w:hAnsi="Times New Roman"/>
          <w:color w:val="FF0000"/>
          <w:sz w:val="24"/>
          <w:szCs w:val="24"/>
        </w:rPr>
        <w:t>金河水大村斛角山，西至湾保村，南至</w:t>
      </w:r>
      <w:r>
        <w:rPr>
          <w:rFonts w:hint="eastAsia" w:ascii="Times New Roman" w:hAnsi="Times New Roman"/>
          <w:color w:val="FF0000"/>
          <w:sz w:val="24"/>
          <w:szCs w:val="24"/>
        </w:rPr>
        <w:t>G108，</w:t>
      </w:r>
      <w:r>
        <w:rPr>
          <w:rFonts w:ascii="Times New Roman" w:hAnsi="Times New Roman"/>
          <w:color w:val="FF0000"/>
          <w:sz w:val="24"/>
          <w:szCs w:val="24"/>
        </w:rPr>
        <w:t>北至蜻蛉河-小雷宰村；</w:t>
      </w:r>
      <w:r>
        <w:rPr>
          <w:rFonts w:hint="eastAsia" w:ascii="Times New Roman" w:hAnsi="Times New Roman"/>
          <w:color w:val="FF0000"/>
          <w:sz w:val="24"/>
          <w:szCs w:val="24"/>
        </w:rPr>
        <w:t>金雷片区重点发展特色食品</w:t>
      </w:r>
      <w:r>
        <w:rPr>
          <w:rFonts w:ascii="Times New Roman" w:hAnsi="Times New Roman"/>
          <w:color w:val="FF0000"/>
          <w:sz w:val="24"/>
          <w:szCs w:val="24"/>
        </w:rPr>
        <w:t>制造、轻工制造产业和</w:t>
      </w:r>
      <w:r>
        <w:rPr>
          <w:rFonts w:hint="eastAsia" w:ascii="Times New Roman" w:hAnsi="Times New Roman"/>
          <w:color w:val="FF0000"/>
          <w:sz w:val="24"/>
          <w:szCs w:val="24"/>
        </w:rPr>
        <w:t>装备</w:t>
      </w:r>
      <w:r>
        <w:rPr>
          <w:rFonts w:ascii="Times New Roman" w:hAnsi="Times New Roman"/>
          <w:color w:val="FF0000"/>
          <w:sz w:val="24"/>
          <w:szCs w:val="24"/>
        </w:rPr>
        <w:t>制造产业</w:t>
      </w:r>
      <w:r>
        <w:rPr>
          <w:rFonts w:hint="eastAsia" w:ascii="Times New Roman" w:hAnsi="Times New Roman"/>
          <w:color w:val="FF0000"/>
          <w:sz w:val="24"/>
          <w:szCs w:val="24"/>
        </w:rPr>
        <w:t>；该</w:t>
      </w:r>
      <w:r>
        <w:rPr>
          <w:rFonts w:ascii="Times New Roman" w:hAnsi="Times New Roman"/>
          <w:color w:val="FF0000"/>
          <w:sz w:val="24"/>
          <w:szCs w:val="24"/>
        </w:rPr>
        <w:t>片区分为综合服务区</w:t>
      </w:r>
      <w:r>
        <w:rPr>
          <w:rFonts w:hint="eastAsia" w:ascii="Times New Roman" w:hAnsi="Times New Roman"/>
          <w:color w:val="FF0000"/>
          <w:sz w:val="24"/>
          <w:szCs w:val="24"/>
        </w:rPr>
        <w:t>A、</w:t>
      </w:r>
      <w:r>
        <w:rPr>
          <w:rFonts w:ascii="Times New Roman" w:hAnsi="Times New Roman"/>
          <w:color w:val="FF0000"/>
          <w:sz w:val="24"/>
          <w:szCs w:val="24"/>
        </w:rPr>
        <w:t>综合服务区</w:t>
      </w:r>
      <w:r>
        <w:rPr>
          <w:rFonts w:hint="eastAsia" w:ascii="Times New Roman" w:hAnsi="Times New Roman"/>
          <w:color w:val="FF0000"/>
          <w:sz w:val="24"/>
          <w:szCs w:val="24"/>
        </w:rPr>
        <w:t>B、</w:t>
      </w:r>
      <w:r>
        <w:rPr>
          <w:rFonts w:ascii="Times New Roman" w:hAnsi="Times New Roman"/>
          <w:color w:val="FF0000"/>
          <w:sz w:val="24"/>
          <w:szCs w:val="24"/>
        </w:rPr>
        <w:t>特色食品制造产业区</w:t>
      </w:r>
      <w:r>
        <w:rPr>
          <w:rFonts w:hint="eastAsia" w:ascii="Times New Roman" w:hAnsi="Times New Roman"/>
          <w:color w:val="FF0000"/>
          <w:sz w:val="24"/>
          <w:szCs w:val="24"/>
        </w:rPr>
        <w:t>、</w:t>
      </w:r>
      <w:r>
        <w:rPr>
          <w:rFonts w:ascii="Times New Roman" w:hAnsi="Times New Roman"/>
          <w:color w:val="FF0000"/>
          <w:sz w:val="24"/>
          <w:szCs w:val="24"/>
        </w:rPr>
        <w:t>轻工制造产业区和装备制造产业区</w:t>
      </w:r>
      <w:r>
        <w:rPr>
          <w:rFonts w:hint="eastAsia" w:ascii="Times New Roman" w:hAnsi="Times New Roman"/>
          <w:color w:val="FF0000"/>
          <w:sz w:val="24"/>
          <w:szCs w:val="24"/>
        </w:rPr>
        <w:t>。</w:t>
      </w:r>
    </w:p>
    <w:p>
      <w:pPr>
        <w:spacing w:line="360" w:lineRule="auto"/>
        <w:ind w:firstLine="482" w:firstLineChars="200"/>
        <w:rPr>
          <w:rFonts w:ascii="Times New Roman" w:hAnsi="Times New Roman"/>
          <w:b/>
          <w:color w:val="FF0000"/>
          <w:sz w:val="24"/>
          <w:szCs w:val="24"/>
        </w:rPr>
      </w:pPr>
      <w:r>
        <w:rPr>
          <w:rFonts w:hint="eastAsia" w:ascii="Times New Roman" w:hAnsi="Times New Roman"/>
          <w:b/>
          <w:color w:val="FF0000"/>
          <w:sz w:val="24"/>
          <w:szCs w:val="24"/>
        </w:rPr>
        <w:t>（2）新桥片区</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新桥</w:t>
      </w:r>
      <w:r>
        <w:rPr>
          <w:rFonts w:ascii="Times New Roman" w:hAnsi="Times New Roman"/>
          <w:color w:val="FF0000"/>
          <w:sz w:val="24"/>
          <w:szCs w:val="24"/>
        </w:rPr>
        <w:t>片区</w:t>
      </w:r>
      <w:r>
        <w:rPr>
          <w:rFonts w:hint="eastAsia" w:ascii="Times New Roman" w:hAnsi="Times New Roman"/>
          <w:color w:val="FF0000"/>
          <w:sz w:val="24"/>
          <w:szCs w:val="24"/>
        </w:rPr>
        <w:t>位于县城</w:t>
      </w:r>
      <w:r>
        <w:rPr>
          <w:rFonts w:ascii="Times New Roman" w:hAnsi="Times New Roman"/>
          <w:color w:val="FF0000"/>
          <w:sz w:val="24"/>
          <w:szCs w:val="24"/>
        </w:rPr>
        <w:t>北侧，总面积为</w:t>
      </w:r>
      <w:r>
        <w:rPr>
          <w:rFonts w:hint="eastAsia" w:ascii="Times New Roman" w:hAnsi="Times New Roman"/>
          <w:color w:val="FF0000"/>
          <w:sz w:val="24"/>
          <w:szCs w:val="24"/>
        </w:rPr>
        <w:t>2.56</w:t>
      </w:r>
      <w:r>
        <w:rPr>
          <w:rFonts w:ascii="Times New Roman" w:hAnsi="Times New Roman"/>
          <w:color w:val="FF0000"/>
          <w:sz w:val="24"/>
          <w:szCs w:val="24"/>
        </w:rPr>
        <w:t>km</w:t>
      </w:r>
      <w:r>
        <w:rPr>
          <w:rFonts w:ascii="Times New Roman" w:hAnsi="Times New Roman"/>
          <w:color w:val="FF0000"/>
          <w:sz w:val="24"/>
          <w:szCs w:val="24"/>
          <w:vertAlign w:val="superscript"/>
        </w:rPr>
        <w:t>2</w:t>
      </w:r>
      <w:r>
        <w:rPr>
          <w:rFonts w:hint="eastAsia" w:ascii="Times New Roman" w:hAnsi="Times New Roman"/>
          <w:color w:val="FF0000"/>
          <w:sz w:val="24"/>
          <w:szCs w:val="24"/>
        </w:rPr>
        <w:t>，</w:t>
      </w:r>
      <w:r>
        <w:rPr>
          <w:rFonts w:ascii="Times New Roman" w:hAnsi="Times New Roman"/>
          <w:color w:val="FF0000"/>
          <w:sz w:val="24"/>
          <w:szCs w:val="24"/>
        </w:rPr>
        <w:t>东至</w:t>
      </w:r>
      <w:r>
        <w:rPr>
          <w:rFonts w:hint="eastAsia" w:ascii="Times New Roman" w:hAnsi="Times New Roman"/>
          <w:color w:val="FF0000"/>
          <w:sz w:val="24"/>
          <w:szCs w:val="24"/>
        </w:rPr>
        <w:t>G108，</w:t>
      </w:r>
      <w:r>
        <w:rPr>
          <w:rFonts w:ascii="Times New Roman" w:hAnsi="Times New Roman"/>
          <w:color w:val="FF0000"/>
          <w:sz w:val="24"/>
          <w:szCs w:val="24"/>
        </w:rPr>
        <w:t>西至上总拓村，南至种植园区。北至</w:t>
      </w:r>
      <w:r>
        <w:rPr>
          <w:rFonts w:hint="eastAsia" w:ascii="Times New Roman" w:hAnsi="Times New Roman"/>
          <w:color w:val="FF0000"/>
          <w:sz w:val="24"/>
          <w:szCs w:val="24"/>
        </w:rPr>
        <w:t>能禹</w:t>
      </w:r>
      <w:r>
        <w:rPr>
          <w:rFonts w:ascii="Times New Roman" w:hAnsi="Times New Roman"/>
          <w:color w:val="FF0000"/>
          <w:sz w:val="24"/>
          <w:szCs w:val="24"/>
        </w:rPr>
        <w:t>坡头；新桥片区为产城融合示范区，重点发展企业孵化、电子信息配套等产业；</w:t>
      </w:r>
      <w:r>
        <w:rPr>
          <w:rFonts w:hint="eastAsia" w:ascii="Times New Roman" w:hAnsi="Times New Roman"/>
          <w:color w:val="FF0000"/>
          <w:sz w:val="24"/>
          <w:szCs w:val="24"/>
        </w:rPr>
        <w:t>该</w:t>
      </w:r>
      <w:r>
        <w:rPr>
          <w:rFonts w:ascii="Times New Roman" w:hAnsi="Times New Roman"/>
          <w:color w:val="FF0000"/>
          <w:sz w:val="24"/>
          <w:szCs w:val="24"/>
        </w:rPr>
        <w:t>片区分为产城融合示范区</w:t>
      </w:r>
      <w:r>
        <w:rPr>
          <w:rFonts w:hint="eastAsia" w:ascii="Times New Roman" w:hAnsi="Times New Roman"/>
          <w:color w:val="FF0000"/>
          <w:sz w:val="24"/>
          <w:szCs w:val="24"/>
        </w:rPr>
        <w:t>A区</w:t>
      </w:r>
      <w:r>
        <w:rPr>
          <w:rFonts w:ascii="Times New Roman" w:hAnsi="Times New Roman"/>
          <w:color w:val="FF0000"/>
          <w:sz w:val="24"/>
          <w:szCs w:val="24"/>
        </w:rPr>
        <w:t>和产城融合示范区</w:t>
      </w:r>
      <w:r>
        <w:rPr>
          <w:rFonts w:hint="eastAsia" w:ascii="Times New Roman" w:hAnsi="Times New Roman"/>
          <w:color w:val="FF0000"/>
          <w:sz w:val="24"/>
          <w:szCs w:val="24"/>
        </w:rPr>
        <w:t>B区</w:t>
      </w:r>
      <w:r>
        <w:rPr>
          <w:rFonts w:ascii="Times New Roman" w:hAnsi="Times New Roman"/>
          <w:color w:val="FF0000"/>
          <w:sz w:val="24"/>
          <w:szCs w:val="24"/>
        </w:rPr>
        <w:t>。</w:t>
      </w:r>
    </w:p>
    <w:p>
      <w:pPr>
        <w:spacing w:line="360" w:lineRule="auto"/>
        <w:ind w:firstLine="482" w:firstLineChars="200"/>
        <w:rPr>
          <w:rFonts w:ascii="Times New Roman" w:hAnsi="Times New Roman"/>
          <w:b/>
          <w:color w:val="FF0000"/>
          <w:sz w:val="24"/>
          <w:szCs w:val="24"/>
        </w:rPr>
      </w:pPr>
      <w:bookmarkStart w:id="212" w:name="_Toc7653"/>
      <w:r>
        <w:rPr>
          <w:rFonts w:hint="eastAsia" w:ascii="Times New Roman" w:hAnsi="Times New Roman"/>
          <w:b/>
          <w:color w:val="FF0000"/>
          <w:sz w:val="24"/>
          <w:szCs w:val="24"/>
        </w:rPr>
        <w:t>2、园区规划环评概述</w:t>
      </w:r>
      <w:bookmarkEnd w:id="212"/>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《元谋工业园区总体规划修编</w:t>
      </w:r>
      <w:r>
        <w:rPr>
          <w:rFonts w:ascii="Times New Roman" w:hAnsi="Times New Roman"/>
          <w:color w:val="FF0000"/>
          <w:sz w:val="24"/>
          <w:szCs w:val="24"/>
        </w:rPr>
        <w:t>（</w:t>
      </w:r>
      <w:r>
        <w:rPr>
          <w:rFonts w:hint="eastAsia" w:ascii="Times New Roman" w:hAnsi="Times New Roman"/>
          <w:color w:val="FF0000"/>
          <w:sz w:val="24"/>
          <w:szCs w:val="24"/>
        </w:rPr>
        <w:t>2018</w:t>
      </w:r>
      <w:r>
        <w:rPr>
          <w:rFonts w:ascii="Times New Roman" w:hAnsi="Times New Roman"/>
          <w:color w:val="FF0000"/>
          <w:sz w:val="24"/>
          <w:szCs w:val="24"/>
        </w:rPr>
        <w:t>-2025）</w:t>
      </w:r>
      <w:r>
        <w:rPr>
          <w:rFonts w:hint="eastAsia" w:ascii="Times New Roman" w:hAnsi="Times New Roman"/>
          <w:color w:val="FF0000"/>
          <w:sz w:val="24"/>
          <w:szCs w:val="24"/>
        </w:rPr>
        <w:t>环境影响报告书》于201</w:t>
      </w:r>
      <w:r>
        <w:rPr>
          <w:rFonts w:ascii="Times New Roman" w:hAnsi="Times New Roman"/>
          <w:color w:val="FF0000"/>
          <w:sz w:val="24"/>
          <w:szCs w:val="24"/>
        </w:rPr>
        <w:t>9</w:t>
      </w:r>
      <w:r>
        <w:rPr>
          <w:rFonts w:hint="eastAsia" w:ascii="Times New Roman" w:hAnsi="Times New Roman"/>
          <w:color w:val="FF0000"/>
          <w:sz w:val="24"/>
          <w:szCs w:val="24"/>
        </w:rPr>
        <w:t>年</w:t>
      </w:r>
      <w:r>
        <w:rPr>
          <w:rFonts w:ascii="Times New Roman" w:hAnsi="Times New Roman"/>
          <w:color w:val="FF0000"/>
          <w:sz w:val="24"/>
          <w:szCs w:val="24"/>
        </w:rPr>
        <w:t>8</w:t>
      </w:r>
      <w:r>
        <w:rPr>
          <w:rFonts w:hint="eastAsia" w:ascii="Times New Roman" w:hAnsi="Times New Roman"/>
          <w:color w:val="FF0000"/>
          <w:sz w:val="24"/>
          <w:szCs w:val="24"/>
        </w:rPr>
        <w:t>月</w:t>
      </w:r>
      <w:r>
        <w:rPr>
          <w:rFonts w:ascii="Times New Roman" w:hAnsi="Times New Roman"/>
          <w:color w:val="FF0000"/>
          <w:sz w:val="24"/>
          <w:szCs w:val="24"/>
        </w:rPr>
        <w:t>30</w:t>
      </w:r>
      <w:r>
        <w:rPr>
          <w:rFonts w:hint="eastAsia" w:ascii="Times New Roman" w:hAnsi="Times New Roman"/>
          <w:color w:val="FF0000"/>
          <w:sz w:val="24"/>
          <w:szCs w:val="24"/>
        </w:rPr>
        <w:t>日由楚雄州环境保护局审定；于201</w:t>
      </w:r>
      <w:r>
        <w:rPr>
          <w:rFonts w:ascii="Times New Roman" w:hAnsi="Times New Roman"/>
          <w:color w:val="FF0000"/>
          <w:sz w:val="24"/>
          <w:szCs w:val="24"/>
        </w:rPr>
        <w:t>9</w:t>
      </w:r>
      <w:r>
        <w:rPr>
          <w:rFonts w:hint="eastAsia" w:ascii="Times New Roman" w:hAnsi="Times New Roman"/>
          <w:color w:val="FF0000"/>
          <w:sz w:val="24"/>
          <w:szCs w:val="24"/>
        </w:rPr>
        <w:t>年</w:t>
      </w:r>
      <w:r>
        <w:rPr>
          <w:rFonts w:ascii="Times New Roman" w:hAnsi="Times New Roman"/>
          <w:color w:val="FF0000"/>
          <w:sz w:val="24"/>
          <w:szCs w:val="24"/>
        </w:rPr>
        <w:t>10</w:t>
      </w:r>
      <w:r>
        <w:rPr>
          <w:rFonts w:hint="eastAsia" w:ascii="Times New Roman" w:hAnsi="Times New Roman"/>
          <w:color w:val="FF0000"/>
          <w:sz w:val="24"/>
          <w:szCs w:val="24"/>
        </w:rPr>
        <w:t>月17日通过楚雄州环境保护局审查并取得了&lt;楚雄州环境保护局关于提交《元谋工业园区总体规划修编</w:t>
      </w:r>
      <w:r>
        <w:rPr>
          <w:rFonts w:ascii="Times New Roman" w:hAnsi="Times New Roman"/>
          <w:color w:val="FF0000"/>
          <w:sz w:val="24"/>
          <w:szCs w:val="24"/>
        </w:rPr>
        <w:t>（</w:t>
      </w:r>
      <w:r>
        <w:rPr>
          <w:rFonts w:hint="eastAsia" w:ascii="Times New Roman" w:hAnsi="Times New Roman"/>
          <w:color w:val="FF0000"/>
          <w:sz w:val="24"/>
          <w:szCs w:val="24"/>
        </w:rPr>
        <w:t>2018</w:t>
      </w:r>
      <w:r>
        <w:rPr>
          <w:rFonts w:ascii="Times New Roman" w:hAnsi="Times New Roman"/>
          <w:color w:val="FF0000"/>
          <w:sz w:val="24"/>
          <w:szCs w:val="24"/>
        </w:rPr>
        <w:t>-2025）</w:t>
      </w:r>
      <w:r>
        <w:rPr>
          <w:rFonts w:hint="eastAsia" w:ascii="Times New Roman" w:hAnsi="Times New Roman"/>
          <w:color w:val="FF0000"/>
          <w:sz w:val="24"/>
          <w:szCs w:val="24"/>
        </w:rPr>
        <w:t>环境影响报告书》审查意见的函&gt;。</w:t>
      </w:r>
    </w:p>
    <w:p>
      <w:pPr>
        <w:spacing w:line="360" w:lineRule="auto"/>
        <w:ind w:firstLine="482" w:firstLineChars="200"/>
        <w:rPr>
          <w:rFonts w:ascii="Times New Roman" w:hAnsi="Times New Roman"/>
          <w:b/>
          <w:color w:val="FF0000"/>
          <w:sz w:val="24"/>
          <w:szCs w:val="24"/>
        </w:rPr>
      </w:pPr>
      <w:r>
        <w:rPr>
          <w:rFonts w:hint="eastAsia" w:ascii="Times New Roman" w:hAnsi="Times New Roman"/>
          <w:b/>
          <w:color w:val="FF0000"/>
          <w:sz w:val="24"/>
          <w:szCs w:val="24"/>
        </w:rPr>
        <w:t>（1）规划概述</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元谋</w:t>
      </w:r>
      <w:r>
        <w:rPr>
          <w:rFonts w:ascii="Times New Roman" w:hAnsi="Times New Roman"/>
          <w:color w:val="FF0000"/>
          <w:sz w:val="24"/>
          <w:szCs w:val="24"/>
        </w:rPr>
        <w:t>县工业园区总体规划修编总用地面积为</w:t>
      </w:r>
      <w:r>
        <w:rPr>
          <w:rFonts w:hint="eastAsia" w:ascii="Times New Roman" w:hAnsi="Times New Roman"/>
          <w:color w:val="FF0000"/>
          <w:sz w:val="24"/>
          <w:szCs w:val="24"/>
        </w:rPr>
        <w:t>9.58平方</w:t>
      </w:r>
      <w:r>
        <w:rPr>
          <w:rFonts w:ascii="Times New Roman" w:hAnsi="Times New Roman"/>
          <w:color w:val="FF0000"/>
          <w:sz w:val="24"/>
          <w:szCs w:val="24"/>
        </w:rPr>
        <w:t>公里，包括两个片区。其中</w:t>
      </w:r>
      <w:r>
        <w:rPr>
          <w:rFonts w:hint="eastAsia" w:ascii="Times New Roman" w:hAnsi="Times New Roman"/>
          <w:color w:val="FF0000"/>
          <w:sz w:val="24"/>
          <w:szCs w:val="24"/>
        </w:rPr>
        <w:t>金雷</w:t>
      </w:r>
      <w:r>
        <w:rPr>
          <w:rFonts w:ascii="Times New Roman" w:hAnsi="Times New Roman"/>
          <w:color w:val="FF0000"/>
          <w:sz w:val="24"/>
          <w:szCs w:val="24"/>
        </w:rPr>
        <w:t>片区位于黄瓜园镇西北侧，规划总用地</w:t>
      </w:r>
      <w:r>
        <w:rPr>
          <w:rFonts w:hint="eastAsia" w:ascii="Times New Roman" w:hAnsi="Times New Roman"/>
          <w:color w:val="FF0000"/>
          <w:sz w:val="24"/>
          <w:szCs w:val="24"/>
        </w:rPr>
        <w:t>7.02平方公里</w:t>
      </w:r>
      <w:r>
        <w:rPr>
          <w:rFonts w:ascii="Times New Roman" w:hAnsi="Times New Roman"/>
          <w:color w:val="FF0000"/>
          <w:sz w:val="24"/>
          <w:szCs w:val="24"/>
        </w:rPr>
        <w:t>（</w:t>
      </w:r>
      <w:r>
        <w:rPr>
          <w:rFonts w:hint="eastAsia" w:ascii="Times New Roman" w:hAnsi="Times New Roman"/>
          <w:color w:val="FF0000"/>
          <w:sz w:val="24"/>
          <w:szCs w:val="24"/>
        </w:rPr>
        <w:t>701.84</w:t>
      </w:r>
      <w:r>
        <w:rPr>
          <w:rFonts w:ascii="Times New Roman" w:hAnsi="Times New Roman"/>
          <w:color w:val="FF0000"/>
          <w:sz w:val="24"/>
          <w:szCs w:val="24"/>
        </w:rPr>
        <w:t>ha）</w:t>
      </w:r>
      <w:r>
        <w:rPr>
          <w:rFonts w:hint="eastAsia" w:ascii="Times New Roman" w:hAnsi="Times New Roman"/>
          <w:color w:val="FF0000"/>
          <w:sz w:val="24"/>
          <w:szCs w:val="24"/>
        </w:rPr>
        <w:t>，</w:t>
      </w:r>
      <w:r>
        <w:rPr>
          <w:rFonts w:ascii="Times New Roman" w:hAnsi="Times New Roman"/>
          <w:color w:val="FF0000"/>
          <w:sz w:val="24"/>
          <w:szCs w:val="24"/>
        </w:rPr>
        <w:t>东至</w:t>
      </w:r>
      <w:r>
        <w:rPr>
          <w:rFonts w:hint="eastAsia" w:ascii="Times New Roman" w:hAnsi="Times New Roman"/>
          <w:color w:val="FF0000"/>
          <w:sz w:val="24"/>
          <w:szCs w:val="24"/>
        </w:rPr>
        <w:t>金河水</w:t>
      </w:r>
      <w:r>
        <w:rPr>
          <w:rFonts w:ascii="Times New Roman" w:hAnsi="Times New Roman"/>
          <w:color w:val="FF0000"/>
          <w:sz w:val="24"/>
          <w:szCs w:val="24"/>
        </w:rPr>
        <w:t>大村斛角山，西至湾保村，南至</w:t>
      </w:r>
      <w:r>
        <w:rPr>
          <w:rFonts w:hint="eastAsia" w:ascii="Times New Roman" w:hAnsi="Times New Roman"/>
          <w:color w:val="FF0000"/>
          <w:sz w:val="24"/>
          <w:szCs w:val="24"/>
        </w:rPr>
        <w:t>G108，</w:t>
      </w:r>
      <w:r>
        <w:rPr>
          <w:rFonts w:ascii="Times New Roman" w:hAnsi="Times New Roman"/>
          <w:color w:val="FF0000"/>
          <w:sz w:val="24"/>
          <w:szCs w:val="24"/>
        </w:rPr>
        <w:t>北至蜻蛉河-小雷宰村；新桥片区位于县城北侧，规划总用地</w:t>
      </w:r>
      <w:r>
        <w:rPr>
          <w:rFonts w:hint="eastAsia" w:ascii="Times New Roman" w:hAnsi="Times New Roman"/>
          <w:color w:val="FF0000"/>
          <w:sz w:val="24"/>
          <w:szCs w:val="24"/>
        </w:rPr>
        <w:t>2.56平方</w:t>
      </w:r>
      <w:r>
        <w:rPr>
          <w:rFonts w:ascii="Times New Roman" w:hAnsi="Times New Roman"/>
          <w:color w:val="FF0000"/>
          <w:sz w:val="24"/>
          <w:szCs w:val="24"/>
        </w:rPr>
        <w:t>公里（</w:t>
      </w:r>
      <w:r>
        <w:rPr>
          <w:rFonts w:hint="eastAsia" w:ascii="Times New Roman" w:hAnsi="Times New Roman"/>
          <w:color w:val="FF0000"/>
          <w:sz w:val="24"/>
          <w:szCs w:val="24"/>
        </w:rPr>
        <w:t>255.76</w:t>
      </w:r>
      <w:r>
        <w:rPr>
          <w:rFonts w:ascii="Times New Roman" w:hAnsi="Times New Roman"/>
          <w:color w:val="FF0000"/>
          <w:sz w:val="24"/>
          <w:szCs w:val="24"/>
        </w:rPr>
        <w:t>ha）</w:t>
      </w:r>
      <w:r>
        <w:rPr>
          <w:rFonts w:hint="eastAsia" w:ascii="Times New Roman" w:hAnsi="Times New Roman"/>
          <w:color w:val="FF0000"/>
          <w:sz w:val="24"/>
          <w:szCs w:val="24"/>
        </w:rPr>
        <w:t>，</w:t>
      </w:r>
      <w:r>
        <w:rPr>
          <w:rFonts w:ascii="Times New Roman" w:hAnsi="Times New Roman"/>
          <w:color w:val="FF0000"/>
          <w:sz w:val="24"/>
          <w:szCs w:val="24"/>
        </w:rPr>
        <w:t>东至</w:t>
      </w:r>
      <w:r>
        <w:rPr>
          <w:rFonts w:hint="eastAsia" w:ascii="Times New Roman" w:hAnsi="Times New Roman"/>
          <w:color w:val="FF0000"/>
          <w:sz w:val="24"/>
          <w:szCs w:val="24"/>
        </w:rPr>
        <w:t>G108，</w:t>
      </w:r>
      <w:r>
        <w:rPr>
          <w:rFonts w:ascii="Times New Roman" w:hAnsi="Times New Roman"/>
          <w:color w:val="FF0000"/>
          <w:sz w:val="24"/>
          <w:szCs w:val="24"/>
        </w:rPr>
        <w:t>西至上总拓村，南至种业园区，</w:t>
      </w:r>
      <w:r>
        <w:rPr>
          <w:rFonts w:hint="eastAsia" w:ascii="Times New Roman" w:hAnsi="Times New Roman"/>
          <w:color w:val="FF0000"/>
          <w:sz w:val="24"/>
          <w:szCs w:val="24"/>
        </w:rPr>
        <w:t>北至</w:t>
      </w:r>
      <w:r>
        <w:rPr>
          <w:rFonts w:ascii="Times New Roman" w:hAnsi="Times New Roman"/>
          <w:color w:val="FF0000"/>
          <w:sz w:val="24"/>
          <w:szCs w:val="24"/>
        </w:rPr>
        <w:t>能禹坡头</w:t>
      </w:r>
      <w:r>
        <w:rPr>
          <w:rFonts w:hint="eastAsia"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规划产业</w:t>
      </w:r>
      <w:r>
        <w:rPr>
          <w:rFonts w:ascii="Times New Roman" w:hAnsi="Times New Roman"/>
          <w:color w:val="FF0000"/>
          <w:sz w:val="24"/>
          <w:szCs w:val="24"/>
        </w:rPr>
        <w:t>定位为：重点发展特色食品制造产业（</w:t>
      </w:r>
      <w:r>
        <w:rPr>
          <w:rFonts w:hint="eastAsia" w:ascii="Times New Roman" w:hAnsi="Times New Roman"/>
          <w:color w:val="FF0000"/>
          <w:sz w:val="24"/>
          <w:szCs w:val="24"/>
        </w:rPr>
        <w:t>以</w:t>
      </w:r>
      <w:r>
        <w:rPr>
          <w:rFonts w:ascii="Times New Roman" w:hAnsi="Times New Roman"/>
          <w:color w:val="FF0000"/>
          <w:sz w:val="24"/>
          <w:szCs w:val="24"/>
        </w:rPr>
        <w:t>果蔬精深加工为重点）</w:t>
      </w:r>
      <w:r>
        <w:rPr>
          <w:rFonts w:hint="eastAsia" w:ascii="Times New Roman" w:hAnsi="Times New Roman"/>
          <w:color w:val="FF0000"/>
          <w:sz w:val="24"/>
          <w:szCs w:val="24"/>
        </w:rPr>
        <w:t>，</w:t>
      </w:r>
      <w:r>
        <w:rPr>
          <w:rFonts w:ascii="Times New Roman" w:hAnsi="Times New Roman"/>
          <w:color w:val="FF0000"/>
          <w:sz w:val="24"/>
          <w:szCs w:val="24"/>
        </w:rPr>
        <w:t>积极发展轻工制造产业（</w:t>
      </w:r>
      <w:r>
        <w:rPr>
          <w:rFonts w:hint="eastAsia" w:ascii="Times New Roman" w:hAnsi="Times New Roman"/>
          <w:color w:val="FF0000"/>
          <w:sz w:val="24"/>
          <w:szCs w:val="24"/>
        </w:rPr>
        <w:t>以</w:t>
      </w:r>
      <w:r>
        <w:rPr>
          <w:rFonts w:ascii="Times New Roman" w:hAnsi="Times New Roman"/>
          <w:color w:val="FF0000"/>
          <w:sz w:val="24"/>
          <w:szCs w:val="24"/>
        </w:rPr>
        <w:t>消费品制造产业为重点）</w:t>
      </w:r>
      <w:r>
        <w:rPr>
          <w:rFonts w:hint="eastAsia"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（1）新桥</w:t>
      </w:r>
      <w:r>
        <w:rPr>
          <w:rFonts w:ascii="Times New Roman" w:hAnsi="Times New Roman"/>
          <w:color w:val="FF0000"/>
          <w:sz w:val="24"/>
          <w:szCs w:val="24"/>
        </w:rPr>
        <w:t>片区</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产城</w:t>
      </w:r>
      <w:r>
        <w:rPr>
          <w:rFonts w:ascii="Times New Roman" w:hAnsi="Times New Roman"/>
          <w:color w:val="FF0000"/>
          <w:sz w:val="24"/>
          <w:szCs w:val="24"/>
        </w:rPr>
        <w:t>融合示范区，重点发展企业孵化、电子信息配套等产业</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（2）金雷</w:t>
      </w:r>
      <w:r>
        <w:rPr>
          <w:rFonts w:ascii="Times New Roman" w:hAnsi="Times New Roman"/>
          <w:color w:val="FF0000"/>
          <w:sz w:val="24"/>
          <w:szCs w:val="24"/>
        </w:rPr>
        <w:t>片区</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工业</w:t>
      </w:r>
      <w:r>
        <w:rPr>
          <w:rFonts w:ascii="Times New Roman" w:hAnsi="Times New Roman"/>
          <w:color w:val="FF0000"/>
          <w:sz w:val="24"/>
          <w:szCs w:val="24"/>
        </w:rPr>
        <w:t>集聚区，重点发展特色食品制造、轻工制造产业和装备制造产业。</w:t>
      </w:r>
    </w:p>
    <w:p>
      <w:pPr>
        <w:spacing w:line="360" w:lineRule="auto"/>
        <w:ind w:firstLine="482" w:firstLineChars="200"/>
        <w:rPr>
          <w:rFonts w:ascii="Times New Roman" w:hAnsi="Times New Roman"/>
          <w:b/>
          <w:color w:val="FF0000"/>
          <w:sz w:val="24"/>
          <w:szCs w:val="24"/>
        </w:rPr>
      </w:pPr>
      <w:r>
        <w:rPr>
          <w:rFonts w:hint="eastAsia" w:ascii="Times New Roman" w:hAnsi="Times New Roman"/>
          <w:b/>
          <w:color w:val="FF0000"/>
          <w:sz w:val="24"/>
          <w:szCs w:val="24"/>
        </w:rPr>
        <w:t>（2）园区规划环评提出措施</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1）水环境控制措施</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园区</w:t>
      </w:r>
      <w:r>
        <w:rPr>
          <w:rFonts w:ascii="Times New Roman" w:hAnsi="Times New Roman"/>
          <w:color w:val="FF0000"/>
          <w:sz w:val="24"/>
          <w:szCs w:val="24"/>
        </w:rPr>
        <w:t>内应建设严格的“</w:t>
      </w:r>
      <w:r>
        <w:rPr>
          <w:rFonts w:hint="eastAsia" w:ascii="Times New Roman" w:hAnsi="Times New Roman"/>
          <w:color w:val="FF0000"/>
          <w:sz w:val="24"/>
          <w:szCs w:val="24"/>
        </w:rPr>
        <w:t>雨污分流</w:t>
      </w:r>
      <w:r>
        <w:rPr>
          <w:rFonts w:ascii="Times New Roman" w:hAnsi="Times New Roman"/>
          <w:color w:val="FF0000"/>
          <w:sz w:val="24"/>
          <w:szCs w:val="24"/>
        </w:rPr>
        <w:t>”</w:t>
      </w:r>
      <w:r>
        <w:rPr>
          <w:rFonts w:hint="eastAsia" w:ascii="Times New Roman" w:hAnsi="Times New Roman"/>
          <w:color w:val="FF0000"/>
          <w:sz w:val="24"/>
          <w:szCs w:val="24"/>
        </w:rPr>
        <w:t>排水</w:t>
      </w:r>
      <w:r>
        <w:rPr>
          <w:rFonts w:ascii="Times New Roman" w:hAnsi="Times New Roman"/>
          <w:color w:val="FF0000"/>
          <w:sz w:val="24"/>
          <w:szCs w:val="24"/>
        </w:rPr>
        <w:t>系统，同时，建议</w:t>
      </w:r>
      <w:r>
        <w:rPr>
          <w:rFonts w:hint="eastAsia" w:ascii="Times New Roman" w:hAnsi="Times New Roman"/>
          <w:color w:val="FF0000"/>
          <w:sz w:val="24"/>
          <w:szCs w:val="24"/>
        </w:rPr>
        <w:t>远期</w:t>
      </w:r>
      <w:r>
        <w:rPr>
          <w:rFonts w:ascii="Times New Roman" w:hAnsi="Times New Roman"/>
          <w:color w:val="FF0000"/>
          <w:sz w:val="24"/>
          <w:szCs w:val="24"/>
        </w:rPr>
        <w:t>内建设雨水收集系统。</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近期</w:t>
      </w:r>
      <w:r>
        <w:rPr>
          <w:rFonts w:ascii="Times New Roman" w:hAnsi="Times New Roman"/>
          <w:color w:val="FF0000"/>
          <w:sz w:val="24"/>
          <w:szCs w:val="24"/>
        </w:rPr>
        <w:t>园区污水处理厂未建成时，各入驻企业需对排放生活污水进行处理，并</w:t>
      </w:r>
      <w:r>
        <w:rPr>
          <w:rFonts w:hint="eastAsia" w:ascii="Times New Roman" w:hAnsi="Times New Roman"/>
          <w:color w:val="FF0000"/>
          <w:sz w:val="24"/>
          <w:szCs w:val="24"/>
        </w:rPr>
        <w:t>达到</w:t>
      </w:r>
      <w:r>
        <w:rPr>
          <w:rFonts w:ascii="Times New Roman" w:hAnsi="Times New Roman"/>
          <w:color w:val="FF0000"/>
          <w:sz w:val="24"/>
          <w:szCs w:val="24"/>
        </w:rPr>
        <w:t>《</w:t>
      </w:r>
      <w:r>
        <w:rPr>
          <w:rFonts w:hint="eastAsia" w:ascii="Times New Roman" w:hAnsi="Times New Roman"/>
          <w:color w:val="FF0000"/>
          <w:sz w:val="24"/>
          <w:szCs w:val="24"/>
        </w:rPr>
        <w:t>污水</w:t>
      </w:r>
      <w:r>
        <w:rPr>
          <w:rFonts w:ascii="Times New Roman" w:hAnsi="Times New Roman"/>
          <w:color w:val="FF0000"/>
          <w:sz w:val="24"/>
          <w:szCs w:val="24"/>
        </w:rPr>
        <w:t>综合排放标准》</w:t>
      </w:r>
      <w:r>
        <w:rPr>
          <w:rFonts w:hint="eastAsia" w:ascii="Times New Roman" w:hAnsi="Times New Roman"/>
          <w:color w:val="FF0000"/>
          <w:sz w:val="24"/>
          <w:szCs w:val="24"/>
        </w:rPr>
        <w:t>（GB8978</w:t>
      </w:r>
      <w:r>
        <w:rPr>
          <w:rFonts w:ascii="Times New Roman" w:hAnsi="Times New Roman"/>
          <w:color w:val="FF0000"/>
          <w:sz w:val="24"/>
          <w:szCs w:val="24"/>
        </w:rPr>
        <w:t>-1996</w:t>
      </w:r>
      <w:r>
        <w:rPr>
          <w:rFonts w:hint="eastAsia" w:ascii="Times New Roman" w:hAnsi="Times New Roman"/>
          <w:color w:val="FF0000"/>
          <w:sz w:val="24"/>
          <w:szCs w:val="24"/>
        </w:rPr>
        <w:t>）二级</w:t>
      </w:r>
      <w:r>
        <w:rPr>
          <w:rFonts w:ascii="Times New Roman" w:hAnsi="Times New Roman"/>
          <w:color w:val="FF0000"/>
          <w:sz w:val="24"/>
          <w:szCs w:val="24"/>
        </w:rPr>
        <w:t>标准方可外排，生产废水可</w:t>
      </w:r>
      <w:r>
        <w:rPr>
          <w:rFonts w:hint="eastAsia" w:ascii="Times New Roman" w:hAnsi="Times New Roman"/>
          <w:color w:val="FF0000"/>
          <w:sz w:val="24"/>
          <w:szCs w:val="24"/>
        </w:rPr>
        <w:t>回用</w:t>
      </w:r>
      <w:r>
        <w:rPr>
          <w:rFonts w:ascii="Times New Roman" w:hAnsi="Times New Roman"/>
          <w:color w:val="FF0000"/>
          <w:sz w:val="24"/>
          <w:szCs w:val="24"/>
        </w:rPr>
        <w:t>的（</w:t>
      </w:r>
      <w:r>
        <w:rPr>
          <w:rFonts w:hint="eastAsia" w:ascii="Times New Roman" w:hAnsi="Times New Roman"/>
          <w:color w:val="FF0000"/>
          <w:sz w:val="24"/>
          <w:szCs w:val="24"/>
        </w:rPr>
        <w:t>如</w:t>
      </w:r>
      <w:r>
        <w:rPr>
          <w:rFonts w:ascii="Times New Roman" w:hAnsi="Times New Roman"/>
          <w:color w:val="FF0000"/>
          <w:sz w:val="24"/>
          <w:szCs w:val="24"/>
        </w:rPr>
        <w:t>间接循环冷却水等）</w:t>
      </w:r>
      <w:r>
        <w:rPr>
          <w:rFonts w:hint="eastAsia" w:ascii="Times New Roman" w:hAnsi="Times New Roman"/>
          <w:color w:val="FF0000"/>
          <w:sz w:val="24"/>
          <w:szCs w:val="24"/>
        </w:rPr>
        <w:t>，</w:t>
      </w:r>
      <w:r>
        <w:rPr>
          <w:rFonts w:ascii="Times New Roman" w:hAnsi="Times New Roman"/>
          <w:color w:val="FF0000"/>
          <w:sz w:val="24"/>
          <w:szCs w:val="24"/>
        </w:rPr>
        <w:t>沉淀后可回用于生产，不能回用的生产废水，经处理达到《</w:t>
      </w:r>
      <w:r>
        <w:rPr>
          <w:rFonts w:hint="eastAsia" w:ascii="Times New Roman" w:hAnsi="Times New Roman"/>
          <w:color w:val="FF0000"/>
          <w:sz w:val="24"/>
          <w:szCs w:val="24"/>
        </w:rPr>
        <w:t>污水</w:t>
      </w:r>
      <w:r>
        <w:rPr>
          <w:rFonts w:ascii="Times New Roman" w:hAnsi="Times New Roman"/>
          <w:color w:val="FF0000"/>
          <w:sz w:val="24"/>
          <w:szCs w:val="24"/>
        </w:rPr>
        <w:t>综合排放标准》</w:t>
      </w:r>
      <w:r>
        <w:rPr>
          <w:rFonts w:hint="eastAsia" w:ascii="Times New Roman" w:hAnsi="Times New Roman"/>
          <w:color w:val="FF0000"/>
          <w:sz w:val="24"/>
          <w:szCs w:val="24"/>
        </w:rPr>
        <w:t>（GB8978</w:t>
      </w:r>
      <w:r>
        <w:rPr>
          <w:rFonts w:ascii="Times New Roman" w:hAnsi="Times New Roman"/>
          <w:color w:val="FF0000"/>
          <w:sz w:val="24"/>
          <w:szCs w:val="24"/>
        </w:rPr>
        <w:t>-1996</w:t>
      </w:r>
      <w:r>
        <w:rPr>
          <w:rFonts w:hint="eastAsia" w:ascii="Times New Roman" w:hAnsi="Times New Roman"/>
          <w:color w:val="FF0000"/>
          <w:sz w:val="24"/>
          <w:szCs w:val="24"/>
        </w:rPr>
        <w:t>）二级</w:t>
      </w:r>
      <w:r>
        <w:rPr>
          <w:rFonts w:ascii="Times New Roman" w:hAnsi="Times New Roman"/>
          <w:color w:val="FF0000"/>
          <w:sz w:val="24"/>
          <w:szCs w:val="24"/>
        </w:rPr>
        <w:t>标准方可外排。待</w:t>
      </w:r>
      <w:r>
        <w:rPr>
          <w:rFonts w:hint="eastAsia" w:ascii="Times New Roman" w:hAnsi="Times New Roman"/>
          <w:color w:val="FF0000"/>
          <w:sz w:val="24"/>
          <w:szCs w:val="24"/>
        </w:rPr>
        <w:t>远期</w:t>
      </w:r>
      <w:r>
        <w:rPr>
          <w:rFonts w:ascii="Times New Roman" w:hAnsi="Times New Roman"/>
          <w:color w:val="FF0000"/>
          <w:sz w:val="24"/>
          <w:szCs w:val="24"/>
        </w:rPr>
        <w:t>园区污水处理厂建成后，各企业需对排放生活污水进行预处理达标后统一排入园区污水处理厂达到《</w:t>
      </w:r>
      <w:r>
        <w:rPr>
          <w:rFonts w:hint="eastAsia" w:ascii="Times New Roman" w:hAnsi="Times New Roman"/>
          <w:color w:val="FF0000"/>
          <w:sz w:val="24"/>
          <w:szCs w:val="24"/>
        </w:rPr>
        <w:t>城镇</w:t>
      </w:r>
      <w:r>
        <w:rPr>
          <w:rFonts w:ascii="Times New Roman" w:hAnsi="Times New Roman"/>
          <w:color w:val="FF0000"/>
          <w:sz w:val="24"/>
          <w:szCs w:val="24"/>
        </w:rPr>
        <w:t>污水处理厂污染物排放标准》</w:t>
      </w:r>
      <w:r>
        <w:rPr>
          <w:rFonts w:hint="eastAsia" w:ascii="Times New Roman" w:hAnsi="Times New Roman"/>
          <w:color w:val="FF0000"/>
          <w:sz w:val="24"/>
          <w:szCs w:val="24"/>
        </w:rPr>
        <w:t>（GB18918</w:t>
      </w:r>
      <w:r>
        <w:rPr>
          <w:rFonts w:ascii="Times New Roman" w:hAnsi="Times New Roman"/>
          <w:color w:val="FF0000"/>
          <w:sz w:val="24"/>
          <w:szCs w:val="24"/>
        </w:rPr>
        <w:t>-2002</w:t>
      </w:r>
      <w:r>
        <w:rPr>
          <w:rFonts w:hint="eastAsia" w:ascii="Times New Roman" w:hAnsi="Times New Roman"/>
          <w:color w:val="FF0000"/>
          <w:sz w:val="24"/>
          <w:szCs w:val="24"/>
        </w:rPr>
        <w:t>）一级A标准</w:t>
      </w:r>
      <w:r>
        <w:rPr>
          <w:rFonts w:ascii="Times New Roman" w:hAnsi="Times New Roman"/>
          <w:color w:val="FF0000"/>
          <w:sz w:val="24"/>
          <w:szCs w:val="24"/>
        </w:rPr>
        <w:t>后达标排放。</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2）大气环境影响控制措施</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严格控制现</w:t>
      </w:r>
      <w:r>
        <w:rPr>
          <w:rFonts w:hint="eastAsia" w:ascii="Times New Roman" w:hAnsi="Times New Roman"/>
          <w:color w:val="FF0000"/>
          <w:sz w:val="24"/>
          <w:szCs w:val="24"/>
        </w:rPr>
        <w:t>有</w:t>
      </w:r>
      <w:r>
        <w:rPr>
          <w:rFonts w:ascii="Times New Roman" w:hAnsi="Times New Roman"/>
          <w:color w:val="FF0000"/>
          <w:sz w:val="24"/>
          <w:szCs w:val="24"/>
        </w:rPr>
        <w:t>企业及入住企业的二氧化硫、二氧化氮排和粉尘放量，园区燃料应尽量提高清洁燃料的使用，锅炉应按国家相关规定安装脱硫除尘设施，排放的各种气型污染物必须符合相应的排放标准和总量排放要求</w:t>
      </w:r>
      <w:r>
        <w:rPr>
          <w:rFonts w:hint="eastAsia"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3）噪声控制措施</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园区内企业应按各噪声源情况，采取合适的噪声污染防治措施，产噪较大的设备应布置于远离厂界的地方，园区入驻企业应注意预留厂界环境噪声达标排放防护距离，以减轻对厂界外声环境敏感目标的影响</w:t>
      </w:r>
      <w:r>
        <w:rPr>
          <w:rFonts w:hint="eastAsia"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4）固体废物处置措施</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对工业固体废物中可以回收利用的进行充分综合利用，立足于在园区内加以消化。尽量做到无害化、减量化、资源化、效益化目标，规范建设一般工业固体废物处置场．对于涉及危险废物的企业，必须按照《危险废物污染防治技术政策》、《危险废物填埋污染控制标准》</w:t>
      </w:r>
      <w:r>
        <w:rPr>
          <w:rFonts w:hint="eastAsia" w:ascii="Times New Roman" w:hAnsi="Times New Roman"/>
          <w:color w:val="FF0000"/>
          <w:sz w:val="24"/>
          <w:szCs w:val="24"/>
        </w:rPr>
        <w:t>(</w:t>
      </w:r>
      <w:r>
        <w:rPr>
          <w:rFonts w:ascii="Times New Roman" w:hAnsi="Times New Roman"/>
          <w:color w:val="FF0000"/>
          <w:sz w:val="24"/>
          <w:szCs w:val="24"/>
        </w:rPr>
        <w:t>GB1859</w:t>
      </w:r>
      <w:r>
        <w:rPr>
          <w:rFonts w:hint="eastAsia" w:ascii="Times New Roman" w:hAnsi="Times New Roman"/>
          <w:color w:val="FF0000"/>
          <w:sz w:val="24"/>
          <w:szCs w:val="24"/>
        </w:rPr>
        <w:t>9-2001)</w:t>
      </w:r>
      <w:r>
        <w:rPr>
          <w:rFonts w:ascii="Times New Roman" w:hAnsi="Times New Roman"/>
          <w:color w:val="FF0000"/>
          <w:sz w:val="24"/>
          <w:szCs w:val="24"/>
        </w:rPr>
        <w:t>和《危险废物贮存污染控制标准》</w:t>
      </w:r>
      <w:r>
        <w:rPr>
          <w:rFonts w:hint="eastAsia" w:ascii="Times New Roman" w:hAnsi="Times New Roman"/>
          <w:color w:val="FF0000"/>
          <w:sz w:val="24"/>
          <w:szCs w:val="24"/>
        </w:rPr>
        <w:t>（</w:t>
      </w:r>
      <w:r>
        <w:rPr>
          <w:rFonts w:ascii="Times New Roman" w:hAnsi="Times New Roman"/>
          <w:color w:val="FF0000"/>
          <w:sz w:val="24"/>
          <w:szCs w:val="24"/>
        </w:rPr>
        <w:t>G</w:t>
      </w:r>
      <w:r>
        <w:rPr>
          <w:rFonts w:hint="eastAsia" w:ascii="Times New Roman" w:hAnsi="Times New Roman"/>
          <w:color w:val="FF0000"/>
          <w:sz w:val="24"/>
          <w:szCs w:val="24"/>
        </w:rPr>
        <w:t>B1</w:t>
      </w:r>
      <w:r>
        <w:rPr>
          <w:rFonts w:ascii="Times New Roman" w:hAnsi="Times New Roman"/>
          <w:color w:val="FF0000"/>
          <w:sz w:val="24"/>
          <w:szCs w:val="24"/>
        </w:rPr>
        <w:t>8597</w:t>
      </w:r>
      <w:r>
        <w:rPr>
          <w:rFonts w:hint="eastAsia" w:ascii="Times New Roman" w:hAnsi="Times New Roman"/>
          <w:color w:val="FF0000"/>
          <w:sz w:val="24"/>
          <w:szCs w:val="24"/>
        </w:rPr>
        <w:t>-2001）</w:t>
      </w:r>
      <w:r>
        <w:rPr>
          <w:rFonts w:ascii="Times New Roman" w:hAnsi="Times New Roman"/>
          <w:color w:val="FF0000"/>
          <w:sz w:val="24"/>
          <w:szCs w:val="24"/>
        </w:rPr>
        <w:t>等法规标准的规定进行危废处置，防止其对土壤和地下水的污染。危险废物的临时存贮、运输和最终的全过程管理必须符合国家有关规定</w:t>
      </w:r>
      <w:r>
        <w:rPr>
          <w:rFonts w:hint="eastAsia"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5）环境风险防范措施</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园区应根据国家的和地方危险化学品管理有关规定，制定完善的制度，加强对于涉及危险化学品的企业的日常监管。园区应针对冶金、化工等产业发展需要，制定完善的工业园区环境风险防范措施和编制园区环境风险应急预案</w:t>
      </w:r>
      <w:r>
        <w:rPr>
          <w:rFonts w:hint="eastAsia"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6）环境监督管理措施</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园区内各项建设项目，必须遵守国家有关建设项目环境保护管理的规定。按照云南省产业结构调整指导目录和环境保护法规和标准要求，提出了园区项目入驻原则和入驻项目的环保要求</w:t>
      </w:r>
      <w:r>
        <w:rPr>
          <w:rFonts w:hint="eastAsia" w:ascii="Times New Roman" w:hAnsi="Times New Roman"/>
          <w:color w:val="FF0000"/>
          <w:sz w:val="24"/>
          <w:szCs w:val="24"/>
        </w:rPr>
        <w:t>。</w:t>
      </w:r>
    </w:p>
    <w:p>
      <w:pPr>
        <w:pStyle w:val="6"/>
        <w:spacing w:line="360" w:lineRule="auto"/>
        <w:ind w:firstLine="482" w:firstLineChars="200"/>
        <w:rPr>
          <w:rFonts w:ascii="Times New Roman" w:hAnsi="Times New Roman" w:eastAsia="宋体" w:cs="Times New Roman"/>
          <w:color w:val="FF0000"/>
          <w:sz w:val="24"/>
        </w:rPr>
      </w:pPr>
      <w:bookmarkStart w:id="213" w:name="_Toc23390"/>
      <w:r>
        <w:rPr>
          <w:rFonts w:hint="eastAsia" w:ascii="Times New Roman" w:hAnsi="Times New Roman" w:eastAsia="宋体" w:cs="Times New Roman"/>
          <w:color w:val="FF0000"/>
          <w:sz w:val="24"/>
        </w:rPr>
        <w:t>4.2.2区域</w:t>
      </w:r>
      <w:r>
        <w:rPr>
          <w:rFonts w:ascii="Times New Roman" w:hAnsi="Times New Roman" w:eastAsia="宋体" w:cs="Times New Roman"/>
          <w:color w:val="FF0000"/>
          <w:sz w:val="24"/>
        </w:rPr>
        <w:t>保护目标调查</w:t>
      </w:r>
      <w:bookmarkEnd w:id="213"/>
    </w:p>
    <w:p>
      <w:pPr>
        <w:spacing w:line="360" w:lineRule="auto"/>
        <w:ind w:firstLine="480" w:firstLineChars="200"/>
        <w:rPr>
          <w:rFonts w:ascii="Times New Roman" w:hAnsi="Times New Roman"/>
          <w:snapToGrid w:val="0"/>
          <w:color w:val="FF0000"/>
          <w:kern w:val="0"/>
          <w:sz w:val="24"/>
        </w:rPr>
      </w:pPr>
      <w:r>
        <w:rPr>
          <w:rFonts w:ascii="Times New Roman" w:hAnsi="Times New Roman"/>
          <w:snapToGrid w:val="0"/>
          <w:color w:val="FF0000"/>
          <w:kern w:val="0"/>
          <w:sz w:val="24"/>
        </w:rPr>
        <w:t>项目选址周围有两处居民点：小雷宰村（73户，约320人），东</w:t>
      </w:r>
      <w:r>
        <w:rPr>
          <w:rFonts w:hint="eastAsia" w:ascii="Times New Roman" w:hAnsi="Times New Roman"/>
          <w:snapToGrid w:val="0"/>
          <w:color w:val="FF0000"/>
          <w:kern w:val="0"/>
          <w:sz w:val="24"/>
        </w:rPr>
        <w:t>偏</w:t>
      </w:r>
      <w:r>
        <w:rPr>
          <w:rFonts w:ascii="Times New Roman" w:hAnsi="Times New Roman"/>
          <w:snapToGrid w:val="0"/>
          <w:color w:val="FF0000"/>
          <w:kern w:val="0"/>
          <w:sz w:val="24"/>
        </w:rPr>
        <w:t>南面422m；那化村（100户，约398人），西</w:t>
      </w:r>
      <w:r>
        <w:rPr>
          <w:rFonts w:hint="eastAsia" w:ascii="Times New Roman" w:hAnsi="Times New Roman"/>
          <w:snapToGrid w:val="0"/>
          <w:color w:val="FF0000"/>
          <w:kern w:val="0"/>
          <w:sz w:val="24"/>
        </w:rPr>
        <w:t>偏北</w:t>
      </w:r>
      <w:r>
        <w:rPr>
          <w:rFonts w:ascii="Times New Roman" w:hAnsi="Times New Roman"/>
          <w:snapToGrid w:val="0"/>
          <w:color w:val="FF0000"/>
          <w:kern w:val="0"/>
          <w:sz w:val="24"/>
        </w:rPr>
        <w:t>1038m。</w:t>
      </w:r>
    </w:p>
    <w:p>
      <w:pPr>
        <w:pStyle w:val="6"/>
        <w:spacing w:line="360" w:lineRule="auto"/>
        <w:ind w:firstLine="482" w:firstLineChars="200"/>
        <w:rPr>
          <w:rFonts w:ascii="Times New Roman" w:hAnsi="Times New Roman" w:eastAsia="宋体" w:cs="Times New Roman"/>
          <w:color w:val="FF0000"/>
          <w:sz w:val="24"/>
        </w:rPr>
      </w:pPr>
      <w:bookmarkStart w:id="214" w:name="_Toc29494"/>
      <w:r>
        <w:rPr>
          <w:rFonts w:hint="eastAsia" w:ascii="Times New Roman" w:hAnsi="Times New Roman" w:eastAsia="宋体" w:cs="Times New Roman"/>
          <w:color w:val="FF0000"/>
          <w:sz w:val="24"/>
        </w:rPr>
        <w:t>4.2.3区域</w:t>
      </w:r>
      <w:r>
        <w:rPr>
          <w:rFonts w:ascii="Times New Roman" w:hAnsi="Times New Roman" w:eastAsia="宋体" w:cs="Times New Roman"/>
          <w:color w:val="FF0000"/>
          <w:sz w:val="24"/>
        </w:rPr>
        <w:t>污染源调查</w:t>
      </w:r>
      <w:bookmarkEnd w:id="214"/>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1）区域大气污染源现状调查</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（1）项目厂界西面200m处勇明、富盛及嘉豪塑料制品厂排放的有机废气，项目南面10m处元谋齐兴包装制品有限公司排放的有机废气。</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（2）项目周围小雷宰村、那化村居民日常生活的废气（餐饮油烟废气、汽车尾气、厕所异味气体等）。</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（3）工业园区内场地的扬尘。</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通过现状监测，项目所在地的空气环境质量比较好，可以达到《环境空气质量标准》（GB3095-2012）中二级标准相关要求。</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2）区域水污染源调查</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项目位于蜻蛉河的南侧，项目区域目前有废水产生并流入蜻蛉河的废水源有：</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（1）小雷宰村、那化村居民日常生活废水；</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（2）周围农业生产的农业废水；</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（3）工业园区裸露地面的初期雨水；</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通过引用元谋富盛再生塑料制品有限公司现状监测数据可知，项目北面蜻蛉河可以满足《地表水环境质量标准》（GB3838-2002）中</w:t>
      </w:r>
      <w:r>
        <w:rPr>
          <w:rFonts w:hint="eastAsia" w:ascii="Times New Roman" w:hAnsi="Times New Roman"/>
          <w:color w:val="FF0000"/>
          <w:sz w:val="24"/>
          <w:szCs w:val="24"/>
        </w:rPr>
        <w:t>Ⅳ</w:t>
      </w:r>
      <w:r>
        <w:rPr>
          <w:rFonts w:ascii="Times New Roman" w:hAnsi="Times New Roman"/>
          <w:color w:val="FF0000"/>
          <w:sz w:val="24"/>
          <w:szCs w:val="24"/>
        </w:rPr>
        <w:t>类标准要求。</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3）区域噪声污染源调查与评价</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项目200m范围内的噪声源主要有勇明、齐兴、富盛及嘉豪企业生产噪声、进出园区的汽车噪声和附近农业生产的噪声。</w:t>
      </w:r>
    </w:p>
    <w:p>
      <w:pPr>
        <w:spacing w:line="360" w:lineRule="auto"/>
        <w:ind w:firstLine="480" w:firstLineChars="200"/>
        <w:rPr>
          <w:rFonts w:ascii="Times New Roman" w:hAnsi="Times New Roman"/>
          <w:color w:val="FF0000"/>
          <w:sz w:val="24"/>
          <w:szCs w:val="24"/>
        </w:rPr>
      </w:pPr>
      <w:r>
        <w:rPr>
          <w:rFonts w:ascii="Times New Roman" w:hAnsi="Times New Roman"/>
          <w:color w:val="FF0000"/>
          <w:sz w:val="24"/>
          <w:szCs w:val="24"/>
        </w:rPr>
        <w:t>通过项目现状监测数据可知，项目所在区域声环境质量可以满足《声环境质量标准》（GB3096-2008）3类标准要求。</w:t>
      </w:r>
    </w:p>
    <w:p>
      <w:pPr>
        <w:pStyle w:val="5"/>
        <w:ind w:firstLine="562"/>
        <w:rPr>
          <w:rFonts w:hAnsi="Times New Roman"/>
        </w:rPr>
      </w:pPr>
      <w:bookmarkStart w:id="215" w:name="_Toc23843352"/>
      <w:bookmarkStart w:id="216" w:name="_Toc29785"/>
      <w:bookmarkStart w:id="217" w:name="_Toc25958"/>
      <w:r>
        <w:rPr>
          <w:rFonts w:hint="eastAsia" w:hAnsi="Times New Roman"/>
        </w:rPr>
        <w:t>4.3环境质量现状调查与评价</w:t>
      </w:r>
      <w:bookmarkEnd w:id="215"/>
      <w:bookmarkEnd w:id="216"/>
      <w:bookmarkEnd w:id="217"/>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w:t>
      </w:r>
      <w:r>
        <w:rPr>
          <w:rFonts w:ascii="Times New Roman" w:hAnsi="Times New Roman"/>
          <w:color w:val="000000"/>
          <w:sz w:val="24"/>
          <w:szCs w:val="24"/>
        </w:rPr>
        <w:t>引用数据可行性</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w:t>
      </w:r>
      <w:r>
        <w:rPr>
          <w:rFonts w:ascii="Times New Roman" w:hAnsi="Times New Roman"/>
          <w:color w:val="000000"/>
          <w:sz w:val="24"/>
          <w:szCs w:val="24"/>
        </w:rPr>
        <w:t>项目位于元谋工业园区金雷片区内，</w:t>
      </w:r>
      <w:r>
        <w:rPr>
          <w:rFonts w:hint="eastAsia" w:ascii="Times New Roman" w:hAnsi="Times New Roman"/>
          <w:color w:val="000000"/>
          <w:sz w:val="24"/>
          <w:szCs w:val="24"/>
        </w:rPr>
        <w:t>为此本次</w:t>
      </w:r>
      <w:r>
        <w:rPr>
          <w:rFonts w:ascii="Times New Roman" w:hAnsi="Times New Roman"/>
          <w:color w:val="000000"/>
          <w:sz w:val="24"/>
          <w:szCs w:val="24"/>
        </w:rPr>
        <w:t>评价引用元谋工业园区于</w:t>
      </w:r>
      <w:r>
        <w:rPr>
          <w:rFonts w:hint="eastAsia" w:ascii="Times New Roman" w:hAnsi="Times New Roman"/>
          <w:color w:val="000000"/>
          <w:sz w:val="24"/>
          <w:szCs w:val="24"/>
        </w:rPr>
        <w:t>2019年7月8日</w:t>
      </w:r>
      <w:r>
        <w:rPr>
          <w:rFonts w:ascii="Times New Roman" w:hAnsi="Times New Roman"/>
          <w:color w:val="000000"/>
          <w:sz w:val="24"/>
          <w:szCs w:val="24"/>
        </w:rPr>
        <w:t>至</w:t>
      </w:r>
      <w:r>
        <w:rPr>
          <w:rFonts w:hint="eastAsia" w:ascii="Times New Roman" w:hAnsi="Times New Roman"/>
          <w:color w:val="000000"/>
          <w:sz w:val="24"/>
          <w:szCs w:val="24"/>
        </w:rPr>
        <w:t>15日</w:t>
      </w:r>
      <w:r>
        <w:rPr>
          <w:rFonts w:ascii="Times New Roman" w:hAnsi="Times New Roman"/>
          <w:color w:val="000000"/>
          <w:sz w:val="24"/>
          <w:szCs w:val="24"/>
        </w:rPr>
        <w:t>委托</w:t>
      </w:r>
      <w:r>
        <w:rPr>
          <w:rFonts w:hint="eastAsia" w:ascii="Times New Roman" w:hAnsi="Times New Roman"/>
          <w:color w:val="000000"/>
          <w:sz w:val="24"/>
          <w:szCs w:val="24"/>
        </w:rPr>
        <w:t>云南中科检测技术有限公司对</w:t>
      </w:r>
      <w:r>
        <w:rPr>
          <w:rFonts w:ascii="Times New Roman" w:hAnsi="Times New Roman"/>
          <w:color w:val="000000"/>
          <w:sz w:val="24"/>
          <w:szCs w:val="24"/>
        </w:rPr>
        <w:t>金雷片区大气环境质量现状进行的监测的数据是可行的。</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w:t>
      </w:r>
      <w:r>
        <w:rPr>
          <w:rFonts w:ascii="Times New Roman" w:hAnsi="Times New Roman"/>
          <w:color w:val="000000"/>
          <w:sz w:val="24"/>
          <w:szCs w:val="24"/>
        </w:rPr>
        <w:t>引用数据内容</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本次</w:t>
      </w:r>
      <w:r>
        <w:rPr>
          <w:rFonts w:ascii="Times New Roman" w:hAnsi="Times New Roman"/>
          <w:color w:val="000000"/>
          <w:sz w:val="24"/>
          <w:szCs w:val="24"/>
        </w:rPr>
        <w:t>环评引用元谋工业园区于</w:t>
      </w:r>
      <w:r>
        <w:rPr>
          <w:rFonts w:hint="eastAsia" w:ascii="Times New Roman" w:hAnsi="Times New Roman"/>
          <w:color w:val="000000"/>
          <w:sz w:val="24"/>
          <w:szCs w:val="24"/>
        </w:rPr>
        <w:t>2019年7月8日</w:t>
      </w:r>
      <w:r>
        <w:rPr>
          <w:rFonts w:ascii="Times New Roman" w:hAnsi="Times New Roman"/>
          <w:color w:val="000000"/>
          <w:sz w:val="24"/>
          <w:szCs w:val="24"/>
        </w:rPr>
        <w:t>至</w:t>
      </w:r>
      <w:r>
        <w:rPr>
          <w:rFonts w:hint="eastAsia" w:ascii="Times New Roman" w:hAnsi="Times New Roman"/>
          <w:color w:val="000000"/>
          <w:sz w:val="24"/>
          <w:szCs w:val="24"/>
        </w:rPr>
        <w:t>15日</w:t>
      </w:r>
      <w:r>
        <w:rPr>
          <w:rFonts w:ascii="Times New Roman" w:hAnsi="Times New Roman"/>
          <w:color w:val="000000"/>
          <w:sz w:val="24"/>
          <w:szCs w:val="24"/>
        </w:rPr>
        <w:t>委托</w:t>
      </w:r>
      <w:r>
        <w:rPr>
          <w:rFonts w:hint="eastAsia" w:ascii="Times New Roman" w:hAnsi="Times New Roman"/>
          <w:color w:val="000000"/>
          <w:sz w:val="24"/>
          <w:szCs w:val="24"/>
        </w:rPr>
        <w:t>云南中科检测技术有限公司对金雷</w:t>
      </w:r>
      <w:r>
        <w:rPr>
          <w:rFonts w:ascii="Times New Roman" w:hAnsi="Times New Roman"/>
          <w:color w:val="000000"/>
          <w:sz w:val="24"/>
          <w:szCs w:val="24"/>
        </w:rPr>
        <w:t>片区环境质量现状（</w:t>
      </w:r>
      <w:r>
        <w:rPr>
          <w:rFonts w:hint="eastAsia" w:ascii="Times New Roman" w:hAnsi="Times New Roman"/>
          <w:color w:val="000000"/>
          <w:sz w:val="24"/>
          <w:szCs w:val="24"/>
        </w:rPr>
        <w:t>空气</w:t>
      </w:r>
      <w:r>
        <w:rPr>
          <w:rFonts w:ascii="Times New Roman" w:hAnsi="Times New Roman"/>
          <w:color w:val="000000"/>
          <w:sz w:val="24"/>
          <w:szCs w:val="24"/>
        </w:rPr>
        <w:t>环境、地表水、地下水）</w:t>
      </w:r>
      <w:r>
        <w:rPr>
          <w:rFonts w:hint="eastAsia" w:ascii="Times New Roman" w:hAnsi="Times New Roman"/>
          <w:color w:val="000000"/>
          <w:sz w:val="24"/>
          <w:szCs w:val="24"/>
        </w:rPr>
        <w:t>进行</w:t>
      </w:r>
      <w:r>
        <w:rPr>
          <w:rFonts w:ascii="Times New Roman" w:hAnsi="Times New Roman"/>
          <w:color w:val="000000"/>
          <w:sz w:val="24"/>
          <w:szCs w:val="24"/>
        </w:rPr>
        <w:t>的监测的数据。</w:t>
      </w:r>
    </w:p>
    <w:p>
      <w:pPr>
        <w:pStyle w:val="6"/>
        <w:spacing w:line="360" w:lineRule="auto"/>
        <w:ind w:firstLine="482" w:firstLineChars="200"/>
        <w:rPr>
          <w:rFonts w:ascii="Times New Roman" w:hAnsi="Times New Roman" w:eastAsia="宋体" w:cs="Times New Roman"/>
          <w:sz w:val="24"/>
        </w:rPr>
      </w:pPr>
      <w:bookmarkStart w:id="218" w:name="_Toc27265"/>
      <w:bookmarkStart w:id="219" w:name="_Toc19486"/>
      <w:bookmarkStart w:id="220" w:name="_Toc421541529"/>
      <w:bookmarkStart w:id="221" w:name="_Toc485220936"/>
      <w:bookmarkStart w:id="222" w:name="_Toc529463314"/>
      <w:bookmarkStart w:id="223" w:name="_Toc416699740"/>
      <w:r>
        <w:rPr>
          <w:rFonts w:ascii="Times New Roman" w:hAnsi="Times New Roman" w:eastAsia="宋体" w:cs="Times New Roman"/>
          <w:sz w:val="24"/>
        </w:rPr>
        <w:t>4.3.1 大气环境质量现状</w:t>
      </w:r>
      <w:bookmarkEnd w:id="218"/>
      <w:bookmarkEnd w:id="219"/>
    </w:p>
    <w:p>
      <w:pPr>
        <w:pStyle w:val="34"/>
        <w:ind w:firstLine="482"/>
        <w:rPr>
          <w:rFonts w:hint="default" w:ascii="Times New Roman" w:hAnsi="Times New Roman"/>
          <w:b/>
          <w:color w:val="000000"/>
        </w:rPr>
      </w:pPr>
      <w:r>
        <w:rPr>
          <w:rFonts w:hint="default" w:ascii="Times New Roman" w:hAnsi="Times New Roman"/>
          <w:b/>
          <w:color w:val="000000"/>
        </w:rPr>
        <w:t>1）环境空气质量现状调查和评价</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拟建项目大气环境评价为二级，根据《环境影响评价技术导则  大气环境》（HJ2.2-2018）中6.1.2.2，应调查项目所在区域环境质量达标情况，调查评价范围内有环境质量标准的评价因子的环境质量监测数据或进行补充监测，用于评价所在区域污染物环境质量现状。</w:t>
      </w:r>
    </w:p>
    <w:p>
      <w:pPr>
        <w:adjustRightInd w:val="0"/>
        <w:snapToGrid w:val="0"/>
        <w:spacing w:line="360" w:lineRule="auto"/>
        <w:ind w:firstLine="480"/>
        <w:rPr>
          <w:rFonts w:ascii="Times New Roman" w:hAnsi="Times New Roman"/>
          <w:color w:val="000000"/>
          <w:sz w:val="24"/>
          <w:szCs w:val="24"/>
        </w:rPr>
      </w:pPr>
      <w:r>
        <w:rPr>
          <w:rFonts w:ascii="Times New Roman" w:hAnsi="Times New Roman"/>
          <w:color w:val="000000"/>
          <w:sz w:val="24"/>
          <w:szCs w:val="24"/>
        </w:rPr>
        <w:t>（1）基本污染物环境质量现状数据</w:t>
      </w:r>
    </w:p>
    <w:p>
      <w:pPr>
        <w:adjustRightInd w:val="0"/>
        <w:snapToGrid w:val="0"/>
        <w:spacing w:line="360" w:lineRule="auto"/>
        <w:ind w:firstLine="480"/>
        <w:rPr>
          <w:rFonts w:ascii="Times New Roman" w:hAnsi="Times New Roman"/>
          <w:color w:val="000000"/>
          <w:sz w:val="24"/>
          <w:szCs w:val="24"/>
        </w:rPr>
      </w:pPr>
      <w:r>
        <w:rPr>
          <w:rFonts w:ascii="Times New Roman" w:hAnsi="Times New Roman"/>
          <w:color w:val="000000"/>
          <w:sz w:val="24"/>
          <w:szCs w:val="24"/>
        </w:rPr>
        <w:t>根据《环境影响评价技术导则  大气环境》（HJ2.2-2018）6.2.1.3，评价范围内没有环境空气质量监测网数据或公开发布的环境空气质量现状数据的，可选择符合HJ664规定，并且与评价范围地理位置邻近，地形、气候条件相近的环境空气质量城市点或区域点监测数据。</w:t>
      </w:r>
    </w:p>
    <w:p>
      <w:pPr>
        <w:adjustRightInd w:val="0"/>
        <w:snapToGrid w:val="0"/>
        <w:spacing w:line="360" w:lineRule="auto"/>
        <w:ind w:firstLine="480"/>
        <w:rPr>
          <w:rFonts w:ascii="Times New Roman" w:hAnsi="Times New Roman"/>
          <w:color w:val="000000"/>
          <w:sz w:val="24"/>
          <w:szCs w:val="24"/>
        </w:rPr>
      </w:pPr>
      <w:r>
        <w:rPr>
          <w:rFonts w:ascii="Times New Roman" w:hAnsi="Times New Roman"/>
          <w:color w:val="000000"/>
          <w:sz w:val="24"/>
          <w:szCs w:val="24"/>
        </w:rPr>
        <w:t>所以在此采用楚雄彝族自治州环境保护局2019年6月5日发布的《2018年楚雄州环境空气质量报告》的数据和结论，以2018年为环境质量评价基准年。</w:t>
      </w:r>
    </w:p>
    <w:p>
      <w:pPr>
        <w:adjustRightInd w:val="0"/>
        <w:snapToGrid w:val="0"/>
        <w:spacing w:line="360" w:lineRule="auto"/>
        <w:ind w:firstLine="480"/>
        <w:rPr>
          <w:rFonts w:ascii="Times New Roman" w:hAnsi="Times New Roman"/>
          <w:color w:val="000000"/>
          <w:kern w:val="0"/>
          <w:sz w:val="24"/>
          <w:szCs w:val="24"/>
        </w:rPr>
      </w:pPr>
      <w:r>
        <w:rPr>
          <w:rFonts w:ascii="Times New Roman" w:hAnsi="Times New Roman"/>
          <w:color w:val="000000"/>
          <w:sz w:val="24"/>
          <w:szCs w:val="24"/>
        </w:rPr>
        <w:t>2018年下半年，元谋县城区环境空气质量监测有效天数为173天，其中优为142天，良为31天，空气质量优良率为100%。2018年下半年（半年均值监测结果的评级参考年均值标准限值进行评价），可吸入颗粒物（PM</w:t>
      </w:r>
      <w:r>
        <w:rPr>
          <w:rFonts w:ascii="Times New Roman" w:hAnsi="Times New Roman"/>
          <w:color w:val="000000"/>
          <w:sz w:val="24"/>
          <w:szCs w:val="24"/>
          <w:vertAlign w:val="subscript"/>
        </w:rPr>
        <w:t>10</w:t>
      </w:r>
      <w:r>
        <w:rPr>
          <w:rFonts w:ascii="Times New Roman" w:hAnsi="Times New Roman"/>
          <w:color w:val="000000"/>
          <w:sz w:val="24"/>
          <w:szCs w:val="24"/>
        </w:rPr>
        <w:t>）年均值为28μg/m</w:t>
      </w:r>
      <w:r>
        <w:rPr>
          <w:rFonts w:ascii="Times New Roman" w:hAnsi="Times New Roman"/>
          <w:color w:val="000000"/>
          <w:sz w:val="24"/>
          <w:szCs w:val="24"/>
          <w:vertAlign w:val="superscript"/>
        </w:rPr>
        <w:t xml:space="preserve"> 3</w:t>
      </w:r>
      <w:r>
        <w:rPr>
          <w:rFonts w:ascii="Times New Roman" w:hAnsi="Times New Roman"/>
          <w:color w:val="000000"/>
          <w:sz w:val="24"/>
          <w:szCs w:val="24"/>
        </w:rPr>
        <w:t>（一级），细颗粒物（PM</w:t>
      </w:r>
      <w:r>
        <w:rPr>
          <w:rFonts w:ascii="Times New Roman" w:hAnsi="Times New Roman"/>
          <w:color w:val="000000"/>
          <w:sz w:val="24"/>
          <w:szCs w:val="24"/>
          <w:vertAlign w:val="subscript"/>
        </w:rPr>
        <w:t>2.5</w:t>
      </w:r>
      <w:r>
        <w:rPr>
          <w:rFonts w:ascii="Times New Roman" w:hAnsi="Times New Roman"/>
          <w:color w:val="000000"/>
          <w:sz w:val="24"/>
          <w:szCs w:val="24"/>
        </w:rPr>
        <w:t>）年均值为 12μg/m</w:t>
      </w:r>
      <w:r>
        <w:rPr>
          <w:rFonts w:ascii="Times New Roman" w:hAnsi="Times New Roman"/>
          <w:color w:val="000000"/>
          <w:sz w:val="24"/>
          <w:szCs w:val="24"/>
          <w:vertAlign w:val="superscript"/>
        </w:rPr>
        <w:t xml:space="preserve"> 3</w:t>
      </w:r>
      <w:r>
        <w:rPr>
          <w:rFonts w:ascii="Times New Roman" w:hAnsi="Times New Roman"/>
          <w:color w:val="000000"/>
          <w:sz w:val="24"/>
          <w:szCs w:val="24"/>
        </w:rPr>
        <w:t>（一级），二氧化硫（SO</w:t>
      </w:r>
      <w:r>
        <w:rPr>
          <w:rFonts w:ascii="Times New Roman" w:hAnsi="Times New Roman"/>
          <w:color w:val="000000"/>
          <w:sz w:val="24"/>
          <w:szCs w:val="24"/>
          <w:vertAlign w:val="subscript"/>
        </w:rPr>
        <w:t>2</w:t>
      </w:r>
      <w:r>
        <w:rPr>
          <w:rFonts w:ascii="Times New Roman" w:hAnsi="Times New Roman"/>
          <w:color w:val="000000"/>
          <w:sz w:val="24"/>
          <w:szCs w:val="24"/>
        </w:rPr>
        <w:t>）年均值为 17μg/m</w:t>
      </w:r>
      <w:r>
        <w:rPr>
          <w:rFonts w:ascii="Times New Roman" w:hAnsi="Times New Roman"/>
          <w:color w:val="000000"/>
          <w:sz w:val="24"/>
          <w:szCs w:val="24"/>
          <w:vertAlign w:val="superscript"/>
        </w:rPr>
        <w:t xml:space="preserve"> 3</w:t>
      </w:r>
      <w:r>
        <w:rPr>
          <w:rFonts w:ascii="Times New Roman" w:hAnsi="Times New Roman"/>
          <w:color w:val="000000"/>
          <w:sz w:val="24"/>
          <w:szCs w:val="24"/>
        </w:rPr>
        <w:t>（一 级），二氧化氮（NO</w:t>
      </w:r>
      <w:r>
        <w:rPr>
          <w:rFonts w:ascii="Times New Roman" w:hAnsi="Times New Roman"/>
          <w:color w:val="000000"/>
          <w:sz w:val="24"/>
          <w:szCs w:val="24"/>
          <w:vertAlign w:val="subscript"/>
        </w:rPr>
        <w:t>2</w:t>
      </w:r>
      <w:r>
        <w:rPr>
          <w:rFonts w:ascii="Times New Roman" w:hAnsi="Times New Roman"/>
          <w:color w:val="000000"/>
          <w:sz w:val="24"/>
          <w:szCs w:val="24"/>
        </w:rPr>
        <w:t>）年均值为14μg/m</w:t>
      </w:r>
      <w:r>
        <w:rPr>
          <w:rFonts w:ascii="Times New Roman" w:hAnsi="Times New Roman"/>
          <w:color w:val="000000"/>
          <w:sz w:val="24"/>
          <w:szCs w:val="24"/>
          <w:vertAlign w:val="superscript"/>
        </w:rPr>
        <w:t>3</w:t>
      </w:r>
      <w:r>
        <w:rPr>
          <w:rFonts w:ascii="Times New Roman" w:hAnsi="Times New Roman"/>
          <w:color w:val="000000"/>
          <w:sz w:val="24"/>
          <w:szCs w:val="24"/>
        </w:rPr>
        <w:t xml:space="preserve">（一级），一氧化碳（CO）年均值为1.0mg/m </w:t>
      </w:r>
      <w:r>
        <w:rPr>
          <w:rFonts w:ascii="Times New Roman" w:hAnsi="Times New Roman"/>
          <w:color w:val="000000"/>
          <w:sz w:val="24"/>
          <w:szCs w:val="24"/>
          <w:vertAlign w:val="superscript"/>
        </w:rPr>
        <w:t>3</w:t>
      </w:r>
      <w:r>
        <w:rPr>
          <w:rFonts w:ascii="Times New Roman" w:hAnsi="Times New Roman"/>
          <w:color w:val="000000"/>
          <w:sz w:val="24"/>
          <w:szCs w:val="24"/>
        </w:rPr>
        <w:t>，臭氧（O</w:t>
      </w:r>
      <w:r>
        <w:rPr>
          <w:rFonts w:ascii="Times New Roman" w:hAnsi="Times New Roman"/>
          <w:color w:val="000000"/>
          <w:sz w:val="24"/>
          <w:szCs w:val="24"/>
          <w:vertAlign w:val="subscript"/>
        </w:rPr>
        <w:t>3</w:t>
      </w:r>
      <w:r>
        <w:rPr>
          <w:rFonts w:ascii="Times New Roman" w:hAnsi="Times New Roman"/>
          <w:color w:val="000000"/>
          <w:sz w:val="24"/>
          <w:szCs w:val="24"/>
        </w:rPr>
        <w:t xml:space="preserve">-8h）年均值为 82μg/m </w:t>
      </w:r>
      <w:r>
        <w:rPr>
          <w:rFonts w:ascii="Times New Roman" w:hAnsi="Times New Roman"/>
          <w:color w:val="000000"/>
          <w:sz w:val="24"/>
          <w:szCs w:val="24"/>
          <w:vertAlign w:val="superscript"/>
        </w:rPr>
        <w:t>3</w:t>
      </w:r>
      <w:r>
        <w:rPr>
          <w:rFonts w:ascii="Times New Roman" w:hAnsi="Times New Roman"/>
          <w:color w:val="000000"/>
          <w:sz w:val="24"/>
          <w:szCs w:val="24"/>
        </w:rPr>
        <w:t>。</w:t>
      </w:r>
    </w:p>
    <w:p>
      <w:pPr>
        <w:adjustRightInd w:val="0"/>
        <w:snapToGrid w:val="0"/>
        <w:spacing w:line="360" w:lineRule="auto"/>
        <w:ind w:firstLine="480"/>
        <w:rPr>
          <w:rFonts w:ascii="Times New Roman" w:hAnsi="Times New Roman"/>
          <w:color w:val="000000"/>
          <w:sz w:val="24"/>
          <w:szCs w:val="24"/>
        </w:rPr>
      </w:pPr>
      <w:r>
        <w:rPr>
          <w:rFonts w:ascii="Times New Roman" w:hAnsi="Times New Roman"/>
          <w:color w:val="000000"/>
          <w:sz w:val="24"/>
          <w:szCs w:val="24"/>
        </w:rPr>
        <w:t>（2）其他污染物环境质量现状数据</w:t>
      </w:r>
    </w:p>
    <w:p>
      <w:pPr>
        <w:adjustRightInd w:val="0"/>
        <w:snapToGrid w:val="0"/>
        <w:spacing w:line="360" w:lineRule="auto"/>
        <w:ind w:firstLine="480"/>
        <w:rPr>
          <w:rFonts w:ascii="Times New Roman" w:hAnsi="Times New Roman"/>
          <w:color w:val="000000"/>
          <w:sz w:val="24"/>
          <w:szCs w:val="24"/>
        </w:rPr>
      </w:pPr>
      <w:r>
        <w:rPr>
          <w:rFonts w:ascii="Times New Roman" w:hAnsi="Times New Roman"/>
          <w:color w:val="000000"/>
          <w:sz w:val="24"/>
          <w:szCs w:val="24"/>
        </w:rPr>
        <w:t>根据项目工程分析，项目的特征污染物主要为SO</w:t>
      </w:r>
      <w:r>
        <w:rPr>
          <w:rFonts w:ascii="Times New Roman" w:hAnsi="Times New Roman"/>
          <w:color w:val="000000"/>
          <w:sz w:val="24"/>
          <w:szCs w:val="24"/>
          <w:vertAlign w:val="subscript"/>
        </w:rPr>
        <w:t>2</w:t>
      </w:r>
      <w:r>
        <w:rPr>
          <w:rFonts w:hint="eastAsia" w:ascii="Times New Roman" w:hAnsi="Times New Roman"/>
          <w:color w:val="000000"/>
          <w:sz w:val="24"/>
          <w:szCs w:val="24"/>
        </w:rPr>
        <w:t>、</w:t>
      </w:r>
      <w:r>
        <w:rPr>
          <w:rFonts w:ascii="Times New Roman" w:hAnsi="Times New Roman"/>
          <w:color w:val="000000"/>
          <w:sz w:val="24"/>
          <w:szCs w:val="24"/>
        </w:rPr>
        <w:t>NO</w:t>
      </w:r>
      <w:r>
        <w:rPr>
          <w:rFonts w:ascii="Times New Roman" w:hAnsi="Times New Roman"/>
          <w:color w:val="000000"/>
          <w:sz w:val="24"/>
          <w:szCs w:val="24"/>
          <w:vertAlign w:val="subscript"/>
        </w:rPr>
        <w:t>X</w:t>
      </w:r>
      <w:r>
        <w:rPr>
          <w:rFonts w:hint="eastAsia" w:ascii="Times New Roman" w:hAnsi="Times New Roman"/>
          <w:color w:val="000000"/>
          <w:sz w:val="24"/>
          <w:szCs w:val="24"/>
        </w:rPr>
        <w:t>、</w:t>
      </w:r>
      <w:r>
        <w:rPr>
          <w:rFonts w:ascii="Times New Roman" w:hAnsi="Times New Roman"/>
          <w:color w:val="000000"/>
          <w:sz w:val="24"/>
          <w:szCs w:val="24"/>
        </w:rPr>
        <w:t>颗粒物等。根据《环境影响评价技术导则  大气环境》（HJ2.2-2018）6.2.3，在没有以上相关监测数据或监测数据不能满足6.4规定的评价要求时，应按6.3要求进行补充监测。</w:t>
      </w:r>
    </w:p>
    <w:bookmarkEnd w:id="220"/>
    <w:bookmarkEnd w:id="221"/>
    <w:bookmarkEnd w:id="222"/>
    <w:bookmarkEnd w:id="223"/>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2）</w:t>
      </w:r>
      <w:r>
        <w:rPr>
          <w:rFonts w:ascii="Times New Roman" w:hAnsi="Times New Roman"/>
          <w:b/>
          <w:color w:val="000000"/>
          <w:sz w:val="24"/>
          <w:szCs w:val="24"/>
        </w:rPr>
        <w:t>引用数据</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引用</w:t>
      </w:r>
      <w:r>
        <w:rPr>
          <w:rFonts w:ascii="Times New Roman" w:hAnsi="Times New Roman"/>
          <w:color w:val="000000"/>
          <w:sz w:val="24"/>
          <w:szCs w:val="24"/>
        </w:rPr>
        <w:t>数据监测方案</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（1）监测点：根据现场踏勘，结合评价等级和评价范围，本次</w:t>
      </w:r>
      <w:r>
        <w:rPr>
          <w:rFonts w:ascii="Times New Roman" w:hAnsi="Times New Roman"/>
          <w:color w:val="000000"/>
          <w:sz w:val="24"/>
          <w:szCs w:val="24"/>
        </w:rPr>
        <w:t>取金雷片区现状监测</w:t>
      </w:r>
      <w:r>
        <w:rPr>
          <w:rFonts w:hint="eastAsia" w:ascii="Times New Roman" w:hAnsi="Times New Roman"/>
          <w:color w:val="000000"/>
          <w:sz w:val="24"/>
          <w:szCs w:val="24"/>
        </w:rPr>
        <w:t>四</w:t>
      </w:r>
      <w:r>
        <w:rPr>
          <w:rFonts w:ascii="Times New Roman" w:hAnsi="Times New Roman"/>
          <w:color w:val="000000"/>
          <w:sz w:val="24"/>
          <w:szCs w:val="24"/>
        </w:rPr>
        <w:t>个监测点，分别为：小雷宰村（A4）</w:t>
      </w:r>
      <w:r>
        <w:rPr>
          <w:rFonts w:hint="eastAsia" w:ascii="Times New Roman" w:hAnsi="Times New Roman"/>
          <w:color w:val="000000"/>
          <w:sz w:val="24"/>
          <w:szCs w:val="24"/>
        </w:rPr>
        <w:t>、湾保村</w:t>
      </w:r>
      <w:r>
        <w:rPr>
          <w:rFonts w:ascii="Times New Roman" w:hAnsi="Times New Roman"/>
          <w:color w:val="000000"/>
          <w:sz w:val="24"/>
          <w:szCs w:val="24"/>
        </w:rPr>
        <w:t>（</w:t>
      </w:r>
      <w:r>
        <w:rPr>
          <w:rFonts w:hint="eastAsia" w:ascii="Times New Roman" w:hAnsi="Times New Roman"/>
          <w:color w:val="000000"/>
          <w:sz w:val="24"/>
          <w:szCs w:val="24"/>
        </w:rPr>
        <w:t>A5</w:t>
      </w:r>
      <w:r>
        <w:rPr>
          <w:rFonts w:ascii="Times New Roman" w:hAnsi="Times New Roman"/>
          <w:color w:val="000000"/>
          <w:sz w:val="24"/>
          <w:szCs w:val="24"/>
        </w:rPr>
        <w:t>）</w:t>
      </w:r>
      <w:r>
        <w:rPr>
          <w:rFonts w:hint="eastAsia" w:ascii="Times New Roman" w:hAnsi="Times New Roman"/>
          <w:color w:val="000000"/>
          <w:sz w:val="24"/>
          <w:szCs w:val="24"/>
        </w:rPr>
        <w:t>、西北面那化村（</w:t>
      </w:r>
      <w:r>
        <w:rPr>
          <w:rFonts w:ascii="Times New Roman" w:hAnsi="Times New Roman"/>
          <w:color w:val="000000"/>
          <w:sz w:val="24"/>
          <w:szCs w:val="24"/>
        </w:rPr>
        <w:t>A6</w:t>
      </w:r>
      <w:r>
        <w:rPr>
          <w:rFonts w:hint="eastAsia" w:ascii="Times New Roman" w:hAnsi="Times New Roman"/>
          <w:color w:val="000000"/>
          <w:sz w:val="24"/>
          <w:szCs w:val="24"/>
        </w:rPr>
        <w:t>）、小村（</w:t>
      </w:r>
      <w:r>
        <w:rPr>
          <w:rFonts w:ascii="Times New Roman" w:hAnsi="Times New Roman"/>
          <w:color w:val="000000"/>
          <w:sz w:val="24"/>
          <w:szCs w:val="24"/>
        </w:rPr>
        <w:t>A8</w:t>
      </w:r>
      <w:r>
        <w:rPr>
          <w:rFonts w:hint="eastAsia" w:ascii="Times New Roman" w:hAnsi="Times New Roman"/>
          <w:color w:val="000000"/>
          <w:sz w:val="24"/>
          <w:szCs w:val="24"/>
        </w:rPr>
        <w:t>），监测布点图见附件10监测报告。</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（2）监测因子：SO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、NO</w:t>
      </w:r>
      <w:r>
        <w:rPr>
          <w:rFonts w:hint="eastAsia" w:ascii="Times New Roman" w:hAnsi="Times New Roman"/>
          <w:color w:val="000000"/>
          <w:sz w:val="24"/>
          <w:szCs w:val="24"/>
          <w:vertAlign w:val="subscript"/>
        </w:rPr>
        <w:t>X</w:t>
      </w:r>
      <w:r>
        <w:rPr>
          <w:rFonts w:hint="eastAsia" w:ascii="Times New Roman" w:hAnsi="Times New Roman"/>
          <w:color w:val="000000"/>
          <w:sz w:val="24"/>
          <w:szCs w:val="24"/>
        </w:rPr>
        <w:t>、P</w:t>
      </w:r>
      <w:r>
        <w:rPr>
          <w:rFonts w:ascii="Times New Roman" w:hAnsi="Times New Roman"/>
          <w:color w:val="000000"/>
          <w:sz w:val="24"/>
          <w:szCs w:val="24"/>
        </w:rPr>
        <w:t>M</w:t>
      </w:r>
      <w:r>
        <w:rPr>
          <w:rFonts w:ascii="Times New Roman" w:hAnsi="Times New Roman"/>
          <w:color w:val="000000"/>
          <w:sz w:val="24"/>
          <w:szCs w:val="24"/>
          <w:vertAlign w:val="subscript"/>
        </w:rPr>
        <w:t>10</w:t>
      </w:r>
      <w:r>
        <w:rPr>
          <w:rFonts w:hint="eastAsia" w:ascii="Times New Roman" w:hAnsi="Times New Roman"/>
          <w:color w:val="000000"/>
          <w:sz w:val="24"/>
          <w:szCs w:val="24"/>
        </w:rPr>
        <w:t>、PM</w:t>
      </w:r>
      <w:r>
        <w:rPr>
          <w:rFonts w:hint="eastAsia" w:ascii="Times New Roman" w:hAnsi="Times New Roman"/>
          <w:color w:val="000000"/>
          <w:sz w:val="24"/>
          <w:szCs w:val="24"/>
          <w:vertAlign w:val="subscript"/>
        </w:rPr>
        <w:t>2.5</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（3）评价标准：《环境空气质量标准》（GB3095-2012）</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（4）监测时间和频次要求</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表4.3-1   监测频次及内容</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监测因子</w:t>
            </w:r>
          </w:p>
        </w:tc>
        <w:tc>
          <w:tcPr>
            <w:tcW w:w="2841"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监测时段</w:t>
            </w:r>
          </w:p>
        </w:tc>
        <w:tc>
          <w:tcPr>
            <w:tcW w:w="2841" w:type="dxa"/>
            <w:vAlign w:val="center"/>
          </w:tcPr>
          <w:p>
            <w:pPr>
              <w:spacing w:line="240" w:lineRule="atLeast"/>
              <w:jc w:val="center"/>
              <w:rPr>
                <w:rFonts w:ascii="Times New Roman" w:hAnsi="Times New Roman" w:eastAsia="宋体" w:cs="Times New Roman"/>
                <w:b/>
                <w:kern w:val="0"/>
                <w:szCs w:val="24"/>
              </w:rPr>
            </w:pPr>
            <w:r>
              <w:rPr>
                <w:rFonts w:hint="eastAsia" w:ascii="Times New Roman" w:hAnsi="Times New Roman" w:eastAsia="宋体" w:cs="Times New Roman"/>
                <w:b/>
                <w:kern w:val="0"/>
                <w:szCs w:val="24"/>
              </w:rPr>
              <w:t>监测内容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SO</w:t>
            </w:r>
            <w:r>
              <w:rPr>
                <w:rFonts w:hint="eastAsia" w:ascii="Times New Roman" w:hAnsi="Times New Roman" w:eastAsia="宋体" w:cs="Times New Roman"/>
                <w:kern w:val="0"/>
                <w:szCs w:val="24"/>
                <w:vertAlign w:val="subscript"/>
              </w:rPr>
              <w:t>2</w:t>
            </w:r>
          </w:p>
        </w:tc>
        <w:tc>
          <w:tcPr>
            <w:tcW w:w="2841"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7天</w:t>
            </w:r>
          </w:p>
        </w:tc>
        <w:tc>
          <w:tcPr>
            <w:tcW w:w="2841" w:type="dxa"/>
            <w:vMerge w:val="restart"/>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24h平均浓度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NO</w:t>
            </w:r>
            <w:r>
              <w:rPr>
                <w:rFonts w:hint="eastAsia" w:ascii="Times New Roman" w:hAnsi="Times New Roman" w:eastAsia="宋体" w:cs="Times New Roman"/>
                <w:kern w:val="0"/>
                <w:szCs w:val="24"/>
                <w:vertAlign w:val="subscript"/>
              </w:rPr>
              <w:t>X</w:t>
            </w:r>
          </w:p>
        </w:tc>
        <w:tc>
          <w:tcPr>
            <w:tcW w:w="2841" w:type="dxa"/>
            <w:vMerge w:val="continue"/>
            <w:vAlign w:val="center"/>
          </w:tcPr>
          <w:p>
            <w:pPr>
              <w:spacing w:line="240" w:lineRule="atLeast"/>
              <w:jc w:val="center"/>
              <w:rPr>
                <w:rFonts w:ascii="Times New Roman" w:hAnsi="Times New Roman" w:eastAsia="宋体" w:cs="Times New Roman"/>
                <w:kern w:val="0"/>
                <w:szCs w:val="24"/>
              </w:rPr>
            </w:pPr>
          </w:p>
        </w:tc>
        <w:tc>
          <w:tcPr>
            <w:tcW w:w="2841" w:type="dxa"/>
            <w:vMerge w:val="continue"/>
            <w:vAlign w:val="center"/>
          </w:tcPr>
          <w:p>
            <w:pPr>
              <w:spacing w:line="240" w:lineRule="atLeast"/>
              <w:jc w:val="center"/>
              <w:rPr>
                <w:rFonts w:ascii="Times New Roman" w:hAnsi="Times New Roman" w:eastAsia="宋体" w:cs="Times New Roman"/>
                <w:kern w:val="0"/>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PM</w:t>
            </w:r>
            <w:r>
              <w:rPr>
                <w:rFonts w:hint="eastAsia" w:ascii="Times New Roman" w:hAnsi="Times New Roman" w:eastAsia="宋体" w:cs="Times New Roman"/>
                <w:kern w:val="0"/>
                <w:szCs w:val="24"/>
                <w:vertAlign w:val="subscript"/>
              </w:rPr>
              <w:t>10</w:t>
            </w:r>
          </w:p>
        </w:tc>
        <w:tc>
          <w:tcPr>
            <w:tcW w:w="2841" w:type="dxa"/>
            <w:vMerge w:val="continue"/>
            <w:vAlign w:val="center"/>
          </w:tcPr>
          <w:p>
            <w:pPr>
              <w:spacing w:line="240" w:lineRule="atLeast"/>
              <w:jc w:val="center"/>
              <w:rPr>
                <w:rFonts w:ascii="Times New Roman" w:hAnsi="Times New Roman" w:eastAsia="宋体" w:cs="Times New Roman"/>
                <w:kern w:val="0"/>
                <w:szCs w:val="24"/>
              </w:rPr>
            </w:pPr>
          </w:p>
        </w:tc>
        <w:tc>
          <w:tcPr>
            <w:tcW w:w="2841" w:type="dxa"/>
            <w:vMerge w:val="continue"/>
            <w:vAlign w:val="center"/>
          </w:tcPr>
          <w:p>
            <w:pPr>
              <w:spacing w:line="240" w:lineRule="atLeast"/>
              <w:jc w:val="center"/>
              <w:rPr>
                <w:rFonts w:ascii="Times New Roman" w:hAnsi="Times New Roman" w:eastAsia="宋体" w:cs="Times New Roman"/>
                <w:kern w:val="0"/>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eastAsia="宋体" w:cs="Times New Roman"/>
                <w:kern w:val="0"/>
                <w:szCs w:val="24"/>
              </w:rPr>
            </w:pPr>
            <w:r>
              <w:rPr>
                <w:rFonts w:hint="eastAsia" w:ascii="Times New Roman" w:hAnsi="Times New Roman" w:eastAsia="宋体" w:cs="Times New Roman"/>
                <w:kern w:val="0"/>
                <w:szCs w:val="24"/>
              </w:rPr>
              <w:t>PM</w:t>
            </w:r>
            <w:r>
              <w:rPr>
                <w:rFonts w:hint="eastAsia" w:ascii="Times New Roman" w:hAnsi="Times New Roman" w:eastAsia="宋体" w:cs="Times New Roman"/>
                <w:kern w:val="0"/>
                <w:szCs w:val="24"/>
                <w:vertAlign w:val="subscript"/>
              </w:rPr>
              <w:t>2.5</w:t>
            </w:r>
          </w:p>
        </w:tc>
        <w:tc>
          <w:tcPr>
            <w:tcW w:w="2841" w:type="dxa"/>
            <w:vMerge w:val="continue"/>
            <w:vAlign w:val="center"/>
          </w:tcPr>
          <w:p>
            <w:pPr>
              <w:spacing w:line="240" w:lineRule="atLeast"/>
              <w:jc w:val="center"/>
              <w:rPr>
                <w:rFonts w:ascii="Times New Roman" w:hAnsi="Times New Roman" w:eastAsia="宋体" w:cs="Times New Roman"/>
                <w:kern w:val="0"/>
                <w:szCs w:val="24"/>
              </w:rPr>
            </w:pPr>
          </w:p>
        </w:tc>
        <w:tc>
          <w:tcPr>
            <w:tcW w:w="2841" w:type="dxa"/>
            <w:vMerge w:val="continue"/>
            <w:vAlign w:val="center"/>
          </w:tcPr>
          <w:p>
            <w:pPr>
              <w:spacing w:line="240" w:lineRule="atLeast"/>
              <w:jc w:val="center"/>
              <w:rPr>
                <w:rFonts w:ascii="Times New Roman" w:hAnsi="Times New Roman" w:eastAsia="宋体" w:cs="Times New Roman"/>
                <w:kern w:val="0"/>
                <w:szCs w:val="24"/>
              </w:rPr>
            </w:pPr>
          </w:p>
        </w:tc>
      </w:tr>
    </w:tbl>
    <w:p>
      <w:pPr>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3</w:t>
      </w:r>
      <w:r>
        <w:rPr>
          <w:rFonts w:hint="eastAsia" w:ascii="Times New Roman" w:hAnsi="Times New Roman"/>
          <w:b/>
          <w:color w:val="000000"/>
          <w:sz w:val="24"/>
          <w:szCs w:val="24"/>
        </w:rPr>
        <w:t>）环境空气质量评价</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（1）评价方法</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根据《环境影响评价技术导则  大气环境》（HJ2.2-2018），新建项目大气环境质量现状评价采用单因子评价指数法：</w:t>
      </w:r>
    </w:p>
    <w:p>
      <w:pPr>
        <w:spacing w:line="360" w:lineRule="auto"/>
        <w:ind w:firstLine="480" w:firstLineChars="200"/>
        <w:jc w:val="center"/>
        <w:rPr>
          <w:rFonts w:ascii="Times New Roman" w:hAnsi="Times New Roman"/>
          <w:i/>
          <w:color w:val="000000"/>
          <w:sz w:val="24"/>
          <w:szCs w:val="24"/>
        </w:rPr>
      </w:pPr>
      <w:r>
        <w:rPr>
          <w:rFonts w:hint="eastAsia" w:ascii="Times New Roman" w:hAnsi="Times New Roman"/>
          <w:i/>
          <w:color w:val="000000"/>
          <w:sz w:val="24"/>
          <w:szCs w:val="24"/>
        </w:rPr>
        <w:t>P</w:t>
      </w:r>
      <w:r>
        <w:rPr>
          <w:rFonts w:hint="eastAsia" w:ascii="Times New Roman" w:hAnsi="Times New Roman"/>
          <w:i/>
          <w:color w:val="000000"/>
          <w:sz w:val="24"/>
          <w:szCs w:val="24"/>
          <w:vertAlign w:val="subscript"/>
        </w:rPr>
        <w:t>i</w:t>
      </w:r>
      <w:r>
        <w:rPr>
          <w:rFonts w:hint="eastAsia" w:ascii="Times New Roman" w:hAnsi="Times New Roman"/>
          <w:color w:val="000000"/>
          <w:sz w:val="24"/>
          <w:szCs w:val="24"/>
        </w:rPr>
        <w:t>=</w:t>
      </w:r>
      <w:r>
        <w:rPr>
          <w:rFonts w:hint="eastAsia" w:ascii="Times New Roman" w:hAnsi="Times New Roman"/>
          <w:i/>
          <w:color w:val="000000"/>
          <w:sz w:val="24"/>
          <w:szCs w:val="24"/>
        </w:rPr>
        <w:t>C</w:t>
      </w:r>
      <w:r>
        <w:rPr>
          <w:rFonts w:hint="eastAsia" w:ascii="Times New Roman" w:hAnsi="Times New Roman"/>
          <w:i/>
          <w:color w:val="000000"/>
          <w:sz w:val="24"/>
          <w:szCs w:val="24"/>
          <w:vertAlign w:val="subscript"/>
        </w:rPr>
        <w:t xml:space="preserve">i </w:t>
      </w:r>
      <w:r>
        <w:rPr>
          <w:rFonts w:hint="eastAsia" w:ascii="Times New Roman" w:hAnsi="Times New Roman"/>
          <w:i/>
          <w:color w:val="000000"/>
          <w:sz w:val="24"/>
          <w:szCs w:val="24"/>
        </w:rPr>
        <w:t>/ S</w:t>
      </w:r>
      <w:r>
        <w:rPr>
          <w:rFonts w:hint="eastAsia" w:ascii="Times New Roman" w:hAnsi="Times New Roman"/>
          <w:i/>
          <w:color w:val="000000"/>
          <w:sz w:val="24"/>
          <w:szCs w:val="24"/>
          <w:vertAlign w:val="subscript"/>
        </w:rPr>
        <w:t>i</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式中：</w:t>
      </w:r>
      <w:r>
        <w:rPr>
          <w:rFonts w:hint="eastAsia" w:ascii="Times New Roman" w:hAnsi="Times New Roman"/>
          <w:i/>
          <w:color w:val="000000"/>
          <w:sz w:val="24"/>
          <w:szCs w:val="24"/>
        </w:rPr>
        <w:t>P</w:t>
      </w:r>
      <w:r>
        <w:rPr>
          <w:rFonts w:hint="eastAsia" w:ascii="Times New Roman" w:hAnsi="Times New Roman"/>
          <w:i/>
          <w:color w:val="000000"/>
          <w:sz w:val="24"/>
          <w:szCs w:val="24"/>
          <w:vertAlign w:val="subscript"/>
        </w:rPr>
        <w:t>i</w:t>
      </w:r>
      <w:r>
        <w:rPr>
          <w:rFonts w:ascii="Times New Roman" w:hAnsi="Times New Roman"/>
          <w:color w:val="000000"/>
          <w:sz w:val="24"/>
          <w:szCs w:val="24"/>
        </w:rPr>
        <w:t>——</w:t>
      </w:r>
      <w:r>
        <w:rPr>
          <w:rFonts w:hint="eastAsia" w:ascii="Times New Roman" w:hAnsi="Times New Roman"/>
          <w:color w:val="000000"/>
          <w:sz w:val="24"/>
          <w:szCs w:val="24"/>
        </w:rPr>
        <w:t>评价指数</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w:t>
      </w:r>
      <w:r>
        <w:rPr>
          <w:rFonts w:hint="eastAsia" w:ascii="Times New Roman" w:hAnsi="Times New Roman"/>
          <w:i/>
          <w:color w:val="000000"/>
          <w:sz w:val="24"/>
          <w:szCs w:val="24"/>
        </w:rPr>
        <w:t>C</w:t>
      </w:r>
      <w:r>
        <w:rPr>
          <w:rFonts w:hint="eastAsia" w:ascii="Times New Roman" w:hAnsi="Times New Roman"/>
          <w:i/>
          <w:color w:val="000000"/>
          <w:sz w:val="24"/>
          <w:szCs w:val="24"/>
          <w:vertAlign w:val="subscript"/>
        </w:rPr>
        <w:t>i</w:t>
      </w:r>
      <w:r>
        <w:rPr>
          <w:rFonts w:ascii="Times New Roman" w:hAnsi="Times New Roman"/>
          <w:color w:val="000000"/>
          <w:sz w:val="24"/>
          <w:szCs w:val="24"/>
        </w:rPr>
        <w:t>——</w:t>
      </w:r>
      <w:r>
        <w:rPr>
          <w:rFonts w:hint="eastAsia" w:ascii="Times New Roman" w:hAnsi="Times New Roman"/>
          <w:color w:val="000000"/>
          <w:sz w:val="24"/>
          <w:szCs w:val="24"/>
        </w:rPr>
        <w:t>实测值（mg/m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w:t>
      </w:r>
      <w:r>
        <w:rPr>
          <w:rFonts w:hint="eastAsia" w:ascii="Times New Roman" w:hAnsi="Times New Roman"/>
          <w:i/>
          <w:color w:val="000000"/>
          <w:sz w:val="24"/>
          <w:szCs w:val="24"/>
        </w:rPr>
        <w:t xml:space="preserve"> S</w:t>
      </w:r>
      <w:r>
        <w:rPr>
          <w:rFonts w:hint="eastAsia" w:ascii="Times New Roman" w:hAnsi="Times New Roman"/>
          <w:i/>
          <w:color w:val="000000"/>
          <w:sz w:val="24"/>
          <w:szCs w:val="24"/>
          <w:vertAlign w:val="subscript"/>
        </w:rPr>
        <w:t>i</w:t>
      </w:r>
      <w:r>
        <w:rPr>
          <w:rFonts w:ascii="Times New Roman" w:hAnsi="Times New Roman"/>
          <w:color w:val="000000"/>
          <w:sz w:val="24"/>
          <w:szCs w:val="24"/>
        </w:rPr>
        <w:t>——</w:t>
      </w:r>
      <w:r>
        <w:rPr>
          <w:rFonts w:hint="eastAsia" w:ascii="Times New Roman" w:hAnsi="Times New Roman"/>
          <w:color w:val="000000"/>
          <w:sz w:val="24"/>
          <w:szCs w:val="24"/>
        </w:rPr>
        <w:t>执行标准值（mg/m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（2）评价执行标准</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根据评价区域环境空气质量监测结果</w:t>
      </w:r>
      <w:r>
        <w:rPr>
          <w:rFonts w:hint="eastAsia" w:ascii="Times New Roman" w:hAnsi="Times New Roman"/>
          <w:color w:val="000000"/>
          <w:sz w:val="24"/>
          <w:szCs w:val="24"/>
        </w:rPr>
        <w:t>，</w:t>
      </w:r>
      <w:r>
        <w:rPr>
          <w:rFonts w:ascii="Times New Roman" w:hAnsi="Times New Roman"/>
          <w:color w:val="000000"/>
          <w:sz w:val="24"/>
          <w:szCs w:val="24"/>
        </w:rPr>
        <w:t>对照《环境空气质量标准》（GB3095-2012）二级标准，对项目评价区域环境质量现状进行评价。区域环境质量现状评价方法采用较直接的单项污染指数法评价标准：采用《环境空气质量标准》（GB3095-2012）二级标准</w:t>
      </w:r>
      <w:r>
        <w:rPr>
          <w:rFonts w:hint="eastAsia" w:ascii="Times New Roman" w:hAnsi="Times New Roman"/>
          <w:color w:val="000000"/>
          <w:sz w:val="24"/>
          <w:szCs w:val="24"/>
        </w:rPr>
        <w:t>及</w:t>
      </w:r>
      <w:r>
        <w:rPr>
          <w:rFonts w:ascii="Times New Roman" w:hAnsi="Times New Roman"/>
          <w:color w:val="000000"/>
          <w:sz w:val="24"/>
          <w:szCs w:val="24"/>
        </w:rPr>
        <w:t>修改单。详见表 4.3-2</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表4.3-2   环境空气污染物评价标准  单位</w:t>
      </w:r>
      <w:r>
        <w:rPr>
          <w:rFonts w:ascii="Times New Roman" w:hAnsi="Times New Roman"/>
          <w:b/>
          <w:color w:val="000000"/>
          <w:sz w:val="24"/>
          <w:szCs w:val="24"/>
        </w:rPr>
        <w:t>mg</w:t>
      </w:r>
      <w:r>
        <w:rPr>
          <w:rFonts w:hint="eastAsia" w:ascii="Times New Roman" w:hAnsi="Times New Roman"/>
          <w:b/>
          <w:color w:val="000000"/>
          <w:sz w:val="24"/>
          <w:szCs w:val="24"/>
        </w:rPr>
        <w:t>/m</w:t>
      </w:r>
      <w:r>
        <w:rPr>
          <w:rFonts w:hint="eastAsia" w:ascii="Times New Roman" w:hAnsi="Times New Roman"/>
          <w:b/>
          <w:color w:val="000000"/>
          <w:sz w:val="24"/>
          <w:szCs w:val="24"/>
          <w:vertAlign w:val="superscript"/>
        </w:rPr>
        <w:t>3</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宋体" w:eastAsia="宋体" w:cs="Times New Roman"/>
                <w:b/>
                <w:kern w:val="0"/>
                <w:szCs w:val="21"/>
              </w:rPr>
            </w:pPr>
            <w:r>
              <w:rPr>
                <w:rFonts w:hint="eastAsia" w:ascii="Times New Roman" w:hAnsi="宋体" w:eastAsia="宋体" w:cs="Times New Roman"/>
                <w:b/>
                <w:kern w:val="0"/>
                <w:szCs w:val="21"/>
              </w:rPr>
              <w:t>污染物名称</w:t>
            </w:r>
          </w:p>
        </w:tc>
        <w:tc>
          <w:tcPr>
            <w:tcW w:w="2841" w:type="dxa"/>
            <w:vAlign w:val="center"/>
          </w:tcPr>
          <w:p>
            <w:pPr>
              <w:spacing w:line="240" w:lineRule="atLeast"/>
              <w:jc w:val="center"/>
              <w:rPr>
                <w:rFonts w:ascii="Times New Roman" w:hAnsi="宋体" w:eastAsia="宋体" w:cs="Times New Roman"/>
                <w:b/>
                <w:kern w:val="0"/>
                <w:szCs w:val="21"/>
              </w:rPr>
            </w:pPr>
            <w:r>
              <w:rPr>
                <w:rFonts w:hint="eastAsia" w:ascii="Times New Roman" w:hAnsi="宋体" w:eastAsia="宋体" w:cs="Times New Roman"/>
                <w:b/>
                <w:kern w:val="0"/>
                <w:szCs w:val="21"/>
              </w:rPr>
              <w:t>24h浓度限值</w:t>
            </w:r>
          </w:p>
        </w:tc>
        <w:tc>
          <w:tcPr>
            <w:tcW w:w="2841" w:type="dxa"/>
            <w:vAlign w:val="center"/>
          </w:tcPr>
          <w:p>
            <w:pPr>
              <w:spacing w:line="240" w:lineRule="atLeast"/>
              <w:jc w:val="center"/>
              <w:rPr>
                <w:rFonts w:ascii="Times New Roman" w:hAnsi="宋体" w:eastAsia="宋体" w:cs="Times New Roman"/>
                <w:b/>
                <w:kern w:val="0"/>
                <w:szCs w:val="21"/>
              </w:rPr>
            </w:pPr>
            <w:r>
              <w:rPr>
                <w:rFonts w:hint="eastAsia" w:ascii="Times New Roman" w:hAnsi="宋体" w:eastAsia="宋体" w:cs="Times New Roman"/>
                <w:b/>
                <w:kern w:val="0"/>
                <w:szCs w:val="21"/>
              </w:rPr>
              <w:t>1h浓度限值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SO</w:t>
            </w:r>
            <w:r>
              <w:rPr>
                <w:rFonts w:hint="eastAsia" w:ascii="Times New Roman" w:hAnsi="宋体" w:eastAsia="宋体" w:cs="Times New Roman"/>
                <w:kern w:val="0"/>
                <w:szCs w:val="21"/>
                <w:vertAlign w:val="subscript"/>
              </w:rPr>
              <w:t>2</w:t>
            </w:r>
          </w:p>
        </w:tc>
        <w:tc>
          <w:tcPr>
            <w:tcW w:w="2841"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0.15</w:t>
            </w:r>
          </w:p>
        </w:tc>
        <w:tc>
          <w:tcPr>
            <w:tcW w:w="2841"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NO</w:t>
            </w:r>
            <w:r>
              <w:rPr>
                <w:rFonts w:hint="eastAsia" w:ascii="Times New Roman" w:hAnsi="宋体" w:eastAsia="宋体" w:cs="Times New Roman"/>
                <w:kern w:val="0"/>
                <w:szCs w:val="21"/>
                <w:vertAlign w:val="subscript"/>
              </w:rPr>
              <w:t>X</w:t>
            </w:r>
          </w:p>
        </w:tc>
        <w:tc>
          <w:tcPr>
            <w:tcW w:w="2841"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0.08</w:t>
            </w:r>
          </w:p>
        </w:tc>
        <w:tc>
          <w:tcPr>
            <w:tcW w:w="2841"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PM</w:t>
            </w:r>
            <w:r>
              <w:rPr>
                <w:rFonts w:hint="eastAsia" w:ascii="Times New Roman" w:hAnsi="宋体" w:eastAsia="宋体" w:cs="Times New Roman"/>
                <w:kern w:val="0"/>
                <w:szCs w:val="21"/>
                <w:vertAlign w:val="subscript"/>
              </w:rPr>
              <w:t>10</w:t>
            </w:r>
          </w:p>
        </w:tc>
        <w:tc>
          <w:tcPr>
            <w:tcW w:w="2841"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0.15</w:t>
            </w:r>
          </w:p>
        </w:tc>
        <w:tc>
          <w:tcPr>
            <w:tcW w:w="2841"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PM</w:t>
            </w:r>
            <w:r>
              <w:rPr>
                <w:rFonts w:hint="eastAsia" w:ascii="Times New Roman" w:hAnsi="宋体" w:eastAsia="宋体" w:cs="Times New Roman"/>
                <w:kern w:val="0"/>
                <w:szCs w:val="21"/>
                <w:vertAlign w:val="subscript"/>
              </w:rPr>
              <w:t>2.5</w:t>
            </w:r>
          </w:p>
        </w:tc>
        <w:tc>
          <w:tcPr>
            <w:tcW w:w="2841"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0.075</w:t>
            </w:r>
          </w:p>
        </w:tc>
        <w:tc>
          <w:tcPr>
            <w:tcW w:w="2841" w:type="dxa"/>
            <w:vAlign w:val="center"/>
          </w:tcPr>
          <w:p>
            <w:pPr>
              <w:spacing w:line="240" w:lineRule="atLeast"/>
              <w:jc w:val="center"/>
              <w:rPr>
                <w:rFonts w:ascii="Times New Roman" w:hAnsi="宋体" w:eastAsia="宋体" w:cs="Times New Roman"/>
                <w:kern w:val="0"/>
                <w:szCs w:val="21"/>
              </w:rPr>
            </w:pPr>
            <w:r>
              <w:rPr>
                <w:rFonts w:hint="eastAsia" w:ascii="Times New Roman" w:hAnsi="宋体" w:eastAsia="宋体" w:cs="Times New Roman"/>
                <w:kern w:val="0"/>
                <w:szCs w:val="21"/>
              </w:rPr>
              <w:t>/</w:t>
            </w:r>
          </w:p>
        </w:tc>
      </w:tr>
    </w:tbl>
    <w:p>
      <w:pPr>
        <w:ind w:firstLine="482"/>
        <w:rPr>
          <w:rFonts w:hAnsi="宋体"/>
          <w:b/>
        </w:rPr>
      </w:pPr>
      <w:r>
        <w:rPr>
          <w:rFonts w:hint="eastAsia" w:hAnsi="宋体"/>
          <w:b/>
        </w:rPr>
        <w:t>（3）监测结果</w:t>
      </w:r>
    </w:p>
    <w:p>
      <w:pPr>
        <w:ind w:firstLine="480"/>
        <w:rPr>
          <w:rFonts w:ascii="Times New Roman" w:hAnsi="Times New Roman"/>
          <w:color w:val="000000"/>
          <w:sz w:val="24"/>
          <w:szCs w:val="24"/>
        </w:rPr>
        <w:sectPr>
          <w:footerReference r:id="rId5" w:type="default"/>
          <w:pgSz w:w="11906" w:h="16838"/>
          <w:pgMar w:top="1440" w:right="1800" w:bottom="1440" w:left="1800" w:header="851" w:footer="992" w:gutter="0"/>
          <w:pgNumType w:start="1"/>
          <w:cols w:space="425" w:num="1"/>
          <w:docGrid w:type="lines" w:linePitch="326" w:charSpace="0"/>
        </w:sectPr>
      </w:pPr>
      <w:r>
        <w:rPr>
          <w:rFonts w:hint="eastAsia" w:ascii="Times New Roman" w:hAnsi="Times New Roman"/>
          <w:color w:val="000000"/>
          <w:sz w:val="24"/>
          <w:szCs w:val="24"/>
        </w:rPr>
        <w:t>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、NO</w:t>
      </w:r>
      <w:r>
        <w:rPr>
          <w:rFonts w:hint="eastAsia" w:ascii="Times New Roman" w:hAnsi="Times New Roman"/>
          <w:color w:val="000000"/>
          <w:sz w:val="24"/>
          <w:szCs w:val="24"/>
          <w:vertAlign w:val="subscript"/>
        </w:rPr>
        <w:t>X</w:t>
      </w:r>
      <w:r>
        <w:rPr>
          <w:rFonts w:hint="eastAsia" w:ascii="Times New Roman" w:hAnsi="Times New Roman"/>
          <w:color w:val="000000"/>
          <w:sz w:val="24"/>
          <w:szCs w:val="24"/>
        </w:rPr>
        <w:t>、PM</w:t>
      </w:r>
      <w:r>
        <w:rPr>
          <w:rFonts w:hint="eastAsia" w:ascii="Times New Roman" w:hAnsi="Times New Roman"/>
          <w:color w:val="000000"/>
          <w:sz w:val="24"/>
          <w:szCs w:val="24"/>
          <w:vertAlign w:val="subscript"/>
        </w:rPr>
        <w:t>10</w:t>
      </w:r>
      <w:r>
        <w:rPr>
          <w:rFonts w:hint="eastAsia" w:ascii="Times New Roman" w:hAnsi="Times New Roman"/>
          <w:color w:val="000000"/>
          <w:sz w:val="24"/>
          <w:szCs w:val="24"/>
        </w:rPr>
        <w:t>、PM</w:t>
      </w:r>
      <w:r>
        <w:rPr>
          <w:rFonts w:hint="eastAsia" w:ascii="Times New Roman" w:hAnsi="Times New Roman"/>
          <w:color w:val="000000"/>
          <w:sz w:val="24"/>
          <w:szCs w:val="24"/>
          <w:vertAlign w:val="subscript"/>
        </w:rPr>
        <w:t>2.5</w:t>
      </w:r>
      <w:r>
        <w:rPr>
          <w:rFonts w:hint="eastAsia" w:ascii="Times New Roman" w:hAnsi="Times New Roman"/>
          <w:color w:val="000000"/>
          <w:sz w:val="24"/>
          <w:szCs w:val="24"/>
        </w:rPr>
        <w:t>监测结果统计如表4.3-3。</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表4.3-3   环境</w:t>
      </w:r>
      <w:r>
        <w:rPr>
          <w:rFonts w:ascii="Times New Roman" w:hAnsi="Times New Roman"/>
          <w:b/>
          <w:color w:val="000000"/>
          <w:sz w:val="24"/>
          <w:szCs w:val="24"/>
        </w:rPr>
        <w:t>空气检测结果表</w:t>
      </w:r>
      <w:r>
        <w:rPr>
          <w:rFonts w:hint="eastAsia" w:ascii="Times New Roman" w:hAnsi="Times New Roman"/>
          <w:b/>
          <w:color w:val="000000"/>
          <w:sz w:val="24"/>
          <w:szCs w:val="24"/>
        </w:rPr>
        <w:t xml:space="preserve">  单位</w:t>
      </w:r>
      <w:r>
        <w:rPr>
          <w:rFonts w:ascii="Times New Roman" w:hAnsi="Times New Roman"/>
          <w:b/>
          <w:color w:val="000000"/>
          <w:sz w:val="24"/>
          <w:szCs w:val="24"/>
        </w:rPr>
        <w:t>：μm/m</w:t>
      </w:r>
      <w:r>
        <w:rPr>
          <w:rFonts w:ascii="Times New Roman" w:hAnsi="Times New Roman"/>
          <w:b/>
          <w:color w:val="000000"/>
          <w:sz w:val="24"/>
          <w:szCs w:val="24"/>
          <w:vertAlign w:val="superscript"/>
        </w:rPr>
        <w:t>3</w:t>
      </w:r>
      <w:r>
        <w:rPr>
          <w:rFonts w:hint="eastAsia" w:ascii="Times New Roman" w:hAnsi="Times New Roman"/>
          <w:b/>
          <w:color w:val="000000"/>
          <w:sz w:val="24"/>
          <w:szCs w:val="24"/>
        </w:rPr>
        <w:t>（摘选）</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5"/>
        <w:gridCol w:w="2407"/>
        <w:gridCol w:w="1560"/>
        <w:gridCol w:w="1557"/>
        <w:gridCol w:w="710"/>
        <w:gridCol w:w="1557"/>
        <w:gridCol w:w="710"/>
        <w:gridCol w:w="1557"/>
        <w:gridCol w:w="660"/>
        <w:gridCol w:w="1605"/>
        <w:gridCol w:w="7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Align w:val="center"/>
          </w:tcPr>
          <w:p>
            <w:pPr>
              <w:spacing w:line="240" w:lineRule="atLeast"/>
              <w:jc w:val="center"/>
              <w:rPr>
                <w:rFonts w:ascii="Times New Roman" w:hAnsi="Times New Roman"/>
                <w:szCs w:val="21"/>
              </w:rPr>
            </w:pPr>
            <w:r>
              <w:rPr>
                <w:rFonts w:hint="eastAsia" w:ascii="Times New Roman" w:hAnsi="Times New Roman"/>
                <w:szCs w:val="21"/>
              </w:rPr>
              <w:t>监测</w:t>
            </w:r>
            <w:r>
              <w:rPr>
                <w:rFonts w:ascii="Times New Roman" w:hAnsi="Times New Roman"/>
                <w:szCs w:val="21"/>
              </w:rPr>
              <w:t>点位</w:t>
            </w: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取样</w:t>
            </w:r>
            <w:r>
              <w:rPr>
                <w:rFonts w:ascii="Times New Roman" w:hAnsi="Times New Roman"/>
                <w:szCs w:val="21"/>
              </w:rPr>
              <w:t>时间</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采样</w:t>
            </w:r>
            <w:r>
              <w:rPr>
                <w:rFonts w:ascii="Times New Roman" w:hAnsi="Times New Roman"/>
                <w:szCs w:val="21"/>
              </w:rPr>
              <w:t>时段</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r>
              <w:rPr>
                <w:rFonts w:hint="eastAsia" w:ascii="Times New Roman" w:hAnsi="Times New Roman"/>
                <w:szCs w:val="21"/>
              </w:rPr>
              <w:t>样品</w:t>
            </w:r>
            <w:r>
              <w:rPr>
                <w:rFonts w:ascii="Times New Roman" w:hAnsi="Times New Roman"/>
                <w:szCs w:val="21"/>
              </w:rPr>
              <w:t>编号</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2</w:t>
            </w:r>
            <w:r>
              <w:rPr>
                <w:rFonts w:hint="eastAsia" w:ascii="Times New Roman" w:hAnsi="Times New Roman"/>
                <w:szCs w:val="21"/>
              </w:rPr>
              <w:t>样品编号</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2</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r>
              <w:rPr>
                <w:rFonts w:hint="eastAsia" w:ascii="Times New Roman" w:hAnsi="Times New Roman"/>
                <w:szCs w:val="21"/>
              </w:rPr>
              <w:t>样品</w:t>
            </w:r>
            <w:r>
              <w:rPr>
                <w:rFonts w:ascii="Times New Roman" w:hAnsi="Times New Roman"/>
                <w:szCs w:val="21"/>
              </w:rPr>
              <w:t>编号</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2.5</w:t>
            </w:r>
            <w:r>
              <w:rPr>
                <w:rFonts w:hint="eastAsia" w:ascii="Times New Roman" w:hAnsi="Times New Roman"/>
                <w:szCs w:val="21"/>
              </w:rPr>
              <w:t>样品</w:t>
            </w:r>
            <w:r>
              <w:rPr>
                <w:rFonts w:ascii="Times New Roman" w:hAnsi="Times New Roman"/>
                <w:szCs w:val="21"/>
              </w:rPr>
              <w:t>编号</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A4：小雷宰</w:t>
            </w:r>
            <w:r>
              <w:rPr>
                <w:rFonts w:ascii="Times New Roman" w:hAnsi="Times New Roman"/>
                <w:szCs w:val="21"/>
              </w:rPr>
              <w:t>村</w:t>
            </w: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2019.07.08</w:t>
            </w:r>
            <w:r>
              <w:rPr>
                <w:rFonts w:ascii="Times New Roman" w:hAnsi="Times New Roman"/>
                <w:szCs w:val="21"/>
              </w:rPr>
              <w:t>-2019.07-09</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8:00</w:t>
            </w:r>
            <w:r>
              <w:rPr>
                <w:rFonts w:ascii="Times New Roman" w:hAnsi="Times New Roman"/>
                <w:szCs w:val="21"/>
              </w:rPr>
              <w:t>-8:00</w:t>
            </w:r>
          </w:p>
          <w:p>
            <w:pPr>
              <w:spacing w:line="240" w:lineRule="atLeast"/>
              <w:jc w:val="center"/>
              <w:rPr>
                <w:rFonts w:ascii="Times New Roman" w:hAnsi="Times New Roman"/>
                <w:szCs w:val="21"/>
              </w:rPr>
            </w:pP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-A022</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11</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-A078</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27</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-A134</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53</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-A190</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2019.07.09</w:t>
            </w:r>
            <w:r>
              <w:rPr>
                <w:rFonts w:ascii="Times New Roman" w:hAnsi="Times New Roman"/>
                <w:szCs w:val="21"/>
              </w:rPr>
              <w:t>-2019.07.10</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9:00</w:t>
            </w:r>
            <w:r>
              <w:rPr>
                <w:rFonts w:ascii="Times New Roman" w:hAnsi="Times New Roman"/>
                <w:szCs w:val="21"/>
              </w:rPr>
              <w:t>-9</w:t>
            </w:r>
            <w:r>
              <w:rPr>
                <w:rFonts w:hint="eastAsia" w:ascii="Times New Roman" w:hAnsi="Times New Roman"/>
                <w:szCs w:val="21"/>
              </w:rPr>
              <w:t>:</w:t>
            </w:r>
            <w:r>
              <w:rPr>
                <w:rFonts w:ascii="Times New Roman" w:hAnsi="Times New Roman"/>
                <w:szCs w:val="21"/>
              </w:rPr>
              <w:t>00</w:t>
            </w:r>
          </w:p>
          <w:p>
            <w:pPr>
              <w:spacing w:line="240" w:lineRule="atLeast"/>
              <w:jc w:val="center"/>
              <w:rPr>
                <w:rFonts w:ascii="Times New Roman" w:hAnsi="Times New Roman"/>
                <w:szCs w:val="21"/>
              </w:rPr>
            </w:pP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-A023</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-A079</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14</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-A135</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-A191</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ascii="Times New Roman" w:hAnsi="Times New Roman"/>
                <w:szCs w:val="21"/>
              </w:rPr>
              <w:t>2019.07.10-2019.07-11</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10:00</w:t>
            </w:r>
            <w:r>
              <w:rPr>
                <w:rFonts w:ascii="Times New Roman" w:hAnsi="Times New Roman"/>
                <w:szCs w:val="21"/>
              </w:rPr>
              <w:t>-10:00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-A024</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-A080</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16</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-A136</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66</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-A192</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ascii="Times New Roman" w:hAnsi="Times New Roman"/>
                <w:szCs w:val="21"/>
              </w:rPr>
              <w:t>2</w:t>
            </w:r>
            <w:r>
              <w:rPr>
                <w:rFonts w:hint="eastAsia" w:ascii="Times New Roman" w:hAnsi="Times New Roman"/>
                <w:szCs w:val="21"/>
              </w:rPr>
              <w:t>109.</w:t>
            </w:r>
            <w:r>
              <w:rPr>
                <w:rFonts w:ascii="Times New Roman" w:hAnsi="Times New Roman"/>
                <w:szCs w:val="21"/>
              </w:rPr>
              <w:t>07.11-2019.07-12</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11:00</w:t>
            </w:r>
            <w:r>
              <w:rPr>
                <w:rFonts w:ascii="Times New Roman" w:hAnsi="Times New Roman"/>
                <w:szCs w:val="21"/>
              </w:rPr>
              <w:t>-11:00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-A025</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14</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-A081</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-A137</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64</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-A193</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2019.07.12-2019.07.13</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12:00</w:t>
            </w:r>
            <w:r>
              <w:rPr>
                <w:rFonts w:ascii="Times New Roman" w:hAnsi="Times New Roman"/>
                <w:szCs w:val="21"/>
              </w:rPr>
              <w:t>-12:00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-A026</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10</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-A082</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14</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-A138</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58</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-A194</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2019.07.13-20</w:t>
            </w:r>
            <w:r>
              <w:rPr>
                <w:rFonts w:ascii="Times New Roman" w:hAnsi="Times New Roman"/>
                <w:szCs w:val="21"/>
              </w:rPr>
              <w:t>19.07-14</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13:00</w:t>
            </w:r>
            <w:r>
              <w:rPr>
                <w:rFonts w:ascii="Times New Roman" w:hAnsi="Times New Roman"/>
                <w:szCs w:val="21"/>
              </w:rPr>
              <w:t>-13:00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-A027</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11</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-A083</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-A139</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62</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-A195</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2019.07.14</w:t>
            </w:r>
            <w:r>
              <w:rPr>
                <w:rFonts w:ascii="Times New Roman" w:hAnsi="Times New Roman"/>
                <w:szCs w:val="21"/>
              </w:rPr>
              <w:t>-2019.07.15</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14:00</w:t>
            </w:r>
            <w:r>
              <w:rPr>
                <w:rFonts w:ascii="Times New Roman" w:hAnsi="Times New Roman"/>
                <w:szCs w:val="21"/>
              </w:rPr>
              <w:t>-14:00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-A028</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-A084</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18</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-A140</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57</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-A196</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A5：湾保村</w:t>
            </w: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2019.07.08</w:t>
            </w:r>
            <w:r>
              <w:rPr>
                <w:rFonts w:ascii="Times New Roman" w:hAnsi="Times New Roman"/>
                <w:szCs w:val="21"/>
              </w:rPr>
              <w:t>-2019.07-09</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8:00</w:t>
            </w:r>
            <w:r>
              <w:rPr>
                <w:rFonts w:ascii="Times New Roman" w:hAnsi="Times New Roman"/>
                <w:szCs w:val="21"/>
              </w:rPr>
              <w:t>-8:00</w:t>
            </w:r>
          </w:p>
          <w:p>
            <w:pPr>
              <w:spacing w:line="240" w:lineRule="atLeast"/>
              <w:jc w:val="center"/>
              <w:rPr>
                <w:rFonts w:ascii="Times New Roman" w:hAnsi="Times New Roman"/>
                <w:szCs w:val="21"/>
              </w:rPr>
            </w:pP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-A029</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-A085</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26</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-A141</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45</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-A197</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2019.07.09</w:t>
            </w:r>
            <w:r>
              <w:rPr>
                <w:rFonts w:ascii="Times New Roman" w:hAnsi="Times New Roman"/>
                <w:szCs w:val="21"/>
              </w:rPr>
              <w:t>-2019.07.10</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9:00</w:t>
            </w:r>
            <w:r>
              <w:rPr>
                <w:rFonts w:ascii="Times New Roman" w:hAnsi="Times New Roman"/>
                <w:szCs w:val="21"/>
              </w:rPr>
              <w:t>-9</w:t>
            </w:r>
            <w:r>
              <w:rPr>
                <w:rFonts w:hint="eastAsia" w:ascii="Times New Roman" w:hAnsi="Times New Roman"/>
                <w:szCs w:val="21"/>
              </w:rPr>
              <w:t>:</w:t>
            </w:r>
            <w:r>
              <w:rPr>
                <w:rFonts w:ascii="Times New Roman" w:hAnsi="Times New Roman"/>
                <w:szCs w:val="21"/>
              </w:rPr>
              <w:t>00</w:t>
            </w:r>
          </w:p>
          <w:p>
            <w:pPr>
              <w:spacing w:line="240" w:lineRule="atLeast"/>
              <w:jc w:val="center"/>
              <w:rPr>
                <w:rFonts w:ascii="Times New Roman" w:hAnsi="Times New Roman"/>
                <w:szCs w:val="21"/>
              </w:rPr>
            </w:pP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-A030</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11</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-A086</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-A142</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54</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-A198</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ascii="Times New Roman" w:hAnsi="Times New Roman"/>
                <w:szCs w:val="21"/>
              </w:rPr>
              <w:t>2019.07.10-2019.07-11</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10:00</w:t>
            </w:r>
            <w:r>
              <w:rPr>
                <w:rFonts w:ascii="Times New Roman" w:hAnsi="Times New Roman"/>
                <w:szCs w:val="21"/>
              </w:rPr>
              <w:t>-10:00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-A031</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12</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-A087</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20</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-A143</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58</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-A199</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ascii="Times New Roman" w:hAnsi="Times New Roman"/>
                <w:szCs w:val="21"/>
              </w:rPr>
              <w:t>2</w:t>
            </w:r>
            <w:r>
              <w:rPr>
                <w:rFonts w:hint="eastAsia" w:ascii="Times New Roman" w:hAnsi="Times New Roman"/>
                <w:szCs w:val="21"/>
              </w:rPr>
              <w:t>109.</w:t>
            </w:r>
            <w:r>
              <w:rPr>
                <w:rFonts w:ascii="Times New Roman" w:hAnsi="Times New Roman"/>
                <w:szCs w:val="21"/>
              </w:rPr>
              <w:t>07.11-2019.07-12</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11:00</w:t>
            </w:r>
            <w:r>
              <w:rPr>
                <w:rFonts w:ascii="Times New Roman" w:hAnsi="Times New Roman"/>
                <w:szCs w:val="21"/>
              </w:rPr>
              <w:t>-11:00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-A032</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-A088</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16</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-A144</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53</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-A200</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2019.07.12-2019.07.13</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12:00</w:t>
            </w:r>
            <w:r>
              <w:rPr>
                <w:rFonts w:ascii="Times New Roman" w:hAnsi="Times New Roman"/>
                <w:szCs w:val="21"/>
              </w:rPr>
              <w:t>-12:00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-A033</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14</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-A089</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-A145</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67</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-A201</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2019.07.13-20</w:t>
            </w:r>
            <w:r>
              <w:rPr>
                <w:rFonts w:ascii="Times New Roman" w:hAnsi="Times New Roman"/>
                <w:szCs w:val="21"/>
              </w:rPr>
              <w:t>19.07-14</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13:00</w:t>
            </w:r>
            <w:r>
              <w:rPr>
                <w:rFonts w:ascii="Times New Roman" w:hAnsi="Times New Roman"/>
                <w:szCs w:val="21"/>
              </w:rPr>
              <w:t>-13:00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-A034</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10</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-A090</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22</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-A146</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59</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-A202</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2019.07.14</w:t>
            </w:r>
            <w:r>
              <w:rPr>
                <w:rFonts w:ascii="Times New Roman" w:hAnsi="Times New Roman"/>
                <w:szCs w:val="21"/>
              </w:rPr>
              <w:t>-2019.07.15</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14:00</w:t>
            </w:r>
            <w:r>
              <w:rPr>
                <w:rFonts w:ascii="Times New Roman" w:hAnsi="Times New Roman"/>
                <w:szCs w:val="21"/>
              </w:rPr>
              <w:t>-14:00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-A035</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-A091</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-A147</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62</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-A203</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A6：</w:t>
            </w:r>
            <w:r>
              <w:rPr>
                <w:rFonts w:ascii="Times New Roman" w:hAnsi="Times New Roman"/>
                <w:szCs w:val="21"/>
              </w:rPr>
              <w:t>那化村</w:t>
            </w: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2019.07.08</w:t>
            </w:r>
            <w:r>
              <w:rPr>
                <w:rFonts w:ascii="Times New Roman" w:hAnsi="Times New Roman"/>
                <w:szCs w:val="21"/>
              </w:rPr>
              <w:t>-2019.07-09</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8:00</w:t>
            </w:r>
            <w:r>
              <w:rPr>
                <w:rFonts w:ascii="Times New Roman" w:hAnsi="Times New Roman"/>
                <w:szCs w:val="21"/>
              </w:rPr>
              <w:t>-8:00</w:t>
            </w:r>
          </w:p>
          <w:p>
            <w:pPr>
              <w:spacing w:line="240" w:lineRule="atLeast"/>
              <w:jc w:val="center"/>
              <w:rPr>
                <w:rFonts w:ascii="Times New Roman" w:hAnsi="Times New Roman"/>
                <w:szCs w:val="21"/>
              </w:rPr>
            </w:pP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-A036</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-A092</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17</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-A148</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55</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-A204</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2019.07.09</w:t>
            </w:r>
            <w:r>
              <w:rPr>
                <w:rFonts w:ascii="Times New Roman" w:hAnsi="Times New Roman"/>
                <w:szCs w:val="21"/>
              </w:rPr>
              <w:t>-2019.07.10</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9:00</w:t>
            </w:r>
            <w:r>
              <w:rPr>
                <w:rFonts w:ascii="Times New Roman" w:hAnsi="Times New Roman"/>
                <w:szCs w:val="21"/>
              </w:rPr>
              <w:t>-9</w:t>
            </w:r>
            <w:r>
              <w:rPr>
                <w:rFonts w:hint="eastAsia" w:ascii="Times New Roman" w:hAnsi="Times New Roman"/>
                <w:szCs w:val="21"/>
              </w:rPr>
              <w:t>:</w:t>
            </w:r>
            <w:r>
              <w:rPr>
                <w:rFonts w:ascii="Times New Roman" w:hAnsi="Times New Roman"/>
                <w:szCs w:val="21"/>
              </w:rPr>
              <w:t>00</w:t>
            </w:r>
          </w:p>
          <w:p>
            <w:pPr>
              <w:spacing w:line="240" w:lineRule="atLeast"/>
              <w:jc w:val="center"/>
              <w:rPr>
                <w:rFonts w:ascii="Times New Roman" w:hAnsi="Times New Roman"/>
                <w:szCs w:val="21"/>
              </w:rPr>
            </w:pP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-A037</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17</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-A093</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25</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-A149</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49</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-A205</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ascii="Times New Roman" w:hAnsi="Times New Roman"/>
                <w:szCs w:val="21"/>
              </w:rPr>
              <w:t>2019.07.10-2019.07-11</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10:00</w:t>
            </w:r>
            <w:r>
              <w:rPr>
                <w:rFonts w:ascii="Times New Roman" w:hAnsi="Times New Roman"/>
                <w:szCs w:val="21"/>
              </w:rPr>
              <w:t>-10:00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-A038</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12</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-A094</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16</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-A150</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58</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-A206</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ascii="Times New Roman" w:hAnsi="Times New Roman"/>
                <w:szCs w:val="21"/>
              </w:rPr>
              <w:t>2</w:t>
            </w:r>
            <w:r>
              <w:rPr>
                <w:rFonts w:hint="eastAsia" w:ascii="Times New Roman" w:hAnsi="Times New Roman"/>
                <w:szCs w:val="21"/>
              </w:rPr>
              <w:t>109.</w:t>
            </w:r>
            <w:r>
              <w:rPr>
                <w:rFonts w:ascii="Times New Roman" w:hAnsi="Times New Roman"/>
                <w:szCs w:val="21"/>
              </w:rPr>
              <w:t>07.11-2019.07-12</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11:00</w:t>
            </w:r>
            <w:r>
              <w:rPr>
                <w:rFonts w:ascii="Times New Roman" w:hAnsi="Times New Roman"/>
                <w:szCs w:val="21"/>
              </w:rPr>
              <w:t>-11:00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-A039</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16</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-A095</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-A151</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48</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-A207</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2019.07.12-2019.07.13</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12:00</w:t>
            </w:r>
            <w:r>
              <w:rPr>
                <w:rFonts w:ascii="Times New Roman" w:hAnsi="Times New Roman"/>
                <w:szCs w:val="21"/>
              </w:rPr>
              <w:t>-12:00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-A039</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17</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-A096</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27</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-A152</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57</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-A208</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2019.07.13-20</w:t>
            </w:r>
            <w:r>
              <w:rPr>
                <w:rFonts w:ascii="Times New Roman" w:hAnsi="Times New Roman"/>
                <w:szCs w:val="21"/>
              </w:rPr>
              <w:t>19.07-14</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13:00</w:t>
            </w:r>
            <w:r>
              <w:rPr>
                <w:rFonts w:ascii="Times New Roman" w:hAnsi="Times New Roman"/>
                <w:szCs w:val="21"/>
              </w:rPr>
              <w:t>-13:00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-A040</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14</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-A097</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-A153</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51</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-A209</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2019.07.14</w:t>
            </w:r>
            <w:r>
              <w:rPr>
                <w:rFonts w:ascii="Times New Roman" w:hAnsi="Times New Roman"/>
                <w:szCs w:val="21"/>
              </w:rPr>
              <w:t>-2019.07.15</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14:00</w:t>
            </w:r>
            <w:r>
              <w:rPr>
                <w:rFonts w:ascii="Times New Roman" w:hAnsi="Times New Roman"/>
                <w:szCs w:val="21"/>
              </w:rPr>
              <w:t>-14:00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-A041</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16</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-A098</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12</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-A154</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63</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-A210</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A8：</w:t>
            </w:r>
            <w:r>
              <w:rPr>
                <w:rFonts w:ascii="Times New Roman" w:hAnsi="Times New Roman"/>
                <w:szCs w:val="21"/>
              </w:rPr>
              <w:t>小村</w:t>
            </w: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2019.07.08</w:t>
            </w:r>
            <w:r>
              <w:rPr>
                <w:rFonts w:ascii="Times New Roman" w:hAnsi="Times New Roman"/>
                <w:szCs w:val="21"/>
              </w:rPr>
              <w:t>-2019.07-09</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8:00</w:t>
            </w:r>
            <w:r>
              <w:rPr>
                <w:rFonts w:ascii="Times New Roman" w:hAnsi="Times New Roman"/>
                <w:szCs w:val="21"/>
              </w:rPr>
              <w:t>-8:00</w:t>
            </w:r>
          </w:p>
          <w:p>
            <w:pPr>
              <w:spacing w:line="240" w:lineRule="atLeast"/>
              <w:jc w:val="center"/>
              <w:rPr>
                <w:rFonts w:ascii="Times New Roman" w:hAnsi="Times New Roman"/>
                <w:szCs w:val="21"/>
              </w:rPr>
            </w:pP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-A049</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20</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-A106</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17</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-A162</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41</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-A218</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2019.07.09</w:t>
            </w:r>
            <w:r>
              <w:rPr>
                <w:rFonts w:ascii="Times New Roman" w:hAnsi="Times New Roman"/>
                <w:szCs w:val="21"/>
              </w:rPr>
              <w:t>-2019.07.10</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9:00</w:t>
            </w:r>
            <w:r>
              <w:rPr>
                <w:rFonts w:ascii="Times New Roman" w:hAnsi="Times New Roman"/>
                <w:szCs w:val="21"/>
              </w:rPr>
              <w:t>-9</w:t>
            </w:r>
            <w:r>
              <w:rPr>
                <w:rFonts w:hint="eastAsia" w:ascii="Times New Roman" w:hAnsi="Times New Roman"/>
                <w:szCs w:val="21"/>
              </w:rPr>
              <w:t>:</w:t>
            </w:r>
            <w:r>
              <w:rPr>
                <w:rFonts w:ascii="Times New Roman" w:hAnsi="Times New Roman"/>
                <w:szCs w:val="21"/>
              </w:rPr>
              <w:t>00</w:t>
            </w:r>
          </w:p>
          <w:p>
            <w:pPr>
              <w:spacing w:line="240" w:lineRule="atLeast"/>
              <w:jc w:val="center"/>
              <w:rPr>
                <w:rFonts w:ascii="Times New Roman" w:hAnsi="Times New Roman"/>
                <w:szCs w:val="21"/>
              </w:rPr>
            </w:pP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-A050</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-A107</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18</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-A163</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45</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-A219</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ascii="Times New Roman" w:hAnsi="Times New Roman"/>
                <w:szCs w:val="21"/>
              </w:rPr>
              <w:t>2019.07.10-2019.07-11</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10:00</w:t>
            </w:r>
            <w:r>
              <w:rPr>
                <w:rFonts w:ascii="Times New Roman" w:hAnsi="Times New Roman"/>
                <w:szCs w:val="21"/>
              </w:rPr>
              <w:t>-10:00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-A051</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12</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-A108</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22</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-A164</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51</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-A220</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ascii="Times New Roman" w:hAnsi="Times New Roman"/>
                <w:szCs w:val="21"/>
              </w:rPr>
              <w:t>2</w:t>
            </w:r>
            <w:r>
              <w:rPr>
                <w:rFonts w:hint="eastAsia" w:ascii="Times New Roman" w:hAnsi="Times New Roman"/>
                <w:szCs w:val="21"/>
              </w:rPr>
              <w:t>109.</w:t>
            </w:r>
            <w:r>
              <w:rPr>
                <w:rFonts w:ascii="Times New Roman" w:hAnsi="Times New Roman"/>
                <w:szCs w:val="21"/>
              </w:rPr>
              <w:t>07.11-2019.07-12</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11:00</w:t>
            </w:r>
            <w:r>
              <w:rPr>
                <w:rFonts w:ascii="Times New Roman" w:hAnsi="Times New Roman"/>
                <w:szCs w:val="21"/>
              </w:rPr>
              <w:t>-11:00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-A052</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18</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-A109</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17</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-A165</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56</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-A221</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2019.07.12-2019.07.13</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12:00</w:t>
            </w:r>
            <w:r>
              <w:rPr>
                <w:rFonts w:ascii="Times New Roman" w:hAnsi="Times New Roman"/>
                <w:szCs w:val="21"/>
              </w:rPr>
              <w:t>-12:00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-A053</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14</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-A1010</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14</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-A166</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57</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-A222</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2019.07.13-20</w:t>
            </w:r>
            <w:r>
              <w:rPr>
                <w:rFonts w:ascii="Times New Roman" w:hAnsi="Times New Roman"/>
                <w:szCs w:val="21"/>
              </w:rPr>
              <w:t>19.07-14</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13:00</w:t>
            </w:r>
            <w:r>
              <w:rPr>
                <w:rFonts w:ascii="Times New Roman" w:hAnsi="Times New Roman"/>
                <w:szCs w:val="21"/>
              </w:rPr>
              <w:t>-13:00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-A054</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-A1011</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26</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-A167</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52</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-A223</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5" w:type="dxa"/>
            <w:vMerge w:val="continue"/>
            <w:vAlign w:val="center"/>
          </w:tcPr>
          <w:p>
            <w:pPr>
              <w:spacing w:line="240" w:lineRule="atLeast"/>
              <w:jc w:val="center"/>
              <w:rPr>
                <w:rFonts w:ascii="Times New Roman" w:hAnsi="Times New Roman"/>
                <w:szCs w:val="21"/>
              </w:rPr>
            </w:pPr>
          </w:p>
        </w:tc>
        <w:tc>
          <w:tcPr>
            <w:tcW w:w="2407" w:type="dxa"/>
            <w:vAlign w:val="center"/>
          </w:tcPr>
          <w:p>
            <w:pPr>
              <w:spacing w:line="240" w:lineRule="atLeast"/>
              <w:jc w:val="center"/>
              <w:rPr>
                <w:rFonts w:ascii="Times New Roman" w:hAnsi="Times New Roman"/>
                <w:szCs w:val="21"/>
              </w:rPr>
            </w:pPr>
            <w:r>
              <w:rPr>
                <w:rFonts w:hint="eastAsia" w:ascii="Times New Roman" w:hAnsi="Times New Roman"/>
                <w:szCs w:val="21"/>
              </w:rPr>
              <w:t>2019.07.14</w:t>
            </w:r>
            <w:r>
              <w:rPr>
                <w:rFonts w:ascii="Times New Roman" w:hAnsi="Times New Roman"/>
                <w:szCs w:val="21"/>
              </w:rPr>
              <w:t>-2019.07.15</w:t>
            </w:r>
          </w:p>
        </w:tc>
        <w:tc>
          <w:tcPr>
            <w:tcW w:w="1560" w:type="dxa"/>
            <w:vAlign w:val="center"/>
          </w:tcPr>
          <w:p>
            <w:pPr>
              <w:spacing w:line="240" w:lineRule="atLeast"/>
              <w:jc w:val="center"/>
              <w:rPr>
                <w:rFonts w:ascii="Times New Roman" w:hAnsi="Times New Roman"/>
                <w:szCs w:val="21"/>
              </w:rPr>
            </w:pPr>
            <w:r>
              <w:rPr>
                <w:rFonts w:hint="eastAsia" w:ascii="Times New Roman" w:hAnsi="Times New Roman"/>
                <w:szCs w:val="21"/>
              </w:rPr>
              <w:t>14:00</w:t>
            </w:r>
            <w:r>
              <w:rPr>
                <w:rFonts w:ascii="Times New Roman" w:hAnsi="Times New Roman"/>
                <w:szCs w:val="21"/>
              </w:rPr>
              <w:t>-14:00</w:t>
            </w:r>
            <w:r>
              <w:rPr>
                <w:rFonts w:hint="eastAsia" w:ascii="Times New Roman" w:hAnsi="Times New Roman"/>
                <w:szCs w:val="21"/>
              </w:rPr>
              <w:t>（次日）</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-A055</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19</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-A1012</w:t>
            </w:r>
          </w:p>
        </w:tc>
        <w:tc>
          <w:tcPr>
            <w:tcW w:w="710" w:type="dxa"/>
            <w:vAlign w:val="center"/>
          </w:tcPr>
          <w:p>
            <w:pPr>
              <w:spacing w:line="240" w:lineRule="atLeast"/>
              <w:jc w:val="center"/>
              <w:rPr>
                <w:rFonts w:ascii="Times New Roman" w:hAnsi="Times New Roman"/>
                <w:szCs w:val="21"/>
              </w:rPr>
            </w:pPr>
            <w:r>
              <w:rPr>
                <w:rFonts w:hint="eastAsia" w:ascii="Times New Roman" w:hAnsi="Times New Roman"/>
                <w:szCs w:val="21"/>
              </w:rPr>
              <w:t>23</w:t>
            </w:r>
          </w:p>
        </w:tc>
        <w:tc>
          <w:tcPr>
            <w:tcW w:w="1557"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-A168</w:t>
            </w:r>
          </w:p>
        </w:tc>
        <w:tc>
          <w:tcPr>
            <w:tcW w:w="660" w:type="dxa"/>
            <w:vAlign w:val="center"/>
          </w:tcPr>
          <w:p>
            <w:pPr>
              <w:spacing w:line="240" w:lineRule="atLeast"/>
              <w:jc w:val="center"/>
              <w:rPr>
                <w:rFonts w:ascii="Times New Roman" w:hAnsi="Times New Roman"/>
                <w:szCs w:val="21"/>
              </w:rPr>
            </w:pPr>
            <w:r>
              <w:rPr>
                <w:rFonts w:hint="eastAsia" w:ascii="Times New Roman" w:hAnsi="Times New Roman"/>
                <w:szCs w:val="21"/>
              </w:rPr>
              <w:t>56</w:t>
            </w:r>
          </w:p>
        </w:tc>
        <w:tc>
          <w:tcPr>
            <w:tcW w:w="1605"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-A224</w:t>
            </w:r>
          </w:p>
        </w:tc>
        <w:tc>
          <w:tcPr>
            <w:tcW w:w="760" w:type="dxa"/>
            <w:vAlign w:val="center"/>
          </w:tcPr>
          <w:p>
            <w:pPr>
              <w:spacing w:line="240" w:lineRule="atLeast"/>
              <w:jc w:val="center"/>
              <w:rPr>
                <w:rFonts w:ascii="Times New Roman" w:hAnsi="Times New Roman"/>
                <w:szCs w:val="21"/>
              </w:rPr>
            </w:pPr>
            <w:r>
              <w:rPr>
                <w:rFonts w:hint="eastAsia" w:ascii="Times New Roman" w:hAnsi="Times New Roman"/>
                <w:szCs w:val="21"/>
              </w:rPr>
              <w:t>28</w:t>
            </w:r>
          </w:p>
        </w:tc>
      </w:tr>
    </w:tbl>
    <w:p>
      <w:pPr>
        <w:spacing w:line="360" w:lineRule="auto"/>
        <w:ind w:firstLine="480" w:firstLineChars="200"/>
        <w:rPr>
          <w:rFonts w:ascii="Times New Roman" w:hAnsi="Times New Roman"/>
          <w:color w:val="000000"/>
          <w:sz w:val="24"/>
          <w:szCs w:val="24"/>
        </w:rPr>
        <w:sectPr>
          <w:pgSz w:w="16838" w:h="11906" w:orient="landscape"/>
          <w:pgMar w:top="1800" w:right="1440" w:bottom="1800" w:left="1440" w:header="851" w:footer="992" w:gutter="0"/>
          <w:cols w:space="425" w:num="1"/>
          <w:docGrid w:type="lines" w:linePitch="312" w:charSpace="0"/>
        </w:sectPr>
      </w:pP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根据表4.3-3可知，项目区环境空气质量现状评价因子SO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、NO</w:t>
      </w:r>
      <w:r>
        <w:rPr>
          <w:rFonts w:ascii="Times New Roman" w:hAnsi="Times New Roman"/>
          <w:color w:val="000000"/>
          <w:sz w:val="24"/>
          <w:szCs w:val="24"/>
          <w:vertAlign w:val="subscript"/>
        </w:rPr>
        <w:t>2</w:t>
      </w:r>
      <w:r>
        <w:rPr>
          <w:rFonts w:hint="eastAsia" w:ascii="Times New Roman" w:hAnsi="Times New Roman"/>
          <w:color w:val="000000"/>
          <w:sz w:val="24"/>
          <w:szCs w:val="24"/>
        </w:rPr>
        <w:t>、PM</w:t>
      </w:r>
      <w:r>
        <w:rPr>
          <w:rFonts w:hint="eastAsia" w:ascii="Times New Roman" w:hAnsi="Times New Roman"/>
          <w:color w:val="000000"/>
          <w:sz w:val="24"/>
          <w:szCs w:val="24"/>
          <w:vertAlign w:val="subscript"/>
        </w:rPr>
        <w:t>10</w:t>
      </w:r>
      <w:r>
        <w:rPr>
          <w:rFonts w:hint="eastAsia" w:ascii="Times New Roman" w:hAnsi="Times New Roman"/>
          <w:color w:val="000000"/>
          <w:sz w:val="24"/>
          <w:szCs w:val="24"/>
        </w:rPr>
        <w:t>、PM</w:t>
      </w:r>
      <w:r>
        <w:rPr>
          <w:rFonts w:hint="eastAsia" w:ascii="Times New Roman" w:hAnsi="Times New Roman"/>
          <w:color w:val="000000"/>
          <w:sz w:val="24"/>
          <w:szCs w:val="24"/>
          <w:vertAlign w:val="subscript"/>
        </w:rPr>
        <w:t>2.5</w:t>
      </w:r>
      <w:r>
        <w:rPr>
          <w:rFonts w:hint="eastAsia" w:ascii="Times New Roman" w:hAnsi="Times New Roman"/>
          <w:color w:val="000000"/>
          <w:sz w:val="24"/>
          <w:szCs w:val="24"/>
        </w:rPr>
        <w:t>日均值能够达到《环境空气质量标准》（GB3095-2012）及</w:t>
      </w:r>
      <w:r>
        <w:rPr>
          <w:rFonts w:ascii="Times New Roman" w:hAnsi="Times New Roman"/>
          <w:color w:val="000000"/>
          <w:sz w:val="24"/>
          <w:szCs w:val="24"/>
        </w:rPr>
        <w:t>修改单</w:t>
      </w:r>
      <w:r>
        <w:rPr>
          <w:rFonts w:hint="eastAsia" w:ascii="Times New Roman" w:hAnsi="Times New Roman"/>
          <w:color w:val="000000"/>
          <w:sz w:val="24"/>
          <w:szCs w:val="24"/>
        </w:rPr>
        <w:t>二级标准要求，环境空气质量现状良好。</w:t>
      </w:r>
    </w:p>
    <w:p>
      <w:pPr>
        <w:spacing w:line="360" w:lineRule="auto"/>
        <w:ind w:firstLine="480" w:firstLineChars="200"/>
        <w:rPr>
          <w:rFonts w:ascii="Times New Roman" w:hAnsi="Times New Roman" w:cs="Times New Roman"/>
          <w:color w:val="FF0000"/>
          <w:kern w:val="1"/>
          <w:sz w:val="24"/>
          <w:szCs w:val="24"/>
        </w:rPr>
      </w:pPr>
      <w:r>
        <w:rPr>
          <w:rFonts w:hint="eastAsia" w:ascii="Times New Roman" w:hAnsi="Times New Roman" w:cs="Times New Roman"/>
          <w:color w:val="FF0000"/>
          <w:kern w:val="1"/>
          <w:sz w:val="24"/>
          <w:szCs w:val="24"/>
        </w:rPr>
        <w:t>4、</w:t>
      </w:r>
      <w:r>
        <w:rPr>
          <w:rFonts w:ascii="Times New Roman" w:hAnsi="Times New Roman" w:cs="Times New Roman"/>
          <w:color w:val="FF0000"/>
          <w:kern w:val="1"/>
          <w:sz w:val="24"/>
          <w:szCs w:val="24"/>
        </w:rPr>
        <w:t>项目区域环境空气质量达标情况</w:t>
      </w:r>
    </w:p>
    <w:p>
      <w:pPr>
        <w:spacing w:line="360" w:lineRule="auto"/>
        <w:ind w:firstLine="480" w:firstLineChars="200"/>
        <w:rPr>
          <w:rFonts w:ascii="Times New Roman" w:hAnsi="Times New Roman" w:cs="Times New Roman"/>
          <w:color w:val="FF0000"/>
          <w:kern w:val="1"/>
          <w:sz w:val="24"/>
          <w:szCs w:val="24"/>
        </w:rPr>
      </w:pPr>
      <w:r>
        <w:rPr>
          <w:rFonts w:ascii="Times New Roman" w:hAnsi="Times New Roman" w:cs="Times New Roman"/>
          <w:color w:val="FF0000"/>
          <w:kern w:val="1"/>
          <w:sz w:val="24"/>
          <w:szCs w:val="24"/>
        </w:rPr>
        <w:t>根据《环境影响评价技术导则 大气环境》（HJ2.2-2018）6.4评价内容和方法中6.4.1项目所在区域达标判断：6.4.1.1城市环境空气质量达标情况评价指标为SO</w:t>
      </w:r>
      <w:r>
        <w:rPr>
          <w:rFonts w:ascii="Times New Roman" w:hAnsi="Times New Roman" w:cs="Times New Roman"/>
          <w:color w:val="FF0000"/>
          <w:kern w:val="1"/>
          <w:sz w:val="24"/>
          <w:szCs w:val="24"/>
          <w:vertAlign w:val="subscript"/>
        </w:rPr>
        <w:t>2</w:t>
      </w:r>
      <w:r>
        <w:rPr>
          <w:rFonts w:ascii="Times New Roman" w:hAnsi="Times New Roman" w:cs="Times New Roman"/>
          <w:color w:val="FF0000"/>
          <w:kern w:val="1"/>
          <w:sz w:val="24"/>
          <w:szCs w:val="24"/>
        </w:rPr>
        <w:t>、NO</w:t>
      </w:r>
      <w:r>
        <w:rPr>
          <w:rFonts w:ascii="Times New Roman" w:hAnsi="Times New Roman" w:cs="Times New Roman"/>
          <w:color w:val="FF0000"/>
          <w:kern w:val="1"/>
          <w:sz w:val="24"/>
          <w:szCs w:val="24"/>
          <w:vertAlign w:val="subscript"/>
        </w:rPr>
        <w:t>2</w:t>
      </w:r>
      <w:r>
        <w:rPr>
          <w:rFonts w:ascii="Times New Roman" w:hAnsi="Times New Roman" w:cs="Times New Roman"/>
          <w:color w:val="FF0000"/>
          <w:kern w:val="1"/>
          <w:sz w:val="24"/>
          <w:szCs w:val="24"/>
        </w:rPr>
        <w:t>、PM</w:t>
      </w:r>
      <w:r>
        <w:rPr>
          <w:rFonts w:ascii="Times New Roman" w:hAnsi="Times New Roman" w:cs="Times New Roman"/>
          <w:color w:val="FF0000"/>
          <w:kern w:val="1"/>
          <w:sz w:val="24"/>
          <w:szCs w:val="24"/>
          <w:vertAlign w:val="subscript"/>
        </w:rPr>
        <w:t>10</w:t>
      </w:r>
      <w:r>
        <w:rPr>
          <w:rFonts w:ascii="Times New Roman" w:hAnsi="Times New Roman" w:cs="Times New Roman"/>
          <w:color w:val="FF0000"/>
          <w:kern w:val="1"/>
          <w:sz w:val="24"/>
          <w:szCs w:val="24"/>
        </w:rPr>
        <w:t>、PM</w:t>
      </w:r>
      <w:r>
        <w:rPr>
          <w:rFonts w:ascii="Times New Roman" w:hAnsi="Times New Roman" w:cs="Times New Roman"/>
          <w:color w:val="FF0000"/>
          <w:kern w:val="1"/>
          <w:sz w:val="24"/>
          <w:szCs w:val="24"/>
          <w:vertAlign w:val="subscript"/>
        </w:rPr>
        <w:t>2.5</w:t>
      </w:r>
      <w:r>
        <w:rPr>
          <w:rFonts w:ascii="Times New Roman" w:hAnsi="Times New Roman" w:cs="Times New Roman"/>
          <w:color w:val="FF0000"/>
          <w:kern w:val="1"/>
          <w:sz w:val="24"/>
          <w:szCs w:val="24"/>
        </w:rPr>
        <w:t>、CO和O</w:t>
      </w:r>
      <w:r>
        <w:rPr>
          <w:rFonts w:ascii="Times New Roman" w:hAnsi="Times New Roman" w:cs="Times New Roman"/>
          <w:color w:val="FF0000"/>
          <w:kern w:val="1"/>
          <w:sz w:val="24"/>
          <w:szCs w:val="24"/>
          <w:vertAlign w:val="subscript"/>
        </w:rPr>
        <w:t>3</w:t>
      </w:r>
      <w:r>
        <w:rPr>
          <w:rFonts w:ascii="Times New Roman" w:hAnsi="Times New Roman" w:cs="Times New Roman"/>
          <w:color w:val="FF0000"/>
          <w:kern w:val="1"/>
          <w:sz w:val="24"/>
          <w:szCs w:val="24"/>
        </w:rPr>
        <w:t>，六项污染物全部达标即为城市环境空气质量达标。同时6.4.1.2根据国家或地方生态环境主管部门公开发布的城市环境空气质量达标情况，判断项目所在区域是否属于达标区，如项目评价范围涉及多个行政区（县级或以上，下同），须分别评价各行政区的达标情况，若存在不达标行政区，则判定项目所在评价区域为不达标区。</w:t>
      </w:r>
    </w:p>
    <w:p>
      <w:pPr>
        <w:spacing w:line="360" w:lineRule="auto"/>
        <w:ind w:firstLine="480" w:firstLineChars="200"/>
        <w:rPr>
          <w:rFonts w:ascii="Times New Roman" w:hAnsi="Times New Roman" w:cs="Times New Roman"/>
          <w:color w:val="FF0000"/>
          <w:kern w:val="1"/>
          <w:sz w:val="24"/>
          <w:szCs w:val="24"/>
        </w:rPr>
      </w:pPr>
      <w:r>
        <w:rPr>
          <w:rFonts w:ascii="Times New Roman" w:hAnsi="Times New Roman" w:cs="Times New Roman"/>
          <w:color w:val="FF0000"/>
          <w:kern w:val="1"/>
          <w:sz w:val="24"/>
          <w:szCs w:val="24"/>
        </w:rPr>
        <w:t>根据楚雄彝族自治州生态环境局发布的《楚雄州2018年环境质量状况公报》，</w:t>
      </w:r>
      <w:r>
        <w:rPr>
          <w:rFonts w:hint="eastAsia" w:ascii="Times New Roman" w:hAnsi="Times New Roman" w:cs="Times New Roman"/>
          <w:color w:val="FF0000"/>
          <w:kern w:val="1"/>
          <w:sz w:val="24"/>
          <w:szCs w:val="24"/>
        </w:rPr>
        <w:t>元谋</w:t>
      </w:r>
      <w:r>
        <w:rPr>
          <w:rFonts w:ascii="Times New Roman" w:hAnsi="Times New Roman" w:cs="Times New Roman"/>
          <w:color w:val="FF0000"/>
          <w:kern w:val="1"/>
          <w:sz w:val="24"/>
          <w:szCs w:val="24"/>
        </w:rPr>
        <w:t>县2018年SO</w:t>
      </w:r>
      <w:r>
        <w:rPr>
          <w:rFonts w:ascii="Times New Roman" w:hAnsi="Times New Roman" w:cs="Times New Roman"/>
          <w:color w:val="FF0000"/>
          <w:kern w:val="1"/>
          <w:sz w:val="24"/>
          <w:szCs w:val="24"/>
          <w:vertAlign w:val="subscript"/>
        </w:rPr>
        <w:t>2</w:t>
      </w:r>
      <w:r>
        <w:rPr>
          <w:rFonts w:ascii="Times New Roman" w:hAnsi="Times New Roman" w:cs="Times New Roman"/>
          <w:color w:val="FF0000"/>
          <w:kern w:val="1"/>
          <w:sz w:val="24"/>
          <w:szCs w:val="24"/>
        </w:rPr>
        <w:t>、NO</w:t>
      </w:r>
      <w:r>
        <w:rPr>
          <w:rFonts w:ascii="Times New Roman" w:hAnsi="Times New Roman" w:cs="Times New Roman"/>
          <w:color w:val="FF0000"/>
          <w:kern w:val="1"/>
          <w:sz w:val="24"/>
          <w:szCs w:val="24"/>
          <w:vertAlign w:val="subscript"/>
        </w:rPr>
        <w:t>2</w:t>
      </w:r>
      <w:r>
        <w:rPr>
          <w:rFonts w:ascii="Times New Roman" w:hAnsi="Times New Roman" w:cs="Times New Roman"/>
          <w:color w:val="FF0000"/>
          <w:kern w:val="1"/>
          <w:sz w:val="24"/>
          <w:szCs w:val="24"/>
        </w:rPr>
        <w:t>、PM</w:t>
      </w:r>
      <w:r>
        <w:rPr>
          <w:rFonts w:ascii="Times New Roman" w:hAnsi="Times New Roman" w:cs="Times New Roman"/>
          <w:color w:val="FF0000"/>
          <w:kern w:val="1"/>
          <w:sz w:val="24"/>
          <w:szCs w:val="24"/>
          <w:vertAlign w:val="subscript"/>
        </w:rPr>
        <w:t>10</w:t>
      </w:r>
      <w:r>
        <w:rPr>
          <w:rFonts w:ascii="Times New Roman" w:hAnsi="Times New Roman" w:cs="Times New Roman"/>
          <w:color w:val="FF0000"/>
          <w:kern w:val="1"/>
          <w:sz w:val="24"/>
          <w:szCs w:val="24"/>
        </w:rPr>
        <w:t>、PM</w:t>
      </w:r>
      <w:r>
        <w:rPr>
          <w:rFonts w:ascii="Times New Roman" w:hAnsi="Times New Roman" w:cs="Times New Roman"/>
          <w:color w:val="FF0000"/>
          <w:kern w:val="1"/>
          <w:sz w:val="24"/>
          <w:szCs w:val="24"/>
          <w:vertAlign w:val="subscript"/>
        </w:rPr>
        <w:t>2.5</w:t>
      </w:r>
      <w:r>
        <w:rPr>
          <w:rFonts w:ascii="Times New Roman" w:hAnsi="Times New Roman" w:cs="Times New Roman"/>
          <w:color w:val="FF0000"/>
          <w:kern w:val="1"/>
          <w:sz w:val="24"/>
          <w:szCs w:val="24"/>
        </w:rPr>
        <w:t>的年均浓度，CO日均浓度，O</w:t>
      </w:r>
      <w:r>
        <w:rPr>
          <w:rFonts w:ascii="Times New Roman" w:hAnsi="Times New Roman" w:cs="Times New Roman"/>
          <w:color w:val="FF0000"/>
          <w:kern w:val="1"/>
          <w:sz w:val="24"/>
          <w:szCs w:val="24"/>
          <w:vertAlign w:val="subscript"/>
        </w:rPr>
        <w:t>3</w:t>
      </w:r>
      <w:r>
        <w:rPr>
          <w:rFonts w:ascii="Times New Roman" w:hAnsi="Times New Roman" w:cs="Times New Roman"/>
          <w:color w:val="FF0000"/>
          <w:kern w:val="1"/>
          <w:sz w:val="24"/>
          <w:szCs w:val="24"/>
        </w:rPr>
        <w:t>的8小时最大浓度能够满足《环境空气质量标准》（GB3095-2012）中二级标准要求。</w:t>
      </w:r>
    </w:p>
    <w:p>
      <w:pPr>
        <w:spacing w:line="360" w:lineRule="auto"/>
        <w:ind w:firstLine="480" w:firstLineChars="200"/>
        <w:rPr>
          <w:rStyle w:val="33"/>
          <w:rFonts w:ascii="Times New Roman" w:hAnsi="Times New Roman" w:cs="Times New Roman"/>
          <w:color w:val="FF0000"/>
          <w:szCs w:val="24"/>
        </w:rPr>
      </w:pPr>
      <w:r>
        <w:rPr>
          <w:rFonts w:ascii="Times New Roman" w:hAnsi="Times New Roman" w:cs="Times New Roman"/>
          <w:color w:val="FF0000"/>
          <w:kern w:val="1"/>
          <w:sz w:val="24"/>
          <w:szCs w:val="24"/>
        </w:rPr>
        <w:t>所以项目所在区域为达标区。</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5、环境空气质量小结</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根据云南中科检测技术有限公司于201</w:t>
      </w:r>
      <w:r>
        <w:rPr>
          <w:rFonts w:ascii="Times New Roman" w:hAnsi="Times New Roman"/>
          <w:color w:val="000000"/>
          <w:sz w:val="24"/>
          <w:szCs w:val="24"/>
        </w:rPr>
        <w:t>9</w:t>
      </w:r>
      <w:r>
        <w:rPr>
          <w:rFonts w:hint="eastAsia" w:ascii="Times New Roman" w:hAnsi="Times New Roman"/>
          <w:color w:val="000000"/>
          <w:sz w:val="24"/>
          <w:szCs w:val="24"/>
        </w:rPr>
        <w:t>年</w:t>
      </w:r>
      <w:r>
        <w:rPr>
          <w:rFonts w:ascii="Times New Roman" w:hAnsi="Times New Roman"/>
          <w:color w:val="000000"/>
          <w:sz w:val="24"/>
          <w:szCs w:val="24"/>
        </w:rPr>
        <w:t>7</w:t>
      </w:r>
      <w:r>
        <w:rPr>
          <w:rFonts w:hint="eastAsia" w:ascii="Times New Roman" w:hAnsi="Times New Roman"/>
          <w:color w:val="000000"/>
          <w:sz w:val="24"/>
          <w:szCs w:val="24"/>
        </w:rPr>
        <w:t>月</w:t>
      </w:r>
      <w:r>
        <w:rPr>
          <w:rFonts w:ascii="Times New Roman" w:hAnsi="Times New Roman"/>
          <w:color w:val="000000"/>
          <w:sz w:val="24"/>
          <w:szCs w:val="24"/>
        </w:rPr>
        <w:t>08</w:t>
      </w:r>
      <w:r>
        <w:rPr>
          <w:rFonts w:hint="eastAsia" w:ascii="Times New Roman" w:hAnsi="Times New Roman"/>
          <w:color w:val="000000"/>
          <w:sz w:val="24"/>
          <w:szCs w:val="24"/>
        </w:rPr>
        <w:t>日-201</w:t>
      </w:r>
      <w:r>
        <w:rPr>
          <w:rFonts w:ascii="Times New Roman" w:hAnsi="Times New Roman"/>
          <w:color w:val="000000"/>
          <w:sz w:val="24"/>
          <w:szCs w:val="24"/>
        </w:rPr>
        <w:t>9</w:t>
      </w:r>
      <w:r>
        <w:rPr>
          <w:rFonts w:hint="eastAsia" w:ascii="Times New Roman" w:hAnsi="Times New Roman"/>
          <w:color w:val="000000"/>
          <w:sz w:val="24"/>
          <w:szCs w:val="24"/>
        </w:rPr>
        <w:t>年</w:t>
      </w:r>
      <w:r>
        <w:rPr>
          <w:rFonts w:ascii="Times New Roman" w:hAnsi="Times New Roman"/>
          <w:color w:val="000000"/>
          <w:sz w:val="24"/>
          <w:szCs w:val="24"/>
        </w:rPr>
        <w:t>7</w:t>
      </w:r>
      <w:r>
        <w:rPr>
          <w:rFonts w:hint="eastAsia" w:ascii="Times New Roman" w:hAnsi="Times New Roman"/>
          <w:color w:val="000000"/>
          <w:sz w:val="24"/>
          <w:szCs w:val="24"/>
        </w:rPr>
        <w:t>月1</w:t>
      </w:r>
      <w:r>
        <w:rPr>
          <w:rFonts w:ascii="Times New Roman" w:hAnsi="Times New Roman"/>
          <w:color w:val="000000"/>
          <w:sz w:val="24"/>
          <w:szCs w:val="24"/>
        </w:rPr>
        <w:t>5</w:t>
      </w:r>
      <w:r>
        <w:rPr>
          <w:rFonts w:hint="eastAsia" w:ascii="Times New Roman" w:hAnsi="Times New Roman"/>
          <w:color w:val="000000"/>
          <w:sz w:val="24"/>
          <w:szCs w:val="24"/>
        </w:rPr>
        <w:t>日对元谋工业</w:t>
      </w:r>
      <w:r>
        <w:rPr>
          <w:rFonts w:ascii="Times New Roman" w:hAnsi="Times New Roman"/>
          <w:color w:val="000000"/>
          <w:sz w:val="24"/>
          <w:szCs w:val="24"/>
        </w:rPr>
        <w:t>园金雷片区</w:t>
      </w:r>
      <w:r>
        <w:rPr>
          <w:rFonts w:hint="eastAsia" w:ascii="Times New Roman" w:hAnsi="Times New Roman"/>
          <w:color w:val="000000"/>
          <w:sz w:val="24"/>
          <w:szCs w:val="24"/>
        </w:rPr>
        <w:t>小雷宰村、湾保村</w:t>
      </w:r>
      <w:r>
        <w:rPr>
          <w:rFonts w:ascii="Times New Roman" w:hAnsi="Times New Roman"/>
          <w:color w:val="000000"/>
          <w:sz w:val="24"/>
          <w:szCs w:val="24"/>
        </w:rPr>
        <w:t>、</w:t>
      </w:r>
      <w:r>
        <w:rPr>
          <w:rFonts w:hint="eastAsia" w:ascii="Times New Roman" w:hAnsi="Times New Roman"/>
          <w:color w:val="000000"/>
          <w:sz w:val="24"/>
          <w:szCs w:val="24"/>
        </w:rPr>
        <w:t>西北面那化村、小村进行的空气质量现状监测，各监测点SO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、NO</w:t>
      </w:r>
      <w:r>
        <w:rPr>
          <w:rFonts w:ascii="Times New Roman" w:hAnsi="Times New Roman"/>
          <w:color w:val="000000"/>
          <w:sz w:val="24"/>
          <w:szCs w:val="24"/>
          <w:vertAlign w:val="subscript"/>
        </w:rPr>
        <w:t>2</w:t>
      </w:r>
      <w:r>
        <w:rPr>
          <w:rFonts w:hint="eastAsia" w:ascii="Times New Roman" w:hAnsi="Times New Roman"/>
          <w:color w:val="000000"/>
          <w:sz w:val="24"/>
          <w:szCs w:val="24"/>
        </w:rPr>
        <w:t>、PM</w:t>
      </w:r>
      <w:r>
        <w:rPr>
          <w:rFonts w:hint="eastAsia" w:ascii="Times New Roman" w:hAnsi="Times New Roman"/>
          <w:color w:val="000000"/>
          <w:sz w:val="24"/>
          <w:szCs w:val="24"/>
          <w:vertAlign w:val="subscript"/>
        </w:rPr>
        <w:t>10</w:t>
      </w:r>
      <w:r>
        <w:rPr>
          <w:rFonts w:hint="eastAsia" w:ascii="Times New Roman" w:hAnsi="Times New Roman"/>
          <w:color w:val="000000"/>
          <w:sz w:val="24"/>
          <w:szCs w:val="24"/>
        </w:rPr>
        <w:t>、PM</w:t>
      </w:r>
      <w:r>
        <w:rPr>
          <w:rFonts w:hint="eastAsia" w:ascii="Times New Roman" w:hAnsi="Times New Roman"/>
          <w:color w:val="000000"/>
          <w:sz w:val="24"/>
          <w:szCs w:val="24"/>
          <w:vertAlign w:val="subscript"/>
        </w:rPr>
        <w:t>2.5</w:t>
      </w:r>
      <w:r>
        <w:rPr>
          <w:rFonts w:hint="eastAsia" w:ascii="Times New Roman" w:hAnsi="Times New Roman"/>
          <w:color w:val="000000"/>
          <w:sz w:val="24"/>
          <w:szCs w:val="24"/>
        </w:rPr>
        <w:t>日均值能够达到《环境空气质量标准》（GB3095-2012）及</w:t>
      </w:r>
      <w:r>
        <w:rPr>
          <w:rFonts w:ascii="Times New Roman" w:hAnsi="Times New Roman"/>
          <w:color w:val="000000"/>
          <w:sz w:val="24"/>
          <w:szCs w:val="24"/>
        </w:rPr>
        <w:t>修改单</w:t>
      </w:r>
      <w:r>
        <w:rPr>
          <w:rFonts w:hint="eastAsia" w:ascii="Times New Roman" w:hAnsi="Times New Roman"/>
          <w:color w:val="000000"/>
          <w:sz w:val="24"/>
          <w:szCs w:val="24"/>
        </w:rPr>
        <w:t>二级标准要求，环境空气质量现状良好。</w:t>
      </w:r>
    </w:p>
    <w:p>
      <w:pPr>
        <w:pStyle w:val="6"/>
        <w:spacing w:line="360" w:lineRule="auto"/>
        <w:ind w:firstLine="482" w:firstLineChars="200"/>
        <w:rPr>
          <w:rFonts w:ascii="Times New Roman" w:hAnsi="Times New Roman" w:eastAsia="宋体" w:cs="Times New Roman"/>
          <w:sz w:val="24"/>
        </w:rPr>
      </w:pPr>
      <w:bookmarkStart w:id="224" w:name="_Toc23843354"/>
      <w:bookmarkStart w:id="225" w:name="_Toc24780"/>
      <w:bookmarkStart w:id="226" w:name="_Toc15151"/>
      <w:r>
        <w:rPr>
          <w:rFonts w:hint="eastAsia" w:ascii="Times New Roman" w:hAnsi="Times New Roman" w:eastAsia="宋体" w:cs="Times New Roman"/>
          <w:sz w:val="24"/>
        </w:rPr>
        <w:t>4.3.2地表水环境质量现状监测及评价</w:t>
      </w:r>
      <w:bookmarkEnd w:id="224"/>
      <w:bookmarkEnd w:id="225"/>
      <w:bookmarkEnd w:id="226"/>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地表水</w:t>
      </w:r>
      <w:r>
        <w:rPr>
          <w:rFonts w:ascii="Times New Roman" w:hAnsi="Times New Roman"/>
          <w:color w:val="000000"/>
          <w:sz w:val="24"/>
          <w:szCs w:val="24"/>
        </w:rPr>
        <w:t>环境质量引用监测数据。</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（1）监测布点及监测项目</w:t>
      </w:r>
    </w:p>
    <w:p>
      <w:pPr>
        <w:spacing w:line="360" w:lineRule="auto"/>
        <w:ind w:firstLine="480" w:firstLineChars="200"/>
        <w:rPr>
          <w:rFonts w:ascii="Times New Roman" w:hAnsi="Times New Roman"/>
          <w:bCs/>
          <w:color w:val="000000"/>
          <w:sz w:val="24"/>
          <w:szCs w:val="24"/>
        </w:rPr>
      </w:pPr>
      <w:r>
        <w:rPr>
          <w:rFonts w:hint="eastAsia" w:ascii="Times New Roman" w:hAnsi="Times New Roman"/>
          <w:color w:val="000000"/>
          <w:sz w:val="24"/>
          <w:szCs w:val="24"/>
        </w:rPr>
        <w:t>监测布点：</w:t>
      </w:r>
      <w:r>
        <w:rPr>
          <w:rFonts w:ascii="Times New Roman" w:hAnsi="Times New Roman"/>
          <w:color w:val="000000"/>
          <w:sz w:val="24"/>
          <w:szCs w:val="24"/>
        </w:rPr>
        <w:t>共设置 4 个监测点，分别位于蜻蛉河湾保村断面、那化村断面、</w:t>
      </w:r>
      <w:r>
        <w:rPr>
          <w:rFonts w:hint="eastAsia" w:ascii="Times New Roman" w:hAnsi="Times New Roman"/>
          <w:color w:val="000000"/>
          <w:sz w:val="24"/>
          <w:szCs w:val="24"/>
        </w:rPr>
        <w:br w:type="textWrapping"/>
      </w:r>
      <w:r>
        <w:rPr>
          <w:rFonts w:ascii="Times New Roman" w:hAnsi="Times New Roman"/>
          <w:color w:val="000000"/>
          <w:sz w:val="24"/>
          <w:szCs w:val="24"/>
        </w:rPr>
        <w:t>小雷宰公路断面和黑泥坡断面，监测布点图见</w:t>
      </w:r>
      <w:r>
        <w:rPr>
          <w:rFonts w:hint="eastAsia" w:ascii="Times New Roman" w:hAnsi="Times New Roman"/>
          <w:color w:val="000000"/>
          <w:sz w:val="24"/>
          <w:szCs w:val="24"/>
        </w:rPr>
        <w:t>附件10监测报告</w:t>
      </w:r>
      <w:r>
        <w:rPr>
          <w:rFonts w:hint="eastAsia" w:ascii="Times New Roman" w:hAnsi="Times New Roman"/>
          <w:bCs/>
          <w:color w:val="000000"/>
          <w:sz w:val="24"/>
          <w:szCs w:val="24"/>
        </w:rPr>
        <w:t>。</w:t>
      </w:r>
    </w:p>
    <w:p>
      <w:pPr>
        <w:spacing w:line="360" w:lineRule="auto"/>
        <w:ind w:firstLine="480" w:firstLineChars="200"/>
        <w:rPr>
          <w:rFonts w:ascii="Times New Roman" w:hAnsi="Times New Roman"/>
          <w:bCs/>
          <w:color w:val="000000"/>
          <w:sz w:val="24"/>
          <w:szCs w:val="24"/>
        </w:rPr>
      </w:pPr>
      <w:r>
        <w:rPr>
          <w:rFonts w:hint="eastAsia" w:ascii="Times New Roman" w:hAnsi="Times New Roman"/>
          <w:bCs/>
          <w:color w:val="000000"/>
          <w:sz w:val="24"/>
          <w:szCs w:val="24"/>
        </w:rPr>
        <w:t>监测因子：水温、pH、SS、溶解氧、BOD</w:t>
      </w:r>
      <w:r>
        <w:rPr>
          <w:rFonts w:hint="eastAsia" w:ascii="Times New Roman" w:hAnsi="Times New Roman"/>
          <w:bCs/>
          <w:color w:val="000000"/>
          <w:sz w:val="24"/>
          <w:szCs w:val="24"/>
          <w:vertAlign w:val="subscript"/>
        </w:rPr>
        <w:t>5</w:t>
      </w:r>
      <w:r>
        <w:rPr>
          <w:rFonts w:hint="eastAsia" w:ascii="Times New Roman" w:hAnsi="Times New Roman"/>
          <w:bCs/>
          <w:color w:val="000000"/>
          <w:sz w:val="24"/>
          <w:szCs w:val="24"/>
        </w:rPr>
        <w:t>、氨氮、总磷</w:t>
      </w:r>
      <w:r>
        <w:rPr>
          <w:rFonts w:ascii="Times New Roman" w:hAnsi="Times New Roman"/>
          <w:bCs/>
          <w:color w:val="000000"/>
          <w:sz w:val="24"/>
          <w:szCs w:val="24"/>
        </w:rPr>
        <w:t>、总氮、石油类、阴离子表面活性剂、粪大肠杆菌群</w:t>
      </w:r>
      <w:r>
        <w:rPr>
          <w:rFonts w:hint="eastAsia" w:ascii="Times New Roman" w:hAnsi="Times New Roman"/>
          <w:bCs/>
          <w:color w:val="000000"/>
          <w:sz w:val="24"/>
          <w:szCs w:val="24"/>
        </w:rPr>
        <w:t>共计12项</w:t>
      </w:r>
      <w:r>
        <w:rPr>
          <w:rFonts w:ascii="Times New Roman" w:hAnsi="Times New Roman"/>
          <w:bCs/>
          <w:color w:val="000000"/>
          <w:sz w:val="24"/>
          <w:szCs w:val="24"/>
        </w:rPr>
        <w:t>指标作为监测项目</w:t>
      </w:r>
      <w:r>
        <w:rPr>
          <w:rFonts w:hint="eastAsia" w:ascii="Times New Roman" w:hAnsi="Times New Roman"/>
          <w:bCs/>
          <w:color w:val="000000"/>
          <w:sz w:val="24"/>
          <w:szCs w:val="24"/>
        </w:rPr>
        <w:t>。</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（2）监测时间和频次要求</w:t>
      </w:r>
    </w:p>
    <w:p>
      <w:pPr>
        <w:spacing w:line="360" w:lineRule="auto"/>
        <w:ind w:firstLine="480" w:firstLineChars="200"/>
        <w:rPr>
          <w:rFonts w:ascii="Times New Roman" w:hAnsi="Times New Roman"/>
          <w:bCs/>
          <w:color w:val="000000"/>
          <w:sz w:val="24"/>
          <w:szCs w:val="24"/>
        </w:rPr>
      </w:pPr>
      <w:r>
        <w:rPr>
          <w:rFonts w:hint="eastAsia" w:ascii="Times New Roman" w:hAnsi="Times New Roman"/>
          <w:bCs/>
          <w:color w:val="000000"/>
          <w:sz w:val="24"/>
          <w:szCs w:val="24"/>
        </w:rPr>
        <w:t>采样时间：采样3天、2018年7月15日</w:t>
      </w:r>
      <w:r>
        <w:rPr>
          <w:rFonts w:ascii="Times New Roman" w:hAnsi="Times New Roman"/>
          <w:bCs/>
          <w:color w:val="000000"/>
          <w:sz w:val="24"/>
          <w:szCs w:val="24"/>
        </w:rPr>
        <w:t>-2019</w:t>
      </w:r>
      <w:r>
        <w:rPr>
          <w:rFonts w:hint="eastAsia" w:ascii="Times New Roman" w:hAnsi="Times New Roman"/>
          <w:bCs/>
          <w:color w:val="000000"/>
          <w:sz w:val="24"/>
          <w:szCs w:val="24"/>
        </w:rPr>
        <w:t>年7月17日，每天每个断面取一个混合水样。</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（3）评价标准</w:t>
      </w:r>
    </w:p>
    <w:p>
      <w:pPr>
        <w:spacing w:line="360" w:lineRule="auto"/>
        <w:ind w:firstLine="480" w:firstLineChars="200"/>
        <w:rPr>
          <w:rFonts w:ascii="Times New Roman" w:hAnsi="Times New Roman"/>
          <w:bCs/>
          <w:color w:val="000000"/>
          <w:sz w:val="24"/>
          <w:szCs w:val="24"/>
        </w:rPr>
      </w:pPr>
      <w:r>
        <w:rPr>
          <w:rFonts w:hint="eastAsia" w:ascii="Times New Roman" w:hAnsi="Times New Roman"/>
          <w:bCs/>
          <w:color w:val="000000"/>
          <w:sz w:val="24"/>
          <w:szCs w:val="24"/>
        </w:rPr>
        <w:t>执行《地表水环境质量标准》（GB3838-2002）IV类标准。</w:t>
      </w:r>
    </w:p>
    <w:p>
      <w:pPr>
        <w:spacing w:line="360" w:lineRule="auto"/>
        <w:ind w:firstLine="482" w:firstLineChars="200"/>
        <w:rPr>
          <w:rFonts w:ascii="Times New Roman" w:hAnsi="Times New Roman"/>
          <w:b/>
          <w:bCs/>
          <w:color w:val="000000"/>
          <w:sz w:val="24"/>
          <w:szCs w:val="24"/>
        </w:rPr>
      </w:pPr>
      <w:bookmarkStart w:id="227" w:name="_Toc4266"/>
      <w:r>
        <w:rPr>
          <w:rFonts w:hint="eastAsia" w:ascii="Times New Roman" w:hAnsi="Times New Roman"/>
          <w:b/>
          <w:bCs/>
          <w:color w:val="000000"/>
          <w:sz w:val="24"/>
          <w:szCs w:val="24"/>
        </w:rPr>
        <w:t>3、地表水质量评价</w:t>
      </w:r>
      <w:bookmarkEnd w:id="227"/>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（1）评价方法</w:t>
      </w:r>
    </w:p>
    <w:p>
      <w:pPr>
        <w:spacing w:line="360" w:lineRule="auto"/>
        <w:ind w:firstLine="480" w:firstLineChars="200"/>
        <w:rPr>
          <w:rFonts w:ascii="Times New Roman" w:hAnsi="Times New Roman"/>
          <w:bCs/>
          <w:color w:val="000000"/>
          <w:sz w:val="24"/>
          <w:szCs w:val="24"/>
        </w:rPr>
      </w:pPr>
      <w:r>
        <w:rPr>
          <w:rFonts w:hint="eastAsia" w:ascii="Times New Roman" w:hAnsi="Times New Roman"/>
          <w:bCs/>
          <w:color w:val="000000"/>
          <w:sz w:val="24"/>
          <w:szCs w:val="24"/>
        </w:rPr>
        <w:t>为了能直观反映水质现状，科学地评价水体中污染物是否超标。评价采用单项单因子指数评价，单项标准指数法如下：</w:t>
      </w:r>
    </w:p>
    <w:p>
      <w:pPr>
        <w:spacing w:line="360" w:lineRule="auto"/>
        <w:ind w:firstLine="480" w:firstLineChars="200"/>
        <w:rPr>
          <w:rFonts w:ascii="Times New Roman" w:hAnsi="Times New Roman"/>
          <w:bCs/>
          <w:color w:val="000000"/>
          <w:sz w:val="24"/>
          <w:szCs w:val="24"/>
        </w:rPr>
      </w:pPr>
      <w:r>
        <w:rPr>
          <w:rFonts w:hint="eastAsia" w:ascii="Times New Roman" w:hAnsi="Times New Roman"/>
          <w:bCs/>
          <w:color w:val="000000"/>
          <w:sz w:val="24"/>
          <w:szCs w:val="24"/>
        </w:rPr>
        <w:t>1）对于一般污染物：</w:t>
      </w:r>
    </w:p>
    <w:p>
      <w:pPr>
        <w:spacing w:line="360" w:lineRule="auto"/>
        <w:ind w:firstLine="600" w:firstLineChars="200"/>
        <w:rPr>
          <w:rFonts w:ascii="Times New Roman" w:hAnsi="Times New Roman"/>
          <w:bCs/>
          <w:color w:val="000000"/>
          <w:sz w:val="30"/>
          <w:szCs w:val="30"/>
        </w:rPr>
      </w:pPr>
      <m:oMathPara>
        <m:oMath>
          <m:r>
            <m:rPr>
              <m:sty m:val="p"/>
            </m:rPr>
            <w:rPr>
              <w:rFonts w:ascii="Cambria Math" w:hAnsi="Cambria Math"/>
              <w:color w:val="000000"/>
              <w:sz w:val="30"/>
              <w:szCs w:val="30"/>
            </w:rPr>
            <m:t>Sij=</m:t>
          </m:r>
          <m:f>
            <m:fPr>
              <m:ctrlPr>
                <w:rPr>
                  <w:rFonts w:ascii="Cambria Math" w:hAnsi="Cambria Math"/>
                  <w:bCs/>
                  <w:color w:val="000000"/>
                  <w:sz w:val="30"/>
                  <w:szCs w:val="30"/>
                </w:rPr>
              </m:ctrlPr>
            </m:fPr>
            <m:num>
              <m:r>
                <m:rPr>
                  <m:sty m:val="p"/>
                </m:rPr>
                <w:rPr>
                  <w:rFonts w:ascii="Cambria Math" w:hAnsi="Cambria Math"/>
                  <w:color w:val="000000"/>
                  <w:sz w:val="30"/>
                  <w:szCs w:val="30"/>
                </w:rPr>
                <m:t>Cij</m:t>
              </m:r>
              <m:ctrlPr>
                <w:rPr>
                  <w:rFonts w:ascii="Cambria Math" w:hAnsi="Cambria Math"/>
                  <w:bCs/>
                  <w:color w:val="000000"/>
                  <w:sz w:val="30"/>
                  <w:szCs w:val="30"/>
                </w:rPr>
              </m:ctrlPr>
            </m:num>
            <m:den>
              <m:r>
                <m:rPr>
                  <m:sty m:val="p"/>
                </m:rPr>
                <w:rPr>
                  <w:rFonts w:ascii="Cambria Math" w:hAnsi="Cambria Math"/>
                  <w:color w:val="000000"/>
                  <w:sz w:val="30"/>
                  <w:szCs w:val="30"/>
                </w:rPr>
                <m:t>Csi</m:t>
              </m:r>
              <m:ctrlPr>
                <w:rPr>
                  <w:rFonts w:ascii="Cambria Math" w:hAnsi="Cambria Math"/>
                  <w:bCs/>
                  <w:color w:val="000000"/>
                  <w:sz w:val="30"/>
                  <w:szCs w:val="30"/>
                </w:rPr>
              </m:ctrlPr>
            </m:den>
          </m:f>
        </m:oMath>
      </m:oMathPara>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式中：S</w:t>
      </w:r>
      <w:r>
        <w:rPr>
          <w:rFonts w:hint="eastAsia" w:ascii="Times New Roman" w:hAnsi="Times New Roman"/>
          <w:color w:val="000000"/>
          <w:sz w:val="24"/>
          <w:szCs w:val="24"/>
          <w:vertAlign w:val="subscript"/>
        </w:rPr>
        <w:t>ij</w:t>
      </w:r>
      <w:r>
        <w:rPr>
          <w:rFonts w:ascii="Times New Roman" w:hAnsi="Times New Roman"/>
          <w:color w:val="000000"/>
          <w:sz w:val="24"/>
          <w:szCs w:val="24"/>
        </w:rPr>
        <w:t>——</w:t>
      </w:r>
      <w:r>
        <w:rPr>
          <w:rFonts w:hint="eastAsia" w:ascii="Times New Roman" w:hAnsi="Times New Roman"/>
          <w:color w:val="000000"/>
          <w:sz w:val="24"/>
          <w:szCs w:val="24"/>
        </w:rPr>
        <w:t>单项水质参数i在第j点的标准指数；</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C</w:t>
      </w:r>
      <w:r>
        <w:rPr>
          <w:rFonts w:hint="eastAsia" w:ascii="Times New Roman" w:hAnsi="Times New Roman"/>
          <w:color w:val="000000"/>
          <w:sz w:val="24"/>
          <w:szCs w:val="24"/>
          <w:vertAlign w:val="subscript"/>
        </w:rPr>
        <w:t>ij</w:t>
      </w:r>
      <w:r>
        <w:rPr>
          <w:rFonts w:ascii="Times New Roman" w:hAnsi="Times New Roman"/>
          <w:color w:val="000000"/>
          <w:sz w:val="24"/>
          <w:szCs w:val="24"/>
        </w:rPr>
        <w:t>——</w:t>
      </w:r>
      <w:r>
        <w:rPr>
          <w:rFonts w:hint="eastAsia" w:ascii="Times New Roman" w:hAnsi="Times New Roman"/>
          <w:color w:val="000000"/>
          <w:sz w:val="24"/>
          <w:szCs w:val="24"/>
        </w:rPr>
        <w:t>污染物i在监测点j的浓度mg/L；</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C</w:t>
      </w:r>
      <w:r>
        <w:rPr>
          <w:rFonts w:hint="eastAsia" w:ascii="Times New Roman" w:hAnsi="Times New Roman"/>
          <w:color w:val="000000"/>
          <w:sz w:val="24"/>
          <w:szCs w:val="24"/>
          <w:vertAlign w:val="subscript"/>
        </w:rPr>
        <w:t>si</w:t>
      </w:r>
      <w:r>
        <w:rPr>
          <w:rFonts w:ascii="Times New Roman" w:hAnsi="Times New Roman"/>
          <w:color w:val="000000"/>
          <w:sz w:val="24"/>
          <w:szCs w:val="24"/>
        </w:rPr>
        <w:t>——</w:t>
      </w:r>
      <w:r>
        <w:rPr>
          <w:rFonts w:hint="eastAsia" w:ascii="Times New Roman" w:hAnsi="Times New Roman"/>
          <w:color w:val="000000"/>
          <w:sz w:val="24"/>
          <w:szCs w:val="24"/>
        </w:rPr>
        <w:t>水质参数i的地面水水质标准mg/L。</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2）对具有上、下限标准的项目pH，计算式为：</w:t>
      </w:r>
    </w:p>
    <w:p>
      <w:pPr>
        <w:spacing w:line="360" w:lineRule="auto"/>
        <w:ind w:firstLine="600" w:firstLineChars="200"/>
        <w:jc w:val="center"/>
        <w:rPr>
          <w:rFonts w:ascii="Times New Roman" w:hAnsi="Times New Roman"/>
          <w:color w:val="000000"/>
          <w:sz w:val="30"/>
          <w:szCs w:val="30"/>
        </w:rPr>
      </w:pPr>
      <w:bookmarkStart w:id="228" w:name="_Toc22232"/>
      <w:r>
        <w:rPr>
          <w:rFonts w:ascii="Times New Roman" w:hAnsi="Times New Roman"/>
          <w:color w:val="000000"/>
          <w:sz w:val="30"/>
          <w:szCs w:val="30"/>
        </w:rPr>
        <w:t>S</w:t>
      </w:r>
      <w:r>
        <w:rPr>
          <w:rFonts w:ascii="Times New Roman" w:hAnsi="Times New Roman"/>
          <w:color w:val="000000"/>
          <w:sz w:val="30"/>
          <w:szCs w:val="30"/>
          <w:vertAlign w:val="subscript"/>
        </w:rPr>
        <w:t>pH·j</w:t>
      </w:r>
      <w:r>
        <w:rPr>
          <w:rFonts w:ascii="Times New Roman" w:hAnsi="Times New Roman"/>
          <w:color w:val="000000"/>
          <w:sz w:val="30"/>
          <w:szCs w:val="30"/>
        </w:rPr>
        <w:t>=</w:t>
      </w:r>
      <m:oMath>
        <m:f>
          <m:fPr>
            <m:ctrlPr>
              <w:rPr>
                <w:rFonts w:ascii="Cambria Math" w:hAnsi="Cambria Math"/>
                <w:color w:val="000000"/>
                <w:sz w:val="30"/>
                <w:szCs w:val="30"/>
              </w:rPr>
            </m:ctrlPr>
          </m:fPr>
          <m:num>
            <m:r>
              <m:rPr>
                <m:sty m:val="p"/>
              </m:rPr>
              <w:rPr>
                <w:rFonts w:ascii="Cambria Math" w:hAnsi="Cambria Math"/>
                <w:color w:val="000000"/>
                <w:sz w:val="30"/>
                <w:szCs w:val="30"/>
              </w:rPr>
              <m:t>7.0–pHj</m:t>
            </m:r>
            <m:ctrlPr>
              <w:rPr>
                <w:rFonts w:ascii="Cambria Math" w:hAnsi="Cambria Math"/>
                <w:color w:val="000000"/>
                <w:sz w:val="30"/>
                <w:szCs w:val="30"/>
              </w:rPr>
            </m:ctrlPr>
          </m:num>
          <m:den>
            <m:r>
              <m:rPr>
                <m:sty m:val="p"/>
              </m:rPr>
              <w:rPr>
                <w:rFonts w:ascii="Cambria Math" w:hAnsi="Cambria Math"/>
                <w:color w:val="000000"/>
                <w:sz w:val="30"/>
                <w:szCs w:val="30"/>
              </w:rPr>
              <m:t>7.0–pHsd</m:t>
            </m:r>
            <m:ctrlPr>
              <w:rPr>
                <w:rFonts w:ascii="Cambria Math" w:hAnsi="Cambria Math"/>
                <w:color w:val="000000"/>
                <w:sz w:val="30"/>
                <w:szCs w:val="30"/>
              </w:rPr>
            </m:ctrlPr>
          </m:den>
        </m:f>
      </m:oMath>
      <w:r>
        <w:rPr>
          <w:rFonts w:hint="eastAsia" w:ascii="Times New Roman" w:hAnsi="Times New Roman"/>
          <w:color w:val="000000"/>
          <w:sz w:val="30"/>
          <w:szCs w:val="30"/>
        </w:rPr>
        <w:t xml:space="preserve">  </w:t>
      </w:r>
      <w:r>
        <w:rPr>
          <w:rFonts w:ascii="Times New Roman" w:hAnsi="Times New Roman"/>
          <w:color w:val="000000"/>
          <w:sz w:val="28"/>
          <w:szCs w:val="28"/>
        </w:rPr>
        <w:t>pH≤7.0</w:t>
      </w:r>
      <w:bookmarkEnd w:id="228"/>
    </w:p>
    <w:p>
      <w:pPr>
        <w:spacing w:line="360" w:lineRule="auto"/>
        <w:ind w:firstLine="600" w:firstLineChars="200"/>
        <w:jc w:val="center"/>
        <w:rPr>
          <w:rFonts w:ascii="Times New Roman" w:hAnsi="Times New Roman"/>
          <w:color w:val="000000"/>
          <w:sz w:val="30"/>
          <w:szCs w:val="30"/>
        </w:rPr>
      </w:pPr>
      <w:bookmarkStart w:id="229" w:name="_Toc6367"/>
      <w:r>
        <w:rPr>
          <w:rFonts w:hint="eastAsia" w:ascii="Times New Roman" w:hAnsi="Times New Roman"/>
          <w:color w:val="000000"/>
          <w:sz w:val="30"/>
          <w:szCs w:val="30"/>
        </w:rPr>
        <w:t>S</w:t>
      </w:r>
      <w:r>
        <w:rPr>
          <w:rFonts w:hint="eastAsia" w:ascii="Times New Roman" w:hAnsi="Times New Roman"/>
          <w:color w:val="000000"/>
          <w:sz w:val="30"/>
          <w:szCs w:val="30"/>
          <w:vertAlign w:val="subscript"/>
        </w:rPr>
        <w:t>pH·j</w:t>
      </w:r>
      <w:r>
        <w:rPr>
          <w:rFonts w:hint="eastAsia" w:ascii="Times New Roman" w:hAnsi="Times New Roman"/>
          <w:color w:val="000000"/>
          <w:sz w:val="30"/>
          <w:szCs w:val="30"/>
        </w:rPr>
        <w:t>=</w:t>
      </w:r>
      <m:oMath>
        <m:f>
          <m:fPr>
            <m:ctrlPr>
              <w:rPr>
                <w:rFonts w:ascii="Cambria Math" w:hAnsi="Cambria Math"/>
                <w:color w:val="000000"/>
                <w:sz w:val="30"/>
                <w:szCs w:val="30"/>
              </w:rPr>
            </m:ctrlPr>
          </m:fPr>
          <m:num>
            <m:r>
              <m:rPr>
                <m:sty m:val="p"/>
              </m:rPr>
              <w:rPr>
                <w:rFonts w:ascii="Cambria Math" w:hAnsi="Cambria Math"/>
                <w:color w:val="000000"/>
                <w:sz w:val="30"/>
                <w:szCs w:val="30"/>
              </w:rPr>
              <m:t>pHj</m:t>
            </m:r>
            <m:r>
              <m:rPr>
                <m:sty m:val="p"/>
              </m:rPr>
              <w:rPr>
                <w:rFonts w:hint="eastAsia" w:ascii="Cambria Math" w:hAnsi="Cambria Math"/>
                <w:color w:val="000000"/>
                <w:sz w:val="30"/>
                <w:szCs w:val="30"/>
              </w:rPr>
              <m:t>–</m:t>
            </m:r>
            <m:r>
              <m:rPr>
                <m:sty m:val="p"/>
              </m:rPr>
              <w:rPr>
                <w:rFonts w:ascii="Cambria Math" w:hAnsi="Cambria Math"/>
                <w:color w:val="000000"/>
                <w:sz w:val="30"/>
                <w:szCs w:val="30"/>
              </w:rPr>
              <m:t>7.0</m:t>
            </m:r>
            <m:ctrlPr>
              <w:rPr>
                <w:rFonts w:ascii="Cambria Math" w:hAnsi="Cambria Math"/>
                <w:color w:val="000000"/>
                <w:sz w:val="30"/>
                <w:szCs w:val="30"/>
              </w:rPr>
            </m:ctrlPr>
          </m:num>
          <m:den>
            <m:r>
              <m:rPr>
                <m:sty m:val="p"/>
              </m:rPr>
              <w:rPr>
                <w:rFonts w:ascii="Cambria Math" w:hAnsi="Cambria Math"/>
                <w:color w:val="000000"/>
                <w:sz w:val="30"/>
                <w:szCs w:val="30"/>
              </w:rPr>
              <m:t>pHsu</m:t>
            </m:r>
            <m:r>
              <m:rPr>
                <m:sty m:val="p"/>
              </m:rPr>
              <w:rPr>
                <w:rFonts w:hint="eastAsia" w:ascii="Cambria Math" w:hAnsi="Cambria Math"/>
                <w:color w:val="000000"/>
                <w:sz w:val="30"/>
                <w:szCs w:val="30"/>
              </w:rPr>
              <m:t>–</m:t>
            </m:r>
            <m:r>
              <m:rPr>
                <m:sty m:val="p"/>
              </m:rPr>
              <w:rPr>
                <w:rFonts w:ascii="Cambria Math" w:hAnsi="Cambria Math"/>
                <w:color w:val="000000"/>
                <w:sz w:val="30"/>
                <w:szCs w:val="30"/>
              </w:rPr>
              <m:t>7.0</m:t>
            </m:r>
            <m:ctrlPr>
              <w:rPr>
                <w:rFonts w:ascii="Cambria Math" w:hAnsi="Cambria Math"/>
                <w:color w:val="000000"/>
                <w:sz w:val="30"/>
                <w:szCs w:val="30"/>
              </w:rPr>
            </m:ctrlPr>
          </m:den>
        </m:f>
      </m:oMath>
      <w:r>
        <w:rPr>
          <w:rFonts w:hint="eastAsia" w:ascii="Times New Roman" w:hAnsi="Times New Roman"/>
          <w:color w:val="000000"/>
          <w:sz w:val="30"/>
          <w:szCs w:val="30"/>
        </w:rPr>
        <w:t xml:space="preserve">  </w:t>
      </w:r>
      <w:r>
        <w:rPr>
          <w:rFonts w:ascii="Times New Roman" w:hAnsi="Times New Roman"/>
          <w:color w:val="000000"/>
          <w:sz w:val="28"/>
          <w:szCs w:val="28"/>
        </w:rPr>
        <w:t>pH</w:t>
      </w:r>
      <w:r>
        <w:rPr>
          <w:rFonts w:ascii="Times New Roman" w:hAnsi="Times New Roman"/>
          <w:color w:val="000000"/>
          <w:sz w:val="28"/>
          <w:szCs w:val="28"/>
          <w:vertAlign w:val="subscript"/>
        </w:rPr>
        <w:t>j</w:t>
      </w:r>
      <w:r>
        <w:rPr>
          <w:rFonts w:ascii="Times New Roman" w:hAnsi="Times New Roman"/>
          <w:color w:val="000000"/>
          <w:sz w:val="28"/>
          <w:szCs w:val="28"/>
        </w:rPr>
        <w:t>＞7.0</w:t>
      </w:r>
      <w:bookmarkEnd w:id="229"/>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式中：pHj</w:t>
      </w:r>
      <w:r>
        <w:rPr>
          <w:rFonts w:ascii="Times New Roman" w:hAnsi="Times New Roman"/>
          <w:color w:val="000000"/>
          <w:sz w:val="24"/>
          <w:szCs w:val="24"/>
        </w:rPr>
        <w:t>——</w:t>
      </w:r>
      <w:r>
        <w:rPr>
          <w:rFonts w:hint="eastAsia" w:ascii="Times New Roman" w:hAnsi="Times New Roman"/>
          <w:color w:val="000000"/>
          <w:sz w:val="24"/>
          <w:szCs w:val="24"/>
        </w:rPr>
        <w:t>为监测点的pH值；</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pHsd</w:t>
      </w:r>
      <w:r>
        <w:rPr>
          <w:rFonts w:ascii="Times New Roman" w:hAnsi="Times New Roman"/>
          <w:color w:val="000000"/>
          <w:sz w:val="24"/>
          <w:szCs w:val="24"/>
        </w:rPr>
        <w:t>——</w:t>
      </w:r>
      <w:r>
        <w:rPr>
          <w:rFonts w:hint="eastAsia" w:ascii="Times New Roman" w:hAnsi="Times New Roman"/>
          <w:color w:val="000000"/>
          <w:sz w:val="24"/>
          <w:szCs w:val="24"/>
        </w:rPr>
        <w:t>为水质标准pH的下限值；</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pHsu</w:t>
      </w:r>
      <w:r>
        <w:rPr>
          <w:rFonts w:ascii="Times New Roman" w:hAnsi="Times New Roman"/>
          <w:color w:val="000000"/>
          <w:sz w:val="24"/>
          <w:szCs w:val="24"/>
        </w:rPr>
        <w:t>——</w:t>
      </w:r>
      <w:r>
        <w:rPr>
          <w:rFonts w:hint="eastAsia" w:ascii="Times New Roman" w:hAnsi="Times New Roman"/>
          <w:color w:val="000000"/>
          <w:sz w:val="24"/>
          <w:szCs w:val="24"/>
        </w:rPr>
        <w:t>为水质标准pH的上限值。</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水质参数</w:t>
      </w:r>
      <w:r>
        <w:rPr>
          <w:rFonts w:ascii="Times New Roman" w:hAnsi="Times New Roman"/>
          <w:color w:val="000000"/>
          <w:sz w:val="24"/>
          <w:szCs w:val="24"/>
        </w:rPr>
        <w:t>&gt;</w:t>
      </w:r>
      <w:r>
        <w:rPr>
          <w:rFonts w:hint="eastAsia" w:ascii="Times New Roman" w:hAnsi="Times New Roman"/>
          <w:color w:val="000000"/>
          <w:sz w:val="24"/>
          <w:szCs w:val="24"/>
        </w:rPr>
        <w:t>1，表明该点水质参数超过了规定水质标准，反之，则达到评价标准</w:t>
      </w:r>
    </w:p>
    <w:p>
      <w:pPr>
        <w:spacing w:line="360" w:lineRule="auto"/>
        <w:ind w:firstLine="482" w:firstLineChars="200"/>
        <w:outlineLvl w:val="9"/>
        <w:rPr>
          <w:rFonts w:ascii="Times New Roman" w:hAnsi="Times New Roman"/>
          <w:b/>
          <w:color w:val="000000"/>
          <w:sz w:val="24"/>
          <w:szCs w:val="24"/>
        </w:rPr>
      </w:pPr>
      <w:bookmarkStart w:id="230" w:name="_Toc7108"/>
      <w:r>
        <w:rPr>
          <w:rFonts w:hint="eastAsia" w:ascii="Times New Roman" w:hAnsi="Times New Roman"/>
          <w:b/>
          <w:color w:val="000000"/>
          <w:sz w:val="24"/>
          <w:szCs w:val="24"/>
        </w:rPr>
        <w:t>（2）评价结果</w:t>
      </w:r>
      <w:bookmarkEnd w:id="230"/>
    </w:p>
    <w:p>
      <w:pPr>
        <w:spacing w:line="360" w:lineRule="auto"/>
        <w:ind w:firstLine="480" w:firstLineChars="200"/>
        <w:rPr>
          <w:rFonts w:ascii="Times New Roman" w:hAnsi="Times New Roman"/>
          <w:color w:val="000000"/>
          <w:sz w:val="24"/>
          <w:szCs w:val="24"/>
        </w:rPr>
        <w:sectPr>
          <w:pgSz w:w="11906" w:h="16838"/>
          <w:pgMar w:top="1440" w:right="1800" w:bottom="1440" w:left="1800" w:header="851" w:footer="992" w:gutter="0"/>
          <w:cols w:space="425" w:num="1"/>
          <w:docGrid w:type="lines" w:linePitch="326" w:charSpace="0"/>
        </w:sectPr>
      </w:pPr>
      <w:r>
        <w:rPr>
          <w:rFonts w:hint="eastAsia" w:ascii="Times New Roman" w:hAnsi="Times New Roman"/>
          <w:color w:val="000000"/>
          <w:sz w:val="24"/>
          <w:szCs w:val="24"/>
        </w:rPr>
        <w:t>监测结果统计与评价如表4.3-</w:t>
      </w:r>
      <w:r>
        <w:rPr>
          <w:rFonts w:ascii="Times New Roman" w:hAnsi="Times New Roman"/>
          <w:color w:val="000000"/>
          <w:sz w:val="24"/>
          <w:szCs w:val="24"/>
        </w:rPr>
        <w:t>4</w:t>
      </w:r>
      <w:r>
        <w:rPr>
          <w:rFonts w:hint="eastAsia"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表4.3-</w:t>
      </w:r>
      <w:r>
        <w:rPr>
          <w:rFonts w:ascii="Times New Roman" w:hAnsi="Times New Roman"/>
          <w:b/>
          <w:color w:val="000000"/>
          <w:sz w:val="24"/>
          <w:szCs w:val="24"/>
        </w:rPr>
        <w:t>4</w:t>
      </w:r>
      <w:r>
        <w:rPr>
          <w:rFonts w:hint="eastAsia" w:ascii="Times New Roman" w:hAnsi="Times New Roman"/>
          <w:b/>
          <w:color w:val="000000"/>
          <w:sz w:val="24"/>
          <w:szCs w:val="24"/>
        </w:rPr>
        <w:t xml:space="preserve">   地表水检测结果及评价</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52"/>
        <w:gridCol w:w="1700"/>
        <w:gridCol w:w="1838"/>
        <w:gridCol w:w="1699"/>
        <w:gridCol w:w="1841"/>
        <w:gridCol w:w="1838"/>
        <w:gridCol w:w="17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监测</w:t>
            </w:r>
            <w:r>
              <w:rPr>
                <w:rFonts w:ascii="Times New Roman" w:hAnsi="Times New Roman"/>
                <w:szCs w:val="21"/>
              </w:rPr>
              <w:t>断面</w:t>
            </w:r>
          </w:p>
        </w:tc>
        <w:tc>
          <w:tcPr>
            <w:tcW w:w="5237" w:type="dxa"/>
            <w:gridSpan w:val="3"/>
            <w:vAlign w:val="center"/>
          </w:tcPr>
          <w:p>
            <w:pPr>
              <w:spacing w:line="240" w:lineRule="atLeast"/>
              <w:jc w:val="center"/>
              <w:rPr>
                <w:rFonts w:ascii="Times New Roman" w:hAnsi="Times New Roman"/>
                <w:szCs w:val="21"/>
              </w:rPr>
            </w:pPr>
            <w:r>
              <w:rPr>
                <w:rFonts w:hint="eastAsia" w:ascii="Times New Roman" w:hAnsi="Times New Roman"/>
                <w:szCs w:val="21"/>
              </w:rPr>
              <w:t>W1：</w:t>
            </w:r>
            <w:r>
              <w:rPr>
                <w:rFonts w:ascii="Times New Roman" w:hAnsi="Times New Roman"/>
                <w:szCs w:val="21"/>
              </w:rPr>
              <w:t>蜻蛉河湾保断面</w:t>
            </w:r>
            <w:r>
              <w:rPr>
                <w:rFonts w:hint="eastAsia" w:ascii="Times New Roman" w:hAnsi="Times New Roman"/>
                <w:szCs w:val="21"/>
              </w:rPr>
              <w:t>（</w:t>
            </w:r>
            <w:r>
              <w:rPr>
                <w:rFonts w:ascii="Times New Roman" w:hAnsi="Times New Roman"/>
                <w:szCs w:val="21"/>
              </w:rPr>
              <w:t>E101°48′00″，N25°51′37″</w:t>
            </w:r>
            <w:r>
              <w:rPr>
                <w:rFonts w:hint="eastAsia" w:ascii="Times New Roman" w:hAnsi="Times New Roman"/>
                <w:szCs w:val="21"/>
              </w:rPr>
              <w:t>）</w:t>
            </w:r>
          </w:p>
        </w:tc>
        <w:tc>
          <w:tcPr>
            <w:tcW w:w="5439" w:type="dxa"/>
            <w:gridSpan w:val="3"/>
            <w:vAlign w:val="center"/>
          </w:tcPr>
          <w:p>
            <w:pPr>
              <w:spacing w:line="240" w:lineRule="atLeast"/>
              <w:jc w:val="center"/>
              <w:rPr>
                <w:rFonts w:ascii="Times New Roman" w:hAnsi="Times New Roman"/>
                <w:szCs w:val="21"/>
              </w:rPr>
            </w:pPr>
            <w:r>
              <w:rPr>
                <w:rFonts w:hint="eastAsia" w:ascii="Times New Roman" w:hAnsi="Times New Roman"/>
                <w:szCs w:val="21"/>
              </w:rPr>
              <w:t>W2：</w:t>
            </w:r>
            <w:r>
              <w:rPr>
                <w:rFonts w:ascii="Times New Roman" w:hAnsi="Times New Roman"/>
                <w:szCs w:val="21"/>
              </w:rPr>
              <w:t>那化村断面</w:t>
            </w:r>
            <w:r>
              <w:rPr>
                <w:rFonts w:hint="eastAsia" w:ascii="Times New Roman" w:hAnsi="Times New Roman"/>
                <w:szCs w:val="21"/>
              </w:rPr>
              <w:t>（</w:t>
            </w:r>
            <w:r>
              <w:rPr>
                <w:rFonts w:ascii="Times New Roman" w:hAnsi="Times New Roman"/>
                <w:szCs w:val="21"/>
              </w:rPr>
              <w:t>E101°4</w:t>
            </w:r>
            <w:r>
              <w:rPr>
                <w:rFonts w:hint="eastAsia" w:ascii="Times New Roman" w:hAnsi="Times New Roman"/>
                <w:szCs w:val="21"/>
              </w:rPr>
              <w:t>9</w:t>
            </w:r>
            <w:r>
              <w:rPr>
                <w:rFonts w:ascii="Times New Roman" w:hAnsi="Times New Roman"/>
                <w:szCs w:val="21"/>
              </w:rPr>
              <w:t>′</w:t>
            </w:r>
            <w:r>
              <w:rPr>
                <w:rFonts w:hint="eastAsia" w:ascii="Times New Roman" w:hAnsi="Times New Roman"/>
                <w:szCs w:val="21"/>
              </w:rPr>
              <w:t>11</w:t>
            </w:r>
            <w:r>
              <w:rPr>
                <w:rFonts w:ascii="Times New Roman" w:hAnsi="Times New Roman"/>
                <w:szCs w:val="21"/>
              </w:rPr>
              <w:t>″，N25°</w:t>
            </w:r>
            <w:r>
              <w:rPr>
                <w:rFonts w:hint="eastAsia" w:ascii="Times New Roman" w:hAnsi="Times New Roman"/>
                <w:szCs w:val="21"/>
              </w:rPr>
              <w:t>05</w:t>
            </w:r>
            <w:r>
              <w:rPr>
                <w:rFonts w:ascii="Times New Roman" w:hAnsi="Times New Roman"/>
                <w:szCs w:val="21"/>
              </w:rPr>
              <w:t>′</w:t>
            </w:r>
            <w:r>
              <w:rPr>
                <w:rFonts w:hint="eastAsia" w:ascii="Times New Roman" w:hAnsi="Times New Roman"/>
                <w:szCs w:val="21"/>
              </w:rPr>
              <w:t>52</w:t>
            </w:r>
            <w:r>
              <w:rPr>
                <w:rFonts w:ascii="Times New Roman" w:hAnsi="Times New Roman"/>
                <w:szCs w:val="21"/>
              </w:rPr>
              <w:t>″</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采样</w:t>
            </w:r>
            <w:r>
              <w:rPr>
                <w:rFonts w:ascii="Times New Roman" w:hAnsi="Times New Roman"/>
                <w:szCs w:val="21"/>
              </w:rPr>
              <w:t>时间</w:t>
            </w:r>
            <w:r>
              <w:rPr>
                <w:rFonts w:hint="eastAsia" w:ascii="Times New Roman" w:hAnsi="Times New Roman"/>
                <w:szCs w:val="21"/>
              </w:rPr>
              <w:t>/编号</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2019.07.09</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2019.07.10</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2019.07.11</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2019.07.09</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2019.07.10</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2019.07.11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监测</w:t>
            </w:r>
            <w:r>
              <w:rPr>
                <w:rFonts w:ascii="Times New Roman" w:hAnsi="Times New Roman"/>
                <w:szCs w:val="21"/>
              </w:rPr>
              <w:t>项</w:t>
            </w:r>
            <w:r>
              <w:rPr>
                <w:rFonts w:hint="eastAsia" w:ascii="Times New Roman" w:hAnsi="Times New Roman"/>
                <w:szCs w:val="21"/>
              </w:rPr>
              <w:t>目</w:t>
            </w:r>
            <w:r>
              <w:rPr>
                <w:rFonts w:ascii="Times New Roman" w:hAnsi="Times New Roman"/>
                <w:szCs w:val="21"/>
              </w:rPr>
              <w:t>（</w:t>
            </w:r>
            <w:r>
              <w:rPr>
                <w:rFonts w:hint="eastAsia" w:ascii="Times New Roman" w:hAnsi="Times New Roman"/>
                <w:szCs w:val="21"/>
              </w:rPr>
              <w:t>单位</w:t>
            </w:r>
            <w:r>
              <w:rPr>
                <w:rFonts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-W001</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-W002</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-W003</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-W004</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-W005</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水温</w:t>
            </w:r>
            <w:r>
              <w:rPr>
                <w:rFonts w:ascii="Times New Roman" w:hAnsi="Times New Roman"/>
                <w:szCs w:val="21"/>
              </w:rPr>
              <w:t>（</w:t>
            </w:r>
            <w:r>
              <w:rPr>
                <w:rFonts w:hint="eastAsia" w:ascii="Times New Roman" w:hAnsi="Times New Roman"/>
                <w:szCs w:val="21"/>
              </w:rPr>
              <w:t>℃</w:t>
            </w:r>
            <w:r>
              <w:rPr>
                <w:rFonts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24.3</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25.4</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27.6</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26.5</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27.9</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28.6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ascii="Times New Roman" w:hAnsi="Times New Roman"/>
                <w:szCs w:val="21"/>
              </w:rPr>
              <w:t>pH</w:t>
            </w:r>
            <w:r>
              <w:rPr>
                <w:rFonts w:hint="eastAsia" w:ascii="Times New Roman" w:hAnsi="Times New Roman"/>
                <w:szCs w:val="21"/>
              </w:rPr>
              <w:t>（无量纲）</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7.81</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7.75</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7.71</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7.99</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7.92</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7.97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溶解</w:t>
            </w:r>
            <w:r>
              <w:rPr>
                <w:rFonts w:ascii="Times New Roman" w:hAnsi="Times New Roman"/>
                <w:szCs w:val="21"/>
              </w:rPr>
              <w:t>氧（mg/L）</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7.2</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7.1</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6.9</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5.9</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6.3</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化学</w:t>
            </w:r>
            <w:r>
              <w:rPr>
                <w:rFonts w:ascii="Times New Roman" w:hAnsi="Times New Roman"/>
                <w:szCs w:val="21"/>
              </w:rPr>
              <w:t>需氧量</w:t>
            </w:r>
            <w:r>
              <w:rPr>
                <w:rFonts w:hint="eastAsia" w:ascii="Times New Roman" w:hAnsi="Times New Roman"/>
                <w:szCs w:val="21"/>
              </w:rPr>
              <w:t>（</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19</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20</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17</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28</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25</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五日</w:t>
            </w:r>
            <w:r>
              <w:rPr>
                <w:rFonts w:ascii="Times New Roman" w:hAnsi="Times New Roman"/>
                <w:szCs w:val="21"/>
              </w:rPr>
              <w:t>生化需氧量</w:t>
            </w:r>
            <w:r>
              <w:rPr>
                <w:rFonts w:hint="eastAsia" w:ascii="Times New Roman" w:hAnsi="Times New Roman"/>
                <w:szCs w:val="21"/>
              </w:rPr>
              <w:t>（</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3.6</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3.3</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3.2</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5.2</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4.6</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氨氮</w:t>
            </w:r>
            <w:r>
              <w:rPr>
                <w:rFonts w:ascii="Times New Roman" w:hAnsi="Times New Roman"/>
                <w:szCs w:val="21"/>
              </w:rPr>
              <w:t>（mg/L）</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0.06</w:t>
            </w:r>
            <w:r>
              <w:rPr>
                <w:rFonts w:ascii="Times New Roman" w:hAnsi="Times New Roman"/>
                <w:szCs w:val="21"/>
              </w:rPr>
              <w:t>8</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0.079</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0.058</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0.093</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0.103</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总磷（</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0.0</w:t>
            </w:r>
            <w:r>
              <w:rPr>
                <w:rFonts w:ascii="Times New Roman" w:hAnsi="Times New Roman"/>
                <w:szCs w:val="21"/>
              </w:rPr>
              <w:t>4</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0.05</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0.05</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0.06</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0.06</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总氮（</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0.22</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0.22</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0.19</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0.28</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0.25</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石油类（</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0.01</w:t>
            </w:r>
            <w:r>
              <w:rPr>
                <w:rFonts w:ascii="Times New Roman" w:hAnsi="Times New Roman"/>
                <w:szCs w:val="21"/>
              </w:rPr>
              <w:t>L</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0.01</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0.01L</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0.01</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0.01</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0.01L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阴离子</w:t>
            </w:r>
            <w:r>
              <w:rPr>
                <w:rFonts w:ascii="Times New Roman" w:hAnsi="Times New Roman"/>
                <w:szCs w:val="21"/>
              </w:rPr>
              <w:t>表面活性剂</w:t>
            </w:r>
            <w:r>
              <w:rPr>
                <w:rFonts w:hint="eastAsia" w:ascii="Times New Roman" w:hAnsi="Times New Roman"/>
                <w:szCs w:val="21"/>
              </w:rPr>
              <w:t>（</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粪大肠</w:t>
            </w:r>
            <w:r>
              <w:rPr>
                <w:rFonts w:ascii="Times New Roman" w:hAnsi="Times New Roman"/>
                <w:szCs w:val="21"/>
              </w:rPr>
              <w:t>菌群（</w:t>
            </w:r>
            <w:r>
              <w:rPr>
                <w:rFonts w:hint="eastAsia" w:ascii="Times New Roman" w:hAnsi="Times New Roman"/>
                <w:szCs w:val="21"/>
              </w:rPr>
              <w:t>个</w:t>
            </w:r>
            <w:r>
              <w:rPr>
                <w:rFonts w:ascii="Times New Roman" w:hAnsi="Times New Roman"/>
                <w:szCs w:val="21"/>
              </w:rPr>
              <w:t>/L）</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1100</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1400</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1200</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1300</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940</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1400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悬浮物（</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22</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25</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24</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59</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53</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监测</w:t>
            </w:r>
            <w:r>
              <w:rPr>
                <w:rFonts w:ascii="Times New Roman" w:hAnsi="Times New Roman"/>
                <w:szCs w:val="21"/>
              </w:rPr>
              <w:t>断面</w:t>
            </w:r>
          </w:p>
        </w:tc>
        <w:tc>
          <w:tcPr>
            <w:tcW w:w="5237" w:type="dxa"/>
            <w:gridSpan w:val="3"/>
            <w:vAlign w:val="center"/>
          </w:tcPr>
          <w:p>
            <w:pPr>
              <w:spacing w:line="240" w:lineRule="atLeast"/>
              <w:jc w:val="center"/>
              <w:rPr>
                <w:rFonts w:ascii="Times New Roman" w:hAnsi="Times New Roman"/>
                <w:szCs w:val="21"/>
              </w:rPr>
            </w:pPr>
            <w:r>
              <w:rPr>
                <w:rFonts w:hint="eastAsia" w:ascii="Times New Roman" w:hAnsi="Times New Roman"/>
                <w:szCs w:val="21"/>
              </w:rPr>
              <w:t>W3：小雷宰</w:t>
            </w:r>
            <w:r>
              <w:rPr>
                <w:rFonts w:ascii="Times New Roman" w:hAnsi="Times New Roman"/>
                <w:szCs w:val="21"/>
              </w:rPr>
              <w:t>公路断面</w:t>
            </w:r>
            <w:r>
              <w:rPr>
                <w:rFonts w:hint="eastAsia" w:ascii="Times New Roman" w:hAnsi="Times New Roman"/>
                <w:szCs w:val="21"/>
              </w:rPr>
              <w:t>（</w:t>
            </w:r>
            <w:r>
              <w:rPr>
                <w:rFonts w:ascii="Times New Roman" w:hAnsi="Times New Roman"/>
                <w:szCs w:val="21"/>
              </w:rPr>
              <w:t>E101°4</w:t>
            </w:r>
            <w:r>
              <w:rPr>
                <w:rFonts w:hint="eastAsia" w:ascii="Times New Roman" w:hAnsi="Times New Roman"/>
                <w:szCs w:val="21"/>
              </w:rPr>
              <w:t>9</w:t>
            </w:r>
            <w:r>
              <w:rPr>
                <w:rFonts w:ascii="Times New Roman" w:hAnsi="Times New Roman"/>
                <w:szCs w:val="21"/>
              </w:rPr>
              <w:t>′</w:t>
            </w:r>
            <w:r>
              <w:rPr>
                <w:rFonts w:hint="eastAsia" w:ascii="Times New Roman" w:hAnsi="Times New Roman"/>
                <w:szCs w:val="21"/>
              </w:rPr>
              <w:t>5</w:t>
            </w:r>
            <w:r>
              <w:rPr>
                <w:rFonts w:ascii="Times New Roman" w:hAnsi="Times New Roman"/>
                <w:szCs w:val="21"/>
              </w:rPr>
              <w:t>0″，N25°5</w:t>
            </w:r>
            <w:r>
              <w:rPr>
                <w:rFonts w:hint="eastAsia" w:ascii="Times New Roman" w:hAnsi="Times New Roman"/>
                <w:szCs w:val="21"/>
              </w:rPr>
              <w:t>2</w:t>
            </w:r>
            <w:r>
              <w:rPr>
                <w:rFonts w:ascii="Times New Roman" w:hAnsi="Times New Roman"/>
                <w:szCs w:val="21"/>
              </w:rPr>
              <w:t>′</w:t>
            </w:r>
            <w:r>
              <w:rPr>
                <w:rFonts w:hint="eastAsia" w:ascii="Times New Roman" w:hAnsi="Times New Roman"/>
                <w:szCs w:val="21"/>
              </w:rPr>
              <w:t>19</w:t>
            </w:r>
            <w:r>
              <w:rPr>
                <w:rFonts w:ascii="Times New Roman" w:hAnsi="Times New Roman"/>
                <w:szCs w:val="21"/>
              </w:rPr>
              <w:t>″</w:t>
            </w:r>
            <w:r>
              <w:rPr>
                <w:rFonts w:hint="eastAsia" w:ascii="Times New Roman" w:hAnsi="Times New Roman"/>
                <w:szCs w:val="21"/>
              </w:rPr>
              <w:t>）</w:t>
            </w:r>
          </w:p>
        </w:tc>
        <w:tc>
          <w:tcPr>
            <w:tcW w:w="5439" w:type="dxa"/>
            <w:gridSpan w:val="3"/>
            <w:vAlign w:val="center"/>
          </w:tcPr>
          <w:p>
            <w:pPr>
              <w:spacing w:line="240" w:lineRule="atLeast"/>
              <w:jc w:val="center"/>
              <w:rPr>
                <w:rFonts w:ascii="Times New Roman" w:hAnsi="Times New Roman"/>
                <w:szCs w:val="21"/>
              </w:rPr>
            </w:pPr>
            <w:r>
              <w:rPr>
                <w:rFonts w:hint="eastAsia" w:ascii="Times New Roman" w:hAnsi="Times New Roman"/>
                <w:szCs w:val="21"/>
              </w:rPr>
              <w:t>W4：黑泥坡</w:t>
            </w:r>
            <w:r>
              <w:rPr>
                <w:rFonts w:ascii="Times New Roman" w:hAnsi="Times New Roman"/>
                <w:szCs w:val="21"/>
              </w:rPr>
              <w:t>断面</w:t>
            </w:r>
            <w:r>
              <w:rPr>
                <w:rFonts w:hint="eastAsia" w:ascii="Times New Roman" w:hAnsi="Times New Roman"/>
                <w:szCs w:val="21"/>
              </w:rPr>
              <w:t>（</w:t>
            </w:r>
            <w:r>
              <w:rPr>
                <w:rFonts w:ascii="Times New Roman" w:hAnsi="Times New Roman"/>
                <w:szCs w:val="21"/>
              </w:rPr>
              <w:t>E101°</w:t>
            </w:r>
            <w:r>
              <w:rPr>
                <w:rFonts w:hint="eastAsia" w:ascii="Times New Roman" w:hAnsi="Times New Roman"/>
                <w:szCs w:val="21"/>
              </w:rPr>
              <w:t>51</w:t>
            </w:r>
            <w:r>
              <w:rPr>
                <w:rFonts w:ascii="Times New Roman" w:hAnsi="Times New Roman"/>
                <w:szCs w:val="21"/>
              </w:rPr>
              <w:t>′</w:t>
            </w:r>
            <w:r>
              <w:rPr>
                <w:rFonts w:hint="eastAsia" w:ascii="Times New Roman" w:hAnsi="Times New Roman"/>
                <w:szCs w:val="21"/>
              </w:rPr>
              <w:t>18</w:t>
            </w:r>
            <w:r>
              <w:rPr>
                <w:rFonts w:ascii="Times New Roman" w:hAnsi="Times New Roman"/>
                <w:szCs w:val="21"/>
              </w:rPr>
              <w:t>″，N25°5</w:t>
            </w:r>
            <w:r>
              <w:rPr>
                <w:rFonts w:hint="eastAsia" w:ascii="Times New Roman" w:hAnsi="Times New Roman"/>
                <w:szCs w:val="21"/>
              </w:rPr>
              <w:t>3</w:t>
            </w:r>
            <w:r>
              <w:rPr>
                <w:rFonts w:ascii="Times New Roman" w:hAnsi="Times New Roman"/>
                <w:szCs w:val="21"/>
              </w:rPr>
              <w:t>′3</w:t>
            </w:r>
            <w:r>
              <w:rPr>
                <w:rFonts w:hint="eastAsia" w:ascii="Times New Roman" w:hAnsi="Times New Roman"/>
                <w:szCs w:val="21"/>
              </w:rPr>
              <w:t>5</w:t>
            </w:r>
            <w:r>
              <w:rPr>
                <w:rFonts w:ascii="Times New Roman" w:hAnsi="Times New Roman"/>
                <w:szCs w:val="21"/>
              </w:rPr>
              <w:t>″</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采样</w:t>
            </w:r>
            <w:r>
              <w:rPr>
                <w:rFonts w:ascii="Times New Roman" w:hAnsi="Times New Roman"/>
                <w:szCs w:val="21"/>
              </w:rPr>
              <w:t>时间</w:t>
            </w:r>
            <w:r>
              <w:rPr>
                <w:rFonts w:hint="eastAsia" w:ascii="Times New Roman" w:hAnsi="Times New Roman"/>
                <w:szCs w:val="21"/>
              </w:rPr>
              <w:t>/编号</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2019.07.09</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2019.07.10</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2019.07.11</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2019.07.09</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2019.07.10</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2019.07.11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监测</w:t>
            </w:r>
            <w:r>
              <w:rPr>
                <w:rFonts w:ascii="Times New Roman" w:hAnsi="Times New Roman"/>
                <w:szCs w:val="21"/>
              </w:rPr>
              <w:t>项</w:t>
            </w:r>
            <w:r>
              <w:rPr>
                <w:rFonts w:hint="eastAsia" w:ascii="Times New Roman" w:hAnsi="Times New Roman"/>
                <w:szCs w:val="21"/>
              </w:rPr>
              <w:t>目</w:t>
            </w:r>
            <w:r>
              <w:rPr>
                <w:rFonts w:ascii="Times New Roman" w:hAnsi="Times New Roman"/>
                <w:szCs w:val="21"/>
              </w:rPr>
              <w:t>（</w:t>
            </w:r>
            <w:r>
              <w:rPr>
                <w:rFonts w:hint="eastAsia" w:ascii="Times New Roman" w:hAnsi="Times New Roman"/>
                <w:szCs w:val="21"/>
              </w:rPr>
              <w:t>单位</w:t>
            </w:r>
            <w:r>
              <w:rPr>
                <w:rFonts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-W007</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-W008</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-W009</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-W010</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-W011</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20190708018</w:t>
            </w:r>
            <w:r>
              <w:rPr>
                <w:rFonts w:ascii="Times New Roman" w:hAnsi="Times New Roman"/>
                <w:szCs w:val="21"/>
              </w:rPr>
              <w:t>-W012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水温</w:t>
            </w:r>
            <w:r>
              <w:rPr>
                <w:rFonts w:ascii="Times New Roman" w:hAnsi="Times New Roman"/>
                <w:szCs w:val="21"/>
              </w:rPr>
              <w:t>（</w:t>
            </w:r>
            <w:r>
              <w:rPr>
                <w:rFonts w:hint="eastAsia" w:ascii="Times New Roman" w:hAnsi="Times New Roman"/>
                <w:szCs w:val="21"/>
              </w:rPr>
              <w:t>℃</w:t>
            </w:r>
            <w:r>
              <w:rPr>
                <w:rFonts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28.8</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29.7</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31.2</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29.5</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30.2</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31.7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ascii="Times New Roman" w:hAnsi="Times New Roman"/>
                <w:szCs w:val="21"/>
              </w:rPr>
              <w:t>pH</w:t>
            </w:r>
            <w:r>
              <w:rPr>
                <w:rFonts w:hint="eastAsia" w:ascii="Times New Roman" w:hAnsi="Times New Roman"/>
                <w:szCs w:val="21"/>
              </w:rPr>
              <w:t>（无量纲）</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8.02</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7.90</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8.00</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7.81</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7.74</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7.88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溶解</w:t>
            </w:r>
            <w:r>
              <w:rPr>
                <w:rFonts w:ascii="Times New Roman" w:hAnsi="Times New Roman"/>
                <w:szCs w:val="21"/>
              </w:rPr>
              <w:t>氧（mg/L）</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6.8</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7.2</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7.0</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6.2</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6.6</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化学</w:t>
            </w:r>
            <w:r>
              <w:rPr>
                <w:rFonts w:ascii="Times New Roman" w:hAnsi="Times New Roman"/>
                <w:szCs w:val="21"/>
              </w:rPr>
              <w:t>需氧量</w:t>
            </w:r>
            <w:r>
              <w:rPr>
                <w:rFonts w:hint="eastAsia" w:ascii="Times New Roman" w:hAnsi="Times New Roman"/>
                <w:szCs w:val="21"/>
              </w:rPr>
              <w:t>（</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18</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15</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17</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27</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29</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五日</w:t>
            </w:r>
            <w:r>
              <w:rPr>
                <w:rFonts w:ascii="Times New Roman" w:hAnsi="Times New Roman"/>
                <w:szCs w:val="21"/>
              </w:rPr>
              <w:t>生化需氧量</w:t>
            </w:r>
            <w:r>
              <w:rPr>
                <w:rFonts w:hint="eastAsia" w:ascii="Times New Roman" w:hAnsi="Times New Roman"/>
                <w:szCs w:val="21"/>
              </w:rPr>
              <w:t>（</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5.2</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4.8</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4.5</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5.5</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氨氮</w:t>
            </w:r>
            <w:r>
              <w:rPr>
                <w:rFonts w:ascii="Times New Roman" w:hAnsi="Times New Roman"/>
                <w:szCs w:val="21"/>
              </w:rPr>
              <w:t>（mg/L）</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0.116</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0.124</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0.108</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0.103</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0.091</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总磷（</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0.02</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0.03</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0.04</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0.06</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0.07</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总氮（</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0.40</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0.38</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0.34</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0.29</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0.26</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石油类（</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0.01L</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0.01L</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0.01L</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0.01</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0.01</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0.01L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阴离子</w:t>
            </w:r>
            <w:r>
              <w:rPr>
                <w:rFonts w:ascii="Times New Roman" w:hAnsi="Times New Roman"/>
                <w:szCs w:val="21"/>
              </w:rPr>
              <w:t>表面活性剂</w:t>
            </w:r>
            <w:r>
              <w:rPr>
                <w:rFonts w:hint="eastAsia" w:ascii="Times New Roman" w:hAnsi="Times New Roman"/>
                <w:szCs w:val="21"/>
              </w:rPr>
              <w:t>（</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0.05L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粪大肠</w:t>
            </w:r>
            <w:r>
              <w:rPr>
                <w:rFonts w:ascii="Times New Roman" w:hAnsi="Times New Roman"/>
                <w:szCs w:val="21"/>
              </w:rPr>
              <w:t>菌群（</w:t>
            </w:r>
            <w:r>
              <w:rPr>
                <w:rFonts w:hint="eastAsia" w:ascii="Times New Roman" w:hAnsi="Times New Roman"/>
                <w:szCs w:val="21"/>
              </w:rPr>
              <w:t>个</w:t>
            </w:r>
            <w:r>
              <w:rPr>
                <w:rFonts w:ascii="Times New Roman" w:hAnsi="Times New Roman"/>
                <w:szCs w:val="21"/>
              </w:rPr>
              <w:t>/L）</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460</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630</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490</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330</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270</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340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悬浮物（</w:t>
            </w:r>
            <w:r>
              <w:rPr>
                <w:rFonts w:ascii="Times New Roman" w:hAnsi="Times New Roman"/>
                <w:szCs w:val="21"/>
              </w:rPr>
              <w:t>mg/L</w:t>
            </w:r>
            <w:r>
              <w:rPr>
                <w:rFonts w:hint="eastAsia" w:ascii="Times New Roman" w:hAnsi="Times New Roman"/>
                <w:szCs w:val="21"/>
              </w:rPr>
              <w:t>）</w:t>
            </w:r>
          </w:p>
        </w:tc>
        <w:tc>
          <w:tcPr>
            <w:tcW w:w="1700" w:type="dxa"/>
            <w:vAlign w:val="center"/>
          </w:tcPr>
          <w:p>
            <w:pPr>
              <w:spacing w:line="240" w:lineRule="atLeast"/>
              <w:jc w:val="center"/>
              <w:rPr>
                <w:rFonts w:ascii="Times New Roman" w:hAnsi="Times New Roman"/>
                <w:szCs w:val="21"/>
              </w:rPr>
            </w:pPr>
            <w:r>
              <w:rPr>
                <w:rFonts w:hint="eastAsia" w:ascii="Times New Roman" w:hAnsi="Times New Roman"/>
                <w:szCs w:val="21"/>
              </w:rPr>
              <w:t>10</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14</w:t>
            </w:r>
          </w:p>
        </w:tc>
        <w:tc>
          <w:tcPr>
            <w:tcW w:w="1699" w:type="dxa"/>
            <w:vAlign w:val="center"/>
          </w:tcPr>
          <w:p>
            <w:pPr>
              <w:spacing w:line="240" w:lineRule="atLeast"/>
              <w:jc w:val="center"/>
              <w:rPr>
                <w:rFonts w:ascii="Times New Roman" w:hAnsi="Times New Roman"/>
                <w:szCs w:val="21"/>
              </w:rPr>
            </w:pPr>
            <w:r>
              <w:rPr>
                <w:rFonts w:hint="eastAsia" w:ascii="Times New Roman" w:hAnsi="Times New Roman"/>
                <w:szCs w:val="21"/>
              </w:rPr>
              <w:t>13</w:t>
            </w:r>
          </w:p>
        </w:tc>
        <w:tc>
          <w:tcPr>
            <w:tcW w:w="1841" w:type="dxa"/>
            <w:vAlign w:val="center"/>
          </w:tcPr>
          <w:p>
            <w:pPr>
              <w:spacing w:line="240" w:lineRule="atLeast"/>
              <w:jc w:val="center"/>
              <w:rPr>
                <w:rFonts w:ascii="Times New Roman" w:hAnsi="Times New Roman"/>
                <w:szCs w:val="21"/>
              </w:rPr>
            </w:pPr>
            <w:r>
              <w:rPr>
                <w:rFonts w:hint="eastAsia" w:ascii="Times New Roman" w:hAnsi="Times New Roman"/>
                <w:szCs w:val="21"/>
              </w:rPr>
              <w:t>48</w:t>
            </w:r>
          </w:p>
        </w:tc>
        <w:tc>
          <w:tcPr>
            <w:tcW w:w="1838" w:type="dxa"/>
            <w:vAlign w:val="center"/>
          </w:tcPr>
          <w:p>
            <w:pPr>
              <w:spacing w:line="240" w:lineRule="atLeast"/>
              <w:jc w:val="center"/>
              <w:rPr>
                <w:rFonts w:ascii="Times New Roman" w:hAnsi="Times New Roman"/>
                <w:szCs w:val="21"/>
              </w:rPr>
            </w:pPr>
            <w:r>
              <w:rPr>
                <w:rFonts w:hint="eastAsia" w:ascii="Times New Roman" w:hAnsi="Times New Roman"/>
                <w:szCs w:val="21"/>
              </w:rPr>
              <w:t>46</w:t>
            </w:r>
          </w:p>
        </w:tc>
        <w:tc>
          <w:tcPr>
            <w:tcW w:w="1760" w:type="dxa"/>
            <w:vAlign w:val="center"/>
          </w:tcPr>
          <w:p>
            <w:pPr>
              <w:spacing w:line="240" w:lineRule="atLeast"/>
              <w:jc w:val="center"/>
              <w:rPr>
                <w:rFonts w:ascii="Times New Roman" w:hAnsi="Times New Roman"/>
                <w:szCs w:val="21"/>
              </w:rPr>
            </w:pPr>
            <w:r>
              <w:rPr>
                <w:rFonts w:hint="eastAsia" w:ascii="Times New Roman" w:hAnsi="Times New Roman"/>
                <w:szCs w:val="21"/>
              </w:rPr>
              <w:t>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52" w:type="dxa"/>
            <w:vAlign w:val="center"/>
          </w:tcPr>
          <w:p>
            <w:pPr>
              <w:spacing w:line="240" w:lineRule="atLeast"/>
              <w:jc w:val="center"/>
              <w:rPr>
                <w:rFonts w:ascii="Times New Roman" w:hAnsi="Times New Roman"/>
                <w:szCs w:val="21"/>
              </w:rPr>
            </w:pPr>
            <w:r>
              <w:rPr>
                <w:rFonts w:hint="eastAsia" w:ascii="Times New Roman" w:hAnsi="Times New Roman"/>
                <w:szCs w:val="21"/>
              </w:rPr>
              <w:t>备注</w:t>
            </w:r>
          </w:p>
        </w:tc>
        <w:tc>
          <w:tcPr>
            <w:tcW w:w="10676" w:type="dxa"/>
            <w:gridSpan w:val="6"/>
            <w:vAlign w:val="center"/>
          </w:tcPr>
          <w:p>
            <w:pPr>
              <w:spacing w:line="240" w:lineRule="atLeast"/>
              <w:jc w:val="left"/>
              <w:rPr>
                <w:rFonts w:ascii="Times New Roman" w:hAnsi="Times New Roman"/>
                <w:szCs w:val="21"/>
              </w:rPr>
            </w:pPr>
            <w:r>
              <w:rPr>
                <w:rFonts w:hint="eastAsia" w:ascii="Times New Roman" w:hAnsi="Times New Roman"/>
                <w:szCs w:val="21"/>
              </w:rPr>
              <w:t>1.采样</w:t>
            </w:r>
            <w:r>
              <w:rPr>
                <w:rFonts w:ascii="Times New Roman" w:hAnsi="Times New Roman"/>
                <w:szCs w:val="21"/>
              </w:rPr>
              <w:t>方式：瞬时采样</w:t>
            </w:r>
            <w:r>
              <w:rPr>
                <w:rFonts w:hint="eastAsia" w:ascii="Times New Roman" w:hAnsi="Times New Roman"/>
                <w:szCs w:val="21"/>
              </w:rPr>
              <w:t>；</w:t>
            </w:r>
          </w:p>
          <w:p>
            <w:pPr>
              <w:spacing w:line="240" w:lineRule="atLeast"/>
              <w:jc w:val="left"/>
              <w:rPr>
                <w:rFonts w:ascii="Times New Roman" w:hAnsi="Times New Roman"/>
                <w:szCs w:val="21"/>
              </w:rPr>
            </w:pPr>
            <w:r>
              <w:rPr>
                <w:rFonts w:hint="eastAsia" w:ascii="Times New Roman" w:hAnsi="Times New Roman"/>
                <w:szCs w:val="21"/>
              </w:rPr>
              <w:t>2.采样</w:t>
            </w:r>
            <w:r>
              <w:rPr>
                <w:rFonts w:ascii="Times New Roman" w:hAnsi="Times New Roman"/>
                <w:szCs w:val="21"/>
              </w:rPr>
              <w:t>方法</w:t>
            </w:r>
            <w:r>
              <w:rPr>
                <w:rFonts w:hint="eastAsia" w:ascii="Times New Roman" w:hAnsi="Times New Roman"/>
                <w:szCs w:val="21"/>
              </w:rPr>
              <w:t>依据</w:t>
            </w:r>
            <w:r>
              <w:rPr>
                <w:rFonts w:ascii="Times New Roman" w:hAnsi="Times New Roman"/>
                <w:szCs w:val="21"/>
              </w:rPr>
              <w:t>：</w:t>
            </w:r>
            <w:r>
              <w:rPr>
                <w:rFonts w:hint="eastAsia" w:ascii="Times New Roman" w:hAnsi="Times New Roman"/>
                <w:szCs w:val="21"/>
              </w:rPr>
              <w:t>HJ/T91-2002地表水</w:t>
            </w:r>
            <w:r>
              <w:rPr>
                <w:rFonts w:ascii="Times New Roman" w:hAnsi="Times New Roman"/>
                <w:szCs w:val="21"/>
              </w:rPr>
              <w:t>和污水监测技术规范；</w:t>
            </w:r>
          </w:p>
          <w:p>
            <w:pPr>
              <w:spacing w:line="240" w:lineRule="atLeast"/>
              <w:jc w:val="left"/>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w:t>
            </w:r>
            <w:r>
              <w:rPr>
                <w:rFonts w:hint="eastAsia" w:ascii="Times New Roman" w:hAnsi="Times New Roman"/>
                <w:szCs w:val="21"/>
              </w:rPr>
              <w:t>检出项</w:t>
            </w:r>
            <w:r>
              <w:rPr>
                <w:rFonts w:ascii="Times New Roman" w:hAnsi="Times New Roman"/>
                <w:szCs w:val="21"/>
              </w:rPr>
              <w:t>+L”</w:t>
            </w:r>
            <w:r>
              <w:rPr>
                <w:rFonts w:hint="eastAsia" w:ascii="Times New Roman" w:hAnsi="Times New Roman"/>
                <w:szCs w:val="21"/>
              </w:rPr>
              <w:t>表示</w:t>
            </w:r>
            <w:r>
              <w:rPr>
                <w:rFonts w:ascii="Times New Roman" w:hAnsi="Times New Roman"/>
                <w:szCs w:val="21"/>
              </w:rPr>
              <w:t>检测结果低于方法检出限。</w:t>
            </w:r>
          </w:p>
        </w:tc>
      </w:tr>
    </w:tbl>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表4.3</w:t>
      </w:r>
      <w:r>
        <w:rPr>
          <w:rFonts w:ascii="Times New Roman" w:hAnsi="Times New Roman"/>
          <w:b/>
          <w:color w:val="000000"/>
          <w:sz w:val="24"/>
          <w:szCs w:val="24"/>
        </w:rPr>
        <w:t xml:space="preserve">-5   </w:t>
      </w:r>
      <w:r>
        <w:rPr>
          <w:rFonts w:hint="eastAsia" w:ascii="Times New Roman" w:hAnsi="Times New Roman"/>
          <w:b/>
          <w:color w:val="000000"/>
          <w:sz w:val="24"/>
          <w:szCs w:val="24"/>
        </w:rPr>
        <w:t>地表水</w:t>
      </w:r>
      <w:r>
        <w:rPr>
          <w:rFonts w:ascii="Times New Roman" w:hAnsi="Times New Roman"/>
          <w:b/>
          <w:color w:val="000000"/>
          <w:sz w:val="24"/>
          <w:szCs w:val="24"/>
        </w:rPr>
        <w:t>水质评价结果</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2"/>
        <w:gridCol w:w="1392"/>
        <w:gridCol w:w="1393"/>
        <w:gridCol w:w="1393"/>
        <w:gridCol w:w="1390"/>
        <w:gridCol w:w="1393"/>
        <w:gridCol w:w="1393"/>
        <w:gridCol w:w="1393"/>
        <w:gridCol w:w="1393"/>
        <w:gridCol w:w="13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监测断面</w:t>
            </w:r>
          </w:p>
        </w:tc>
        <w:tc>
          <w:tcPr>
            <w:tcW w:w="139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项目</w:t>
            </w:r>
          </w:p>
        </w:tc>
        <w:tc>
          <w:tcPr>
            <w:tcW w:w="11144" w:type="dxa"/>
            <w:gridSpan w:val="8"/>
            <w:vAlign w:val="center"/>
          </w:tcPr>
          <w:p>
            <w:pPr>
              <w:spacing w:line="240" w:lineRule="atLeast"/>
              <w:jc w:val="center"/>
              <w:rPr>
                <w:rFonts w:ascii="Times New Roman" w:hAnsi="Times New Roman"/>
                <w:szCs w:val="21"/>
              </w:rPr>
            </w:pPr>
            <w:r>
              <w:rPr>
                <w:rFonts w:hint="eastAsia" w:ascii="Times New Roman" w:hAnsi="Times New Roman"/>
                <w:szCs w:val="21"/>
              </w:rPr>
              <w:t>监测</w:t>
            </w:r>
            <w:r>
              <w:rPr>
                <w:rFonts w:ascii="Times New Roman" w:hAnsi="Times New Roman"/>
                <w:szCs w:val="21"/>
              </w:rPr>
              <w:t>项目</w:t>
            </w:r>
            <w:r>
              <w:rPr>
                <w:rFonts w:hint="eastAsia" w:ascii="Times New Roman" w:hAnsi="Times New Roman"/>
                <w:szCs w:val="21"/>
              </w:rPr>
              <w:t xml:space="preserve">   单位</w:t>
            </w:r>
            <w:r>
              <w:rPr>
                <w:rFonts w:ascii="Times New Roman" w:hAnsi="Times New Roman"/>
                <w:szCs w:val="21"/>
              </w:rPr>
              <w:t>mg/L，</w:t>
            </w:r>
            <w:r>
              <w:rPr>
                <w:rFonts w:hint="eastAsia" w:ascii="Times New Roman" w:hAnsi="Times New Roman"/>
                <w:szCs w:val="21"/>
              </w:rPr>
              <w:t>pH无量纲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Merge w:val="continue"/>
            <w:vAlign w:val="center"/>
          </w:tcPr>
          <w:p>
            <w:pPr>
              <w:spacing w:line="240" w:lineRule="atLeast"/>
              <w:jc w:val="center"/>
              <w:rPr>
                <w:rFonts w:ascii="Times New Roman" w:hAnsi="Times New Roman"/>
                <w:szCs w:val="21"/>
              </w:rPr>
            </w:pP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pH</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COD</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BOD</w:t>
            </w:r>
            <w:r>
              <w:rPr>
                <w:rFonts w:hint="eastAsia" w:ascii="Times New Roman" w:hAnsi="Times New Roman"/>
                <w:szCs w:val="21"/>
                <w:vertAlign w:val="subscript"/>
              </w:rPr>
              <w:t>5</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氨氮</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总磷</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总氮</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石油类</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粪大肠</w:t>
            </w:r>
            <w:r>
              <w:rPr>
                <w:rFonts w:ascii="Times New Roman" w:hAnsi="Times New Roman"/>
                <w:szCs w:val="21"/>
              </w:rPr>
              <w:t>菌群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标准</w:t>
            </w:r>
            <w:r>
              <w:rPr>
                <w:rFonts w:ascii="Times New Roman" w:hAnsi="Times New Roman"/>
                <w:szCs w:val="21"/>
              </w:rPr>
              <w:t>值</w:t>
            </w:r>
          </w:p>
        </w:tc>
        <w:tc>
          <w:tcPr>
            <w:tcW w:w="1393" w:type="dxa"/>
            <w:vAlign w:val="center"/>
          </w:tcPr>
          <w:p>
            <w:pPr>
              <w:spacing w:line="240" w:lineRule="atLeast"/>
              <w:jc w:val="center"/>
              <w:rPr>
                <w:rFonts w:ascii="Times New Roman" w:hAnsi="Times New Roman"/>
                <w:b/>
                <w:szCs w:val="21"/>
              </w:rPr>
            </w:pPr>
            <w:r>
              <w:rPr>
                <w:rFonts w:hint="eastAsia" w:ascii="Times New Roman" w:hAnsi="Times New Roman"/>
                <w:b/>
                <w:szCs w:val="21"/>
              </w:rPr>
              <w:t>6</w:t>
            </w:r>
            <w:r>
              <w:rPr>
                <w:rFonts w:ascii="Times New Roman" w:hAnsi="Times New Roman"/>
                <w:b/>
                <w:szCs w:val="21"/>
              </w:rPr>
              <w:t>~9</w:t>
            </w:r>
          </w:p>
        </w:tc>
        <w:tc>
          <w:tcPr>
            <w:tcW w:w="1393" w:type="dxa"/>
            <w:vAlign w:val="center"/>
          </w:tcPr>
          <w:p>
            <w:pPr>
              <w:spacing w:line="240" w:lineRule="atLeast"/>
              <w:jc w:val="center"/>
              <w:rPr>
                <w:rFonts w:ascii="Times New Roman" w:hAnsi="Times New Roman"/>
                <w:b/>
                <w:szCs w:val="21"/>
              </w:rPr>
            </w:pPr>
            <w:r>
              <w:rPr>
                <w:rFonts w:hint="eastAsia" w:ascii="Times New Roman" w:hAnsi="Times New Roman"/>
                <w:b/>
                <w:szCs w:val="21"/>
              </w:rPr>
              <w:t>30</w:t>
            </w:r>
          </w:p>
        </w:tc>
        <w:tc>
          <w:tcPr>
            <w:tcW w:w="1390" w:type="dxa"/>
            <w:vAlign w:val="center"/>
          </w:tcPr>
          <w:p>
            <w:pPr>
              <w:spacing w:line="240" w:lineRule="atLeast"/>
              <w:jc w:val="center"/>
              <w:rPr>
                <w:rFonts w:ascii="Times New Roman" w:hAnsi="Times New Roman"/>
                <w:b/>
                <w:szCs w:val="21"/>
              </w:rPr>
            </w:pPr>
            <w:r>
              <w:rPr>
                <w:rFonts w:hint="eastAsia" w:ascii="Times New Roman" w:hAnsi="Times New Roman"/>
                <w:b/>
                <w:szCs w:val="21"/>
              </w:rPr>
              <w:t>6</w:t>
            </w:r>
          </w:p>
        </w:tc>
        <w:tc>
          <w:tcPr>
            <w:tcW w:w="1393" w:type="dxa"/>
            <w:vAlign w:val="center"/>
          </w:tcPr>
          <w:p>
            <w:pPr>
              <w:spacing w:line="240" w:lineRule="atLeast"/>
              <w:jc w:val="center"/>
              <w:rPr>
                <w:rFonts w:ascii="Times New Roman" w:hAnsi="Times New Roman"/>
                <w:b/>
                <w:szCs w:val="21"/>
              </w:rPr>
            </w:pPr>
            <w:r>
              <w:rPr>
                <w:rFonts w:hint="eastAsia" w:ascii="Times New Roman" w:hAnsi="Times New Roman"/>
                <w:b/>
                <w:szCs w:val="21"/>
              </w:rPr>
              <w:t>1.5</w:t>
            </w:r>
          </w:p>
        </w:tc>
        <w:tc>
          <w:tcPr>
            <w:tcW w:w="1393" w:type="dxa"/>
            <w:vAlign w:val="center"/>
          </w:tcPr>
          <w:p>
            <w:pPr>
              <w:spacing w:line="240" w:lineRule="atLeast"/>
              <w:jc w:val="center"/>
              <w:rPr>
                <w:rFonts w:ascii="Times New Roman" w:hAnsi="Times New Roman"/>
                <w:b/>
                <w:szCs w:val="21"/>
              </w:rPr>
            </w:pPr>
            <w:r>
              <w:rPr>
                <w:rFonts w:hint="eastAsia" w:ascii="Times New Roman" w:hAnsi="Times New Roman"/>
                <w:b/>
                <w:szCs w:val="21"/>
              </w:rPr>
              <w:t>0.3</w:t>
            </w:r>
          </w:p>
        </w:tc>
        <w:tc>
          <w:tcPr>
            <w:tcW w:w="1393" w:type="dxa"/>
            <w:vAlign w:val="center"/>
          </w:tcPr>
          <w:p>
            <w:pPr>
              <w:spacing w:line="240" w:lineRule="atLeast"/>
              <w:jc w:val="center"/>
              <w:rPr>
                <w:rFonts w:ascii="Times New Roman" w:hAnsi="Times New Roman"/>
                <w:b/>
                <w:szCs w:val="21"/>
              </w:rPr>
            </w:pPr>
            <w:r>
              <w:rPr>
                <w:rFonts w:hint="eastAsia" w:ascii="Times New Roman" w:hAnsi="Times New Roman"/>
                <w:b/>
                <w:szCs w:val="21"/>
              </w:rPr>
              <w:t>1.5</w:t>
            </w:r>
          </w:p>
        </w:tc>
        <w:tc>
          <w:tcPr>
            <w:tcW w:w="1393" w:type="dxa"/>
            <w:vAlign w:val="center"/>
          </w:tcPr>
          <w:p>
            <w:pPr>
              <w:spacing w:line="240" w:lineRule="atLeast"/>
              <w:jc w:val="center"/>
              <w:rPr>
                <w:rFonts w:ascii="Times New Roman" w:hAnsi="Times New Roman"/>
                <w:b/>
                <w:szCs w:val="21"/>
              </w:rPr>
            </w:pPr>
            <w:r>
              <w:rPr>
                <w:rFonts w:hint="eastAsia" w:ascii="Times New Roman" w:hAnsi="Times New Roman"/>
                <w:b/>
                <w:szCs w:val="21"/>
              </w:rPr>
              <w:t>0.5</w:t>
            </w:r>
          </w:p>
        </w:tc>
        <w:tc>
          <w:tcPr>
            <w:tcW w:w="1396" w:type="dxa"/>
            <w:vAlign w:val="center"/>
          </w:tcPr>
          <w:p>
            <w:pPr>
              <w:spacing w:line="240" w:lineRule="atLeast"/>
              <w:jc w:val="center"/>
              <w:rPr>
                <w:rFonts w:ascii="Times New Roman" w:hAnsi="Times New Roman"/>
                <w:b/>
                <w:szCs w:val="21"/>
              </w:rPr>
            </w:pPr>
            <w:r>
              <w:rPr>
                <w:rFonts w:hint="eastAsia" w:ascii="Times New Roman" w:hAnsi="Times New Roman"/>
                <w:b/>
                <w:szCs w:val="21"/>
              </w:rPr>
              <w:t>20000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W1：</w:t>
            </w:r>
            <w:r>
              <w:rPr>
                <w:rFonts w:ascii="Times New Roman" w:hAnsi="Times New Roman"/>
                <w:szCs w:val="21"/>
              </w:rPr>
              <w:t>蜻蛉河湾保断面</w:t>
            </w: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最大值</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7.81</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19</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3.6</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0.068</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0.04</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0.23</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0.01</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1100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标准</w:t>
            </w:r>
            <w:r>
              <w:rPr>
                <w:rFonts w:ascii="Times New Roman" w:hAnsi="Times New Roman"/>
                <w:szCs w:val="21"/>
              </w:rPr>
              <w:t>指数</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0.595</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0.67</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0.6</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0.052</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0.167</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0.153</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0.02</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r>
              <w:rPr>
                <w:rFonts w:ascii="Times New Roman" w:hAnsi="Times New Roman"/>
                <w:szCs w:val="21"/>
              </w:rPr>
              <w:t>情况</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W2：</w:t>
            </w:r>
            <w:r>
              <w:rPr>
                <w:rFonts w:ascii="Times New Roman" w:hAnsi="Times New Roman"/>
                <w:szCs w:val="21"/>
              </w:rPr>
              <w:t>那化村断面</w:t>
            </w: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最大值</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7.99</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28</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5.2</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0.103</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0.06</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0.28</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0.01</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1400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标准</w:t>
            </w:r>
            <w:r>
              <w:rPr>
                <w:rFonts w:ascii="Times New Roman" w:hAnsi="Times New Roman"/>
                <w:szCs w:val="21"/>
              </w:rPr>
              <w:t>指数</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0.505</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0.93</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0.87</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0.068</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0.2</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0.18</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0.02</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r>
              <w:rPr>
                <w:rFonts w:ascii="Times New Roman" w:hAnsi="Times New Roman"/>
                <w:szCs w:val="21"/>
              </w:rPr>
              <w:t>情况</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W3：小雷宰</w:t>
            </w:r>
            <w:r>
              <w:rPr>
                <w:rFonts w:ascii="Times New Roman" w:hAnsi="Times New Roman"/>
                <w:szCs w:val="21"/>
              </w:rPr>
              <w:t>公路断面</w:t>
            </w: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最大值</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8.02</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18</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5.2</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0.124</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0.04</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0.40</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0.01L</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标准</w:t>
            </w:r>
            <w:r>
              <w:rPr>
                <w:rFonts w:ascii="Times New Roman" w:hAnsi="Times New Roman"/>
                <w:szCs w:val="21"/>
              </w:rPr>
              <w:t>指数</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0.49</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0.6</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0.86</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0.083</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0.133</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0.267</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0.02</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0.0315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r>
              <w:rPr>
                <w:rFonts w:ascii="Times New Roman" w:hAnsi="Times New Roman"/>
                <w:szCs w:val="21"/>
              </w:rPr>
              <w:t>情况</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W4：黑泥坡</w:t>
            </w:r>
            <w:r>
              <w:rPr>
                <w:rFonts w:ascii="Times New Roman" w:hAnsi="Times New Roman"/>
                <w:szCs w:val="21"/>
              </w:rPr>
              <w:t>断面</w:t>
            </w: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最大值</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7.88</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29</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5.5</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0.108</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0.07</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0.29</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0.01</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340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标准</w:t>
            </w:r>
            <w:r>
              <w:rPr>
                <w:rFonts w:ascii="Times New Roman" w:hAnsi="Times New Roman"/>
                <w:szCs w:val="21"/>
              </w:rPr>
              <w:t>指数</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0.56</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0.97</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0.92</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0.072</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0.233</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0.19</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0.02</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0.017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92" w:type="dxa"/>
            <w:vMerge w:val="continue"/>
            <w:vAlign w:val="center"/>
          </w:tcPr>
          <w:p>
            <w:pPr>
              <w:spacing w:line="240" w:lineRule="atLeast"/>
              <w:jc w:val="center"/>
              <w:rPr>
                <w:rFonts w:ascii="Times New Roman" w:hAnsi="Times New Roman"/>
                <w:szCs w:val="21"/>
              </w:rPr>
            </w:pPr>
          </w:p>
        </w:tc>
        <w:tc>
          <w:tcPr>
            <w:tcW w:w="1392"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r>
              <w:rPr>
                <w:rFonts w:ascii="Times New Roman" w:hAnsi="Times New Roman"/>
                <w:szCs w:val="21"/>
              </w:rPr>
              <w:t>情况</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0"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c>
          <w:tcPr>
            <w:tcW w:w="1396"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bl>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sectPr>
          <w:pgSz w:w="16838" w:h="11906" w:orient="landscape"/>
          <w:pgMar w:top="1800" w:right="1440" w:bottom="1800" w:left="1440" w:header="851" w:footer="992" w:gutter="0"/>
          <w:cols w:space="425" w:num="1"/>
          <w:docGrid w:type="lines" w:linePitch="312" w:charSpace="0"/>
        </w:sectPr>
      </w:pP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根据表4.3-</w:t>
      </w:r>
      <w:r>
        <w:rPr>
          <w:rFonts w:ascii="Times New Roman" w:hAnsi="Times New Roman"/>
          <w:color w:val="000000"/>
          <w:sz w:val="24"/>
          <w:szCs w:val="24"/>
        </w:rPr>
        <w:t>4</w:t>
      </w:r>
      <w:r>
        <w:rPr>
          <w:rFonts w:hint="eastAsia" w:ascii="Times New Roman" w:hAnsi="Times New Roman"/>
          <w:color w:val="000000"/>
          <w:sz w:val="24"/>
          <w:szCs w:val="24"/>
        </w:rPr>
        <w:t>和</w:t>
      </w:r>
      <w:r>
        <w:rPr>
          <w:rFonts w:ascii="Times New Roman" w:hAnsi="Times New Roman"/>
          <w:color w:val="000000"/>
          <w:sz w:val="24"/>
          <w:szCs w:val="24"/>
        </w:rPr>
        <w:t>表</w:t>
      </w:r>
      <w:r>
        <w:rPr>
          <w:rFonts w:hint="eastAsia" w:ascii="Times New Roman" w:hAnsi="Times New Roman"/>
          <w:color w:val="000000"/>
          <w:sz w:val="24"/>
          <w:szCs w:val="24"/>
        </w:rPr>
        <w:t>4.3</w:t>
      </w:r>
      <w:r>
        <w:rPr>
          <w:rFonts w:ascii="Times New Roman" w:hAnsi="Times New Roman"/>
          <w:color w:val="000000"/>
          <w:sz w:val="24"/>
          <w:szCs w:val="24"/>
        </w:rPr>
        <w:t>-5</w:t>
      </w:r>
      <w:r>
        <w:rPr>
          <w:rFonts w:hint="eastAsia" w:ascii="Times New Roman" w:hAnsi="Times New Roman"/>
          <w:color w:val="000000"/>
          <w:sz w:val="24"/>
          <w:szCs w:val="24"/>
        </w:rPr>
        <w:t>可知，本项目所对的蜻蛉河湾保村断面、那化村断面、小雷宰公路断面和黑泥坡断面水质均满足《地表水环境质量标准》（GB3838-2002）中IV类水域标准要求。</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4、地表水环境质量小结</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根据云南中科检测技术有限公司于201</w:t>
      </w:r>
      <w:r>
        <w:rPr>
          <w:rFonts w:ascii="Times New Roman" w:hAnsi="Times New Roman"/>
          <w:color w:val="000000"/>
          <w:sz w:val="24"/>
          <w:szCs w:val="24"/>
        </w:rPr>
        <w:t>9</w:t>
      </w:r>
      <w:r>
        <w:rPr>
          <w:rFonts w:hint="eastAsia" w:ascii="Times New Roman" w:hAnsi="Times New Roman"/>
          <w:color w:val="000000"/>
          <w:sz w:val="24"/>
          <w:szCs w:val="24"/>
        </w:rPr>
        <w:t>年</w:t>
      </w:r>
      <w:r>
        <w:rPr>
          <w:rFonts w:ascii="Times New Roman" w:hAnsi="Times New Roman"/>
          <w:color w:val="000000"/>
          <w:sz w:val="24"/>
          <w:szCs w:val="24"/>
        </w:rPr>
        <w:t>7</w:t>
      </w:r>
      <w:r>
        <w:rPr>
          <w:rFonts w:hint="eastAsia" w:ascii="Times New Roman" w:hAnsi="Times New Roman"/>
          <w:color w:val="000000"/>
          <w:sz w:val="24"/>
          <w:szCs w:val="24"/>
        </w:rPr>
        <w:t>月1</w:t>
      </w:r>
      <w:r>
        <w:rPr>
          <w:rFonts w:ascii="Times New Roman" w:hAnsi="Times New Roman"/>
          <w:color w:val="000000"/>
          <w:sz w:val="24"/>
          <w:szCs w:val="24"/>
        </w:rPr>
        <w:t>5</w:t>
      </w:r>
      <w:r>
        <w:rPr>
          <w:rFonts w:hint="eastAsia" w:ascii="Times New Roman" w:hAnsi="Times New Roman"/>
          <w:color w:val="000000"/>
          <w:sz w:val="24"/>
          <w:szCs w:val="24"/>
        </w:rPr>
        <w:t>日-201</w:t>
      </w:r>
      <w:r>
        <w:rPr>
          <w:rFonts w:ascii="Times New Roman" w:hAnsi="Times New Roman"/>
          <w:color w:val="000000"/>
          <w:sz w:val="24"/>
          <w:szCs w:val="24"/>
        </w:rPr>
        <w:t>9</w:t>
      </w:r>
      <w:r>
        <w:rPr>
          <w:rFonts w:hint="eastAsia" w:ascii="Times New Roman" w:hAnsi="Times New Roman"/>
          <w:color w:val="000000"/>
          <w:sz w:val="24"/>
          <w:szCs w:val="24"/>
        </w:rPr>
        <w:t>年</w:t>
      </w:r>
      <w:r>
        <w:rPr>
          <w:rFonts w:ascii="Times New Roman" w:hAnsi="Times New Roman"/>
          <w:color w:val="000000"/>
          <w:sz w:val="24"/>
          <w:szCs w:val="24"/>
        </w:rPr>
        <w:t>7</w:t>
      </w:r>
      <w:r>
        <w:rPr>
          <w:rFonts w:hint="eastAsia" w:ascii="Times New Roman" w:hAnsi="Times New Roman"/>
          <w:color w:val="000000"/>
          <w:sz w:val="24"/>
          <w:szCs w:val="24"/>
        </w:rPr>
        <w:t>月</w:t>
      </w:r>
      <w:r>
        <w:rPr>
          <w:rFonts w:ascii="Times New Roman" w:hAnsi="Times New Roman"/>
          <w:color w:val="000000"/>
          <w:sz w:val="24"/>
          <w:szCs w:val="24"/>
        </w:rPr>
        <w:t>17</w:t>
      </w:r>
      <w:r>
        <w:rPr>
          <w:rFonts w:hint="eastAsia" w:ascii="Times New Roman" w:hAnsi="Times New Roman"/>
          <w:color w:val="000000"/>
          <w:sz w:val="24"/>
          <w:szCs w:val="24"/>
        </w:rPr>
        <w:t>日对蜻蛉河湾保村断面、那化村断面、小雷宰公路断面和黑泥坡断面监测数据表明，蜻蛉河水质能达到《地表水环境质量标准》（GB3838-2002）IV类水体标准的要求，单因子评价指数均小于1，项目所在区域地表水环境质量良好。</w:t>
      </w:r>
    </w:p>
    <w:p>
      <w:pPr>
        <w:pStyle w:val="6"/>
        <w:spacing w:line="360" w:lineRule="auto"/>
        <w:ind w:firstLine="482" w:firstLineChars="200"/>
        <w:rPr>
          <w:rFonts w:ascii="Times New Roman" w:hAnsi="Times New Roman" w:eastAsia="宋体" w:cs="Times New Roman"/>
          <w:sz w:val="24"/>
        </w:rPr>
      </w:pPr>
      <w:bookmarkStart w:id="231" w:name="_Toc1583"/>
      <w:bookmarkStart w:id="232" w:name="_Toc23843355"/>
      <w:r>
        <w:rPr>
          <w:rFonts w:hint="eastAsia" w:ascii="Times New Roman" w:hAnsi="Times New Roman" w:eastAsia="宋体" w:cs="Times New Roman"/>
          <w:sz w:val="24"/>
        </w:rPr>
        <w:t>4.3.3声环境质量现状分析</w:t>
      </w:r>
      <w:bookmarkEnd w:id="231"/>
      <w:bookmarkEnd w:id="232"/>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2019年7月元谋</w:t>
      </w:r>
      <w:r>
        <w:rPr>
          <w:rFonts w:ascii="Times New Roman" w:hAnsi="Times New Roman"/>
          <w:color w:val="000000"/>
          <w:sz w:val="24"/>
          <w:szCs w:val="24"/>
        </w:rPr>
        <w:t>工业园区管委会委托云南中科环境检测公司对金雷片区所在地进行了</w:t>
      </w:r>
      <w:r>
        <w:rPr>
          <w:rFonts w:hint="eastAsia" w:ascii="Times New Roman" w:hAnsi="Times New Roman"/>
          <w:color w:val="000000"/>
          <w:sz w:val="24"/>
          <w:szCs w:val="24"/>
        </w:rPr>
        <w:t>声环境</w:t>
      </w:r>
      <w:r>
        <w:rPr>
          <w:rFonts w:ascii="Times New Roman" w:hAnsi="Times New Roman"/>
          <w:color w:val="000000"/>
          <w:sz w:val="24"/>
          <w:szCs w:val="24"/>
        </w:rPr>
        <w:t>现状监测。</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1、监测项目：等效连续A声级Leq。</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监测布点：共设置8个</w:t>
      </w:r>
      <w:r>
        <w:rPr>
          <w:rFonts w:ascii="Times New Roman" w:hAnsi="Times New Roman"/>
          <w:color w:val="000000"/>
          <w:sz w:val="24"/>
          <w:szCs w:val="24"/>
        </w:rPr>
        <w:t>声环境现状监测点位</w:t>
      </w:r>
      <w:r>
        <w:rPr>
          <w:rFonts w:hint="eastAsia" w:ascii="Times New Roman" w:hAnsi="Times New Roman"/>
          <w:color w:val="000000"/>
          <w:sz w:val="24"/>
          <w:szCs w:val="24"/>
        </w:rPr>
        <w:t>，监测布点图见监测报告附件10。</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2、监测频率：监测2天，每天昼夜各监测一次。</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3、评价标准：执行《声环境质量标准》（GB3096-2008）3类及2类标准。</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金雷片区声环境质量现状监测与评价结果见表4.3-6。</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表4.3-6   噪声检测结果一览表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62"/>
        <w:gridCol w:w="992"/>
        <w:gridCol w:w="1276"/>
        <w:gridCol w:w="1276"/>
        <w:gridCol w:w="995"/>
        <w:gridCol w:w="7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监测</w:t>
            </w:r>
            <w:r>
              <w:rPr>
                <w:rFonts w:ascii="Times New Roman" w:hAnsi="Times New Roman"/>
                <w:szCs w:val="21"/>
              </w:rPr>
              <w:t>点</w:t>
            </w:r>
          </w:p>
        </w:tc>
        <w:tc>
          <w:tcPr>
            <w:tcW w:w="99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监测</w:t>
            </w:r>
          </w:p>
          <w:p>
            <w:pPr>
              <w:spacing w:line="240" w:lineRule="atLeast"/>
              <w:jc w:val="center"/>
              <w:rPr>
                <w:rFonts w:ascii="Times New Roman" w:hAnsi="Times New Roman"/>
                <w:szCs w:val="21"/>
              </w:rPr>
            </w:pPr>
            <w:r>
              <w:rPr>
                <w:rFonts w:ascii="Times New Roman" w:hAnsi="Times New Roman"/>
                <w:szCs w:val="21"/>
              </w:rPr>
              <w:t>时间</w:t>
            </w:r>
          </w:p>
        </w:tc>
        <w:tc>
          <w:tcPr>
            <w:tcW w:w="2552" w:type="dxa"/>
            <w:gridSpan w:val="2"/>
            <w:vAlign w:val="center"/>
          </w:tcPr>
          <w:p>
            <w:pPr>
              <w:spacing w:line="240" w:lineRule="atLeast"/>
              <w:jc w:val="center"/>
              <w:rPr>
                <w:rFonts w:ascii="Times New Roman" w:hAnsi="Times New Roman"/>
                <w:szCs w:val="21"/>
              </w:rPr>
            </w:pPr>
            <w:r>
              <w:rPr>
                <w:rFonts w:hint="eastAsia" w:ascii="Times New Roman" w:hAnsi="Times New Roman"/>
                <w:szCs w:val="21"/>
              </w:rPr>
              <w:t>Leq dB(</w:t>
            </w:r>
            <w:r>
              <w:rPr>
                <w:rFonts w:ascii="Times New Roman" w:hAnsi="Times New Roman"/>
                <w:szCs w:val="21"/>
              </w:rPr>
              <w:t>A</w:t>
            </w:r>
            <w:r>
              <w:rPr>
                <w:rFonts w:hint="eastAsia" w:ascii="Times New Roman" w:hAnsi="Times New Roman"/>
                <w:szCs w:val="21"/>
              </w:rPr>
              <w:t>)</w:t>
            </w:r>
          </w:p>
        </w:tc>
        <w:tc>
          <w:tcPr>
            <w:tcW w:w="995"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标准</w:t>
            </w:r>
            <w:r>
              <w:rPr>
                <w:rFonts w:ascii="Times New Roman" w:hAnsi="Times New Roman"/>
                <w:szCs w:val="21"/>
              </w:rPr>
              <w:t>值dB</w:t>
            </w:r>
            <w:r>
              <w:rPr>
                <w:rFonts w:hint="eastAsia" w:ascii="Times New Roman" w:hAnsi="Times New Roman"/>
                <w:szCs w:val="21"/>
              </w:rPr>
              <w:t>(</w:t>
            </w:r>
            <w:r>
              <w:rPr>
                <w:rFonts w:ascii="Times New Roman" w:hAnsi="Times New Roman"/>
                <w:szCs w:val="21"/>
              </w:rPr>
              <w:t>A)</w:t>
            </w:r>
          </w:p>
        </w:tc>
        <w:tc>
          <w:tcPr>
            <w:tcW w:w="775"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达标</w:t>
            </w:r>
            <w:r>
              <w:rPr>
                <w:rFonts w:ascii="Times New Roman" w:hAnsi="Times New Roman"/>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continue"/>
            <w:vAlign w:val="center"/>
          </w:tcPr>
          <w:p>
            <w:pPr>
              <w:spacing w:line="240" w:lineRule="atLeast"/>
              <w:jc w:val="center"/>
              <w:rPr>
                <w:rFonts w:ascii="Times New Roman" w:hAnsi="Times New Roman"/>
                <w:szCs w:val="21"/>
              </w:rPr>
            </w:pPr>
          </w:p>
        </w:tc>
        <w:tc>
          <w:tcPr>
            <w:tcW w:w="992"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2019.07.1</w:t>
            </w:r>
            <w:r>
              <w:rPr>
                <w:rFonts w:ascii="Times New Roman" w:hAnsi="Times New Roman"/>
                <w:szCs w:val="21"/>
              </w:rPr>
              <w:t>0</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2019.07.</w:t>
            </w:r>
            <w:r>
              <w:rPr>
                <w:rFonts w:ascii="Times New Roman" w:hAnsi="Times New Roman"/>
                <w:szCs w:val="21"/>
              </w:rPr>
              <w:t>11</w:t>
            </w:r>
          </w:p>
        </w:tc>
        <w:tc>
          <w:tcPr>
            <w:tcW w:w="995" w:type="dxa"/>
            <w:vMerge w:val="continue"/>
            <w:vAlign w:val="center"/>
          </w:tcPr>
          <w:p>
            <w:pPr>
              <w:spacing w:line="240" w:lineRule="atLeast"/>
              <w:jc w:val="center"/>
              <w:rPr>
                <w:rFonts w:ascii="Times New Roman" w:hAnsi="Times New Roman"/>
                <w:szCs w:val="21"/>
              </w:rPr>
            </w:pPr>
          </w:p>
        </w:tc>
        <w:tc>
          <w:tcPr>
            <w:tcW w:w="775"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N1：</w:t>
            </w:r>
            <w:r>
              <w:rPr>
                <w:rFonts w:ascii="Times New Roman" w:hAnsi="Times New Roman"/>
                <w:szCs w:val="21"/>
              </w:rPr>
              <w:t>小新村</w:t>
            </w:r>
            <w:r>
              <w:rPr>
                <w:rFonts w:hint="eastAsia" w:ascii="Times New Roman" w:hAnsi="Times New Roman"/>
                <w:szCs w:val="21"/>
              </w:rPr>
              <w:t>监测</w:t>
            </w:r>
            <w:r>
              <w:rPr>
                <w:rFonts w:ascii="Times New Roman" w:hAnsi="Times New Roman"/>
                <w:szCs w:val="21"/>
              </w:rPr>
              <w:t>点</w:t>
            </w:r>
            <w:r>
              <w:rPr>
                <w:rFonts w:hint="eastAsia" w:ascii="Times New Roman" w:hAnsi="Times New Roman"/>
                <w:szCs w:val="21"/>
              </w:rPr>
              <w:t>（</w:t>
            </w:r>
            <w:r>
              <w:rPr>
                <w:rFonts w:ascii="Times New Roman" w:hAnsi="Times New Roman"/>
                <w:szCs w:val="21"/>
              </w:rPr>
              <w:t>E101°</w:t>
            </w:r>
            <w:r>
              <w:rPr>
                <w:rFonts w:hint="eastAsia" w:ascii="Times New Roman" w:hAnsi="Times New Roman"/>
                <w:szCs w:val="21"/>
              </w:rPr>
              <w:t>50</w:t>
            </w:r>
            <w:r>
              <w:rPr>
                <w:rFonts w:ascii="Times New Roman" w:hAnsi="Times New Roman"/>
                <w:szCs w:val="21"/>
              </w:rPr>
              <w:t>′</w:t>
            </w:r>
            <w:r>
              <w:rPr>
                <w:rFonts w:hint="eastAsia" w:ascii="Times New Roman" w:hAnsi="Times New Roman"/>
                <w:szCs w:val="21"/>
              </w:rPr>
              <w:t>13</w:t>
            </w:r>
            <w:r>
              <w:rPr>
                <w:rFonts w:ascii="Times New Roman" w:hAnsi="Times New Roman"/>
                <w:szCs w:val="21"/>
              </w:rPr>
              <w:t>″，N25°5</w:t>
            </w:r>
            <w:r>
              <w:rPr>
                <w:rFonts w:hint="eastAsia" w:ascii="Times New Roman" w:hAnsi="Times New Roman"/>
                <w:szCs w:val="21"/>
              </w:rPr>
              <w:t>0</w:t>
            </w:r>
            <w:r>
              <w:rPr>
                <w:rFonts w:ascii="Times New Roman" w:hAnsi="Times New Roman"/>
                <w:szCs w:val="21"/>
              </w:rPr>
              <w:t>′</w:t>
            </w:r>
            <w:r>
              <w:rPr>
                <w:rFonts w:hint="eastAsia" w:ascii="Times New Roman" w:hAnsi="Times New Roman"/>
                <w:szCs w:val="21"/>
              </w:rPr>
              <w:t>2</w:t>
            </w:r>
            <w:r>
              <w:rPr>
                <w:rFonts w:ascii="Times New Roman" w:hAnsi="Times New Roman"/>
                <w:szCs w:val="21"/>
              </w:rPr>
              <w:t>7″</w:t>
            </w:r>
            <w:r>
              <w:rPr>
                <w:rFonts w:hint="eastAsia" w:ascii="Times New Roman" w:hAnsi="Times New Roman"/>
                <w:szCs w:val="21"/>
              </w:rPr>
              <w:t>）</w:t>
            </w: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昼间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52.1</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53.5</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continue"/>
            <w:vAlign w:val="center"/>
          </w:tcPr>
          <w:p>
            <w:pPr>
              <w:spacing w:line="240" w:lineRule="atLeast"/>
              <w:jc w:val="center"/>
              <w:rPr>
                <w:rFonts w:ascii="Times New Roman" w:hAnsi="Times New Roman"/>
                <w:szCs w:val="21"/>
              </w:rPr>
            </w:pP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夜间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44.3</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42.9</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N2：</w:t>
            </w:r>
            <w:r>
              <w:rPr>
                <w:rFonts w:ascii="Times New Roman" w:hAnsi="Times New Roman"/>
                <w:szCs w:val="21"/>
              </w:rPr>
              <w:t>金雷园区东</w:t>
            </w:r>
            <w:r>
              <w:rPr>
                <w:rFonts w:hint="eastAsia" w:ascii="Times New Roman" w:hAnsi="Times New Roman"/>
                <w:szCs w:val="21"/>
              </w:rPr>
              <w:t>侧（</w:t>
            </w:r>
            <w:r>
              <w:rPr>
                <w:rFonts w:ascii="Times New Roman" w:hAnsi="Times New Roman"/>
                <w:szCs w:val="21"/>
              </w:rPr>
              <w:t>E101°</w:t>
            </w:r>
            <w:r>
              <w:rPr>
                <w:rFonts w:hint="eastAsia" w:ascii="Times New Roman" w:hAnsi="Times New Roman"/>
                <w:szCs w:val="21"/>
              </w:rPr>
              <w:t>50</w:t>
            </w:r>
            <w:r>
              <w:rPr>
                <w:rFonts w:ascii="Times New Roman" w:hAnsi="Times New Roman"/>
                <w:szCs w:val="21"/>
              </w:rPr>
              <w:t>′</w:t>
            </w:r>
            <w:r>
              <w:rPr>
                <w:rFonts w:hint="eastAsia" w:ascii="Times New Roman" w:hAnsi="Times New Roman"/>
                <w:szCs w:val="21"/>
              </w:rPr>
              <w:t>52</w:t>
            </w:r>
            <w:r>
              <w:rPr>
                <w:rFonts w:ascii="Times New Roman" w:hAnsi="Times New Roman"/>
                <w:szCs w:val="21"/>
              </w:rPr>
              <w:t>″，N25°51′</w:t>
            </w:r>
            <w:r>
              <w:rPr>
                <w:rFonts w:hint="eastAsia" w:ascii="Times New Roman" w:hAnsi="Times New Roman"/>
                <w:szCs w:val="21"/>
              </w:rPr>
              <w:t>12</w:t>
            </w:r>
            <w:r>
              <w:rPr>
                <w:rFonts w:ascii="Times New Roman" w:hAnsi="Times New Roman"/>
                <w:szCs w:val="21"/>
              </w:rPr>
              <w:t>″</w:t>
            </w:r>
            <w:r>
              <w:rPr>
                <w:rFonts w:hint="eastAsia" w:ascii="Times New Roman" w:hAnsi="Times New Roman"/>
                <w:szCs w:val="21"/>
              </w:rPr>
              <w:t>）</w:t>
            </w: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昼间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47.8</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48.8</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continue"/>
            <w:vAlign w:val="center"/>
          </w:tcPr>
          <w:p>
            <w:pPr>
              <w:spacing w:line="240" w:lineRule="atLeast"/>
              <w:jc w:val="center"/>
              <w:rPr>
                <w:rFonts w:ascii="Times New Roman" w:hAnsi="Times New Roman"/>
                <w:szCs w:val="21"/>
              </w:rPr>
            </w:pP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夜间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39.7</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40.2</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N3：</w:t>
            </w:r>
            <w:r>
              <w:rPr>
                <w:rFonts w:ascii="Times New Roman" w:hAnsi="Times New Roman"/>
                <w:szCs w:val="21"/>
              </w:rPr>
              <w:t>金雷园区南侧</w:t>
            </w:r>
            <w:r>
              <w:rPr>
                <w:rFonts w:hint="eastAsia" w:ascii="Times New Roman" w:hAnsi="Times New Roman"/>
                <w:szCs w:val="21"/>
              </w:rPr>
              <w:t>（</w:t>
            </w:r>
            <w:r>
              <w:rPr>
                <w:rFonts w:ascii="Times New Roman" w:hAnsi="Times New Roman"/>
                <w:szCs w:val="21"/>
              </w:rPr>
              <w:t>E101°4</w:t>
            </w:r>
            <w:r>
              <w:rPr>
                <w:rFonts w:hint="eastAsia" w:ascii="Times New Roman" w:hAnsi="Times New Roman"/>
                <w:szCs w:val="21"/>
              </w:rPr>
              <w:t>9</w:t>
            </w:r>
            <w:r>
              <w:rPr>
                <w:rFonts w:ascii="Times New Roman" w:hAnsi="Times New Roman"/>
                <w:szCs w:val="21"/>
              </w:rPr>
              <w:t>′</w:t>
            </w:r>
            <w:r>
              <w:rPr>
                <w:rFonts w:hint="eastAsia" w:ascii="Times New Roman" w:hAnsi="Times New Roman"/>
                <w:szCs w:val="21"/>
              </w:rPr>
              <w:t>16</w:t>
            </w:r>
            <w:r>
              <w:rPr>
                <w:rFonts w:ascii="Times New Roman" w:hAnsi="Times New Roman"/>
                <w:szCs w:val="21"/>
              </w:rPr>
              <w:t>″，N25°5</w:t>
            </w:r>
            <w:r>
              <w:rPr>
                <w:rFonts w:hint="eastAsia" w:ascii="Times New Roman" w:hAnsi="Times New Roman"/>
                <w:szCs w:val="21"/>
              </w:rPr>
              <w:t>0</w:t>
            </w:r>
            <w:r>
              <w:rPr>
                <w:rFonts w:ascii="Times New Roman" w:hAnsi="Times New Roman"/>
                <w:szCs w:val="21"/>
              </w:rPr>
              <w:t>′</w:t>
            </w:r>
            <w:r>
              <w:rPr>
                <w:rFonts w:hint="eastAsia" w:ascii="Times New Roman" w:hAnsi="Times New Roman"/>
                <w:szCs w:val="21"/>
              </w:rPr>
              <w:t>50</w:t>
            </w:r>
            <w:r>
              <w:rPr>
                <w:rFonts w:ascii="Times New Roman" w:hAnsi="Times New Roman"/>
                <w:szCs w:val="21"/>
              </w:rPr>
              <w:t>″</w:t>
            </w:r>
            <w:r>
              <w:rPr>
                <w:rFonts w:hint="eastAsia" w:ascii="Times New Roman" w:hAnsi="Times New Roman"/>
                <w:szCs w:val="21"/>
              </w:rPr>
              <w:t>）</w:t>
            </w: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昼间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51.7</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50.6</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continue"/>
            <w:vAlign w:val="center"/>
          </w:tcPr>
          <w:p>
            <w:pPr>
              <w:spacing w:line="240" w:lineRule="atLeast"/>
              <w:jc w:val="center"/>
              <w:rPr>
                <w:rFonts w:ascii="Times New Roman" w:hAnsi="Times New Roman"/>
                <w:szCs w:val="21"/>
              </w:rPr>
            </w:pP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夜间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43.3</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43.2</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N4：</w:t>
            </w:r>
            <w:r>
              <w:rPr>
                <w:rFonts w:ascii="Times New Roman" w:hAnsi="Times New Roman"/>
                <w:szCs w:val="21"/>
              </w:rPr>
              <w:t>金雷园区西侧</w:t>
            </w:r>
            <w:r>
              <w:rPr>
                <w:rFonts w:hint="eastAsia" w:ascii="Times New Roman" w:hAnsi="Times New Roman"/>
                <w:szCs w:val="21"/>
              </w:rPr>
              <w:t>（</w:t>
            </w:r>
            <w:r>
              <w:rPr>
                <w:rFonts w:ascii="Times New Roman" w:hAnsi="Times New Roman"/>
                <w:szCs w:val="21"/>
              </w:rPr>
              <w:t>E101°4</w:t>
            </w:r>
            <w:r>
              <w:rPr>
                <w:rFonts w:hint="eastAsia" w:ascii="Times New Roman" w:hAnsi="Times New Roman"/>
                <w:szCs w:val="21"/>
              </w:rPr>
              <w:t>9</w:t>
            </w:r>
            <w:r>
              <w:rPr>
                <w:rFonts w:ascii="Times New Roman" w:hAnsi="Times New Roman"/>
                <w:szCs w:val="21"/>
              </w:rPr>
              <w:t>′</w:t>
            </w:r>
            <w:r>
              <w:rPr>
                <w:rFonts w:hint="eastAsia" w:ascii="Times New Roman" w:hAnsi="Times New Roman"/>
                <w:szCs w:val="21"/>
              </w:rPr>
              <w:t>36</w:t>
            </w:r>
            <w:r>
              <w:rPr>
                <w:rFonts w:ascii="Times New Roman" w:hAnsi="Times New Roman"/>
                <w:szCs w:val="21"/>
              </w:rPr>
              <w:t>″，N25°51′</w:t>
            </w:r>
            <w:r>
              <w:rPr>
                <w:rFonts w:hint="eastAsia" w:ascii="Times New Roman" w:hAnsi="Times New Roman"/>
                <w:szCs w:val="21"/>
              </w:rPr>
              <w:t>28</w:t>
            </w:r>
            <w:r>
              <w:rPr>
                <w:rFonts w:ascii="Times New Roman" w:hAnsi="Times New Roman"/>
                <w:szCs w:val="21"/>
              </w:rPr>
              <w:t>″</w:t>
            </w:r>
            <w:r>
              <w:rPr>
                <w:rFonts w:hint="eastAsia" w:ascii="Times New Roman" w:hAnsi="Times New Roman"/>
                <w:szCs w:val="21"/>
              </w:rPr>
              <w:t>）</w:t>
            </w: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昼间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50.5</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49.7</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continue"/>
            <w:vAlign w:val="center"/>
          </w:tcPr>
          <w:p>
            <w:pPr>
              <w:spacing w:line="240" w:lineRule="atLeast"/>
              <w:jc w:val="center"/>
              <w:rPr>
                <w:rFonts w:ascii="Times New Roman" w:hAnsi="Times New Roman"/>
                <w:szCs w:val="21"/>
              </w:rPr>
            </w:pP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夜间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42.3</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41.2</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N5：</w:t>
            </w:r>
            <w:r>
              <w:rPr>
                <w:rFonts w:ascii="Times New Roman" w:hAnsi="Times New Roman"/>
                <w:szCs w:val="21"/>
              </w:rPr>
              <w:t>齐兴包装厂西侧</w:t>
            </w:r>
            <w:r>
              <w:rPr>
                <w:rFonts w:hint="eastAsia" w:ascii="Times New Roman" w:hAnsi="Times New Roman"/>
                <w:szCs w:val="21"/>
              </w:rPr>
              <w:t>（</w:t>
            </w:r>
            <w:r>
              <w:rPr>
                <w:rFonts w:ascii="Times New Roman" w:hAnsi="Times New Roman"/>
                <w:szCs w:val="21"/>
              </w:rPr>
              <w:t>E101°</w:t>
            </w:r>
            <w:r>
              <w:rPr>
                <w:rFonts w:hint="eastAsia" w:ascii="Times New Roman" w:hAnsi="Times New Roman"/>
                <w:szCs w:val="21"/>
              </w:rPr>
              <w:t>49</w:t>
            </w:r>
            <w:r>
              <w:rPr>
                <w:rFonts w:ascii="Times New Roman" w:hAnsi="Times New Roman"/>
                <w:szCs w:val="21"/>
              </w:rPr>
              <w:t>′</w:t>
            </w:r>
            <w:r>
              <w:rPr>
                <w:rFonts w:hint="eastAsia" w:ascii="Times New Roman" w:hAnsi="Times New Roman"/>
                <w:szCs w:val="21"/>
              </w:rPr>
              <w:t>37</w:t>
            </w:r>
            <w:r>
              <w:rPr>
                <w:rFonts w:ascii="Times New Roman" w:hAnsi="Times New Roman"/>
                <w:szCs w:val="21"/>
              </w:rPr>
              <w:t>″，N25°51′</w:t>
            </w:r>
            <w:r>
              <w:rPr>
                <w:rFonts w:hint="eastAsia" w:ascii="Times New Roman" w:hAnsi="Times New Roman"/>
                <w:szCs w:val="21"/>
              </w:rPr>
              <w:t>49</w:t>
            </w:r>
            <w:r>
              <w:rPr>
                <w:rFonts w:ascii="Times New Roman" w:hAnsi="Times New Roman"/>
                <w:szCs w:val="21"/>
              </w:rPr>
              <w:t>″</w:t>
            </w:r>
            <w:r>
              <w:rPr>
                <w:rFonts w:hint="eastAsia" w:ascii="Times New Roman" w:hAnsi="Times New Roman"/>
                <w:szCs w:val="21"/>
              </w:rPr>
              <w:t>）</w:t>
            </w: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昼间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49.4</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51.1</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continue"/>
            <w:vAlign w:val="center"/>
          </w:tcPr>
          <w:p>
            <w:pPr>
              <w:spacing w:line="240" w:lineRule="atLeast"/>
              <w:jc w:val="center"/>
              <w:rPr>
                <w:rFonts w:ascii="Times New Roman" w:hAnsi="Times New Roman"/>
                <w:szCs w:val="21"/>
              </w:rPr>
            </w:pP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夜间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40.2</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40.4</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N6：小雷宰村</w:t>
            </w:r>
          </w:p>
          <w:p>
            <w:pPr>
              <w:spacing w:line="240" w:lineRule="atLeast"/>
              <w:jc w:val="center"/>
              <w:rPr>
                <w:rFonts w:ascii="Times New Roman" w:hAnsi="Times New Roman"/>
                <w:szCs w:val="21"/>
              </w:rPr>
            </w:pPr>
            <w:r>
              <w:rPr>
                <w:rFonts w:hint="eastAsia" w:ascii="Times New Roman" w:hAnsi="Times New Roman"/>
                <w:szCs w:val="21"/>
              </w:rPr>
              <w:t>（</w:t>
            </w:r>
            <w:r>
              <w:rPr>
                <w:rFonts w:ascii="Times New Roman" w:hAnsi="Times New Roman"/>
                <w:szCs w:val="21"/>
              </w:rPr>
              <w:t>E101°4</w:t>
            </w:r>
            <w:r>
              <w:rPr>
                <w:rFonts w:hint="eastAsia" w:ascii="Times New Roman" w:hAnsi="Times New Roman"/>
                <w:szCs w:val="21"/>
              </w:rPr>
              <w:t>9</w:t>
            </w:r>
            <w:r>
              <w:rPr>
                <w:rFonts w:ascii="Times New Roman" w:hAnsi="Times New Roman"/>
                <w:szCs w:val="21"/>
              </w:rPr>
              <w:t>′</w:t>
            </w:r>
            <w:r>
              <w:rPr>
                <w:rFonts w:hint="eastAsia" w:ascii="Times New Roman" w:hAnsi="Times New Roman"/>
                <w:szCs w:val="21"/>
              </w:rPr>
              <w:t>56</w:t>
            </w:r>
            <w:r>
              <w:rPr>
                <w:rFonts w:ascii="Times New Roman" w:hAnsi="Times New Roman"/>
                <w:szCs w:val="21"/>
              </w:rPr>
              <w:t>″，N25°51′</w:t>
            </w:r>
            <w:r>
              <w:rPr>
                <w:rFonts w:hint="eastAsia" w:ascii="Times New Roman" w:hAnsi="Times New Roman"/>
                <w:szCs w:val="21"/>
              </w:rPr>
              <w:t>43</w:t>
            </w:r>
            <w:r>
              <w:rPr>
                <w:rFonts w:ascii="Times New Roman" w:hAnsi="Times New Roman"/>
                <w:szCs w:val="21"/>
              </w:rPr>
              <w:t>″</w:t>
            </w:r>
            <w:r>
              <w:rPr>
                <w:rFonts w:hint="eastAsia" w:ascii="Times New Roman" w:hAnsi="Times New Roman"/>
                <w:szCs w:val="21"/>
              </w:rPr>
              <w:t>）</w:t>
            </w: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昼间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53.5</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54.1</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continue"/>
            <w:vAlign w:val="center"/>
          </w:tcPr>
          <w:p>
            <w:pPr>
              <w:spacing w:line="240" w:lineRule="atLeast"/>
              <w:jc w:val="center"/>
              <w:rPr>
                <w:rFonts w:ascii="Times New Roman" w:hAnsi="Times New Roman"/>
                <w:szCs w:val="21"/>
              </w:rPr>
            </w:pP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夜间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42.8</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44.5</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N7：湾保村</w:t>
            </w:r>
          </w:p>
          <w:p>
            <w:pPr>
              <w:pStyle w:val="9"/>
              <w:spacing w:line="240" w:lineRule="atLeast"/>
              <w:rPr>
                <w:rFonts w:ascii="Times New Roman" w:hAnsi="Times New Roman"/>
                <w:szCs w:val="21"/>
              </w:rPr>
            </w:pPr>
            <w:r>
              <w:rPr>
                <w:rFonts w:hint="eastAsia" w:ascii="Times New Roman" w:hAnsi="Times New Roman"/>
                <w:szCs w:val="21"/>
              </w:rPr>
              <w:t>（</w:t>
            </w:r>
            <w:r>
              <w:rPr>
                <w:rFonts w:ascii="Times New Roman" w:hAnsi="Times New Roman"/>
                <w:szCs w:val="21"/>
              </w:rPr>
              <w:t>E101°48′</w:t>
            </w:r>
            <w:r>
              <w:rPr>
                <w:rFonts w:hint="eastAsia" w:ascii="Times New Roman" w:hAnsi="Times New Roman"/>
                <w:szCs w:val="21"/>
              </w:rPr>
              <w:t>15</w:t>
            </w:r>
            <w:r>
              <w:rPr>
                <w:rFonts w:ascii="Times New Roman" w:hAnsi="Times New Roman"/>
                <w:szCs w:val="21"/>
              </w:rPr>
              <w:t>″，N25°51′</w:t>
            </w:r>
            <w:r>
              <w:rPr>
                <w:rFonts w:hint="eastAsia" w:ascii="Times New Roman" w:hAnsi="Times New Roman"/>
                <w:szCs w:val="21"/>
              </w:rPr>
              <w:t>20</w:t>
            </w:r>
            <w:r>
              <w:rPr>
                <w:rFonts w:ascii="Times New Roman" w:hAnsi="Times New Roman"/>
                <w:szCs w:val="21"/>
              </w:rPr>
              <w:t>″</w:t>
            </w:r>
            <w:r>
              <w:rPr>
                <w:rFonts w:hint="eastAsia" w:ascii="Times New Roman" w:hAnsi="Times New Roman"/>
                <w:szCs w:val="21"/>
              </w:rPr>
              <w:t>）</w:t>
            </w: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昼间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55.7</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53.9</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continue"/>
            <w:vAlign w:val="center"/>
          </w:tcPr>
          <w:p>
            <w:pPr>
              <w:spacing w:line="240" w:lineRule="atLeast"/>
              <w:jc w:val="center"/>
              <w:rPr>
                <w:rFonts w:ascii="Times New Roman" w:hAnsi="Times New Roman"/>
                <w:szCs w:val="21"/>
              </w:rPr>
            </w:pP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夜间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46.2</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45.2</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N8：</w:t>
            </w:r>
            <w:r>
              <w:rPr>
                <w:rFonts w:ascii="Times New Roman" w:hAnsi="Times New Roman"/>
                <w:szCs w:val="21"/>
              </w:rPr>
              <w:t>那化村</w:t>
            </w:r>
          </w:p>
          <w:p>
            <w:pPr>
              <w:spacing w:line="240" w:lineRule="atLeast"/>
              <w:jc w:val="center"/>
              <w:rPr>
                <w:rFonts w:ascii="Times New Roman" w:hAnsi="Times New Roman"/>
                <w:szCs w:val="21"/>
              </w:rPr>
            </w:pPr>
            <w:r>
              <w:rPr>
                <w:rFonts w:hint="eastAsia" w:ascii="Times New Roman" w:hAnsi="Times New Roman"/>
                <w:szCs w:val="21"/>
              </w:rPr>
              <w:t>（</w:t>
            </w:r>
            <w:r>
              <w:rPr>
                <w:rFonts w:ascii="Times New Roman" w:hAnsi="Times New Roman"/>
                <w:szCs w:val="21"/>
              </w:rPr>
              <w:t>E101°48′</w:t>
            </w:r>
            <w:r>
              <w:rPr>
                <w:rFonts w:hint="eastAsia" w:ascii="Times New Roman" w:hAnsi="Times New Roman"/>
                <w:szCs w:val="21"/>
              </w:rPr>
              <w:t>50</w:t>
            </w:r>
            <w:r>
              <w:rPr>
                <w:rFonts w:ascii="Times New Roman" w:hAnsi="Times New Roman"/>
                <w:szCs w:val="21"/>
              </w:rPr>
              <w:t>″，N25°5</w:t>
            </w:r>
            <w:r>
              <w:rPr>
                <w:rFonts w:hint="eastAsia" w:ascii="Times New Roman" w:hAnsi="Times New Roman"/>
                <w:szCs w:val="21"/>
              </w:rPr>
              <w:t>2</w:t>
            </w:r>
            <w:r>
              <w:rPr>
                <w:rFonts w:ascii="Times New Roman" w:hAnsi="Times New Roman"/>
                <w:szCs w:val="21"/>
              </w:rPr>
              <w:t>′</w:t>
            </w:r>
            <w:r>
              <w:rPr>
                <w:rFonts w:hint="eastAsia" w:ascii="Times New Roman" w:hAnsi="Times New Roman"/>
                <w:szCs w:val="21"/>
              </w:rPr>
              <w:t>01</w:t>
            </w:r>
            <w:r>
              <w:rPr>
                <w:rFonts w:ascii="Times New Roman" w:hAnsi="Times New Roman"/>
                <w:szCs w:val="21"/>
              </w:rPr>
              <w:t>″</w:t>
            </w:r>
            <w:r>
              <w:rPr>
                <w:rFonts w:hint="eastAsia" w:ascii="Times New Roman" w:hAnsi="Times New Roman"/>
                <w:szCs w:val="21"/>
              </w:rPr>
              <w:t>）</w:t>
            </w: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昼间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56.4</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55.3</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60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62" w:type="dxa"/>
            <w:vMerge w:val="continue"/>
            <w:vAlign w:val="center"/>
          </w:tcPr>
          <w:p>
            <w:pPr>
              <w:spacing w:line="240" w:lineRule="atLeast"/>
              <w:jc w:val="center"/>
              <w:rPr>
                <w:rFonts w:ascii="Times New Roman" w:hAnsi="Times New Roman"/>
                <w:szCs w:val="21"/>
              </w:rPr>
            </w:pPr>
          </w:p>
        </w:tc>
        <w:tc>
          <w:tcPr>
            <w:tcW w:w="992" w:type="dxa"/>
            <w:vAlign w:val="center"/>
          </w:tcPr>
          <w:p>
            <w:pPr>
              <w:spacing w:line="240" w:lineRule="atLeast"/>
              <w:jc w:val="center"/>
              <w:rPr>
                <w:rFonts w:ascii="Times New Roman" w:hAnsi="Times New Roman"/>
                <w:szCs w:val="21"/>
              </w:rPr>
            </w:pPr>
            <w:r>
              <w:rPr>
                <w:rFonts w:hint="eastAsia" w:ascii="Times New Roman" w:hAnsi="Times New Roman"/>
                <w:szCs w:val="21"/>
              </w:rPr>
              <w:t>夜间</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45.2</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44.4</w:t>
            </w:r>
          </w:p>
        </w:tc>
        <w:tc>
          <w:tcPr>
            <w:tcW w:w="995"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775"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bl>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由表4.3-6可知，金雷片区噪声监测值能达到《声环境质量标准》（GB3096-2008）中3类标准要求，小雷宰村噪声监测值可以达到《声环境质量标准》（GB3096-2008）中2类标准要求，声环境现状较好。</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5、声环境质量现状小结</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根据云南中科检测技术有限公司于201</w:t>
      </w:r>
      <w:r>
        <w:rPr>
          <w:rFonts w:ascii="Times New Roman" w:hAnsi="Times New Roman"/>
          <w:color w:val="000000"/>
          <w:sz w:val="24"/>
          <w:szCs w:val="24"/>
        </w:rPr>
        <w:t>9</w:t>
      </w:r>
      <w:r>
        <w:rPr>
          <w:rFonts w:hint="eastAsia" w:ascii="Times New Roman" w:hAnsi="Times New Roman"/>
          <w:color w:val="000000"/>
          <w:sz w:val="24"/>
          <w:szCs w:val="24"/>
        </w:rPr>
        <w:t>年</w:t>
      </w:r>
      <w:r>
        <w:rPr>
          <w:rFonts w:ascii="Times New Roman" w:hAnsi="Times New Roman"/>
          <w:color w:val="000000"/>
          <w:sz w:val="24"/>
          <w:szCs w:val="24"/>
        </w:rPr>
        <w:t>7</w:t>
      </w:r>
      <w:r>
        <w:rPr>
          <w:rFonts w:hint="eastAsia" w:ascii="Times New Roman" w:hAnsi="Times New Roman"/>
          <w:color w:val="000000"/>
          <w:sz w:val="24"/>
          <w:szCs w:val="24"/>
        </w:rPr>
        <w:t>月10日-201</w:t>
      </w:r>
      <w:r>
        <w:rPr>
          <w:rFonts w:ascii="Times New Roman" w:hAnsi="Times New Roman"/>
          <w:color w:val="000000"/>
          <w:sz w:val="24"/>
          <w:szCs w:val="24"/>
        </w:rPr>
        <w:t>0</w:t>
      </w:r>
      <w:r>
        <w:rPr>
          <w:rFonts w:hint="eastAsia" w:ascii="Times New Roman" w:hAnsi="Times New Roman"/>
          <w:color w:val="000000"/>
          <w:sz w:val="24"/>
          <w:szCs w:val="24"/>
        </w:rPr>
        <w:t>年</w:t>
      </w:r>
      <w:r>
        <w:rPr>
          <w:rFonts w:ascii="Times New Roman" w:hAnsi="Times New Roman"/>
          <w:color w:val="000000"/>
          <w:sz w:val="24"/>
          <w:szCs w:val="24"/>
        </w:rPr>
        <w:t>7</w:t>
      </w:r>
      <w:r>
        <w:rPr>
          <w:rFonts w:hint="eastAsia" w:ascii="Times New Roman" w:hAnsi="Times New Roman"/>
          <w:color w:val="000000"/>
          <w:sz w:val="24"/>
          <w:szCs w:val="24"/>
        </w:rPr>
        <w:t>月1</w:t>
      </w:r>
      <w:r>
        <w:rPr>
          <w:rFonts w:ascii="Times New Roman" w:hAnsi="Times New Roman"/>
          <w:color w:val="000000"/>
          <w:sz w:val="24"/>
          <w:szCs w:val="24"/>
        </w:rPr>
        <w:t>1</w:t>
      </w:r>
      <w:r>
        <w:rPr>
          <w:rFonts w:hint="eastAsia" w:ascii="Times New Roman" w:hAnsi="Times New Roman"/>
          <w:color w:val="000000"/>
          <w:sz w:val="24"/>
          <w:szCs w:val="24"/>
        </w:rPr>
        <w:t>日对元谋工业</w:t>
      </w:r>
      <w:r>
        <w:rPr>
          <w:rFonts w:ascii="Times New Roman" w:hAnsi="Times New Roman"/>
          <w:color w:val="000000"/>
          <w:sz w:val="24"/>
          <w:szCs w:val="24"/>
        </w:rPr>
        <w:t>园区金雷片区</w:t>
      </w:r>
      <w:r>
        <w:rPr>
          <w:rFonts w:hint="eastAsia" w:ascii="Times New Roman" w:hAnsi="Times New Roman"/>
          <w:color w:val="000000"/>
          <w:sz w:val="24"/>
          <w:szCs w:val="24"/>
        </w:rPr>
        <w:t>环境噪声监测结果，金雷片区噪声监测值能达到《声环境质量标准》（GB3096-2008）中3类标准要求，小雷宰村噪声监测值可以达到《声环境质量标准》（GB3096-2008）中2类标准要求，项目所在地声环境质量现状较好。</w:t>
      </w:r>
    </w:p>
    <w:p>
      <w:pPr>
        <w:pStyle w:val="6"/>
        <w:spacing w:line="360" w:lineRule="auto"/>
        <w:ind w:firstLine="482" w:firstLineChars="200"/>
        <w:rPr>
          <w:rFonts w:ascii="Times New Roman" w:hAnsi="Times New Roman" w:eastAsia="宋体" w:cs="Times New Roman"/>
          <w:sz w:val="24"/>
        </w:rPr>
      </w:pPr>
      <w:bookmarkStart w:id="233" w:name="_Toc23843356"/>
      <w:bookmarkStart w:id="234" w:name="_Toc29169"/>
      <w:r>
        <w:rPr>
          <w:rFonts w:hint="eastAsia" w:ascii="Times New Roman" w:hAnsi="Times New Roman" w:eastAsia="宋体" w:cs="Times New Roman"/>
          <w:sz w:val="24"/>
        </w:rPr>
        <w:t>4.3.4地下水</w:t>
      </w:r>
      <w:r>
        <w:rPr>
          <w:rFonts w:ascii="Times New Roman" w:hAnsi="Times New Roman" w:eastAsia="宋体" w:cs="Times New Roman"/>
          <w:sz w:val="24"/>
        </w:rPr>
        <w:t>环境质量现状分析</w:t>
      </w:r>
      <w:bookmarkEnd w:id="233"/>
      <w:bookmarkEnd w:id="234"/>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园区</w:t>
      </w:r>
      <w:r>
        <w:rPr>
          <w:rFonts w:ascii="Times New Roman" w:hAnsi="Times New Roman"/>
          <w:color w:val="FF0000"/>
          <w:sz w:val="24"/>
          <w:szCs w:val="24"/>
        </w:rPr>
        <w:t>内供水及用水均使用自来水，</w:t>
      </w:r>
      <w:r>
        <w:rPr>
          <w:rFonts w:hint="eastAsia" w:ascii="Times New Roman" w:hAnsi="Times New Roman"/>
          <w:color w:val="FF0000"/>
          <w:sz w:val="24"/>
          <w:szCs w:val="24"/>
        </w:rPr>
        <w:t>园区</w:t>
      </w:r>
      <w:r>
        <w:rPr>
          <w:rFonts w:ascii="Times New Roman" w:hAnsi="Times New Roman"/>
          <w:color w:val="FF0000"/>
          <w:sz w:val="24"/>
          <w:szCs w:val="24"/>
        </w:rPr>
        <w:t>企业不自行开发利用地下水，周边村庄小雷宰村有一口井，现状监测数据引用</w:t>
      </w:r>
      <w:r>
        <w:rPr>
          <w:rFonts w:hint="eastAsia" w:ascii="Times New Roman" w:hAnsi="Times New Roman"/>
          <w:color w:val="FF0000"/>
          <w:sz w:val="24"/>
          <w:szCs w:val="24"/>
        </w:rPr>
        <w:t>元谋</w:t>
      </w:r>
      <w:r>
        <w:rPr>
          <w:rFonts w:ascii="Times New Roman" w:hAnsi="Times New Roman"/>
          <w:color w:val="FF0000"/>
          <w:sz w:val="24"/>
          <w:szCs w:val="24"/>
        </w:rPr>
        <w:t>工业园区</w:t>
      </w:r>
      <w:r>
        <w:rPr>
          <w:rFonts w:hint="eastAsia" w:ascii="Times New Roman" w:hAnsi="Times New Roman"/>
          <w:color w:val="FF0000"/>
          <w:sz w:val="24"/>
          <w:szCs w:val="24"/>
        </w:rPr>
        <w:t>金雷</w:t>
      </w:r>
      <w:r>
        <w:rPr>
          <w:rFonts w:ascii="Times New Roman" w:hAnsi="Times New Roman"/>
          <w:color w:val="FF0000"/>
          <w:sz w:val="24"/>
          <w:szCs w:val="24"/>
        </w:rPr>
        <w:t>片区</w:t>
      </w:r>
      <w:r>
        <w:rPr>
          <w:rFonts w:hint="eastAsia" w:ascii="Times New Roman" w:hAnsi="Times New Roman"/>
          <w:color w:val="FF0000"/>
          <w:sz w:val="24"/>
          <w:szCs w:val="24"/>
        </w:rPr>
        <w:t>距</w:t>
      </w:r>
      <w:r>
        <w:rPr>
          <w:rFonts w:ascii="Times New Roman" w:hAnsi="Times New Roman"/>
          <w:color w:val="FF0000"/>
          <w:sz w:val="24"/>
          <w:szCs w:val="24"/>
        </w:rPr>
        <w:t>本项目</w:t>
      </w:r>
      <w:r>
        <w:rPr>
          <w:rFonts w:hint="eastAsia" w:ascii="Times New Roman" w:hAnsi="Times New Roman"/>
          <w:color w:val="FF0000"/>
          <w:sz w:val="24"/>
          <w:szCs w:val="24"/>
        </w:rPr>
        <w:t>西面</w:t>
      </w:r>
      <w:r>
        <w:rPr>
          <w:rFonts w:ascii="Times New Roman" w:hAnsi="Times New Roman"/>
          <w:color w:val="FF0000"/>
          <w:sz w:val="24"/>
          <w:szCs w:val="24"/>
        </w:rPr>
        <w:t>约</w:t>
      </w:r>
      <w:r>
        <w:rPr>
          <w:rFonts w:hint="eastAsia" w:ascii="Times New Roman" w:hAnsi="Times New Roman"/>
          <w:color w:val="FF0000"/>
          <w:sz w:val="24"/>
          <w:szCs w:val="24"/>
        </w:rPr>
        <w:t>300</w:t>
      </w:r>
      <w:r>
        <w:rPr>
          <w:rFonts w:ascii="Times New Roman" w:hAnsi="Times New Roman"/>
          <w:color w:val="FF0000"/>
          <w:sz w:val="24"/>
          <w:szCs w:val="24"/>
        </w:rPr>
        <w:t>m处</w:t>
      </w:r>
      <w:r>
        <w:rPr>
          <w:rFonts w:hint="eastAsia" w:ascii="Times New Roman" w:hAnsi="Times New Roman"/>
          <w:color w:val="FF0000"/>
          <w:sz w:val="24"/>
          <w:szCs w:val="24"/>
        </w:rPr>
        <w:t>勇明塑料</w:t>
      </w:r>
      <w:r>
        <w:rPr>
          <w:rFonts w:ascii="Times New Roman" w:hAnsi="Times New Roman"/>
          <w:color w:val="FF0000"/>
          <w:sz w:val="24"/>
          <w:szCs w:val="24"/>
        </w:rPr>
        <w:t>制品再生塑料筐项目环境影响报告书2018</w:t>
      </w:r>
      <w:r>
        <w:rPr>
          <w:rFonts w:hint="eastAsia" w:ascii="Times New Roman" w:hAnsi="Times New Roman"/>
          <w:color w:val="FF0000"/>
          <w:sz w:val="24"/>
          <w:szCs w:val="24"/>
        </w:rPr>
        <w:t>年7月</w:t>
      </w:r>
      <w:r>
        <w:rPr>
          <w:rFonts w:ascii="Times New Roman" w:hAnsi="Times New Roman"/>
          <w:color w:val="FF0000"/>
          <w:sz w:val="24"/>
          <w:szCs w:val="24"/>
        </w:rPr>
        <w:t>监测数据。</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引用</w:t>
      </w:r>
      <w:r>
        <w:rPr>
          <w:rFonts w:ascii="Times New Roman" w:hAnsi="Times New Roman"/>
          <w:color w:val="FF0000"/>
          <w:sz w:val="24"/>
          <w:szCs w:val="24"/>
        </w:rPr>
        <w:t>数据</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1、地下水</w:t>
      </w:r>
      <w:r>
        <w:rPr>
          <w:rFonts w:ascii="Times New Roman" w:hAnsi="Times New Roman"/>
          <w:color w:val="FF0000"/>
          <w:sz w:val="24"/>
          <w:szCs w:val="24"/>
        </w:rPr>
        <w:t>环境质量监测数据</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监测</w:t>
      </w:r>
      <w:r>
        <w:rPr>
          <w:rFonts w:ascii="Times New Roman" w:hAnsi="Times New Roman"/>
          <w:color w:val="FF0000"/>
          <w:sz w:val="24"/>
          <w:szCs w:val="24"/>
        </w:rPr>
        <w:t>点位：</w:t>
      </w:r>
      <w:r>
        <w:rPr>
          <w:rFonts w:hint="eastAsia" w:ascii="Times New Roman" w:hAnsi="Times New Roman"/>
          <w:color w:val="FF0000"/>
          <w:sz w:val="24"/>
          <w:szCs w:val="24"/>
        </w:rPr>
        <w:t>1个</w:t>
      </w:r>
      <w:r>
        <w:rPr>
          <w:rFonts w:ascii="Times New Roman" w:hAnsi="Times New Roman"/>
          <w:color w:val="FF0000"/>
          <w:sz w:val="24"/>
          <w:szCs w:val="24"/>
        </w:rPr>
        <w:t>监测点，为小雷宰村水井</w:t>
      </w:r>
      <w:r>
        <w:rPr>
          <w:rFonts w:hint="eastAsia"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监测</w:t>
      </w:r>
      <w:r>
        <w:rPr>
          <w:rFonts w:ascii="Times New Roman" w:hAnsi="Times New Roman"/>
          <w:color w:val="FF0000"/>
          <w:sz w:val="24"/>
          <w:szCs w:val="24"/>
        </w:rPr>
        <w:t>项目：pH</w:t>
      </w:r>
      <w:r>
        <w:rPr>
          <w:rFonts w:hint="eastAsia" w:ascii="Times New Roman" w:hAnsi="Times New Roman"/>
          <w:color w:val="FF0000"/>
          <w:sz w:val="24"/>
          <w:szCs w:val="24"/>
        </w:rPr>
        <w:t>、</w:t>
      </w:r>
      <w:r>
        <w:rPr>
          <w:rFonts w:ascii="Times New Roman" w:hAnsi="Times New Roman"/>
          <w:color w:val="FF0000"/>
          <w:sz w:val="24"/>
          <w:szCs w:val="24"/>
        </w:rPr>
        <w:t>耗氧量、挥发酚、氯化物、氨氮、总大肠菌群、细菌总数。</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监测</w:t>
      </w:r>
      <w:r>
        <w:rPr>
          <w:rFonts w:ascii="Times New Roman" w:hAnsi="Times New Roman"/>
          <w:color w:val="FF0000"/>
          <w:sz w:val="24"/>
          <w:szCs w:val="24"/>
        </w:rPr>
        <w:t>频次：连续</w:t>
      </w:r>
      <w:r>
        <w:rPr>
          <w:rFonts w:hint="eastAsia" w:ascii="Times New Roman" w:hAnsi="Times New Roman"/>
          <w:color w:val="FF0000"/>
          <w:sz w:val="24"/>
          <w:szCs w:val="24"/>
        </w:rPr>
        <w:t>3天</w:t>
      </w:r>
      <w:r>
        <w:rPr>
          <w:rFonts w:ascii="Times New Roman" w:hAnsi="Times New Roman"/>
          <w:color w:val="FF0000"/>
          <w:sz w:val="24"/>
          <w:szCs w:val="24"/>
        </w:rPr>
        <w:t>监测、每天采集一个水</w:t>
      </w:r>
      <w:r>
        <w:rPr>
          <w:rFonts w:hint="eastAsia" w:ascii="Times New Roman" w:hAnsi="Times New Roman"/>
          <w:color w:val="FF0000"/>
          <w:sz w:val="24"/>
          <w:szCs w:val="24"/>
        </w:rPr>
        <w:t>样</w:t>
      </w:r>
      <w:r>
        <w:rPr>
          <w:rFonts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采用</w:t>
      </w:r>
      <w:r>
        <w:rPr>
          <w:rFonts w:ascii="Times New Roman" w:hAnsi="Times New Roman"/>
          <w:color w:val="FF0000"/>
          <w:sz w:val="24"/>
          <w:szCs w:val="24"/>
        </w:rPr>
        <w:t>时间：</w:t>
      </w:r>
      <w:r>
        <w:rPr>
          <w:rFonts w:hint="eastAsia" w:ascii="Times New Roman" w:hAnsi="Times New Roman"/>
          <w:color w:val="FF0000"/>
          <w:sz w:val="24"/>
          <w:szCs w:val="24"/>
        </w:rPr>
        <w:t>2018年07月23日</w:t>
      </w:r>
      <w:r>
        <w:rPr>
          <w:rFonts w:ascii="Times New Roman" w:hAnsi="Times New Roman"/>
          <w:color w:val="FF0000"/>
          <w:sz w:val="24"/>
          <w:szCs w:val="24"/>
        </w:rPr>
        <w:t>至</w:t>
      </w:r>
      <w:r>
        <w:rPr>
          <w:rFonts w:hint="eastAsia" w:ascii="Times New Roman" w:hAnsi="Times New Roman"/>
          <w:color w:val="FF0000"/>
          <w:sz w:val="24"/>
          <w:szCs w:val="24"/>
        </w:rPr>
        <w:t>2018年07月25日</w:t>
      </w:r>
      <w:r>
        <w:rPr>
          <w:rFonts w:ascii="Times New Roman" w:hAnsi="Times New Roman"/>
          <w:color w:val="FF0000"/>
          <w:sz w:val="24"/>
          <w:szCs w:val="24"/>
        </w:rPr>
        <w:t>。</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监测</w:t>
      </w:r>
      <w:r>
        <w:rPr>
          <w:rFonts w:ascii="Times New Roman" w:hAnsi="Times New Roman"/>
          <w:color w:val="FF0000"/>
          <w:sz w:val="24"/>
          <w:szCs w:val="24"/>
        </w:rPr>
        <w:t>及分析方法：按《</w:t>
      </w:r>
      <w:r>
        <w:rPr>
          <w:rFonts w:hint="eastAsia" w:ascii="Times New Roman" w:hAnsi="Times New Roman"/>
          <w:color w:val="FF0000"/>
          <w:sz w:val="24"/>
          <w:szCs w:val="24"/>
        </w:rPr>
        <w:t>环境</w:t>
      </w:r>
      <w:r>
        <w:rPr>
          <w:rFonts w:ascii="Times New Roman" w:hAnsi="Times New Roman"/>
          <w:color w:val="FF0000"/>
          <w:sz w:val="24"/>
          <w:szCs w:val="24"/>
        </w:rPr>
        <w:t>监测技术规范》</w:t>
      </w:r>
      <w:r>
        <w:rPr>
          <w:rFonts w:hint="eastAsia" w:ascii="Times New Roman" w:hAnsi="Times New Roman"/>
          <w:color w:val="FF0000"/>
          <w:sz w:val="24"/>
          <w:szCs w:val="24"/>
        </w:rPr>
        <w:t>的</w:t>
      </w:r>
      <w:r>
        <w:rPr>
          <w:rFonts w:ascii="Times New Roman" w:hAnsi="Times New Roman"/>
          <w:color w:val="FF0000"/>
          <w:sz w:val="24"/>
          <w:szCs w:val="24"/>
        </w:rPr>
        <w:t>相关要求执行。</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评价</w:t>
      </w:r>
      <w:r>
        <w:rPr>
          <w:rFonts w:ascii="Times New Roman" w:hAnsi="Times New Roman"/>
          <w:color w:val="FF0000"/>
          <w:sz w:val="24"/>
          <w:szCs w:val="24"/>
        </w:rPr>
        <w:t>标准：《</w:t>
      </w:r>
      <w:r>
        <w:rPr>
          <w:rFonts w:hint="eastAsia" w:ascii="Times New Roman" w:hAnsi="Times New Roman"/>
          <w:color w:val="FF0000"/>
          <w:sz w:val="24"/>
          <w:szCs w:val="24"/>
        </w:rPr>
        <w:t>地下水</w:t>
      </w:r>
      <w:r>
        <w:rPr>
          <w:rFonts w:ascii="Times New Roman" w:hAnsi="Times New Roman"/>
          <w:color w:val="FF0000"/>
          <w:sz w:val="24"/>
          <w:szCs w:val="24"/>
        </w:rPr>
        <w:t>质量</w:t>
      </w:r>
      <w:r>
        <w:rPr>
          <w:rFonts w:hint="eastAsia" w:ascii="Times New Roman" w:hAnsi="Times New Roman"/>
          <w:color w:val="FF0000"/>
          <w:sz w:val="24"/>
          <w:szCs w:val="24"/>
        </w:rPr>
        <w:t>标准</w:t>
      </w:r>
      <w:r>
        <w:rPr>
          <w:rFonts w:ascii="Times New Roman" w:hAnsi="Times New Roman"/>
          <w:color w:val="FF0000"/>
          <w:sz w:val="24"/>
          <w:szCs w:val="24"/>
        </w:rPr>
        <w:t>》</w:t>
      </w:r>
      <w:r>
        <w:rPr>
          <w:rFonts w:hint="eastAsia" w:ascii="Times New Roman" w:hAnsi="Times New Roman"/>
          <w:color w:val="FF0000"/>
          <w:sz w:val="24"/>
          <w:szCs w:val="24"/>
        </w:rPr>
        <w:t>（GB14848</w:t>
      </w:r>
      <w:r>
        <w:rPr>
          <w:rFonts w:ascii="Times New Roman" w:hAnsi="Times New Roman"/>
          <w:color w:val="FF0000"/>
          <w:sz w:val="24"/>
          <w:szCs w:val="24"/>
        </w:rPr>
        <w:t>-2017</w:t>
      </w:r>
      <w:r>
        <w:rPr>
          <w:rFonts w:hint="eastAsia" w:ascii="Times New Roman" w:hAnsi="Times New Roman"/>
          <w:color w:val="FF0000"/>
          <w:sz w:val="24"/>
          <w:szCs w:val="24"/>
        </w:rPr>
        <w:t>）中</w:t>
      </w:r>
      <w:r>
        <w:rPr>
          <w:rFonts w:ascii="Times New Roman" w:hAnsi="Times New Roman"/>
          <w:color w:val="FF0000"/>
          <w:sz w:val="24"/>
          <w:szCs w:val="24"/>
        </w:rPr>
        <w:t>III类标准。</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2、评价区</w:t>
      </w:r>
      <w:r>
        <w:rPr>
          <w:rFonts w:ascii="Times New Roman" w:hAnsi="Times New Roman"/>
          <w:color w:val="FF0000"/>
          <w:sz w:val="24"/>
          <w:szCs w:val="24"/>
        </w:rPr>
        <w:t>地下水质量监测结果评价</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1）评价</w:t>
      </w:r>
      <w:r>
        <w:rPr>
          <w:rFonts w:ascii="Times New Roman" w:hAnsi="Times New Roman"/>
          <w:color w:val="000000"/>
          <w:sz w:val="24"/>
          <w:szCs w:val="24"/>
        </w:rPr>
        <w:t>方法</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本次</w:t>
      </w:r>
      <w:r>
        <w:rPr>
          <w:rFonts w:ascii="Times New Roman" w:hAnsi="Times New Roman"/>
          <w:color w:val="000000"/>
          <w:sz w:val="24"/>
          <w:szCs w:val="24"/>
        </w:rPr>
        <w:t>评价一般水质因子采用标准指数计算，其公式为：</w:t>
      </w:r>
    </w:p>
    <w:p>
      <w:pPr>
        <w:spacing w:line="360" w:lineRule="auto"/>
        <w:ind w:firstLine="600" w:firstLineChars="200"/>
        <w:rPr>
          <w:rFonts w:ascii="Times New Roman" w:hAnsi="Times New Roman"/>
          <w:bCs/>
          <w:color w:val="000000"/>
          <w:sz w:val="30"/>
          <w:szCs w:val="30"/>
        </w:rPr>
      </w:pPr>
      <m:oMathPara>
        <m:oMathParaPr>
          <m:jc m:val="center"/>
        </m:oMathParaPr>
        <m:oMath>
          <m:r>
            <m:rPr>
              <m:sty m:val="p"/>
            </m:rPr>
            <w:rPr>
              <w:rFonts w:ascii="Cambria Math" w:hAnsi="Cambria Math"/>
              <w:color w:val="000000"/>
              <w:sz w:val="30"/>
              <w:szCs w:val="30"/>
            </w:rPr>
            <m:t>Sij=</m:t>
          </m:r>
          <m:f>
            <m:fPr>
              <m:ctrlPr>
                <w:rPr>
                  <w:rFonts w:ascii="Cambria Math" w:hAnsi="Cambria Math"/>
                  <w:bCs/>
                  <w:color w:val="000000"/>
                  <w:sz w:val="30"/>
                  <w:szCs w:val="30"/>
                </w:rPr>
              </m:ctrlPr>
            </m:fPr>
            <m:num>
              <m:r>
                <m:rPr>
                  <m:sty m:val="p"/>
                </m:rPr>
                <w:rPr>
                  <w:rFonts w:ascii="Cambria Math" w:hAnsi="Cambria Math"/>
                  <w:color w:val="000000"/>
                  <w:sz w:val="30"/>
                  <w:szCs w:val="30"/>
                </w:rPr>
                <m:t>Cij</m:t>
              </m:r>
              <m:ctrlPr>
                <w:rPr>
                  <w:rFonts w:ascii="Cambria Math" w:hAnsi="Cambria Math"/>
                  <w:bCs/>
                  <w:color w:val="000000"/>
                  <w:sz w:val="30"/>
                  <w:szCs w:val="30"/>
                </w:rPr>
              </m:ctrlPr>
            </m:num>
            <m:den>
              <m:r>
                <m:rPr>
                  <m:sty m:val="p"/>
                </m:rPr>
                <w:rPr>
                  <w:rFonts w:ascii="Cambria Math" w:hAnsi="Cambria Math"/>
                  <w:color w:val="000000"/>
                  <w:sz w:val="30"/>
                  <w:szCs w:val="30"/>
                </w:rPr>
                <m:t>Csi</m:t>
              </m:r>
              <m:ctrlPr>
                <w:rPr>
                  <w:rFonts w:ascii="Cambria Math" w:hAnsi="Cambria Math"/>
                  <w:bCs/>
                  <w:color w:val="000000"/>
                  <w:sz w:val="30"/>
                  <w:szCs w:val="30"/>
                </w:rPr>
              </m:ctrlPr>
            </m:den>
          </m:f>
        </m:oMath>
      </m:oMathPara>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式中：Sij</w:t>
      </w:r>
      <w:r>
        <w:rPr>
          <w:rFonts w:ascii="Times New Roman" w:hAnsi="Times New Roman"/>
          <w:color w:val="000000"/>
          <w:sz w:val="24"/>
          <w:szCs w:val="24"/>
        </w:rPr>
        <w:t>——</w:t>
      </w:r>
      <w:r>
        <w:rPr>
          <w:rFonts w:hint="eastAsia" w:ascii="Times New Roman" w:hAnsi="Times New Roman"/>
          <w:color w:val="000000"/>
          <w:sz w:val="24"/>
          <w:szCs w:val="24"/>
        </w:rPr>
        <w:t>单项水质参数i在第j点的标准指数；</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Cij</w:t>
      </w:r>
      <w:r>
        <w:rPr>
          <w:rFonts w:ascii="Times New Roman" w:hAnsi="Times New Roman"/>
          <w:color w:val="000000"/>
          <w:sz w:val="24"/>
          <w:szCs w:val="24"/>
        </w:rPr>
        <w:t>——</w:t>
      </w:r>
      <w:r>
        <w:rPr>
          <w:rFonts w:hint="eastAsia" w:ascii="Times New Roman" w:hAnsi="Times New Roman"/>
          <w:color w:val="000000"/>
          <w:sz w:val="24"/>
          <w:szCs w:val="24"/>
        </w:rPr>
        <w:t>污染物i在监测点j的浓度mg/L；</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Csi</w:t>
      </w:r>
      <w:r>
        <w:rPr>
          <w:rFonts w:ascii="Times New Roman" w:hAnsi="Times New Roman"/>
          <w:color w:val="000000"/>
          <w:sz w:val="24"/>
          <w:szCs w:val="24"/>
        </w:rPr>
        <w:t>——</w:t>
      </w:r>
      <w:r>
        <w:rPr>
          <w:rFonts w:hint="eastAsia" w:ascii="Times New Roman" w:hAnsi="Times New Roman"/>
          <w:color w:val="000000"/>
          <w:sz w:val="24"/>
          <w:szCs w:val="24"/>
        </w:rPr>
        <w:t>水质参数i的地面水水质标准mg/L。</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对具有上、下限标准的项目pH，计算式为：</w:t>
      </w:r>
    </w:p>
    <w:p>
      <w:pPr>
        <w:spacing w:line="360" w:lineRule="auto"/>
        <w:ind w:firstLine="600" w:firstLineChars="200"/>
        <w:jc w:val="center"/>
        <w:rPr>
          <w:rFonts w:ascii="Times New Roman" w:hAnsi="Times New Roman"/>
          <w:color w:val="000000"/>
          <w:sz w:val="30"/>
          <w:szCs w:val="30"/>
        </w:rPr>
      </w:pPr>
      <w:bookmarkStart w:id="235" w:name="_Toc25623"/>
      <w:r>
        <w:rPr>
          <w:rFonts w:ascii="Times New Roman" w:hAnsi="Times New Roman"/>
          <w:color w:val="000000"/>
          <w:sz w:val="30"/>
          <w:szCs w:val="30"/>
        </w:rPr>
        <w:t>S</w:t>
      </w:r>
      <w:r>
        <w:rPr>
          <w:rFonts w:ascii="Times New Roman" w:hAnsi="Times New Roman"/>
          <w:color w:val="000000"/>
          <w:sz w:val="30"/>
          <w:szCs w:val="30"/>
          <w:vertAlign w:val="subscript"/>
        </w:rPr>
        <w:t>pH·j</w:t>
      </w:r>
      <w:r>
        <w:rPr>
          <w:rFonts w:ascii="Times New Roman" w:hAnsi="Times New Roman"/>
          <w:color w:val="000000"/>
          <w:sz w:val="30"/>
          <w:szCs w:val="30"/>
        </w:rPr>
        <w:t>=</w:t>
      </w:r>
      <m:oMath>
        <m:f>
          <m:fPr>
            <m:ctrlPr>
              <w:rPr>
                <w:rFonts w:ascii="Cambria Math" w:hAnsi="Cambria Math"/>
                <w:color w:val="000000"/>
                <w:sz w:val="30"/>
                <w:szCs w:val="30"/>
              </w:rPr>
            </m:ctrlPr>
          </m:fPr>
          <m:num>
            <m:r>
              <m:rPr>
                <m:sty m:val="p"/>
              </m:rPr>
              <w:rPr>
                <w:rFonts w:ascii="Cambria Math" w:hAnsi="Cambria Math"/>
                <w:color w:val="000000"/>
                <w:sz w:val="30"/>
                <w:szCs w:val="30"/>
              </w:rPr>
              <m:t>7.0–pHj</m:t>
            </m:r>
            <m:ctrlPr>
              <w:rPr>
                <w:rFonts w:ascii="Cambria Math" w:hAnsi="Cambria Math"/>
                <w:color w:val="000000"/>
                <w:sz w:val="30"/>
                <w:szCs w:val="30"/>
              </w:rPr>
            </m:ctrlPr>
          </m:num>
          <m:den>
            <m:r>
              <m:rPr>
                <m:sty m:val="p"/>
              </m:rPr>
              <w:rPr>
                <w:rFonts w:ascii="Cambria Math" w:hAnsi="Cambria Math"/>
                <w:color w:val="000000"/>
                <w:sz w:val="30"/>
                <w:szCs w:val="30"/>
              </w:rPr>
              <m:t>7.0–pHsd</m:t>
            </m:r>
            <m:ctrlPr>
              <w:rPr>
                <w:rFonts w:ascii="Cambria Math" w:hAnsi="Cambria Math"/>
                <w:color w:val="000000"/>
                <w:sz w:val="30"/>
                <w:szCs w:val="30"/>
              </w:rPr>
            </m:ctrlPr>
          </m:den>
        </m:f>
      </m:oMath>
      <w:bookmarkEnd w:id="235"/>
    </w:p>
    <w:p>
      <w:pPr>
        <w:spacing w:line="360" w:lineRule="auto"/>
        <w:ind w:firstLine="600" w:firstLineChars="200"/>
        <w:jc w:val="center"/>
        <w:rPr>
          <w:rFonts w:ascii="Times New Roman" w:hAnsi="Times New Roman"/>
          <w:color w:val="000000"/>
          <w:sz w:val="30"/>
          <w:szCs w:val="30"/>
        </w:rPr>
      </w:pPr>
      <w:bookmarkStart w:id="236" w:name="_Toc21579"/>
      <w:r>
        <w:rPr>
          <w:rFonts w:ascii="Times New Roman" w:hAnsi="Times New Roman"/>
          <w:color w:val="000000"/>
          <w:sz w:val="30"/>
          <w:szCs w:val="30"/>
        </w:rPr>
        <w:t>S</w:t>
      </w:r>
      <w:r>
        <w:rPr>
          <w:rFonts w:ascii="Times New Roman" w:hAnsi="Times New Roman"/>
          <w:color w:val="000000"/>
          <w:sz w:val="30"/>
          <w:szCs w:val="30"/>
          <w:vertAlign w:val="subscript"/>
        </w:rPr>
        <w:t>pH·j</w:t>
      </w:r>
      <w:r>
        <w:rPr>
          <w:rFonts w:ascii="Times New Roman" w:hAnsi="Times New Roman"/>
          <w:color w:val="000000"/>
          <w:sz w:val="30"/>
          <w:szCs w:val="30"/>
        </w:rPr>
        <w:t>=</w:t>
      </w:r>
      <m:oMath>
        <m:f>
          <m:fPr>
            <m:ctrlPr>
              <w:rPr>
                <w:rFonts w:ascii="Cambria Math" w:hAnsi="Cambria Math"/>
                <w:color w:val="000000"/>
                <w:sz w:val="30"/>
                <w:szCs w:val="30"/>
              </w:rPr>
            </m:ctrlPr>
          </m:fPr>
          <m:num>
            <m:r>
              <m:rPr>
                <m:sty m:val="p"/>
              </m:rPr>
              <w:rPr>
                <w:rFonts w:ascii="Cambria Math" w:hAnsi="Cambria Math"/>
                <w:color w:val="000000"/>
                <w:sz w:val="30"/>
                <w:szCs w:val="30"/>
              </w:rPr>
              <m:t>pHj–7.0</m:t>
            </m:r>
            <m:ctrlPr>
              <w:rPr>
                <w:rFonts w:ascii="Cambria Math" w:hAnsi="Cambria Math"/>
                <w:color w:val="000000"/>
                <w:sz w:val="30"/>
                <w:szCs w:val="30"/>
              </w:rPr>
            </m:ctrlPr>
          </m:num>
          <m:den>
            <m:r>
              <m:rPr>
                <m:sty m:val="p"/>
              </m:rPr>
              <w:rPr>
                <w:rFonts w:ascii="Cambria Math" w:hAnsi="Cambria Math"/>
                <w:color w:val="000000"/>
                <w:sz w:val="30"/>
                <w:szCs w:val="30"/>
              </w:rPr>
              <m:t>pHsu–7.0</m:t>
            </m:r>
            <w:bookmarkEnd w:id="236"/>
            <m:ctrlPr>
              <w:rPr>
                <w:rFonts w:ascii="Cambria Math" w:hAnsi="Cambria Math"/>
                <w:color w:val="000000"/>
                <w:sz w:val="30"/>
                <w:szCs w:val="30"/>
              </w:rPr>
            </m:ctrlPr>
          </m:den>
        </m:f>
      </m:oMath>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式中：pHj</w:t>
      </w:r>
      <w:r>
        <w:rPr>
          <w:rFonts w:ascii="Times New Roman" w:hAnsi="Times New Roman"/>
          <w:color w:val="000000"/>
          <w:sz w:val="24"/>
          <w:szCs w:val="24"/>
        </w:rPr>
        <w:t>——</w:t>
      </w:r>
      <w:r>
        <w:rPr>
          <w:rFonts w:hint="eastAsia" w:ascii="Times New Roman" w:hAnsi="Times New Roman"/>
          <w:color w:val="000000"/>
          <w:sz w:val="24"/>
          <w:szCs w:val="24"/>
        </w:rPr>
        <w:t>为监测点的pH值；</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pHsd</w:t>
      </w:r>
      <w:r>
        <w:rPr>
          <w:rFonts w:ascii="Times New Roman" w:hAnsi="Times New Roman"/>
          <w:color w:val="000000"/>
          <w:sz w:val="24"/>
          <w:szCs w:val="24"/>
        </w:rPr>
        <w:t>——</w:t>
      </w:r>
      <w:r>
        <w:rPr>
          <w:rFonts w:hint="eastAsia" w:ascii="Times New Roman" w:hAnsi="Times New Roman"/>
          <w:color w:val="000000"/>
          <w:sz w:val="24"/>
          <w:szCs w:val="24"/>
        </w:rPr>
        <w:t>为水质标准pH的下限值；</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      pHsu</w:t>
      </w:r>
      <w:r>
        <w:rPr>
          <w:rFonts w:ascii="Times New Roman" w:hAnsi="Times New Roman"/>
          <w:color w:val="000000"/>
          <w:sz w:val="24"/>
          <w:szCs w:val="24"/>
        </w:rPr>
        <w:t>——</w:t>
      </w:r>
      <w:r>
        <w:rPr>
          <w:rFonts w:hint="eastAsia" w:ascii="Times New Roman" w:hAnsi="Times New Roman"/>
          <w:color w:val="000000"/>
          <w:sz w:val="24"/>
          <w:szCs w:val="24"/>
        </w:rPr>
        <w:t>为水质标准pH的上限值。</w:t>
      </w:r>
    </w:p>
    <w:p>
      <w:pPr>
        <w:spacing w:line="360" w:lineRule="auto"/>
        <w:ind w:firstLine="480" w:firstLineChars="200"/>
        <w:outlineLvl w:val="0"/>
        <w:rPr>
          <w:rFonts w:ascii="Times New Roman" w:hAnsi="Times New Roman"/>
          <w:color w:val="000000"/>
          <w:sz w:val="24"/>
          <w:szCs w:val="24"/>
        </w:rPr>
      </w:pPr>
      <w:bookmarkStart w:id="237" w:name="_Toc13211"/>
      <w:bookmarkStart w:id="238" w:name="_Toc18517"/>
      <w:r>
        <w:rPr>
          <w:rFonts w:hint="eastAsia" w:ascii="Times New Roman" w:hAnsi="Times New Roman"/>
          <w:color w:val="000000"/>
          <w:sz w:val="24"/>
          <w:szCs w:val="24"/>
        </w:rPr>
        <w:t>3、地下水</w:t>
      </w:r>
      <w:r>
        <w:rPr>
          <w:rFonts w:ascii="Times New Roman" w:hAnsi="Times New Roman"/>
          <w:color w:val="000000"/>
          <w:sz w:val="24"/>
          <w:szCs w:val="24"/>
        </w:rPr>
        <w:t>质量监测</w:t>
      </w:r>
      <w:r>
        <w:rPr>
          <w:rFonts w:hint="eastAsia" w:ascii="Times New Roman" w:hAnsi="Times New Roman"/>
          <w:color w:val="000000"/>
          <w:sz w:val="24"/>
          <w:szCs w:val="24"/>
        </w:rPr>
        <w:t>评价</w:t>
      </w:r>
      <w:r>
        <w:rPr>
          <w:rFonts w:ascii="Times New Roman" w:hAnsi="Times New Roman"/>
          <w:color w:val="000000"/>
          <w:sz w:val="24"/>
          <w:szCs w:val="24"/>
        </w:rPr>
        <w:t>结果见表</w:t>
      </w:r>
      <w:r>
        <w:rPr>
          <w:rFonts w:hint="eastAsia" w:ascii="Times New Roman" w:hAnsi="Times New Roman"/>
          <w:color w:val="000000"/>
          <w:sz w:val="24"/>
          <w:szCs w:val="24"/>
        </w:rPr>
        <w:t>4.3</w:t>
      </w:r>
      <w:r>
        <w:rPr>
          <w:rFonts w:ascii="Times New Roman" w:hAnsi="Times New Roman"/>
          <w:color w:val="000000"/>
          <w:sz w:val="24"/>
          <w:szCs w:val="24"/>
        </w:rPr>
        <w:t>-7</w:t>
      </w:r>
      <w:r>
        <w:rPr>
          <w:rFonts w:hint="eastAsia" w:ascii="Times New Roman" w:hAnsi="Times New Roman"/>
          <w:color w:val="000000"/>
          <w:sz w:val="24"/>
          <w:szCs w:val="24"/>
        </w:rPr>
        <w:t>。</w:t>
      </w:r>
      <w:bookmarkEnd w:id="237"/>
      <w:bookmarkEnd w:id="238"/>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表4.3</w:t>
      </w:r>
      <w:r>
        <w:rPr>
          <w:rFonts w:ascii="Times New Roman" w:hAnsi="Times New Roman"/>
          <w:b/>
          <w:color w:val="000000"/>
          <w:sz w:val="24"/>
          <w:szCs w:val="24"/>
        </w:rPr>
        <w:t xml:space="preserve">-7   </w:t>
      </w:r>
      <w:r>
        <w:rPr>
          <w:rFonts w:hint="eastAsia" w:ascii="Times New Roman" w:hAnsi="Times New Roman"/>
          <w:b/>
          <w:color w:val="000000"/>
          <w:sz w:val="24"/>
          <w:szCs w:val="24"/>
        </w:rPr>
        <w:t>地下水</w:t>
      </w:r>
      <w:r>
        <w:rPr>
          <w:rFonts w:ascii="Times New Roman" w:hAnsi="Times New Roman"/>
          <w:b/>
          <w:color w:val="000000"/>
          <w:sz w:val="24"/>
          <w:szCs w:val="24"/>
        </w:rPr>
        <w:t>质量现状监测评价结果</w:t>
      </w:r>
      <w:r>
        <w:rPr>
          <w:rFonts w:hint="eastAsia" w:ascii="Times New Roman" w:hAnsi="Times New Roman"/>
          <w:b/>
          <w:color w:val="000000"/>
          <w:sz w:val="24"/>
          <w:szCs w:val="24"/>
        </w:rPr>
        <w:t xml:space="preserve">   单位</w:t>
      </w:r>
      <w:r>
        <w:rPr>
          <w:rFonts w:ascii="Times New Roman" w:hAnsi="Times New Roman"/>
          <w:b/>
          <w:color w:val="000000"/>
          <w:sz w:val="24"/>
          <w:szCs w:val="24"/>
        </w:rPr>
        <w:t>：mg/L</w:t>
      </w:r>
    </w:p>
    <w:tbl>
      <w:tblPr>
        <w:tblStyle w:val="19"/>
        <w:tblW w:w="829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1276"/>
        <w:gridCol w:w="1276"/>
        <w:gridCol w:w="968"/>
        <w:gridCol w:w="1018"/>
        <w:gridCol w:w="1018"/>
        <w:gridCol w:w="823"/>
        <w:gridCol w:w="12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Align w:val="center"/>
          </w:tcPr>
          <w:p>
            <w:pPr>
              <w:spacing w:line="240" w:lineRule="atLeast"/>
              <w:jc w:val="center"/>
              <w:rPr>
                <w:rFonts w:ascii="Times New Roman" w:hAnsi="Times New Roman"/>
                <w:b/>
                <w:szCs w:val="21"/>
              </w:rPr>
            </w:pPr>
            <w:r>
              <w:rPr>
                <w:rFonts w:hint="eastAsia" w:ascii="Times New Roman" w:hAnsi="Times New Roman"/>
                <w:b/>
                <w:szCs w:val="21"/>
              </w:rPr>
              <w:t>样品</w:t>
            </w:r>
            <w:r>
              <w:rPr>
                <w:rFonts w:ascii="Times New Roman" w:hAnsi="Times New Roman"/>
                <w:b/>
                <w:szCs w:val="21"/>
              </w:rPr>
              <w:t>类型</w:t>
            </w:r>
          </w:p>
        </w:tc>
        <w:tc>
          <w:tcPr>
            <w:tcW w:w="1276" w:type="dxa"/>
            <w:vAlign w:val="center"/>
          </w:tcPr>
          <w:p>
            <w:pPr>
              <w:spacing w:line="240" w:lineRule="atLeast"/>
              <w:jc w:val="center"/>
              <w:rPr>
                <w:rFonts w:ascii="Times New Roman" w:hAnsi="Times New Roman"/>
                <w:b/>
                <w:szCs w:val="21"/>
              </w:rPr>
            </w:pPr>
            <w:r>
              <w:rPr>
                <w:rFonts w:hint="eastAsia" w:ascii="Times New Roman" w:hAnsi="Times New Roman"/>
                <w:b/>
                <w:szCs w:val="21"/>
              </w:rPr>
              <w:t>分析</w:t>
            </w:r>
            <w:r>
              <w:rPr>
                <w:rFonts w:ascii="Times New Roman" w:hAnsi="Times New Roman"/>
                <w:b/>
                <w:szCs w:val="21"/>
              </w:rPr>
              <w:t>项目</w:t>
            </w:r>
          </w:p>
        </w:tc>
        <w:tc>
          <w:tcPr>
            <w:tcW w:w="1276" w:type="dxa"/>
            <w:vAlign w:val="center"/>
          </w:tcPr>
          <w:p>
            <w:pPr>
              <w:spacing w:line="240" w:lineRule="atLeast"/>
              <w:jc w:val="center"/>
              <w:rPr>
                <w:rFonts w:ascii="Times New Roman" w:hAnsi="Times New Roman"/>
                <w:b/>
                <w:szCs w:val="21"/>
              </w:rPr>
            </w:pPr>
            <w:r>
              <w:rPr>
                <w:rFonts w:hint="eastAsia" w:ascii="Times New Roman" w:hAnsi="Times New Roman"/>
                <w:b/>
                <w:szCs w:val="21"/>
              </w:rPr>
              <w:t>日期</w:t>
            </w:r>
          </w:p>
        </w:tc>
        <w:tc>
          <w:tcPr>
            <w:tcW w:w="968" w:type="dxa"/>
            <w:vAlign w:val="center"/>
          </w:tcPr>
          <w:p>
            <w:pPr>
              <w:spacing w:line="240" w:lineRule="atLeast"/>
              <w:jc w:val="center"/>
              <w:rPr>
                <w:rFonts w:ascii="Times New Roman" w:hAnsi="Times New Roman"/>
                <w:b/>
                <w:szCs w:val="21"/>
              </w:rPr>
            </w:pPr>
            <w:r>
              <w:rPr>
                <w:rFonts w:hint="eastAsia" w:ascii="Times New Roman" w:hAnsi="Times New Roman"/>
                <w:b/>
                <w:szCs w:val="21"/>
              </w:rPr>
              <w:t>小雷宰</w:t>
            </w:r>
            <w:r>
              <w:rPr>
                <w:rFonts w:ascii="Times New Roman" w:hAnsi="Times New Roman"/>
                <w:b/>
                <w:szCs w:val="21"/>
              </w:rPr>
              <w:t>水井</w:t>
            </w:r>
          </w:p>
        </w:tc>
        <w:tc>
          <w:tcPr>
            <w:tcW w:w="1018" w:type="dxa"/>
            <w:vAlign w:val="center"/>
          </w:tcPr>
          <w:p>
            <w:pPr>
              <w:spacing w:line="240" w:lineRule="atLeast"/>
              <w:jc w:val="center"/>
              <w:rPr>
                <w:rFonts w:ascii="Times New Roman" w:hAnsi="Times New Roman"/>
                <w:b/>
                <w:szCs w:val="21"/>
              </w:rPr>
            </w:pPr>
            <w:r>
              <w:rPr>
                <w:rFonts w:hint="eastAsia" w:ascii="Times New Roman" w:hAnsi="Times New Roman"/>
                <w:b/>
                <w:szCs w:val="21"/>
              </w:rPr>
              <w:t>标准值</w:t>
            </w:r>
          </w:p>
          <w:p>
            <w:pPr>
              <w:spacing w:line="240" w:lineRule="atLeast"/>
              <w:jc w:val="center"/>
              <w:rPr>
                <w:rFonts w:ascii="Times New Roman" w:hAnsi="Times New Roman"/>
                <w:b/>
                <w:szCs w:val="21"/>
              </w:rPr>
            </w:pPr>
            <w:r>
              <w:rPr>
                <w:rFonts w:ascii="Times New Roman" w:hAnsi="Times New Roman"/>
                <w:b/>
                <w:szCs w:val="21"/>
              </w:rPr>
              <w:t>≤</w:t>
            </w:r>
          </w:p>
        </w:tc>
        <w:tc>
          <w:tcPr>
            <w:tcW w:w="1018" w:type="dxa"/>
            <w:vAlign w:val="center"/>
          </w:tcPr>
          <w:p>
            <w:pPr>
              <w:spacing w:line="240" w:lineRule="atLeast"/>
              <w:jc w:val="center"/>
              <w:rPr>
                <w:rFonts w:ascii="Times New Roman" w:hAnsi="Times New Roman"/>
                <w:b/>
                <w:szCs w:val="21"/>
              </w:rPr>
            </w:pPr>
            <w:r>
              <w:rPr>
                <w:rFonts w:hint="eastAsia" w:ascii="Times New Roman" w:hAnsi="Times New Roman"/>
                <w:b/>
                <w:szCs w:val="21"/>
              </w:rPr>
              <w:t>标准</w:t>
            </w:r>
            <w:r>
              <w:rPr>
                <w:rFonts w:ascii="Times New Roman" w:hAnsi="Times New Roman"/>
                <w:b/>
                <w:szCs w:val="21"/>
              </w:rPr>
              <w:t>指数</w:t>
            </w:r>
          </w:p>
        </w:tc>
        <w:tc>
          <w:tcPr>
            <w:tcW w:w="823" w:type="dxa"/>
            <w:vAlign w:val="center"/>
          </w:tcPr>
          <w:p>
            <w:pPr>
              <w:spacing w:line="240" w:lineRule="atLeast"/>
              <w:jc w:val="center"/>
              <w:rPr>
                <w:rFonts w:ascii="Times New Roman" w:hAnsi="Times New Roman"/>
                <w:b/>
                <w:szCs w:val="21"/>
              </w:rPr>
            </w:pPr>
            <w:r>
              <w:rPr>
                <w:rFonts w:hint="eastAsia" w:ascii="Times New Roman" w:hAnsi="Times New Roman"/>
                <w:b/>
                <w:szCs w:val="21"/>
              </w:rPr>
              <w:t>超标</w:t>
            </w:r>
            <w:r>
              <w:rPr>
                <w:rFonts w:ascii="Times New Roman" w:hAnsi="Times New Roman"/>
                <w:b/>
                <w:szCs w:val="21"/>
              </w:rPr>
              <w:t>倍数</w:t>
            </w:r>
          </w:p>
        </w:tc>
        <w:tc>
          <w:tcPr>
            <w:tcW w:w="1213" w:type="dxa"/>
            <w:vAlign w:val="center"/>
          </w:tcPr>
          <w:p>
            <w:pPr>
              <w:spacing w:line="240" w:lineRule="atLeast"/>
              <w:jc w:val="center"/>
              <w:rPr>
                <w:rFonts w:ascii="Times New Roman" w:hAnsi="Times New Roman"/>
                <w:b/>
                <w:szCs w:val="21"/>
              </w:rPr>
            </w:pPr>
            <w:r>
              <w:rPr>
                <w:rFonts w:hint="eastAsia" w:ascii="Times New Roman" w:hAnsi="Times New Roman"/>
                <w:b/>
                <w:szCs w:val="21"/>
              </w:rPr>
              <w:t>达标</w:t>
            </w:r>
            <w:r>
              <w:rPr>
                <w:rFonts w:ascii="Times New Roman" w:hAnsi="Times New Roman"/>
                <w:b/>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地下水</w:t>
            </w:r>
          </w:p>
        </w:tc>
        <w:tc>
          <w:tcPr>
            <w:tcW w:w="1276"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pH</w:t>
            </w:r>
          </w:p>
          <w:p>
            <w:pPr>
              <w:spacing w:line="240" w:lineRule="atLeast"/>
              <w:jc w:val="center"/>
              <w:rPr>
                <w:rFonts w:ascii="Times New Roman" w:hAnsi="Times New Roman"/>
                <w:szCs w:val="21"/>
              </w:rPr>
            </w:pPr>
            <w:r>
              <w:rPr>
                <w:rFonts w:hint="eastAsia" w:ascii="Times New Roman" w:hAnsi="Times New Roman"/>
                <w:szCs w:val="21"/>
              </w:rPr>
              <w:t>（无量纲）</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2018/07/23</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7.23</w:t>
            </w:r>
          </w:p>
        </w:tc>
        <w:tc>
          <w:tcPr>
            <w:tcW w:w="1018"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6</w:t>
            </w:r>
            <w:r>
              <w:rPr>
                <w:rFonts w:ascii="Times New Roman" w:hAnsi="Times New Roman"/>
                <w:szCs w:val="21"/>
              </w:rPr>
              <w:t>~9</w:t>
            </w: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0.115</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w:t>
            </w:r>
            <w:r>
              <w:rPr>
                <w:rFonts w:ascii="Times New Roman" w:hAnsi="Times New Roman"/>
                <w:szCs w:val="21"/>
              </w:rPr>
              <w:t>/</w:t>
            </w:r>
            <w:r>
              <w:rPr>
                <w:rFonts w:hint="eastAsia" w:ascii="Times New Roman" w:hAnsi="Times New Roman"/>
                <w:szCs w:val="21"/>
              </w:rPr>
              <w:t>07/</w:t>
            </w:r>
            <w:r>
              <w:rPr>
                <w:rFonts w:ascii="Times New Roman" w:hAnsi="Times New Roman"/>
                <w:szCs w:val="21"/>
              </w:rPr>
              <w:t>24</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7.26</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0.13</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2018/07/25</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7.28</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0.24</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耗氧量</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2018/07/23</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0.48</w:t>
            </w:r>
          </w:p>
        </w:tc>
        <w:tc>
          <w:tcPr>
            <w:tcW w:w="1018"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3.0</w:t>
            </w: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0.16</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w:t>
            </w:r>
            <w:r>
              <w:rPr>
                <w:rFonts w:ascii="Times New Roman" w:hAnsi="Times New Roman"/>
                <w:szCs w:val="21"/>
              </w:rPr>
              <w:t>/</w:t>
            </w:r>
            <w:r>
              <w:rPr>
                <w:rFonts w:hint="eastAsia" w:ascii="Times New Roman" w:hAnsi="Times New Roman"/>
                <w:szCs w:val="21"/>
              </w:rPr>
              <w:t>07/</w:t>
            </w:r>
            <w:r>
              <w:rPr>
                <w:rFonts w:ascii="Times New Roman" w:hAnsi="Times New Roman"/>
                <w:szCs w:val="21"/>
              </w:rPr>
              <w:t>24</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0.44</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0.15</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2018/07/25</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0.45</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0.15</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挥发酚</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2018/07/23</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0.0003L</w:t>
            </w:r>
          </w:p>
        </w:tc>
        <w:tc>
          <w:tcPr>
            <w:tcW w:w="1018"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0.002</w:t>
            </w: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＜0.15</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w:t>
            </w:r>
            <w:r>
              <w:rPr>
                <w:rFonts w:ascii="Times New Roman" w:hAnsi="Times New Roman"/>
                <w:szCs w:val="21"/>
              </w:rPr>
              <w:t>/</w:t>
            </w:r>
            <w:r>
              <w:rPr>
                <w:rFonts w:hint="eastAsia" w:ascii="Times New Roman" w:hAnsi="Times New Roman"/>
                <w:szCs w:val="21"/>
              </w:rPr>
              <w:t>07/</w:t>
            </w:r>
            <w:r>
              <w:rPr>
                <w:rFonts w:ascii="Times New Roman" w:hAnsi="Times New Roman"/>
                <w:szCs w:val="21"/>
              </w:rPr>
              <w:t>24</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0.0003L</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＜0.15</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2018/07/25</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0.0003L</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＜0.15</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氯化物</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2018/07/23</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30.4</w:t>
            </w:r>
          </w:p>
        </w:tc>
        <w:tc>
          <w:tcPr>
            <w:tcW w:w="1018"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250</w:t>
            </w: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0.122</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w:t>
            </w:r>
            <w:r>
              <w:rPr>
                <w:rFonts w:ascii="Times New Roman" w:hAnsi="Times New Roman"/>
                <w:szCs w:val="21"/>
              </w:rPr>
              <w:t>/</w:t>
            </w:r>
            <w:r>
              <w:rPr>
                <w:rFonts w:hint="eastAsia" w:ascii="Times New Roman" w:hAnsi="Times New Roman"/>
                <w:szCs w:val="21"/>
              </w:rPr>
              <w:t>07/</w:t>
            </w:r>
            <w:r>
              <w:rPr>
                <w:rFonts w:ascii="Times New Roman" w:hAnsi="Times New Roman"/>
                <w:szCs w:val="21"/>
              </w:rPr>
              <w:t>24</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30.9</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0.124</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2018/07/25</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30.3</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ascii="Times New Roman" w:hAnsi="Times New Roman"/>
                <w:szCs w:val="21"/>
              </w:rPr>
              <w:t>0.121</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氨氮</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2018/07/23</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0.08</w:t>
            </w:r>
          </w:p>
        </w:tc>
        <w:tc>
          <w:tcPr>
            <w:tcW w:w="1018"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0.2</w:t>
            </w:r>
          </w:p>
        </w:tc>
        <w:tc>
          <w:tcPr>
            <w:tcW w:w="1018" w:type="dxa"/>
            <w:vAlign w:val="center"/>
          </w:tcPr>
          <w:p>
            <w:pPr>
              <w:spacing w:line="240" w:lineRule="atLeast"/>
              <w:jc w:val="center"/>
              <w:rPr>
                <w:rFonts w:ascii="Times New Roman" w:hAnsi="Times New Roman"/>
                <w:szCs w:val="21"/>
              </w:rPr>
            </w:pPr>
            <w:r>
              <w:rPr>
                <w:rFonts w:hint="eastAsia" w:ascii="Times New Roman" w:hAnsi="Times New Roman"/>
                <w:szCs w:val="21"/>
              </w:rPr>
              <w:t>0.40</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w:t>
            </w:r>
            <w:r>
              <w:rPr>
                <w:rFonts w:ascii="Times New Roman" w:hAnsi="Times New Roman"/>
                <w:szCs w:val="21"/>
              </w:rPr>
              <w:t>/</w:t>
            </w:r>
            <w:r>
              <w:rPr>
                <w:rFonts w:hint="eastAsia" w:ascii="Times New Roman" w:hAnsi="Times New Roman"/>
                <w:szCs w:val="21"/>
              </w:rPr>
              <w:t>07/</w:t>
            </w:r>
            <w:r>
              <w:rPr>
                <w:rFonts w:ascii="Times New Roman" w:hAnsi="Times New Roman"/>
                <w:szCs w:val="21"/>
              </w:rPr>
              <w:t>24</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0.10</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hint="eastAsia" w:ascii="Times New Roman" w:hAnsi="Times New Roman"/>
                <w:szCs w:val="21"/>
              </w:rPr>
              <w:t>0.50</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2018/07/25</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0.06</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hint="eastAsia" w:ascii="Times New Roman" w:hAnsi="Times New Roman"/>
                <w:szCs w:val="21"/>
              </w:rPr>
              <w:t>0.30</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总大肠菌群CFU/100</w:t>
            </w:r>
            <w:r>
              <w:rPr>
                <w:rFonts w:ascii="Times New Roman" w:hAnsi="Times New Roman"/>
                <w:szCs w:val="21"/>
              </w:rPr>
              <w:t>ml</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2018/07/23</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未检出</w:t>
            </w:r>
          </w:p>
        </w:tc>
        <w:tc>
          <w:tcPr>
            <w:tcW w:w="1018"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3.0</w:t>
            </w:r>
          </w:p>
        </w:tc>
        <w:tc>
          <w:tcPr>
            <w:tcW w:w="1018"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w:t>
            </w:r>
            <w:r>
              <w:rPr>
                <w:rFonts w:ascii="Times New Roman" w:hAnsi="Times New Roman"/>
                <w:szCs w:val="21"/>
              </w:rPr>
              <w:t>/</w:t>
            </w:r>
            <w:r>
              <w:rPr>
                <w:rFonts w:hint="eastAsia" w:ascii="Times New Roman" w:hAnsi="Times New Roman"/>
                <w:szCs w:val="21"/>
              </w:rPr>
              <w:t>07/</w:t>
            </w:r>
            <w:r>
              <w:rPr>
                <w:rFonts w:ascii="Times New Roman" w:hAnsi="Times New Roman"/>
                <w:szCs w:val="21"/>
              </w:rPr>
              <w:t>24</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未检出</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2018/07/25</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未检出</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细菌</w:t>
            </w:r>
            <w:r>
              <w:rPr>
                <w:rFonts w:ascii="Times New Roman" w:hAnsi="Times New Roman"/>
                <w:szCs w:val="21"/>
              </w:rPr>
              <w:t>总数</w:t>
            </w:r>
            <w:r>
              <w:rPr>
                <w:rFonts w:hint="eastAsia" w:ascii="Times New Roman" w:hAnsi="Times New Roman"/>
                <w:szCs w:val="21"/>
              </w:rPr>
              <w:t>CFU/</w:t>
            </w:r>
            <w:r>
              <w:rPr>
                <w:rFonts w:ascii="Times New Roman" w:hAnsi="Times New Roman"/>
                <w:szCs w:val="21"/>
              </w:rPr>
              <w:t>ml</w:t>
            </w: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2018/07/23</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50</w:t>
            </w:r>
          </w:p>
        </w:tc>
        <w:tc>
          <w:tcPr>
            <w:tcW w:w="1018" w:type="dxa"/>
            <w:vMerge w:val="restart"/>
            <w:vAlign w:val="center"/>
          </w:tcPr>
          <w:p>
            <w:pPr>
              <w:spacing w:line="240" w:lineRule="atLeast"/>
              <w:jc w:val="center"/>
              <w:rPr>
                <w:rFonts w:ascii="Times New Roman" w:hAnsi="Times New Roman"/>
                <w:szCs w:val="21"/>
              </w:rPr>
            </w:pPr>
            <w:r>
              <w:rPr>
                <w:rFonts w:hint="eastAsia" w:ascii="Times New Roman" w:hAnsi="Times New Roman"/>
                <w:szCs w:val="21"/>
              </w:rPr>
              <w:t>100</w:t>
            </w:r>
          </w:p>
        </w:tc>
        <w:tc>
          <w:tcPr>
            <w:tcW w:w="1018" w:type="dxa"/>
            <w:vAlign w:val="center"/>
          </w:tcPr>
          <w:p>
            <w:pPr>
              <w:spacing w:line="240" w:lineRule="atLeast"/>
              <w:jc w:val="center"/>
              <w:rPr>
                <w:rFonts w:ascii="Times New Roman" w:hAnsi="Times New Roman"/>
                <w:szCs w:val="21"/>
              </w:rPr>
            </w:pPr>
            <w:r>
              <w:rPr>
                <w:rFonts w:hint="eastAsia" w:ascii="Times New Roman" w:hAnsi="Times New Roman"/>
                <w:szCs w:val="21"/>
              </w:rPr>
              <w:t>0.50</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w:t>
            </w:r>
            <w:r>
              <w:rPr>
                <w:rFonts w:ascii="Times New Roman" w:hAnsi="Times New Roman"/>
                <w:szCs w:val="21"/>
              </w:rPr>
              <w:t>/</w:t>
            </w:r>
            <w:r>
              <w:rPr>
                <w:rFonts w:hint="eastAsia" w:ascii="Times New Roman" w:hAnsi="Times New Roman"/>
                <w:szCs w:val="21"/>
              </w:rPr>
              <w:t>07/</w:t>
            </w:r>
            <w:r>
              <w:rPr>
                <w:rFonts w:ascii="Times New Roman" w:hAnsi="Times New Roman"/>
                <w:szCs w:val="21"/>
              </w:rPr>
              <w:t>24</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69</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hint="eastAsia" w:ascii="Times New Roman" w:hAnsi="Times New Roman"/>
                <w:szCs w:val="21"/>
              </w:rPr>
              <w:t>0.68</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Merge w:val="continue"/>
            <w:vAlign w:val="center"/>
          </w:tcPr>
          <w:p>
            <w:pPr>
              <w:spacing w:line="240" w:lineRule="atLeast"/>
              <w:jc w:val="center"/>
              <w:rPr>
                <w:rFonts w:ascii="Times New Roman" w:hAnsi="Times New Roman"/>
                <w:szCs w:val="21"/>
              </w:rPr>
            </w:pPr>
          </w:p>
        </w:tc>
        <w:tc>
          <w:tcPr>
            <w:tcW w:w="1276" w:type="dxa"/>
            <w:vMerge w:val="continue"/>
            <w:vAlign w:val="center"/>
          </w:tcPr>
          <w:p>
            <w:pPr>
              <w:spacing w:line="240" w:lineRule="atLeast"/>
              <w:jc w:val="center"/>
              <w:rPr>
                <w:rFonts w:ascii="Times New Roman" w:hAnsi="Times New Roman"/>
                <w:szCs w:val="21"/>
              </w:rPr>
            </w:pPr>
          </w:p>
        </w:tc>
        <w:tc>
          <w:tcPr>
            <w:tcW w:w="1276" w:type="dxa"/>
            <w:vAlign w:val="center"/>
          </w:tcPr>
          <w:p>
            <w:pPr>
              <w:spacing w:line="240" w:lineRule="atLeast"/>
              <w:jc w:val="center"/>
              <w:rPr>
                <w:rFonts w:ascii="Times New Roman" w:hAnsi="Times New Roman"/>
                <w:szCs w:val="21"/>
              </w:rPr>
            </w:pPr>
            <w:r>
              <w:rPr>
                <w:rFonts w:hint="eastAsia" w:ascii="Times New Roman" w:hAnsi="Times New Roman"/>
                <w:szCs w:val="21"/>
              </w:rPr>
              <w:t>2018/07/25</w:t>
            </w:r>
          </w:p>
        </w:tc>
        <w:tc>
          <w:tcPr>
            <w:tcW w:w="968" w:type="dxa"/>
            <w:vAlign w:val="center"/>
          </w:tcPr>
          <w:p>
            <w:pPr>
              <w:spacing w:line="240" w:lineRule="atLeast"/>
              <w:jc w:val="center"/>
              <w:rPr>
                <w:rFonts w:ascii="Times New Roman" w:hAnsi="Times New Roman"/>
                <w:szCs w:val="21"/>
              </w:rPr>
            </w:pPr>
            <w:r>
              <w:rPr>
                <w:rFonts w:hint="eastAsia" w:ascii="Times New Roman" w:hAnsi="Times New Roman"/>
                <w:szCs w:val="21"/>
              </w:rPr>
              <w:t>56</w:t>
            </w:r>
          </w:p>
        </w:tc>
        <w:tc>
          <w:tcPr>
            <w:tcW w:w="1018" w:type="dxa"/>
            <w:vMerge w:val="continue"/>
            <w:vAlign w:val="center"/>
          </w:tcPr>
          <w:p>
            <w:pPr>
              <w:spacing w:line="240" w:lineRule="atLeast"/>
              <w:jc w:val="center"/>
              <w:rPr>
                <w:rFonts w:ascii="Times New Roman" w:hAnsi="Times New Roman"/>
                <w:szCs w:val="21"/>
              </w:rPr>
            </w:pPr>
          </w:p>
        </w:tc>
        <w:tc>
          <w:tcPr>
            <w:tcW w:w="1018" w:type="dxa"/>
            <w:vAlign w:val="center"/>
          </w:tcPr>
          <w:p>
            <w:pPr>
              <w:spacing w:line="240" w:lineRule="atLeast"/>
              <w:jc w:val="center"/>
              <w:rPr>
                <w:rFonts w:ascii="Times New Roman" w:hAnsi="Times New Roman"/>
                <w:szCs w:val="21"/>
              </w:rPr>
            </w:pPr>
            <w:r>
              <w:rPr>
                <w:rFonts w:hint="eastAsia" w:ascii="Times New Roman" w:hAnsi="Times New Roman"/>
                <w:szCs w:val="21"/>
              </w:rPr>
              <w:t>0.56</w:t>
            </w:r>
          </w:p>
        </w:tc>
        <w:tc>
          <w:tcPr>
            <w:tcW w:w="823" w:type="dxa"/>
            <w:vAlign w:val="center"/>
          </w:tcPr>
          <w:p>
            <w:pPr>
              <w:spacing w:line="240" w:lineRule="atLeast"/>
              <w:jc w:val="center"/>
              <w:rPr>
                <w:rFonts w:ascii="Times New Roman" w:hAnsi="Times New Roman"/>
                <w:szCs w:val="21"/>
              </w:rPr>
            </w:pPr>
            <w:r>
              <w:rPr>
                <w:rFonts w:hint="eastAsia" w:ascii="Times New Roman" w:hAnsi="Times New Roman"/>
                <w:szCs w:val="21"/>
              </w:rPr>
              <w:t>0</w:t>
            </w:r>
          </w:p>
        </w:tc>
        <w:tc>
          <w:tcPr>
            <w:tcW w:w="1213" w:type="dxa"/>
            <w:vAlign w:val="center"/>
          </w:tcPr>
          <w:p>
            <w:pPr>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4" w:type="dxa"/>
            <w:vAlign w:val="center"/>
          </w:tcPr>
          <w:p>
            <w:pPr>
              <w:spacing w:line="240" w:lineRule="atLeast"/>
              <w:jc w:val="center"/>
              <w:rPr>
                <w:rFonts w:ascii="Times New Roman" w:hAnsi="Times New Roman"/>
                <w:szCs w:val="21"/>
              </w:rPr>
            </w:pPr>
            <w:r>
              <w:rPr>
                <w:rFonts w:hint="eastAsia" w:ascii="Times New Roman" w:hAnsi="Times New Roman"/>
                <w:szCs w:val="21"/>
              </w:rPr>
              <w:t>备注</w:t>
            </w:r>
          </w:p>
        </w:tc>
        <w:tc>
          <w:tcPr>
            <w:tcW w:w="7592" w:type="dxa"/>
            <w:gridSpan w:val="7"/>
            <w:vAlign w:val="center"/>
          </w:tcPr>
          <w:p>
            <w:pPr>
              <w:spacing w:line="240" w:lineRule="atLeast"/>
              <w:jc w:val="left"/>
              <w:rPr>
                <w:rFonts w:ascii="Times New Roman" w:hAnsi="Times New Roman"/>
                <w:szCs w:val="21"/>
              </w:rPr>
            </w:pPr>
            <w:r>
              <w:rPr>
                <w:rFonts w:hint="eastAsia" w:ascii="Times New Roman" w:hAnsi="Times New Roman"/>
                <w:szCs w:val="21"/>
              </w:rPr>
              <w:t>“最低</w:t>
            </w:r>
            <w:r>
              <w:rPr>
                <w:rFonts w:ascii="Times New Roman" w:hAnsi="Times New Roman"/>
                <w:szCs w:val="21"/>
              </w:rPr>
              <w:t>检出限+L</w:t>
            </w:r>
            <w:r>
              <w:rPr>
                <w:rFonts w:hint="eastAsia" w:ascii="Times New Roman" w:hAnsi="Times New Roman"/>
                <w:szCs w:val="21"/>
              </w:rPr>
              <w:t>”表示</w:t>
            </w:r>
            <w:r>
              <w:rPr>
                <w:rFonts w:ascii="Times New Roman" w:hAnsi="Times New Roman"/>
                <w:szCs w:val="21"/>
              </w:rPr>
              <w:t>检测结果低于分析方法检出限</w:t>
            </w:r>
          </w:p>
        </w:tc>
      </w:tr>
    </w:tbl>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从</w:t>
      </w:r>
      <w:r>
        <w:rPr>
          <w:rFonts w:ascii="Times New Roman" w:hAnsi="Times New Roman"/>
          <w:color w:val="000000"/>
          <w:sz w:val="24"/>
          <w:szCs w:val="24"/>
        </w:rPr>
        <w:t>监测结果可以看出，评价区小雷宰村水井个监测因子的监测浓度</w:t>
      </w:r>
      <w:r>
        <w:rPr>
          <w:rFonts w:hint="eastAsia" w:ascii="Times New Roman" w:hAnsi="Times New Roman"/>
          <w:color w:val="000000"/>
          <w:sz w:val="24"/>
          <w:szCs w:val="24"/>
        </w:rPr>
        <w:t>能</w:t>
      </w:r>
      <w:r>
        <w:rPr>
          <w:rFonts w:ascii="Times New Roman" w:hAnsi="Times New Roman"/>
          <w:color w:val="000000"/>
          <w:sz w:val="24"/>
          <w:szCs w:val="24"/>
        </w:rPr>
        <w:t>达到《</w:t>
      </w:r>
      <w:r>
        <w:rPr>
          <w:rFonts w:hint="eastAsia" w:ascii="Times New Roman" w:hAnsi="Times New Roman"/>
          <w:color w:val="000000"/>
          <w:sz w:val="24"/>
          <w:szCs w:val="24"/>
        </w:rPr>
        <w:t>地下水</w:t>
      </w:r>
      <w:r>
        <w:rPr>
          <w:rFonts w:ascii="Times New Roman" w:hAnsi="Times New Roman"/>
          <w:color w:val="000000"/>
          <w:sz w:val="24"/>
          <w:szCs w:val="24"/>
        </w:rPr>
        <w:t>质量标准》</w:t>
      </w:r>
      <w:r>
        <w:rPr>
          <w:rFonts w:hint="eastAsia" w:ascii="Times New Roman" w:hAnsi="Times New Roman"/>
          <w:color w:val="000000"/>
          <w:sz w:val="24"/>
          <w:szCs w:val="24"/>
        </w:rPr>
        <w:t>（GB14848-2017）中</w:t>
      </w:r>
      <w:r>
        <w:rPr>
          <w:rFonts w:ascii="Times New Roman" w:hAnsi="Times New Roman"/>
          <w:color w:val="000000"/>
          <w:sz w:val="24"/>
          <w:szCs w:val="24"/>
        </w:rPr>
        <w:t>的III类标准。</w:t>
      </w:r>
    </w:p>
    <w:p>
      <w:pPr>
        <w:pStyle w:val="6"/>
        <w:spacing w:line="360" w:lineRule="auto"/>
        <w:ind w:firstLine="482" w:firstLineChars="200"/>
        <w:rPr>
          <w:rFonts w:ascii="Times New Roman" w:hAnsi="Times New Roman" w:eastAsia="宋体" w:cs="Times New Roman"/>
          <w:sz w:val="24"/>
        </w:rPr>
      </w:pPr>
      <w:bookmarkStart w:id="239" w:name="_Toc12252"/>
      <w:r>
        <w:rPr>
          <w:rFonts w:ascii="Times New Roman" w:hAnsi="Times New Roman" w:eastAsia="宋体" w:cs="Times New Roman"/>
          <w:sz w:val="24"/>
        </w:rPr>
        <w:t>4.3.5</w:t>
      </w:r>
      <w:r>
        <w:rPr>
          <w:rFonts w:hint="eastAsia" w:ascii="Times New Roman" w:hAnsi="Times New Roman" w:eastAsia="宋体" w:cs="Times New Roman"/>
          <w:sz w:val="24"/>
        </w:rPr>
        <w:t>土壤</w:t>
      </w:r>
      <w:r>
        <w:rPr>
          <w:rFonts w:ascii="Times New Roman" w:hAnsi="Times New Roman" w:eastAsia="宋体" w:cs="Times New Roman"/>
          <w:sz w:val="24"/>
        </w:rPr>
        <w:t>环境质量现状分析</w:t>
      </w:r>
      <w:bookmarkEnd w:id="239"/>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（1）土壤</w:t>
      </w:r>
      <w:r>
        <w:rPr>
          <w:rFonts w:ascii="Times New Roman" w:hAnsi="Times New Roman"/>
          <w:color w:val="000000"/>
          <w:sz w:val="24"/>
          <w:szCs w:val="24"/>
        </w:rPr>
        <w:t>现状监测与分析</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2020</w:t>
      </w:r>
      <w:r>
        <w:rPr>
          <w:rFonts w:hint="eastAsia" w:ascii="Times New Roman" w:hAnsi="Times New Roman"/>
          <w:color w:val="000000"/>
          <w:sz w:val="24"/>
          <w:szCs w:val="24"/>
        </w:rPr>
        <w:t>年3月3日</w:t>
      </w:r>
      <w:r>
        <w:rPr>
          <w:rFonts w:ascii="Times New Roman" w:hAnsi="Times New Roman"/>
          <w:color w:val="000000"/>
          <w:sz w:val="24"/>
          <w:szCs w:val="24"/>
        </w:rPr>
        <w:t>委托</w:t>
      </w:r>
      <w:r>
        <w:rPr>
          <w:rFonts w:hint="eastAsia" w:ascii="Times New Roman" w:hAnsi="Times New Roman"/>
          <w:color w:val="000000"/>
          <w:sz w:val="24"/>
          <w:szCs w:val="24"/>
        </w:rPr>
        <w:t>云南</w:t>
      </w:r>
      <w:r>
        <w:rPr>
          <w:rFonts w:ascii="Times New Roman" w:hAnsi="Times New Roman"/>
          <w:color w:val="000000"/>
          <w:sz w:val="24"/>
          <w:szCs w:val="24"/>
        </w:rPr>
        <w:t>升环监测技术有限公司</w:t>
      </w:r>
      <w:r>
        <w:rPr>
          <w:rFonts w:hint="eastAsia" w:ascii="Times New Roman" w:hAnsi="Times New Roman"/>
          <w:color w:val="000000"/>
          <w:sz w:val="24"/>
          <w:szCs w:val="24"/>
        </w:rPr>
        <w:t>对</w:t>
      </w:r>
      <w:r>
        <w:rPr>
          <w:rFonts w:ascii="Times New Roman" w:hAnsi="Times New Roman"/>
          <w:color w:val="000000"/>
          <w:sz w:val="24"/>
          <w:szCs w:val="24"/>
        </w:rPr>
        <w:t>元谋佳明包装责任有限公司区域内土壤进行了补充监测。</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FF0000"/>
          <w:sz w:val="24"/>
          <w:szCs w:val="24"/>
        </w:rPr>
        <w:t>监测</w:t>
      </w:r>
      <w:r>
        <w:rPr>
          <w:rFonts w:ascii="Times New Roman" w:hAnsi="Times New Roman"/>
          <w:color w:val="FF0000"/>
          <w:sz w:val="24"/>
          <w:szCs w:val="24"/>
        </w:rPr>
        <w:t>点位：本次监测</w:t>
      </w:r>
      <w:r>
        <w:rPr>
          <w:rFonts w:hint="eastAsia" w:ascii="Times New Roman" w:hAnsi="Times New Roman"/>
          <w:color w:val="FF0000"/>
          <w:sz w:val="24"/>
          <w:szCs w:val="24"/>
          <w:lang w:eastAsia="zh-CN"/>
        </w:rPr>
        <w:t>点位均</w:t>
      </w:r>
      <w:r>
        <w:rPr>
          <w:rFonts w:hint="eastAsia" w:ascii="Times New Roman" w:hAnsi="Times New Roman"/>
          <w:color w:val="FF0000"/>
          <w:sz w:val="24"/>
          <w:szCs w:val="24"/>
        </w:rPr>
        <w:t>在项目区</w:t>
      </w:r>
      <w:r>
        <w:rPr>
          <w:rFonts w:hint="eastAsia" w:ascii="Times New Roman" w:hAnsi="Times New Roman"/>
          <w:color w:val="FF0000"/>
          <w:sz w:val="24"/>
          <w:szCs w:val="24"/>
          <w:lang w:eastAsia="zh-CN"/>
        </w:rPr>
        <w:t>内</w:t>
      </w:r>
      <w:r>
        <w:rPr>
          <w:rFonts w:hint="eastAsia" w:ascii="Times New Roman" w:hAnsi="Times New Roman"/>
          <w:color w:val="FF0000"/>
          <w:sz w:val="24"/>
          <w:szCs w:val="24"/>
        </w:rPr>
        <w:t>，</w:t>
      </w:r>
      <w:r>
        <w:rPr>
          <w:rFonts w:ascii="Times New Roman" w:hAnsi="Times New Roman"/>
          <w:color w:val="FF0000"/>
          <w:sz w:val="24"/>
          <w:szCs w:val="24"/>
        </w:rPr>
        <w:t>共设置了</w:t>
      </w:r>
      <w:r>
        <w:rPr>
          <w:rFonts w:hint="eastAsia" w:ascii="Times New Roman" w:hAnsi="Times New Roman"/>
          <w:color w:val="FF0000"/>
          <w:sz w:val="24"/>
          <w:szCs w:val="24"/>
        </w:rPr>
        <w:t>3个</w:t>
      </w:r>
      <w:r>
        <w:rPr>
          <w:rFonts w:ascii="Times New Roman" w:hAnsi="Times New Roman"/>
          <w:color w:val="FF0000"/>
          <w:sz w:val="24"/>
          <w:szCs w:val="24"/>
        </w:rPr>
        <w:t>点位。</w:t>
      </w:r>
      <w:r>
        <w:rPr>
          <w:rFonts w:hint="eastAsia" w:ascii="Times New Roman" w:hAnsi="Times New Roman"/>
          <w:color w:val="FF0000"/>
          <w:sz w:val="24"/>
          <w:szCs w:val="24"/>
        </w:rPr>
        <w:t>3个监测点位坐标：1#点位（东经：101°52′33.43″ 北纬：25°54′36.26″）、：2#点位（东经：101°52′30.66″ 北纬：25°54′32.64″）、3#点位（东经：101°52′29.47″ 北纬：25°54′29.29″）。</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监测项目</w:t>
      </w:r>
      <w:r>
        <w:rPr>
          <w:rFonts w:ascii="Times New Roman" w:hAnsi="Times New Roman"/>
          <w:color w:val="000000"/>
          <w:sz w:val="24"/>
          <w:szCs w:val="24"/>
        </w:rPr>
        <w:t>：</w:t>
      </w:r>
      <w:r>
        <w:rPr>
          <w:rFonts w:hint="eastAsia" w:ascii="Times New Roman" w:hAnsi="Times New Roman"/>
          <w:color w:val="000000"/>
          <w:sz w:val="24"/>
          <w:szCs w:val="24"/>
        </w:rPr>
        <w:t>镉、汞、砷、铜、铅、铬（六价）、镍、四氯化碳、氯仿、氯甲烷、1,1-二氯乙烷、1,2-二氯乙烷、1,1-二氯乙烯、顺-1,2-二氯乙烯、反-1,2-二氯乙烯、二氯甲烷、1,2-二氯丙烷、1,1,1,2-四氯乙烷、1,1,2,2-四氯乙烷、四氯乙烯、 1,1,1-三氯乙烷、1,1,2-三氯乙烷、三氯乙烯、1,2,3-三氯丙烷、氯乙烯、苯、氯苯、 1,2-二氯苯、1,4-二氯苯、乙苯、苯乙烯、甲苯、间二甲苯+对二甲苯、邻二甲苯、硝基苯、苯胺、2-氯酚、苯并[a]蒽、苯并[a]芘、苯并[b]荧蒽、苯并</w:t>
      </w:r>
      <w:r>
        <w:rPr>
          <w:rFonts w:ascii="Times New Roman" w:hAnsi="Times New Roman"/>
          <w:color w:val="000000"/>
          <w:sz w:val="24"/>
          <w:szCs w:val="24"/>
        </w:rPr>
        <w:t>[k]</w:t>
      </w:r>
      <w:r>
        <w:rPr>
          <w:rFonts w:hint="eastAsia" w:ascii="Times New Roman" w:hAnsi="Times New Roman"/>
          <w:color w:val="000000"/>
          <w:sz w:val="24"/>
          <w:szCs w:val="24"/>
        </w:rPr>
        <w:t>荧蒽、䓛、二苯并</w:t>
      </w:r>
      <w:r>
        <w:rPr>
          <w:rFonts w:ascii="Times New Roman" w:hAnsi="Times New Roman"/>
          <w:color w:val="000000"/>
          <w:sz w:val="24"/>
          <w:szCs w:val="24"/>
        </w:rPr>
        <w:t>[a,h]</w:t>
      </w:r>
      <w:r>
        <w:rPr>
          <w:rFonts w:hint="eastAsia" w:ascii="Times New Roman" w:hAnsi="Times New Roman"/>
          <w:color w:val="000000"/>
          <w:sz w:val="24"/>
          <w:szCs w:val="24"/>
        </w:rPr>
        <w:t>蒽、茚并</w:t>
      </w:r>
      <w:r>
        <w:rPr>
          <w:rFonts w:ascii="Times New Roman" w:hAnsi="Times New Roman"/>
          <w:color w:val="000000"/>
          <w:sz w:val="24"/>
          <w:szCs w:val="24"/>
        </w:rPr>
        <w:t>[1,2,3-cd]</w:t>
      </w:r>
      <w:r>
        <w:rPr>
          <w:rFonts w:hint="eastAsia" w:ascii="Times New Roman" w:hAnsi="Times New Roman"/>
          <w:color w:val="000000"/>
          <w:sz w:val="24"/>
          <w:szCs w:val="24"/>
        </w:rPr>
        <w:t>芘、萘共</w:t>
      </w:r>
      <w:r>
        <w:rPr>
          <w:rFonts w:ascii="Times New Roman" w:hAnsi="Times New Roman"/>
          <w:color w:val="000000"/>
          <w:sz w:val="24"/>
          <w:szCs w:val="24"/>
        </w:rPr>
        <w:t>45</w:t>
      </w:r>
      <w:r>
        <w:rPr>
          <w:rFonts w:hint="eastAsia" w:ascii="Times New Roman" w:hAnsi="Times New Roman"/>
          <w:color w:val="000000"/>
          <w:sz w:val="24"/>
          <w:szCs w:val="24"/>
        </w:rPr>
        <w:t>项。</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监测</w:t>
      </w:r>
      <w:r>
        <w:rPr>
          <w:rFonts w:ascii="Times New Roman" w:hAnsi="Times New Roman"/>
          <w:color w:val="000000"/>
          <w:sz w:val="24"/>
          <w:szCs w:val="24"/>
        </w:rPr>
        <w:t>方法：按《</w:t>
      </w:r>
      <w:r>
        <w:rPr>
          <w:rFonts w:hint="eastAsia" w:ascii="Times New Roman" w:hAnsi="Times New Roman"/>
          <w:color w:val="000000"/>
          <w:sz w:val="24"/>
          <w:szCs w:val="24"/>
        </w:rPr>
        <w:t>土壤</w:t>
      </w:r>
      <w:r>
        <w:rPr>
          <w:rFonts w:ascii="Times New Roman" w:hAnsi="Times New Roman"/>
          <w:color w:val="000000"/>
          <w:sz w:val="24"/>
          <w:szCs w:val="24"/>
        </w:rPr>
        <w:t>环境</w:t>
      </w:r>
      <w:r>
        <w:rPr>
          <w:rFonts w:hint="eastAsia" w:ascii="Times New Roman" w:hAnsi="Times New Roman"/>
          <w:color w:val="000000"/>
          <w:sz w:val="24"/>
          <w:szCs w:val="24"/>
        </w:rPr>
        <w:t>监测</w:t>
      </w:r>
      <w:r>
        <w:rPr>
          <w:rFonts w:ascii="Times New Roman" w:hAnsi="Times New Roman"/>
          <w:color w:val="000000"/>
          <w:sz w:val="24"/>
          <w:szCs w:val="24"/>
        </w:rPr>
        <w:t>技术规范》</w:t>
      </w:r>
      <w:r>
        <w:rPr>
          <w:rFonts w:hint="eastAsia" w:ascii="Times New Roman" w:hAnsi="Times New Roman"/>
          <w:color w:val="000000"/>
          <w:sz w:val="24"/>
          <w:szCs w:val="24"/>
        </w:rPr>
        <w:t>（</w:t>
      </w:r>
      <w:r>
        <w:rPr>
          <w:rFonts w:ascii="Times New Roman" w:hAnsi="Times New Roman"/>
          <w:color w:val="000000"/>
          <w:sz w:val="24"/>
          <w:szCs w:val="24"/>
        </w:rPr>
        <w:t>HJ/JT166-2004</w:t>
      </w:r>
      <w:r>
        <w:rPr>
          <w:rFonts w:hint="eastAsia" w:ascii="Times New Roman" w:hAnsi="Times New Roman"/>
          <w:color w:val="000000"/>
          <w:sz w:val="24"/>
          <w:szCs w:val="24"/>
        </w:rPr>
        <w:t>）中</w:t>
      </w:r>
      <w:r>
        <w:rPr>
          <w:rFonts w:ascii="Times New Roman" w:hAnsi="Times New Roman"/>
          <w:color w:val="000000"/>
          <w:sz w:val="24"/>
          <w:szCs w:val="24"/>
        </w:rPr>
        <w:t>的规定要求对监测点进行监测。</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监测</w:t>
      </w:r>
      <w:r>
        <w:rPr>
          <w:rFonts w:ascii="Times New Roman" w:hAnsi="Times New Roman"/>
          <w:color w:val="000000"/>
          <w:sz w:val="24"/>
          <w:szCs w:val="24"/>
        </w:rPr>
        <w:t>频率：采样检测</w:t>
      </w:r>
      <w:r>
        <w:rPr>
          <w:rFonts w:hint="eastAsia" w:ascii="Times New Roman" w:hAnsi="Times New Roman"/>
          <w:color w:val="000000"/>
          <w:sz w:val="24"/>
          <w:szCs w:val="24"/>
        </w:rPr>
        <w:t>1次</w:t>
      </w:r>
      <w:r>
        <w:rPr>
          <w:rFonts w:ascii="Times New Roman" w:hAnsi="Times New Roman"/>
          <w:color w:val="000000"/>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（2）土壤</w:t>
      </w:r>
      <w:r>
        <w:rPr>
          <w:rFonts w:ascii="Times New Roman" w:hAnsi="Times New Roman"/>
          <w:color w:val="000000"/>
          <w:sz w:val="24"/>
          <w:szCs w:val="24"/>
        </w:rPr>
        <w:t>现状监测结果及评价</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监测</w:t>
      </w:r>
      <w:r>
        <w:rPr>
          <w:rFonts w:ascii="Times New Roman" w:hAnsi="Times New Roman"/>
          <w:color w:val="000000"/>
          <w:sz w:val="24"/>
          <w:szCs w:val="24"/>
        </w:rPr>
        <w:t>结果</w:t>
      </w:r>
      <w:r>
        <w:rPr>
          <w:rFonts w:hint="eastAsia" w:ascii="Times New Roman" w:hAnsi="Times New Roman"/>
          <w:color w:val="000000"/>
          <w:sz w:val="24"/>
          <w:szCs w:val="24"/>
        </w:rPr>
        <w:t>如下</w:t>
      </w:r>
      <w:r>
        <w:rPr>
          <w:rFonts w:ascii="Times New Roman" w:hAnsi="Times New Roman"/>
          <w:color w:val="000000"/>
          <w:sz w:val="24"/>
          <w:szCs w:val="24"/>
        </w:rPr>
        <w:t>：</w:t>
      </w:r>
    </w:p>
    <w:p>
      <w:pPr>
        <w:spacing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表4</w:t>
      </w:r>
      <w:r>
        <w:rPr>
          <w:rFonts w:ascii="Times New Roman" w:hAnsi="Times New Roman"/>
          <w:b/>
          <w:color w:val="000000"/>
          <w:sz w:val="24"/>
          <w:szCs w:val="24"/>
        </w:rPr>
        <w:t xml:space="preserve">.3-8   </w:t>
      </w:r>
      <w:r>
        <w:rPr>
          <w:rFonts w:hint="eastAsia" w:ascii="Times New Roman" w:hAnsi="Times New Roman"/>
          <w:b/>
          <w:color w:val="000000"/>
          <w:sz w:val="24"/>
          <w:szCs w:val="24"/>
        </w:rPr>
        <w:t>土壤</w:t>
      </w:r>
      <w:r>
        <w:rPr>
          <w:rFonts w:ascii="Times New Roman" w:hAnsi="Times New Roman"/>
          <w:b/>
          <w:color w:val="000000"/>
          <w:sz w:val="24"/>
          <w:szCs w:val="24"/>
        </w:rPr>
        <w:t>环境质量现状监测结果及评价</w:t>
      </w:r>
      <w:r>
        <w:rPr>
          <w:rFonts w:hint="eastAsia" w:ascii="Times New Roman" w:hAnsi="Times New Roman"/>
          <w:b/>
          <w:color w:val="000000"/>
          <w:sz w:val="24"/>
          <w:szCs w:val="24"/>
        </w:rPr>
        <w:t xml:space="preserve">   单位</w:t>
      </w:r>
      <w:r>
        <w:rPr>
          <w:rFonts w:ascii="Times New Roman" w:hAnsi="Times New Roman"/>
          <w:b/>
          <w:color w:val="000000"/>
          <w:sz w:val="24"/>
          <w:szCs w:val="24"/>
        </w:rPr>
        <w:t>：</w:t>
      </w:r>
      <w:r>
        <w:rPr>
          <w:rFonts w:hint="eastAsia" w:ascii="Times New Roman" w:hAnsi="Times New Roman"/>
          <w:b/>
          <w:color w:val="000000"/>
          <w:sz w:val="24"/>
          <w:szCs w:val="24"/>
        </w:rPr>
        <w:t>mg/kg</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243"/>
        <w:gridCol w:w="1275"/>
        <w:gridCol w:w="2050"/>
        <w:gridCol w:w="2048"/>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Merge w:val="restart"/>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分析</w:t>
            </w:r>
            <w:r>
              <w:rPr>
                <w:rFonts w:ascii="Times New Roman" w:hAnsi="Times New Roman" w:eastAsia="宋体" w:cs="Times New Roman"/>
                <w:color w:val="FF0000"/>
                <w:kern w:val="0"/>
                <w:szCs w:val="20"/>
              </w:rPr>
              <w:t>项目</w:t>
            </w:r>
          </w:p>
        </w:tc>
        <w:tc>
          <w:tcPr>
            <w:tcW w:w="1518" w:type="dxa"/>
            <w:gridSpan w:val="2"/>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采样</w:t>
            </w:r>
            <w:r>
              <w:rPr>
                <w:rFonts w:ascii="Times New Roman" w:hAnsi="Times New Roman" w:eastAsia="宋体" w:cs="Times New Roman"/>
                <w:color w:val="FF0000"/>
                <w:kern w:val="0"/>
                <w:szCs w:val="20"/>
              </w:rPr>
              <w:t>日期</w:t>
            </w:r>
          </w:p>
        </w:tc>
        <w:tc>
          <w:tcPr>
            <w:tcW w:w="6146" w:type="dxa"/>
            <w:gridSpan w:val="3"/>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32" w:type="dxa"/>
            <w:vMerge w:val="continue"/>
          </w:tcPr>
          <w:p>
            <w:pPr>
              <w:spacing w:line="240" w:lineRule="atLeast"/>
              <w:jc w:val="center"/>
              <w:rPr>
                <w:rFonts w:ascii="Times New Roman" w:hAnsi="Times New Roman" w:eastAsia="宋体" w:cs="Times New Roman"/>
                <w:color w:val="FF0000"/>
                <w:kern w:val="0"/>
                <w:szCs w:val="20"/>
              </w:rPr>
            </w:pPr>
          </w:p>
        </w:tc>
        <w:tc>
          <w:tcPr>
            <w:tcW w:w="1518" w:type="dxa"/>
            <w:gridSpan w:val="2"/>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2020年3月3日</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w:t>
            </w:r>
            <w:r>
              <w:rPr>
                <w:rFonts w:ascii="Times New Roman" w:hAnsi="Times New Roman" w:eastAsia="宋体" w:cs="Times New Roman"/>
                <w:color w:val="FF0000"/>
                <w:kern w:val="0"/>
                <w:szCs w:val="20"/>
              </w:rPr>
              <w:t>#</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w:t>
            </w:r>
            <w:r>
              <w:rPr>
                <w:rFonts w:ascii="Times New Roman" w:hAnsi="Times New Roman" w:eastAsia="宋体" w:cs="Times New Roman"/>
                <w:color w:val="FF0000"/>
                <w:kern w:val="0"/>
                <w:szCs w:val="20"/>
              </w:rPr>
              <w:t>#</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3</w:t>
            </w:r>
            <w:r>
              <w:rPr>
                <w:rFonts w:ascii="Times New Roman" w:hAnsi="Times New Roman" w:eastAsia="宋体" w:cs="Times New Roman"/>
                <w:color w:val="FF0000"/>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gridSpan w:val="3"/>
            <w:vMerge w:val="restart"/>
            <w:tcBorders>
              <w:tl2br w:val="single" w:color="auto" w:sz="4" w:space="0"/>
            </w:tcBorders>
          </w:tcPr>
          <w:p>
            <w:pPr>
              <w:spacing w:line="240" w:lineRule="atLeast"/>
              <w:jc w:val="right"/>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层次/编号</w:t>
            </w:r>
          </w:p>
          <w:p>
            <w:pPr>
              <w:spacing w:line="240" w:lineRule="atLeast"/>
              <w:jc w:val="left"/>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项目</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w:t>
            </w:r>
            <w:r>
              <w:rPr>
                <w:rFonts w:ascii="Times New Roman" w:hAnsi="Times New Roman" w:eastAsia="宋体" w:cs="Times New Roman"/>
                <w:color w:val="FF0000"/>
                <w:kern w:val="0"/>
                <w:szCs w:val="20"/>
              </w:rPr>
              <w:t>-0.2m</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w:t>
            </w:r>
            <w:r>
              <w:rPr>
                <w:rFonts w:ascii="Times New Roman" w:hAnsi="Times New Roman" w:eastAsia="宋体" w:cs="Times New Roman"/>
                <w:color w:val="FF0000"/>
                <w:kern w:val="0"/>
                <w:szCs w:val="20"/>
              </w:rPr>
              <w:t>-0.2m</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w:t>
            </w:r>
            <w:r>
              <w:rPr>
                <w:rFonts w:ascii="Times New Roman" w:hAnsi="Times New Roman" w:eastAsia="宋体" w:cs="Times New Roman"/>
                <w:color w:val="FF0000"/>
                <w:kern w:val="0"/>
                <w:szCs w:val="20"/>
              </w:rPr>
              <w:t>-0.2m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gridSpan w:val="3"/>
            <w:vMerge w:val="continue"/>
            <w:tcBorders>
              <w:tl2br w:val="single" w:color="auto" w:sz="4" w:space="0"/>
            </w:tcBorders>
          </w:tcPr>
          <w:p>
            <w:pPr>
              <w:spacing w:line="240" w:lineRule="atLeast"/>
              <w:jc w:val="center"/>
              <w:rPr>
                <w:rFonts w:ascii="Times New Roman" w:hAnsi="Times New Roman" w:eastAsia="宋体" w:cs="Times New Roman"/>
                <w:color w:val="FF0000"/>
                <w:kern w:val="0"/>
                <w:szCs w:val="20"/>
              </w:rPr>
            </w:pP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202003W4001TR</w:t>
            </w:r>
            <w:r>
              <w:rPr>
                <w:rFonts w:ascii="Times New Roman" w:hAnsi="Times New Roman" w:eastAsia="宋体" w:cs="Times New Roman"/>
                <w:color w:val="FF0000"/>
                <w:kern w:val="0"/>
                <w:szCs w:val="20"/>
              </w:rPr>
              <w:t>001</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202003W4001TR</w:t>
            </w:r>
            <w:r>
              <w:rPr>
                <w:rFonts w:ascii="Times New Roman" w:hAnsi="Times New Roman" w:eastAsia="宋体" w:cs="Times New Roman"/>
                <w:color w:val="FF0000"/>
                <w:kern w:val="0"/>
                <w:szCs w:val="20"/>
              </w:rPr>
              <w:t>002</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202003W4001TR</w:t>
            </w:r>
            <w:r>
              <w:rPr>
                <w:rFonts w:ascii="Times New Roman" w:hAnsi="Times New Roman" w:eastAsia="宋体" w:cs="Times New Roman"/>
                <w:color w:val="FF0000"/>
                <w:kern w:val="0"/>
                <w:szCs w:val="20"/>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restart"/>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砷</w:t>
            </w: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监测</w:t>
            </w:r>
            <w:r>
              <w:rPr>
                <w:rFonts w:ascii="Times New Roman" w:hAnsi="Times New Roman" w:eastAsia="宋体" w:cs="Times New Roman"/>
                <w:color w:val="FF0000"/>
                <w:kern w:val="0"/>
                <w:szCs w:val="20"/>
              </w:rPr>
              <w:t>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10.6</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7.43</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筛选值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25</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25</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管制值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对照</w:t>
            </w:r>
            <w:r>
              <w:rPr>
                <w:rFonts w:ascii="Times New Roman" w:hAnsi="Times New Roman" w:eastAsia="宋体" w:cs="Times New Roman"/>
                <w:color w:val="FF0000"/>
                <w:kern w:val="0"/>
                <w:szCs w:val="20"/>
              </w:rPr>
              <w:t>结果</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restart"/>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铜</w:t>
            </w: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监测</w:t>
            </w:r>
            <w:r>
              <w:rPr>
                <w:rFonts w:ascii="Times New Roman" w:hAnsi="Times New Roman" w:eastAsia="宋体" w:cs="Times New Roman"/>
                <w:color w:val="FF0000"/>
                <w:kern w:val="0"/>
                <w:szCs w:val="20"/>
              </w:rPr>
              <w:t>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23</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25</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风险筛选值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对照</w:t>
            </w:r>
            <w:r>
              <w:rPr>
                <w:rFonts w:ascii="Times New Roman" w:hAnsi="Times New Roman" w:eastAsia="宋体" w:cs="Times New Roman"/>
                <w:color w:val="FF0000"/>
                <w:kern w:val="0"/>
                <w:szCs w:val="20"/>
              </w:rPr>
              <w:t>结果</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restart"/>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铅</w:t>
            </w: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监测</w:t>
            </w:r>
            <w:r>
              <w:rPr>
                <w:rFonts w:ascii="Times New Roman" w:hAnsi="Times New Roman" w:eastAsia="宋体" w:cs="Times New Roman"/>
                <w:color w:val="FF0000"/>
                <w:kern w:val="0"/>
                <w:szCs w:val="20"/>
              </w:rPr>
              <w:t>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19</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23</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筛选值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170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170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管制值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1000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1000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对照</w:t>
            </w:r>
            <w:r>
              <w:rPr>
                <w:rFonts w:ascii="Times New Roman" w:hAnsi="Times New Roman" w:eastAsia="宋体" w:cs="Times New Roman"/>
                <w:color w:val="FF0000"/>
                <w:kern w:val="0"/>
                <w:szCs w:val="20"/>
              </w:rPr>
              <w:t>结果</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restart"/>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镉</w:t>
            </w: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监测</w:t>
            </w:r>
            <w:r>
              <w:rPr>
                <w:rFonts w:ascii="Times New Roman" w:hAnsi="Times New Roman" w:eastAsia="宋体" w:cs="Times New Roman"/>
                <w:color w:val="FF0000"/>
                <w:kern w:val="0"/>
                <w:szCs w:val="20"/>
              </w:rPr>
              <w:t>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0.183</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0.157</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筛选值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0.6</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0.6</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管制值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4.0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4.0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对照</w:t>
            </w:r>
            <w:r>
              <w:rPr>
                <w:rFonts w:ascii="Times New Roman" w:hAnsi="Times New Roman" w:eastAsia="宋体" w:cs="Times New Roman"/>
                <w:color w:val="FF0000"/>
                <w:kern w:val="0"/>
                <w:szCs w:val="20"/>
              </w:rPr>
              <w:t>结果</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restart"/>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六价铬</w:t>
            </w: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监测</w:t>
            </w:r>
            <w:r>
              <w:rPr>
                <w:rFonts w:ascii="Times New Roman" w:hAnsi="Times New Roman" w:eastAsia="宋体" w:cs="Times New Roman"/>
                <w:color w:val="FF0000"/>
                <w:kern w:val="0"/>
                <w:szCs w:val="20"/>
              </w:rPr>
              <w:t>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2.55</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2.47</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筛选值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5.7</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5.7</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管制值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78</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78</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对照</w:t>
            </w:r>
            <w:r>
              <w:rPr>
                <w:rFonts w:ascii="Times New Roman" w:hAnsi="Times New Roman" w:eastAsia="宋体" w:cs="Times New Roman"/>
                <w:color w:val="FF0000"/>
                <w:kern w:val="0"/>
                <w:szCs w:val="20"/>
              </w:rPr>
              <w:t>结果</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restart"/>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镍</w:t>
            </w: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监测</w:t>
            </w:r>
            <w:r>
              <w:rPr>
                <w:rFonts w:ascii="Times New Roman" w:hAnsi="Times New Roman" w:eastAsia="宋体" w:cs="Times New Roman"/>
                <w:color w:val="FF0000"/>
                <w:kern w:val="0"/>
                <w:szCs w:val="20"/>
              </w:rPr>
              <w:t>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176</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120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风险筛选值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190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190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对照</w:t>
            </w:r>
            <w:r>
              <w:rPr>
                <w:rFonts w:ascii="Times New Roman" w:hAnsi="Times New Roman" w:eastAsia="宋体" w:cs="Times New Roman"/>
                <w:color w:val="FF0000"/>
                <w:kern w:val="0"/>
                <w:szCs w:val="20"/>
              </w:rPr>
              <w:t>结果</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restart"/>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汞</w:t>
            </w: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监测</w:t>
            </w:r>
            <w:r>
              <w:rPr>
                <w:rFonts w:ascii="Times New Roman" w:hAnsi="Times New Roman" w:eastAsia="宋体" w:cs="Times New Roman"/>
                <w:color w:val="FF0000"/>
                <w:kern w:val="0"/>
                <w:szCs w:val="20"/>
              </w:rPr>
              <w:t>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0.554</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0.648</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筛选值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3.4</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3.4</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风险</w:t>
            </w:r>
            <w:r>
              <w:rPr>
                <w:rFonts w:ascii="Times New Roman" w:hAnsi="Times New Roman" w:eastAsia="宋体" w:cs="Times New Roman"/>
                <w:color w:val="FF0000"/>
                <w:kern w:val="0"/>
                <w:szCs w:val="20"/>
              </w:rPr>
              <w:t>管制值</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6.0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6.0</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gridSpan w:val="2"/>
            <w:vMerge w:val="continue"/>
          </w:tcPr>
          <w:p>
            <w:pPr>
              <w:spacing w:line="240" w:lineRule="atLeast"/>
              <w:jc w:val="center"/>
              <w:rPr>
                <w:rFonts w:ascii="Times New Roman" w:hAnsi="Times New Roman" w:eastAsia="宋体" w:cs="Times New Roman"/>
                <w:color w:val="FF0000"/>
                <w:kern w:val="0"/>
                <w:szCs w:val="20"/>
              </w:rPr>
            </w:pPr>
          </w:p>
        </w:tc>
        <w:tc>
          <w:tcPr>
            <w:tcW w:w="1275"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对照</w:t>
            </w:r>
            <w:r>
              <w:rPr>
                <w:rFonts w:ascii="Times New Roman" w:hAnsi="Times New Roman" w:eastAsia="宋体" w:cs="Times New Roman"/>
                <w:color w:val="FF0000"/>
                <w:kern w:val="0"/>
                <w:szCs w:val="20"/>
              </w:rPr>
              <w:t>结果</w:t>
            </w:r>
          </w:p>
        </w:tc>
        <w:tc>
          <w:tcPr>
            <w:tcW w:w="2050"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c>
          <w:tcPr>
            <w:tcW w:w="2048" w:type="dxa"/>
          </w:tcPr>
          <w:p>
            <w:pPr>
              <w:spacing w:line="240" w:lineRule="atLeast"/>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tcPr>
          <w:p>
            <w:pPr>
              <w:spacing w:line="240" w:lineRule="atLeast"/>
              <w:rPr>
                <w:rFonts w:ascii="Times New Roman" w:hAnsi="Times New Roman" w:eastAsia="宋体" w:cs="Times New Roman"/>
                <w:color w:val="FF0000"/>
                <w:kern w:val="0"/>
                <w:sz w:val="18"/>
                <w:szCs w:val="18"/>
              </w:rPr>
            </w:pPr>
            <w:r>
              <w:rPr>
                <w:rFonts w:hint="eastAsia" w:ascii="Times New Roman" w:hAnsi="Times New Roman" w:eastAsia="宋体" w:cs="Times New Roman"/>
                <w:color w:val="FF0000"/>
                <w:kern w:val="0"/>
                <w:sz w:val="18"/>
                <w:szCs w:val="18"/>
              </w:rPr>
              <w:t>备注：四氯化碳、氯仿、氯甲烷、</w:t>
            </w:r>
            <w:r>
              <w:rPr>
                <w:rFonts w:ascii="Times New Roman" w:hAnsi="Times New Roman" w:eastAsia="宋体" w:cs="Times New Roman"/>
                <w:color w:val="FF0000"/>
                <w:kern w:val="0"/>
                <w:sz w:val="18"/>
                <w:szCs w:val="18"/>
              </w:rPr>
              <w:t>1,1-</w:t>
            </w:r>
            <w:r>
              <w:rPr>
                <w:rFonts w:hint="eastAsia" w:ascii="Times New Roman" w:hAnsi="Times New Roman" w:eastAsia="宋体" w:cs="Times New Roman"/>
                <w:color w:val="FF0000"/>
                <w:kern w:val="0"/>
                <w:sz w:val="18"/>
                <w:szCs w:val="18"/>
              </w:rPr>
              <w:t>二氯乙烷、</w:t>
            </w:r>
            <w:r>
              <w:rPr>
                <w:rFonts w:ascii="Times New Roman" w:hAnsi="Times New Roman" w:eastAsia="宋体" w:cs="Times New Roman"/>
                <w:color w:val="FF0000"/>
                <w:kern w:val="0"/>
                <w:sz w:val="18"/>
                <w:szCs w:val="18"/>
              </w:rPr>
              <w:t>1,2-</w:t>
            </w:r>
            <w:r>
              <w:rPr>
                <w:rFonts w:hint="eastAsia" w:ascii="Times New Roman" w:hAnsi="Times New Roman" w:eastAsia="宋体" w:cs="Times New Roman"/>
                <w:color w:val="FF0000"/>
                <w:kern w:val="0"/>
                <w:sz w:val="18"/>
                <w:szCs w:val="18"/>
              </w:rPr>
              <w:t>二氯乙烷、</w:t>
            </w:r>
            <w:r>
              <w:rPr>
                <w:rFonts w:ascii="Times New Roman" w:hAnsi="Times New Roman" w:eastAsia="宋体" w:cs="Times New Roman"/>
                <w:color w:val="FF0000"/>
                <w:kern w:val="0"/>
                <w:sz w:val="18"/>
                <w:szCs w:val="18"/>
              </w:rPr>
              <w:t>1,1-</w:t>
            </w:r>
            <w:r>
              <w:rPr>
                <w:rFonts w:hint="eastAsia" w:ascii="Times New Roman" w:hAnsi="Times New Roman" w:eastAsia="宋体" w:cs="Times New Roman"/>
                <w:color w:val="FF0000"/>
                <w:kern w:val="0"/>
                <w:sz w:val="18"/>
                <w:szCs w:val="18"/>
              </w:rPr>
              <w:t>二氯乙烯、顺</w:t>
            </w:r>
            <w:r>
              <w:rPr>
                <w:rFonts w:ascii="Times New Roman" w:hAnsi="Times New Roman" w:eastAsia="宋体" w:cs="Times New Roman"/>
                <w:color w:val="FF0000"/>
                <w:kern w:val="0"/>
                <w:sz w:val="18"/>
                <w:szCs w:val="18"/>
              </w:rPr>
              <w:t>-1,2-</w:t>
            </w:r>
            <w:r>
              <w:rPr>
                <w:rFonts w:hint="eastAsia" w:ascii="Times New Roman" w:hAnsi="Times New Roman" w:eastAsia="宋体" w:cs="Times New Roman"/>
                <w:color w:val="FF0000"/>
                <w:kern w:val="0"/>
                <w:sz w:val="18"/>
                <w:szCs w:val="18"/>
              </w:rPr>
              <w:t>二氯乙烯、反</w:t>
            </w:r>
            <w:r>
              <w:rPr>
                <w:rFonts w:ascii="Times New Roman" w:hAnsi="Times New Roman" w:eastAsia="宋体" w:cs="Times New Roman"/>
                <w:color w:val="FF0000"/>
                <w:kern w:val="0"/>
                <w:sz w:val="18"/>
                <w:szCs w:val="18"/>
              </w:rPr>
              <w:t>-1,2-</w:t>
            </w:r>
            <w:r>
              <w:rPr>
                <w:rFonts w:hint="eastAsia" w:ascii="Times New Roman" w:hAnsi="Times New Roman" w:eastAsia="宋体" w:cs="Times New Roman"/>
                <w:color w:val="FF0000"/>
                <w:kern w:val="0"/>
                <w:sz w:val="18"/>
                <w:szCs w:val="18"/>
              </w:rPr>
              <w:t>二氯乙烯、二氯甲烷、</w:t>
            </w:r>
            <w:r>
              <w:rPr>
                <w:rFonts w:ascii="Times New Roman" w:hAnsi="Times New Roman" w:eastAsia="宋体" w:cs="Times New Roman"/>
                <w:color w:val="FF0000"/>
                <w:kern w:val="0"/>
                <w:sz w:val="18"/>
                <w:szCs w:val="18"/>
              </w:rPr>
              <w:t>1,2-</w:t>
            </w:r>
            <w:r>
              <w:rPr>
                <w:rFonts w:hint="eastAsia" w:ascii="Times New Roman" w:hAnsi="Times New Roman" w:eastAsia="宋体" w:cs="Times New Roman"/>
                <w:color w:val="FF0000"/>
                <w:kern w:val="0"/>
                <w:sz w:val="18"/>
                <w:szCs w:val="18"/>
              </w:rPr>
              <w:t>二氯丙烷、</w:t>
            </w:r>
            <w:r>
              <w:rPr>
                <w:rFonts w:ascii="Times New Roman" w:hAnsi="Times New Roman" w:eastAsia="宋体" w:cs="Times New Roman"/>
                <w:color w:val="FF0000"/>
                <w:kern w:val="0"/>
                <w:sz w:val="18"/>
                <w:szCs w:val="18"/>
              </w:rPr>
              <w:t>1,1,1,2-</w:t>
            </w:r>
            <w:r>
              <w:rPr>
                <w:rFonts w:hint="eastAsia" w:ascii="Times New Roman" w:hAnsi="Times New Roman" w:eastAsia="宋体" w:cs="Times New Roman"/>
                <w:color w:val="FF0000"/>
                <w:kern w:val="0"/>
                <w:sz w:val="18"/>
                <w:szCs w:val="18"/>
              </w:rPr>
              <w:t>四氯乙烷、</w:t>
            </w:r>
            <w:r>
              <w:rPr>
                <w:rFonts w:ascii="Times New Roman" w:hAnsi="Times New Roman" w:eastAsia="宋体" w:cs="Times New Roman"/>
                <w:color w:val="FF0000"/>
                <w:kern w:val="0"/>
                <w:sz w:val="18"/>
                <w:szCs w:val="18"/>
              </w:rPr>
              <w:t>1,1,2,2-</w:t>
            </w:r>
            <w:r>
              <w:rPr>
                <w:rFonts w:hint="eastAsia" w:ascii="Times New Roman" w:hAnsi="Times New Roman" w:eastAsia="宋体" w:cs="Times New Roman"/>
                <w:color w:val="FF0000"/>
                <w:kern w:val="0"/>
                <w:sz w:val="18"/>
                <w:szCs w:val="18"/>
              </w:rPr>
              <w:t>四氯乙烷、四氯乙烯、</w:t>
            </w:r>
            <w:r>
              <w:rPr>
                <w:rFonts w:ascii="Times New Roman" w:hAnsi="Times New Roman" w:eastAsia="宋体" w:cs="Times New Roman"/>
                <w:color w:val="FF0000"/>
                <w:kern w:val="0"/>
                <w:sz w:val="18"/>
                <w:szCs w:val="18"/>
              </w:rPr>
              <w:t xml:space="preserve"> 1,1,1-</w:t>
            </w:r>
            <w:r>
              <w:rPr>
                <w:rFonts w:hint="eastAsia" w:ascii="Times New Roman" w:hAnsi="Times New Roman" w:eastAsia="宋体" w:cs="Times New Roman"/>
                <w:color w:val="FF0000"/>
                <w:kern w:val="0"/>
                <w:sz w:val="18"/>
                <w:szCs w:val="18"/>
              </w:rPr>
              <w:t>三氯乙烷、</w:t>
            </w:r>
            <w:r>
              <w:rPr>
                <w:rFonts w:ascii="Times New Roman" w:hAnsi="Times New Roman" w:eastAsia="宋体" w:cs="Times New Roman"/>
                <w:color w:val="FF0000"/>
                <w:kern w:val="0"/>
                <w:sz w:val="18"/>
                <w:szCs w:val="18"/>
              </w:rPr>
              <w:t>1,1,2-</w:t>
            </w:r>
            <w:r>
              <w:rPr>
                <w:rFonts w:hint="eastAsia" w:ascii="Times New Roman" w:hAnsi="Times New Roman" w:eastAsia="宋体" w:cs="Times New Roman"/>
                <w:color w:val="FF0000"/>
                <w:kern w:val="0"/>
                <w:sz w:val="18"/>
                <w:szCs w:val="18"/>
              </w:rPr>
              <w:t>三氯乙烷、三氯乙烯、</w:t>
            </w:r>
            <w:r>
              <w:rPr>
                <w:rFonts w:ascii="Times New Roman" w:hAnsi="Times New Roman" w:eastAsia="宋体" w:cs="Times New Roman"/>
                <w:color w:val="FF0000"/>
                <w:kern w:val="0"/>
                <w:sz w:val="18"/>
                <w:szCs w:val="18"/>
              </w:rPr>
              <w:t>1,2,3-</w:t>
            </w:r>
            <w:r>
              <w:rPr>
                <w:rFonts w:hint="eastAsia" w:ascii="Times New Roman" w:hAnsi="Times New Roman" w:eastAsia="宋体" w:cs="Times New Roman"/>
                <w:color w:val="FF0000"/>
                <w:kern w:val="0"/>
                <w:sz w:val="18"/>
                <w:szCs w:val="18"/>
              </w:rPr>
              <w:t>三氯丙烷、氯乙烯、苯、氯苯、</w:t>
            </w:r>
            <w:r>
              <w:rPr>
                <w:rFonts w:ascii="Times New Roman" w:hAnsi="Times New Roman" w:eastAsia="宋体" w:cs="Times New Roman"/>
                <w:color w:val="FF0000"/>
                <w:kern w:val="0"/>
                <w:sz w:val="18"/>
                <w:szCs w:val="18"/>
              </w:rPr>
              <w:t xml:space="preserve"> 1,2-</w:t>
            </w:r>
            <w:r>
              <w:rPr>
                <w:rFonts w:hint="eastAsia" w:ascii="Times New Roman" w:hAnsi="Times New Roman" w:eastAsia="宋体" w:cs="Times New Roman"/>
                <w:color w:val="FF0000"/>
                <w:kern w:val="0"/>
                <w:sz w:val="18"/>
                <w:szCs w:val="18"/>
              </w:rPr>
              <w:t>二氯苯、</w:t>
            </w:r>
            <w:r>
              <w:rPr>
                <w:rFonts w:ascii="Times New Roman" w:hAnsi="Times New Roman" w:eastAsia="宋体" w:cs="Times New Roman"/>
                <w:color w:val="FF0000"/>
                <w:kern w:val="0"/>
                <w:sz w:val="18"/>
                <w:szCs w:val="18"/>
              </w:rPr>
              <w:t>1,4-</w:t>
            </w:r>
            <w:r>
              <w:rPr>
                <w:rFonts w:hint="eastAsia" w:ascii="Times New Roman" w:hAnsi="Times New Roman" w:eastAsia="宋体" w:cs="Times New Roman"/>
                <w:color w:val="FF0000"/>
                <w:kern w:val="0"/>
                <w:sz w:val="18"/>
                <w:szCs w:val="18"/>
              </w:rPr>
              <w:t>二氯苯、乙苯、苯乙烯、甲苯、间二甲苯</w:t>
            </w:r>
            <w:r>
              <w:rPr>
                <w:rFonts w:ascii="Times New Roman" w:hAnsi="Times New Roman" w:eastAsia="宋体" w:cs="Times New Roman"/>
                <w:color w:val="FF0000"/>
                <w:kern w:val="0"/>
                <w:sz w:val="18"/>
                <w:szCs w:val="18"/>
              </w:rPr>
              <w:t>+</w:t>
            </w:r>
            <w:r>
              <w:rPr>
                <w:rFonts w:hint="eastAsia" w:ascii="Times New Roman" w:hAnsi="Times New Roman" w:eastAsia="宋体" w:cs="Times New Roman"/>
                <w:color w:val="FF0000"/>
                <w:kern w:val="0"/>
                <w:sz w:val="18"/>
                <w:szCs w:val="18"/>
              </w:rPr>
              <w:t>对二甲苯、邻二甲苯、硝基苯、苯胺、</w:t>
            </w:r>
            <w:r>
              <w:rPr>
                <w:rFonts w:ascii="Times New Roman" w:hAnsi="Times New Roman" w:eastAsia="宋体" w:cs="Times New Roman"/>
                <w:color w:val="FF0000"/>
                <w:kern w:val="0"/>
                <w:sz w:val="18"/>
                <w:szCs w:val="18"/>
              </w:rPr>
              <w:t>2-</w:t>
            </w:r>
            <w:r>
              <w:rPr>
                <w:rFonts w:hint="eastAsia" w:ascii="Times New Roman" w:hAnsi="Times New Roman" w:eastAsia="宋体" w:cs="Times New Roman"/>
                <w:color w:val="FF0000"/>
                <w:kern w:val="0"/>
                <w:sz w:val="18"/>
                <w:szCs w:val="18"/>
              </w:rPr>
              <w:t>氯酚、苯并</w:t>
            </w:r>
            <w:r>
              <w:rPr>
                <w:rFonts w:ascii="Times New Roman" w:hAnsi="Times New Roman" w:eastAsia="宋体" w:cs="Times New Roman"/>
                <w:color w:val="FF0000"/>
                <w:kern w:val="0"/>
                <w:sz w:val="18"/>
                <w:szCs w:val="18"/>
              </w:rPr>
              <w:t>[a]</w:t>
            </w:r>
            <w:r>
              <w:rPr>
                <w:rFonts w:hint="eastAsia" w:ascii="Times New Roman" w:hAnsi="Times New Roman" w:eastAsia="宋体" w:cs="Times New Roman"/>
                <w:color w:val="FF0000"/>
                <w:kern w:val="0"/>
                <w:sz w:val="18"/>
                <w:szCs w:val="18"/>
              </w:rPr>
              <w:t>蒽、苯并</w:t>
            </w:r>
            <w:r>
              <w:rPr>
                <w:rFonts w:ascii="Times New Roman" w:hAnsi="Times New Roman" w:eastAsia="宋体" w:cs="Times New Roman"/>
                <w:color w:val="FF0000"/>
                <w:kern w:val="0"/>
                <w:sz w:val="18"/>
                <w:szCs w:val="18"/>
              </w:rPr>
              <w:t>[a]</w:t>
            </w:r>
            <w:r>
              <w:rPr>
                <w:rFonts w:hint="eastAsia" w:ascii="Times New Roman" w:hAnsi="Times New Roman" w:eastAsia="宋体" w:cs="Times New Roman"/>
                <w:color w:val="FF0000"/>
                <w:kern w:val="0"/>
                <w:sz w:val="18"/>
                <w:szCs w:val="18"/>
              </w:rPr>
              <w:t>芘、苯并</w:t>
            </w:r>
            <w:r>
              <w:rPr>
                <w:rFonts w:ascii="Times New Roman" w:hAnsi="Times New Roman" w:eastAsia="宋体" w:cs="Times New Roman"/>
                <w:color w:val="FF0000"/>
                <w:kern w:val="0"/>
                <w:sz w:val="18"/>
                <w:szCs w:val="18"/>
              </w:rPr>
              <w:t>[b]</w:t>
            </w:r>
            <w:r>
              <w:rPr>
                <w:rFonts w:hint="eastAsia" w:ascii="Times New Roman" w:hAnsi="Times New Roman" w:eastAsia="宋体" w:cs="Times New Roman"/>
                <w:color w:val="FF0000"/>
                <w:kern w:val="0"/>
                <w:sz w:val="18"/>
                <w:szCs w:val="18"/>
              </w:rPr>
              <w:t>荧蒽、苯并</w:t>
            </w:r>
            <w:r>
              <w:rPr>
                <w:rFonts w:ascii="Times New Roman" w:hAnsi="Times New Roman" w:eastAsia="宋体" w:cs="Times New Roman"/>
                <w:color w:val="FF0000"/>
                <w:kern w:val="0"/>
                <w:sz w:val="18"/>
                <w:szCs w:val="18"/>
              </w:rPr>
              <w:t>[k]</w:t>
            </w:r>
            <w:r>
              <w:rPr>
                <w:rFonts w:hint="eastAsia" w:ascii="Times New Roman" w:hAnsi="Times New Roman" w:eastAsia="宋体" w:cs="Times New Roman"/>
                <w:color w:val="FF0000"/>
                <w:kern w:val="0"/>
                <w:sz w:val="18"/>
                <w:szCs w:val="18"/>
              </w:rPr>
              <w:t>荧蒽、䓛、二苯并</w:t>
            </w:r>
            <w:r>
              <w:rPr>
                <w:rFonts w:ascii="Times New Roman" w:hAnsi="Times New Roman" w:eastAsia="宋体" w:cs="Times New Roman"/>
                <w:color w:val="FF0000"/>
                <w:kern w:val="0"/>
                <w:sz w:val="18"/>
                <w:szCs w:val="18"/>
              </w:rPr>
              <w:t>[a,h]</w:t>
            </w:r>
            <w:r>
              <w:rPr>
                <w:rFonts w:hint="eastAsia" w:ascii="Times New Roman" w:hAnsi="Times New Roman" w:eastAsia="宋体" w:cs="Times New Roman"/>
                <w:color w:val="FF0000"/>
                <w:kern w:val="0"/>
                <w:sz w:val="18"/>
                <w:szCs w:val="18"/>
              </w:rPr>
              <w:t>蒽、茚并</w:t>
            </w:r>
            <w:r>
              <w:rPr>
                <w:rFonts w:ascii="Times New Roman" w:hAnsi="Times New Roman" w:eastAsia="宋体" w:cs="Times New Roman"/>
                <w:color w:val="FF0000"/>
                <w:kern w:val="0"/>
                <w:sz w:val="18"/>
                <w:szCs w:val="18"/>
              </w:rPr>
              <w:t>[1,2</w:t>
            </w:r>
            <w:r>
              <w:rPr>
                <w:rFonts w:hint="eastAsia" w:ascii="Times New Roman" w:hAnsi="Times New Roman" w:eastAsia="宋体" w:cs="Times New Roman"/>
                <w:color w:val="FF0000"/>
                <w:kern w:val="0"/>
                <w:sz w:val="18"/>
                <w:szCs w:val="18"/>
              </w:rPr>
              <w:t>,3-cd]芘、萘等38项检测</w:t>
            </w:r>
            <w:r>
              <w:rPr>
                <w:rFonts w:ascii="Times New Roman" w:hAnsi="Times New Roman" w:eastAsia="宋体" w:cs="Times New Roman"/>
                <w:color w:val="FF0000"/>
                <w:kern w:val="0"/>
                <w:sz w:val="18"/>
                <w:szCs w:val="18"/>
              </w:rPr>
              <w:t>结果低于方法检出限，详见</w:t>
            </w:r>
            <w:r>
              <w:rPr>
                <w:rFonts w:hint="eastAsia" w:ascii="Times New Roman" w:hAnsi="Times New Roman" w:eastAsia="宋体" w:cs="Times New Roman"/>
                <w:color w:val="FF0000"/>
                <w:kern w:val="0"/>
                <w:sz w:val="18"/>
                <w:szCs w:val="18"/>
              </w:rPr>
              <w:t>附件（土壤</w:t>
            </w:r>
            <w:r>
              <w:rPr>
                <w:rFonts w:ascii="Times New Roman" w:hAnsi="Times New Roman" w:eastAsia="宋体" w:cs="Times New Roman"/>
                <w:color w:val="FF0000"/>
                <w:kern w:val="0"/>
                <w:sz w:val="18"/>
                <w:szCs w:val="18"/>
              </w:rPr>
              <w:t>监测报告</w:t>
            </w:r>
            <w:r>
              <w:rPr>
                <w:rFonts w:hint="eastAsia" w:ascii="Times New Roman" w:hAnsi="Times New Roman" w:eastAsia="宋体" w:cs="Times New Roman"/>
                <w:color w:val="FF0000"/>
                <w:kern w:val="0"/>
                <w:sz w:val="18"/>
                <w:szCs w:val="18"/>
              </w:rPr>
              <w:t>）</w:t>
            </w:r>
            <w:r>
              <w:rPr>
                <w:rFonts w:ascii="Times New Roman" w:hAnsi="Times New Roman" w:eastAsia="宋体" w:cs="Times New Roman"/>
                <w:color w:val="FF0000"/>
                <w:kern w:val="0"/>
                <w:sz w:val="18"/>
                <w:szCs w:val="18"/>
              </w:rPr>
              <w:t>。</w:t>
            </w:r>
          </w:p>
        </w:tc>
      </w:tr>
    </w:tbl>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从</w:t>
      </w:r>
      <w:r>
        <w:rPr>
          <w:rFonts w:ascii="Times New Roman" w:hAnsi="Times New Roman"/>
          <w:color w:val="000000"/>
          <w:sz w:val="24"/>
          <w:szCs w:val="24"/>
        </w:rPr>
        <w:t>监测结果可以看出，</w:t>
      </w:r>
      <w:r>
        <w:rPr>
          <w:rFonts w:hint="eastAsia" w:ascii="Times New Roman" w:hAnsi="Times New Roman"/>
          <w:color w:val="000000"/>
          <w:sz w:val="24"/>
          <w:szCs w:val="24"/>
        </w:rPr>
        <w:t>佳明包装</w:t>
      </w:r>
      <w:r>
        <w:rPr>
          <w:rFonts w:ascii="Times New Roman" w:hAnsi="Times New Roman"/>
          <w:color w:val="000000"/>
          <w:sz w:val="24"/>
          <w:szCs w:val="24"/>
        </w:rPr>
        <w:t>责任有限公司内土壤环境总体来说较为良好，其监测因子均低于《</w:t>
      </w:r>
      <w:r>
        <w:rPr>
          <w:rFonts w:hint="eastAsia" w:ascii="Times New Roman" w:hAnsi="Times New Roman"/>
          <w:color w:val="000000"/>
          <w:sz w:val="24"/>
          <w:szCs w:val="24"/>
        </w:rPr>
        <w:t>土壤</w:t>
      </w:r>
      <w:r>
        <w:rPr>
          <w:rFonts w:ascii="Times New Roman" w:hAnsi="Times New Roman"/>
          <w:color w:val="000000"/>
          <w:sz w:val="24"/>
          <w:szCs w:val="24"/>
        </w:rPr>
        <w:t>环境质量</w:t>
      </w:r>
      <w:r>
        <w:rPr>
          <w:rFonts w:hint="eastAsia" w:ascii="Times New Roman" w:hAnsi="Times New Roman"/>
          <w:color w:val="000000"/>
          <w:sz w:val="24"/>
          <w:szCs w:val="24"/>
        </w:rPr>
        <w:t xml:space="preserve">  建设</w:t>
      </w:r>
      <w:r>
        <w:rPr>
          <w:rFonts w:ascii="Times New Roman" w:hAnsi="Times New Roman"/>
          <w:color w:val="000000"/>
          <w:sz w:val="24"/>
          <w:szCs w:val="24"/>
        </w:rPr>
        <w:t>用地土壤污染风险管控标准》</w:t>
      </w:r>
      <w:r>
        <w:rPr>
          <w:rFonts w:hint="eastAsia" w:ascii="Times New Roman" w:hAnsi="Times New Roman"/>
          <w:color w:val="000000"/>
          <w:sz w:val="24"/>
          <w:szCs w:val="24"/>
        </w:rPr>
        <w:t>（试行）（GB36600-2018）中</w:t>
      </w:r>
      <w:r>
        <w:rPr>
          <w:rFonts w:ascii="Times New Roman" w:hAnsi="Times New Roman"/>
          <w:color w:val="000000"/>
          <w:sz w:val="24"/>
          <w:szCs w:val="24"/>
        </w:rPr>
        <w:t>土壤污染风险筛选值。</w:t>
      </w:r>
    </w:p>
    <w:p>
      <w:pPr>
        <w:numPr>
          <w:ilvl w:val="0"/>
          <w:numId w:val="4"/>
        </w:numPr>
        <w:spacing w:line="360" w:lineRule="auto"/>
        <w:rPr>
          <w:rFonts w:ascii="Times New Roman" w:hAnsi="Times New Roman"/>
          <w:bCs/>
          <w:color w:val="FF0000"/>
          <w:sz w:val="24"/>
          <w:szCs w:val="24"/>
        </w:rPr>
      </w:pPr>
      <w:r>
        <w:rPr>
          <w:rFonts w:hint="eastAsia" w:ascii="Times New Roman" w:hAnsi="Times New Roman"/>
          <w:bCs/>
          <w:color w:val="FF0000"/>
          <w:sz w:val="24"/>
          <w:szCs w:val="24"/>
        </w:rPr>
        <w:t>项目区土壤特性表</w:t>
      </w:r>
    </w:p>
    <w:p>
      <w:pPr>
        <w:pStyle w:val="2"/>
        <w:spacing w:before="0" w:beforeLines="0"/>
        <w:rPr>
          <w:color w:val="FF0000"/>
        </w:rPr>
      </w:pPr>
      <w:r>
        <w:rPr>
          <w:rFonts w:hint="eastAsia"/>
          <w:color w:val="FF0000"/>
        </w:rPr>
        <w:t>项目区土壤特性见下表：</w:t>
      </w:r>
    </w:p>
    <w:p>
      <w:pPr>
        <w:spacing w:line="360" w:lineRule="auto"/>
        <w:ind w:firstLine="482" w:firstLineChars="200"/>
        <w:jc w:val="center"/>
        <w:rPr>
          <w:rFonts w:ascii="Times New Roman" w:hAnsi="Times New Roman"/>
          <w:b/>
          <w:color w:val="000000"/>
          <w:sz w:val="24"/>
          <w:szCs w:val="24"/>
        </w:rPr>
      </w:pPr>
    </w:p>
    <w:p>
      <w:pPr>
        <w:spacing w:line="360" w:lineRule="auto"/>
        <w:ind w:firstLine="482" w:firstLineChars="200"/>
        <w:jc w:val="center"/>
        <w:rPr>
          <w:rFonts w:ascii="Times New Roman" w:hAnsi="Times New Roman"/>
          <w:b/>
          <w:color w:val="000000"/>
          <w:sz w:val="24"/>
          <w:szCs w:val="24"/>
        </w:rPr>
      </w:pPr>
    </w:p>
    <w:p>
      <w:pPr>
        <w:spacing w:line="360" w:lineRule="auto"/>
        <w:ind w:firstLine="482" w:firstLineChars="200"/>
        <w:jc w:val="center"/>
        <w:rPr>
          <w:rFonts w:ascii="Times New Roman" w:hAnsi="Times New Roman"/>
          <w:b/>
          <w:color w:val="000000"/>
          <w:sz w:val="24"/>
          <w:szCs w:val="24"/>
        </w:rPr>
      </w:pPr>
    </w:p>
    <w:p>
      <w:pPr>
        <w:spacing w:line="360" w:lineRule="auto"/>
        <w:ind w:firstLine="482" w:firstLineChars="200"/>
        <w:jc w:val="center"/>
        <w:rPr>
          <w:rFonts w:ascii="Times New Roman" w:hAnsi="Times New Roman"/>
          <w:b/>
          <w:color w:val="000000"/>
          <w:sz w:val="24"/>
          <w:szCs w:val="24"/>
        </w:rPr>
      </w:pPr>
    </w:p>
    <w:p>
      <w:pPr>
        <w:spacing w:line="360" w:lineRule="auto"/>
        <w:ind w:firstLine="482" w:firstLineChars="200"/>
        <w:jc w:val="center"/>
        <w:rPr>
          <w:rFonts w:ascii="Times New Roman" w:hAnsi="Times New Roman"/>
          <w:b/>
          <w:color w:val="000000"/>
          <w:sz w:val="24"/>
          <w:szCs w:val="24"/>
        </w:rPr>
      </w:pPr>
    </w:p>
    <w:p>
      <w:pPr>
        <w:spacing w:line="360" w:lineRule="auto"/>
        <w:ind w:firstLine="420" w:firstLineChars="200"/>
        <w:jc w:val="center"/>
        <w:rPr>
          <w:rFonts w:ascii="Times New Roman" w:hAnsi="Times New Roman"/>
          <w:b/>
          <w:color w:val="000000"/>
          <w:sz w:val="24"/>
          <w:szCs w:val="24"/>
        </w:rPr>
      </w:pPr>
      <w:r>
        <w:drawing>
          <wp:anchor distT="0" distB="0" distL="114300" distR="114300" simplePos="0" relativeHeight="252356608" behindDoc="0" locked="0" layoutInCell="1" allowOverlap="1">
            <wp:simplePos x="0" y="0"/>
            <wp:positionH relativeFrom="column">
              <wp:posOffset>278765</wp:posOffset>
            </wp:positionH>
            <wp:positionV relativeFrom="paragraph">
              <wp:posOffset>297815</wp:posOffset>
            </wp:positionV>
            <wp:extent cx="4832350" cy="3077845"/>
            <wp:effectExtent l="0" t="0" r="6350" b="8255"/>
            <wp:wrapSquare wrapText="bothSides"/>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0"/>
                    <a:stretch>
                      <a:fillRect/>
                    </a:stretch>
                  </pic:blipFill>
                  <pic:spPr>
                    <a:xfrm>
                      <a:off x="0" y="0"/>
                      <a:ext cx="4832350" cy="3077845"/>
                    </a:xfrm>
                    <a:prstGeom prst="rect">
                      <a:avLst/>
                    </a:prstGeom>
                    <a:noFill/>
                    <a:ln>
                      <a:noFill/>
                    </a:ln>
                  </pic:spPr>
                </pic:pic>
              </a:graphicData>
            </a:graphic>
          </wp:anchor>
        </w:drawing>
      </w:r>
      <w:r>
        <w:rPr>
          <w:rFonts w:hint="eastAsia" w:ascii="Times New Roman" w:hAnsi="Times New Roman"/>
          <w:b/>
          <w:color w:val="000000"/>
          <w:sz w:val="24"/>
          <w:szCs w:val="24"/>
        </w:rPr>
        <w:t>表4</w:t>
      </w:r>
      <w:r>
        <w:rPr>
          <w:rFonts w:ascii="Times New Roman" w:hAnsi="Times New Roman"/>
          <w:b/>
          <w:color w:val="000000"/>
          <w:sz w:val="24"/>
          <w:szCs w:val="24"/>
        </w:rPr>
        <w:t>.3-</w:t>
      </w:r>
      <w:r>
        <w:rPr>
          <w:rFonts w:hint="eastAsia" w:ascii="Times New Roman" w:hAnsi="Times New Roman"/>
          <w:b/>
          <w:color w:val="000000"/>
          <w:sz w:val="24"/>
          <w:szCs w:val="24"/>
        </w:rPr>
        <w:t>9</w:t>
      </w:r>
      <w:r>
        <w:rPr>
          <w:rFonts w:ascii="Times New Roman" w:hAnsi="Times New Roman"/>
          <w:b/>
          <w:color w:val="000000"/>
          <w:sz w:val="24"/>
          <w:szCs w:val="24"/>
        </w:rPr>
        <w:t xml:space="preserve">   </w:t>
      </w:r>
      <w:r>
        <w:rPr>
          <w:rFonts w:hint="eastAsia" w:ascii="Times New Roman" w:hAnsi="Times New Roman"/>
          <w:b/>
          <w:color w:val="000000"/>
          <w:sz w:val="24"/>
          <w:szCs w:val="24"/>
        </w:rPr>
        <w:t>项目区土壤特性表</w:t>
      </w:r>
    </w:p>
    <w:p>
      <w:pPr>
        <w:pStyle w:val="6"/>
        <w:spacing w:line="360" w:lineRule="auto"/>
        <w:ind w:firstLine="482" w:firstLineChars="200"/>
        <w:rPr>
          <w:rFonts w:ascii="Times New Roman" w:hAnsi="Times New Roman" w:eastAsia="宋体" w:cs="Times New Roman"/>
          <w:sz w:val="24"/>
        </w:rPr>
      </w:pPr>
      <w:bookmarkStart w:id="240" w:name="_Toc21028"/>
      <w:r>
        <w:rPr>
          <w:rFonts w:ascii="Times New Roman" w:hAnsi="Times New Roman" w:eastAsia="宋体" w:cs="Times New Roman"/>
          <w:sz w:val="24"/>
        </w:rPr>
        <w:t>4.3.6</w:t>
      </w:r>
      <w:r>
        <w:rPr>
          <w:rFonts w:hint="eastAsia" w:ascii="Times New Roman" w:hAnsi="Times New Roman" w:eastAsia="宋体" w:cs="Times New Roman"/>
          <w:sz w:val="24"/>
        </w:rPr>
        <w:t>生态环境</w:t>
      </w:r>
      <w:bookmarkEnd w:id="240"/>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根据建设单位提供资料，本项目位于元谋县工业园区金雷片区内，总占地面积为23333.45m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范围内土地利用现状涉及的多为荒地、灌木和桉树，植被类型比较单一。评价区域内无国家及地方珍稀保护动植物，周边无自然保护区、风景名胜区、饮用水源保护区，不涉及生态敏感区。项目建设对地表植被的破坏面积较小，可能引起的生态环境问题少。</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br w:type="page"/>
      </w:r>
    </w:p>
    <w:p>
      <w:pPr>
        <w:pStyle w:val="4"/>
        <w:ind w:firstLine="602"/>
      </w:pPr>
      <w:bookmarkStart w:id="241" w:name="_Toc9111"/>
      <w:bookmarkStart w:id="242" w:name="_Toc23843358"/>
      <w:bookmarkStart w:id="243" w:name="_Toc21993"/>
      <w:r>
        <w:rPr>
          <w:rFonts w:hint="eastAsia"/>
        </w:rPr>
        <w:t>5环境影响预测及评价</w:t>
      </w:r>
      <w:bookmarkEnd w:id="241"/>
      <w:bookmarkEnd w:id="242"/>
      <w:bookmarkEnd w:id="243"/>
    </w:p>
    <w:p>
      <w:pPr>
        <w:pStyle w:val="5"/>
        <w:ind w:firstLine="562"/>
        <w:rPr>
          <w:rFonts w:hAnsi="Times New Roman"/>
        </w:rPr>
      </w:pPr>
      <w:bookmarkStart w:id="244" w:name="_Toc23843359"/>
      <w:bookmarkStart w:id="245" w:name="_Toc27440"/>
      <w:bookmarkStart w:id="246" w:name="_Toc4299"/>
      <w:r>
        <w:rPr>
          <w:rFonts w:hint="eastAsia" w:hAnsi="Times New Roman"/>
        </w:rPr>
        <w:t>5.1施工期环境影响分析</w:t>
      </w:r>
      <w:bookmarkEnd w:id="244"/>
      <w:bookmarkEnd w:id="245"/>
      <w:bookmarkEnd w:id="246"/>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在施工期间，各项施工活动不可避免的将会对周围的环境造成破坏和产生影响。主要包括施工扬尘；施工废水、生活污水、地表雨水径流；噪声；土石方、建筑垃圾、生活垃圾等对周围环境的影响，而且以扬尘和施工噪声尤为明显。以下就这些污染及其对环境的影响加以分析，并提出相应的防治措施。</w:t>
      </w:r>
    </w:p>
    <w:p>
      <w:pPr>
        <w:pStyle w:val="6"/>
        <w:spacing w:line="360" w:lineRule="auto"/>
        <w:ind w:firstLine="482" w:firstLineChars="200"/>
        <w:rPr>
          <w:rFonts w:ascii="Times New Roman" w:hAnsi="Times New Roman" w:eastAsia="宋体" w:cs="Times New Roman"/>
          <w:sz w:val="24"/>
        </w:rPr>
      </w:pPr>
      <w:bookmarkStart w:id="247" w:name="_Toc23843360"/>
      <w:bookmarkStart w:id="248" w:name="_Toc26691"/>
      <w:r>
        <w:rPr>
          <w:rFonts w:hint="eastAsia" w:ascii="Times New Roman" w:hAnsi="Times New Roman" w:eastAsia="宋体" w:cs="Times New Roman"/>
          <w:sz w:val="24"/>
        </w:rPr>
        <w:t>5.1.1施工期环境空气影响分析</w:t>
      </w:r>
      <w:bookmarkEnd w:id="247"/>
      <w:bookmarkEnd w:id="248"/>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1、施工期环境空气影响分析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项目在施工期产生的废气主要为工业场地建筑施工以及材料运输过程中产生的扬尘等。</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扬尘是施工期最大的大气污染物，施工期扬尘主要是由开挖地基、场地平整、回填土石方以及建筑材料的运输、装卸、堆放等产生的，污染因子主要为颗粒物，对施工环境有一定的污染。扬尘呈无组织排放，其排放量与气象条件及施工内容、方式密切相关，经工程分析估算，计算得出项目区施工期扬尘总产生量为20.33t/a，在距施工现场边界1m处，扬尘浓度最大达到0.005mg/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。为无组织排放。</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项目地位于元谋县工业园区金雷片区片区，其最近的敏感目标为东面直线距离 422m处的小雷宰村，项目施工地点与小雷宰村中间有草地及林木阻隔，在施工过程中采取抑尘措施，适时洒水，并对开挖场地进行压实，施工期间扬尘影响程度有限，且随施工活动的结束而消除。</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2、施工期大气污染防治措施</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施工单位应严格做到文明施工，减小施工期大气污染物对环境敏感点的影响。具体措施如下：</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（1）对施工现场进行科学管理，砂石料应统一堆放，水泥应设专门库房堆放，减少搬运环节，搬运时轻举轻放，防止包装袋破裂。</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（2）开挖时，对作业面适当喷水，使其保持一定的湿度，以减少扬尘量。而且，建筑材料和建筑垃圾应及时运走。</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（3）施工场地、施工道路的扬尘可用洒水和清扫措施予以抑止。在施工场地每天洒水抑尘作业2~3次，其扬尘造成的颗粒物污染距离可缩小到20</w:t>
      </w:r>
      <w:r>
        <w:rPr>
          <w:rFonts w:ascii="Times New Roman" w:hAnsi="Times New Roman"/>
          <w:color w:val="000000"/>
          <w:sz w:val="24"/>
          <w:szCs w:val="24"/>
        </w:rPr>
        <w:t>～</w:t>
      </w:r>
      <w:r>
        <w:rPr>
          <w:rFonts w:hint="eastAsia" w:ascii="Times New Roman" w:hAnsi="Times New Roman"/>
          <w:color w:val="000000"/>
          <w:sz w:val="24"/>
          <w:szCs w:val="24"/>
        </w:rPr>
        <w:t>50m范围。</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（4）谨防运输车辆装载过满，并采取遮盖、密闭措施，减少其沿途抛洒，并及时清扫散落在路面的泥土和灰尘，冲洗轮胎，定时洒水压尘，减少运输过程中的扬尘。</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（5）风速过大时应停止施工作业，并对堆放的砂石等建筑材料、临时表土堆场进行遮盖处理。</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综上，施工期污染会随施工活动的结束而消除，施工期对当地环境空气质量的影响是局部的、暂时的，总体影响比较小，不会改变当地的空气环境质量的功能。评价认为项目施工期废气污染对周围环境的影响可接受。</w:t>
      </w:r>
    </w:p>
    <w:p>
      <w:pPr>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3、施工期大气污染环境影响分析小结</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施工期产生的废气主要为施工扬尘，经采取施工场地洒水、道路洒水、清洗轮胎、及时清扫道路等措施对扬尘进行防治后，施工扬尘对环境和敏感点的影响可接受。</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249" w:name="_Toc23843361"/>
      <w:bookmarkStart w:id="250" w:name="_Toc7747"/>
      <w:r>
        <w:rPr>
          <w:rFonts w:hint="eastAsia" w:ascii="Times New Roman" w:hAnsi="Times New Roman" w:eastAsia="宋体" w:cs="Times New Roman"/>
          <w:b/>
          <w:bCs/>
          <w:sz w:val="24"/>
          <w:szCs w:val="32"/>
        </w:rPr>
        <w:t>5.1.2施工期水环境影响分析</w:t>
      </w:r>
      <w:bookmarkEnd w:id="249"/>
      <w:bookmarkEnd w:id="250"/>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项目施工期废水主要为施工废水、施工人员生活污水及雨季形成的地表径流。</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施工废水主要为建筑养护排水、施工工具及施工机械车辆清洗清洗及进出车辆冲洗水等， 本项目施工废水产生量约</w:t>
      </w:r>
      <w:r>
        <w:rPr>
          <w:rFonts w:ascii="Times New Roman" w:hAnsi="Times New Roman" w:eastAsia="宋体" w:cs="Times New Roman"/>
          <w:sz w:val="24"/>
        </w:rPr>
        <w:t>1.8</w:t>
      </w:r>
      <w:r>
        <w:rPr>
          <w:rFonts w:hint="eastAsia" w:ascii="Times New Roman" w:hAnsi="Times New Roman" w:eastAsia="宋体" w:cs="Times New Roman"/>
          <w:sz w:val="24"/>
        </w:rPr>
        <w:t>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/d，在厂区设置容积为250m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 xml:space="preserve"> 的临时沉淀池，施工废水经沉淀池回用于施工过程和场地洒水抑尘，不外排；</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施工过程中，废水产生时间和量均存在不确定因素，施工期废水不含有毒物质，主要是泥沙悬浮物含量较大。项目施工期间施工人员产生生活污水</w:t>
      </w:r>
      <w:r>
        <w:rPr>
          <w:rFonts w:ascii="Times New Roman" w:hAnsi="Times New Roman" w:eastAsia="宋体" w:cs="Times New Roman"/>
          <w:sz w:val="24"/>
        </w:rPr>
        <w:t>1.92</w:t>
      </w:r>
      <w:r>
        <w:rPr>
          <w:rFonts w:hint="eastAsia" w:ascii="Times New Roman" w:hAnsi="Times New Roman" w:eastAsia="宋体" w:cs="Times New Roman"/>
          <w:sz w:val="24"/>
        </w:rPr>
        <w:t>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/d，生活污水经临时沉淀池（250m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）收集沉淀，用于项目区洒水降尘；生活污水中的污染物主要为BOD</w:t>
      </w:r>
      <w:r>
        <w:rPr>
          <w:rFonts w:hint="eastAsia" w:ascii="Times New Roman" w:hAnsi="Times New Roman" w:eastAsia="宋体" w:cs="Times New Roman"/>
          <w:sz w:val="24"/>
          <w:vertAlign w:val="subscript"/>
        </w:rPr>
        <w:t>5</w:t>
      </w:r>
      <w:r>
        <w:rPr>
          <w:rFonts w:hint="eastAsia" w:ascii="Times New Roman" w:hAnsi="Times New Roman" w:eastAsia="宋体" w:cs="Times New Roman"/>
          <w:sz w:val="24"/>
        </w:rPr>
        <w:t>、COD、SS等。在施工场地将设置1个旱厕作为施工人员如厕使用，旱厕废液、粪便由施工方定期清掏至表土堆场覆土腐熟、后期用作绿化施肥，施工结束后进行回填。</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根据工程分析施工期间的地表径流量为31.82m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/d，施工方设置截排水沟渠于四周，部分地表径流经过沉淀后，回用于项目洒水抑尘。</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为加强施工期废水的管理，避免大量含泥沙的废水直接进入项目区附近的水体，加剧区域的水土流失；项目建设方应将基础设施建设等工程的大规模开挖尽量安排在旱季进行，同时对开挖场地进行必要的挡拦设施及临时排水沟的建设，最大程度减少雨水对场地及建筑材料的冲刷，减少含泥雨水的产生量，降低施工期含泥雨水对外部水体环境的影响。</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综上，本项目施工期污水排放量不是很大，当建设方采取上述措施后，施工期产生的各种废水对当地地表水环境的影响比较小，不会改变当地的地表水环境质量的功能。</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251" w:name="_Toc2253"/>
      <w:bookmarkStart w:id="252" w:name="_Toc23843362"/>
      <w:r>
        <w:rPr>
          <w:rFonts w:hint="eastAsia" w:ascii="Times New Roman" w:hAnsi="Times New Roman" w:eastAsia="宋体" w:cs="Times New Roman"/>
          <w:b/>
          <w:bCs/>
          <w:sz w:val="24"/>
          <w:szCs w:val="32"/>
        </w:rPr>
        <w:t>5.1.3施工期噪声环境影响分析</w:t>
      </w:r>
      <w:bookmarkEnd w:id="251"/>
      <w:bookmarkEnd w:id="252"/>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施工期对声环境的影响主要是施工噪声，噪声主要来源于建设中各种施工机械的施工活动。</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1、施工噪声</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施工期噪声主要来源于施工机械主要有挖掘机、推土机、装载机、压路机等，产生的噪声在80~105dB（A）。</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根据《环境影响评价技术导则  声环境》（HJ2.4-2009），采用点源衰减模式，预测计算声源至受声点的几何发散衰减，不考虑率声屏障、空气吸收等衰减。预测公式如下：</w:t>
      </w:r>
    </w:p>
    <w:p>
      <w:pPr>
        <w:spacing w:line="360" w:lineRule="auto"/>
        <w:ind w:firstLine="600" w:firstLineChars="200"/>
        <w:jc w:val="center"/>
        <w:rPr>
          <w:rFonts w:ascii="Times New Roman" w:hAnsi="Times New Roman" w:eastAsia="宋体" w:cs="Times New Roman"/>
          <w:sz w:val="30"/>
          <w:szCs w:val="30"/>
        </w:rPr>
      </w:pPr>
      <w:r>
        <w:rPr>
          <w:rFonts w:hint="eastAsia" w:ascii="Times New Roman" w:hAnsi="Times New Roman" w:eastAsia="宋体" w:cs="Times New Roman"/>
          <w:sz w:val="30"/>
          <w:szCs w:val="30"/>
        </w:rPr>
        <w:t>L</w:t>
      </w:r>
      <w:r>
        <w:rPr>
          <w:rFonts w:hint="eastAsia" w:ascii="Times New Roman" w:hAnsi="Times New Roman" w:eastAsia="宋体" w:cs="Times New Roman"/>
          <w:sz w:val="30"/>
          <w:szCs w:val="30"/>
          <w:vertAlign w:val="subscript"/>
        </w:rPr>
        <w:t>r</w:t>
      </w:r>
      <w:r>
        <w:rPr>
          <w:rFonts w:hint="eastAsia" w:ascii="Times New Roman" w:hAnsi="Times New Roman" w:eastAsia="宋体" w:cs="Times New Roman"/>
          <w:sz w:val="30"/>
          <w:szCs w:val="30"/>
        </w:rPr>
        <w:t>=L</w:t>
      </w:r>
      <w:r>
        <w:rPr>
          <w:rFonts w:hint="eastAsia" w:ascii="Times New Roman" w:hAnsi="Times New Roman" w:eastAsia="宋体" w:cs="Times New Roman"/>
          <w:sz w:val="30"/>
          <w:szCs w:val="30"/>
          <w:vertAlign w:val="subscript"/>
        </w:rPr>
        <w:t>r0</w:t>
      </w:r>
      <w:r>
        <w:rPr>
          <w:rFonts w:hint="eastAsia" w:ascii="Times New Roman" w:hAnsi="Times New Roman" w:eastAsia="宋体" w:cs="Times New Roman"/>
          <w:sz w:val="30"/>
          <w:szCs w:val="30"/>
        </w:rPr>
        <w:t>-20lg（r/r</w:t>
      </w:r>
      <w:r>
        <w:rPr>
          <w:rFonts w:hint="eastAsia" w:ascii="Times New Roman" w:hAnsi="Times New Roman" w:eastAsia="宋体" w:cs="Times New Roman"/>
          <w:sz w:val="30"/>
          <w:szCs w:val="30"/>
          <w:vertAlign w:val="subscript"/>
        </w:rPr>
        <w:t>0</w:t>
      </w:r>
      <w:r>
        <w:rPr>
          <w:rFonts w:hint="eastAsia" w:ascii="Times New Roman" w:hAnsi="Times New Roman" w:eastAsia="宋体" w:cs="Times New Roman"/>
          <w:sz w:val="30"/>
          <w:szCs w:val="30"/>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式中：Lr</w:t>
      </w:r>
      <w:r>
        <w:rPr>
          <w:rFonts w:ascii="Times New Roman" w:hAnsi="Times New Roman" w:eastAsia="宋体" w:cs="Times New Roman"/>
          <w:sz w:val="24"/>
          <w:szCs w:val="28"/>
        </w:rPr>
        <w:t>——</w:t>
      </w:r>
      <w:r>
        <w:rPr>
          <w:rFonts w:hint="eastAsia" w:ascii="Times New Roman" w:hAnsi="Times New Roman" w:eastAsia="宋体" w:cs="Times New Roman"/>
          <w:sz w:val="24"/>
        </w:rPr>
        <w:t>声源r处的A声压级，dB（A）；</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      L</w:t>
      </w:r>
      <w:r>
        <w:rPr>
          <w:rFonts w:hint="eastAsia" w:ascii="Times New Roman" w:hAnsi="Times New Roman" w:eastAsia="宋体" w:cs="Times New Roman"/>
          <w:sz w:val="24"/>
          <w:vertAlign w:val="subscript"/>
        </w:rPr>
        <w:t>r0</w:t>
      </w:r>
      <w:r>
        <w:rPr>
          <w:rFonts w:ascii="Times New Roman" w:hAnsi="Times New Roman" w:eastAsia="宋体" w:cs="Times New Roman"/>
          <w:sz w:val="24"/>
          <w:szCs w:val="28"/>
        </w:rPr>
        <w:t>——</w:t>
      </w:r>
      <w:r>
        <w:rPr>
          <w:rFonts w:hint="eastAsia" w:ascii="Times New Roman" w:hAnsi="Times New Roman" w:eastAsia="宋体" w:cs="Times New Roman"/>
          <w:sz w:val="24"/>
        </w:rPr>
        <w:t>距声源r0处的A声压级，dB（A）；</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      r</w:t>
      </w:r>
      <w:r>
        <w:rPr>
          <w:rFonts w:ascii="Times New Roman" w:hAnsi="Times New Roman" w:eastAsia="宋体" w:cs="Times New Roman"/>
          <w:sz w:val="24"/>
          <w:szCs w:val="28"/>
        </w:rPr>
        <w:t>——</w:t>
      </w:r>
      <w:r>
        <w:rPr>
          <w:rFonts w:hint="eastAsia" w:ascii="Times New Roman" w:hAnsi="Times New Roman" w:eastAsia="宋体" w:cs="Times New Roman"/>
          <w:sz w:val="24"/>
        </w:rPr>
        <w:t>预测点与声源距离，m；</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      r</w:t>
      </w:r>
      <w:r>
        <w:rPr>
          <w:rFonts w:hint="eastAsia" w:ascii="Times New Roman" w:hAnsi="Times New Roman" w:eastAsia="宋体" w:cs="Times New Roman"/>
          <w:sz w:val="24"/>
          <w:vertAlign w:val="subscript"/>
        </w:rPr>
        <w:t>0</w:t>
      </w:r>
      <w:r>
        <w:rPr>
          <w:rFonts w:ascii="Times New Roman" w:hAnsi="Times New Roman" w:eastAsia="宋体" w:cs="Times New Roman"/>
          <w:sz w:val="24"/>
          <w:szCs w:val="28"/>
        </w:rPr>
        <w:t>——</w:t>
      </w:r>
      <w:r>
        <w:rPr>
          <w:rFonts w:hint="eastAsia" w:ascii="Times New Roman" w:hAnsi="Times New Roman" w:eastAsia="宋体" w:cs="Times New Roman"/>
          <w:sz w:val="24"/>
        </w:rPr>
        <w:t>监测设备噪声时的距离，m。</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由此对各施工阶段的施工机械噪声影响范围预测如下表所示。</w:t>
      </w:r>
    </w:p>
    <w:p>
      <w:pPr>
        <w:spacing w:line="360" w:lineRule="auto"/>
        <w:ind w:firstLine="482" w:firstLineChars="200"/>
        <w:jc w:val="center"/>
        <w:rPr>
          <w:rFonts w:ascii="Times New Roman" w:hAnsi="Times New Roman" w:eastAsia="宋体" w:cs="Times New Roman"/>
          <w:b/>
          <w:sz w:val="24"/>
        </w:rPr>
      </w:pPr>
      <w:r>
        <w:rPr>
          <w:rFonts w:hint="eastAsia" w:ascii="Times New Roman" w:hAnsi="Times New Roman" w:eastAsia="宋体" w:cs="Times New Roman"/>
          <w:b/>
          <w:sz w:val="24"/>
        </w:rPr>
        <w:t>表5.1-1   各种施工机械噪声在不同距离外的噪声预测值</w:t>
      </w:r>
    </w:p>
    <w:tbl>
      <w:tblPr>
        <w:tblStyle w:val="38"/>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3"/>
        <w:gridCol w:w="568"/>
        <w:gridCol w:w="707"/>
        <w:gridCol w:w="706"/>
        <w:gridCol w:w="707"/>
        <w:gridCol w:w="707"/>
        <w:gridCol w:w="707"/>
        <w:gridCol w:w="689"/>
        <w:gridCol w:w="706"/>
        <w:gridCol w:w="740"/>
        <w:gridCol w:w="7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Merge w:val="restart"/>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机械名称</w:t>
            </w:r>
          </w:p>
        </w:tc>
        <w:tc>
          <w:tcPr>
            <w:tcW w:w="6999" w:type="dxa"/>
            <w:gridSpan w:val="10"/>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噪声预测值  单位：dB（A）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Merge w:val="continue"/>
            <w:vAlign w:val="center"/>
          </w:tcPr>
          <w:p>
            <w:pPr>
              <w:spacing w:line="240" w:lineRule="atLeast"/>
              <w:jc w:val="center"/>
              <w:rPr>
                <w:rFonts w:ascii="Times New Roman" w:hAnsi="Times New Roman" w:eastAsia="宋体" w:cs="Times New Roman"/>
                <w:b/>
                <w:kern w:val="0"/>
                <w:szCs w:val="20"/>
              </w:rPr>
            </w:pPr>
          </w:p>
        </w:tc>
        <w:tc>
          <w:tcPr>
            <w:tcW w:w="568"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5m</w:t>
            </w:r>
          </w:p>
        </w:tc>
        <w:tc>
          <w:tcPr>
            <w:tcW w:w="707"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10m</w:t>
            </w:r>
          </w:p>
        </w:tc>
        <w:tc>
          <w:tcPr>
            <w:tcW w:w="706"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20m</w:t>
            </w:r>
          </w:p>
        </w:tc>
        <w:tc>
          <w:tcPr>
            <w:tcW w:w="707"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40m</w:t>
            </w:r>
          </w:p>
        </w:tc>
        <w:tc>
          <w:tcPr>
            <w:tcW w:w="707"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50m</w:t>
            </w:r>
          </w:p>
        </w:tc>
        <w:tc>
          <w:tcPr>
            <w:tcW w:w="707"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60m</w:t>
            </w:r>
          </w:p>
        </w:tc>
        <w:tc>
          <w:tcPr>
            <w:tcW w:w="689"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80m</w:t>
            </w:r>
          </w:p>
        </w:tc>
        <w:tc>
          <w:tcPr>
            <w:tcW w:w="706"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100m</w:t>
            </w:r>
          </w:p>
        </w:tc>
        <w:tc>
          <w:tcPr>
            <w:tcW w:w="740"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150m</w:t>
            </w:r>
          </w:p>
        </w:tc>
        <w:tc>
          <w:tcPr>
            <w:tcW w:w="762" w:type="dxa"/>
            <w:vAlign w:val="center"/>
          </w:tcPr>
          <w:p>
            <w:pPr>
              <w:spacing w:line="240" w:lineRule="atLeast"/>
              <w:jc w:val="center"/>
              <w:rPr>
                <w:rFonts w:ascii="Times New Roman" w:hAnsi="Times New Roman" w:eastAsia="宋体" w:cs="Times New Roman"/>
                <w:b/>
                <w:kern w:val="0"/>
                <w:szCs w:val="20"/>
              </w:rPr>
            </w:pPr>
            <w:r>
              <w:rPr>
                <w:rFonts w:hint="eastAsia" w:ascii="Times New Roman" w:hAnsi="Times New Roman" w:eastAsia="宋体" w:cs="Times New Roman"/>
                <w:b/>
                <w:kern w:val="0"/>
                <w:szCs w:val="20"/>
              </w:rPr>
              <w:t>300m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推土机</w:t>
            </w:r>
          </w:p>
        </w:tc>
        <w:tc>
          <w:tcPr>
            <w:tcW w:w="568"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90</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70</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64</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58</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56</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54</w:t>
            </w:r>
          </w:p>
        </w:tc>
        <w:tc>
          <w:tcPr>
            <w:tcW w:w="689"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52</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50</w:t>
            </w:r>
          </w:p>
        </w:tc>
        <w:tc>
          <w:tcPr>
            <w:tcW w:w="7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46</w:t>
            </w:r>
          </w:p>
        </w:tc>
        <w:tc>
          <w:tcPr>
            <w:tcW w:w="762"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压路机</w:t>
            </w:r>
          </w:p>
        </w:tc>
        <w:tc>
          <w:tcPr>
            <w:tcW w:w="568"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90</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70</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64</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58</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56</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54</w:t>
            </w:r>
          </w:p>
        </w:tc>
        <w:tc>
          <w:tcPr>
            <w:tcW w:w="689"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52</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50</w:t>
            </w:r>
          </w:p>
        </w:tc>
        <w:tc>
          <w:tcPr>
            <w:tcW w:w="7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46</w:t>
            </w:r>
          </w:p>
        </w:tc>
        <w:tc>
          <w:tcPr>
            <w:tcW w:w="762"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摊铺机</w:t>
            </w:r>
          </w:p>
        </w:tc>
        <w:tc>
          <w:tcPr>
            <w:tcW w:w="568"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88</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68</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62</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56</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54</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52</w:t>
            </w:r>
          </w:p>
        </w:tc>
        <w:tc>
          <w:tcPr>
            <w:tcW w:w="689"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50</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48</w:t>
            </w:r>
          </w:p>
        </w:tc>
        <w:tc>
          <w:tcPr>
            <w:tcW w:w="7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44</w:t>
            </w:r>
          </w:p>
        </w:tc>
        <w:tc>
          <w:tcPr>
            <w:tcW w:w="762"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平地机</w:t>
            </w:r>
          </w:p>
        </w:tc>
        <w:tc>
          <w:tcPr>
            <w:tcW w:w="568"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93</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77</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67</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61</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59</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57</w:t>
            </w:r>
          </w:p>
        </w:tc>
        <w:tc>
          <w:tcPr>
            <w:tcW w:w="689"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55</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53</w:t>
            </w:r>
          </w:p>
        </w:tc>
        <w:tc>
          <w:tcPr>
            <w:tcW w:w="7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49</w:t>
            </w:r>
          </w:p>
        </w:tc>
        <w:tc>
          <w:tcPr>
            <w:tcW w:w="762"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挖掘机</w:t>
            </w:r>
          </w:p>
        </w:tc>
        <w:tc>
          <w:tcPr>
            <w:tcW w:w="568"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90</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70</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64</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58</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56</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54</w:t>
            </w:r>
          </w:p>
        </w:tc>
        <w:tc>
          <w:tcPr>
            <w:tcW w:w="689"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52</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50</w:t>
            </w:r>
          </w:p>
        </w:tc>
        <w:tc>
          <w:tcPr>
            <w:tcW w:w="7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46</w:t>
            </w:r>
          </w:p>
        </w:tc>
        <w:tc>
          <w:tcPr>
            <w:tcW w:w="762"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混泥土输送泵</w:t>
            </w:r>
          </w:p>
        </w:tc>
        <w:tc>
          <w:tcPr>
            <w:tcW w:w="568"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95</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75</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67</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63</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61</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59</w:t>
            </w:r>
          </w:p>
        </w:tc>
        <w:tc>
          <w:tcPr>
            <w:tcW w:w="689"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57</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55</w:t>
            </w:r>
          </w:p>
        </w:tc>
        <w:tc>
          <w:tcPr>
            <w:tcW w:w="7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51</w:t>
            </w:r>
          </w:p>
        </w:tc>
        <w:tc>
          <w:tcPr>
            <w:tcW w:w="762"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电焊机</w:t>
            </w:r>
          </w:p>
        </w:tc>
        <w:tc>
          <w:tcPr>
            <w:tcW w:w="568"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85</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65</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59</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53</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51</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49</w:t>
            </w:r>
          </w:p>
        </w:tc>
        <w:tc>
          <w:tcPr>
            <w:tcW w:w="689"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47</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45</w:t>
            </w:r>
          </w:p>
        </w:tc>
        <w:tc>
          <w:tcPr>
            <w:tcW w:w="7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41</w:t>
            </w:r>
          </w:p>
        </w:tc>
        <w:tc>
          <w:tcPr>
            <w:tcW w:w="762"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电锯</w:t>
            </w:r>
          </w:p>
        </w:tc>
        <w:tc>
          <w:tcPr>
            <w:tcW w:w="568"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99</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79</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73</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67</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65</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63</w:t>
            </w:r>
          </w:p>
        </w:tc>
        <w:tc>
          <w:tcPr>
            <w:tcW w:w="689"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61</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59</w:t>
            </w:r>
          </w:p>
        </w:tc>
        <w:tc>
          <w:tcPr>
            <w:tcW w:w="7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55</w:t>
            </w:r>
          </w:p>
        </w:tc>
        <w:tc>
          <w:tcPr>
            <w:tcW w:w="762"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3"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电锤</w:t>
            </w:r>
          </w:p>
        </w:tc>
        <w:tc>
          <w:tcPr>
            <w:tcW w:w="568"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105</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85</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79</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73</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71</w:t>
            </w:r>
          </w:p>
        </w:tc>
        <w:tc>
          <w:tcPr>
            <w:tcW w:w="707"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69</w:t>
            </w:r>
          </w:p>
        </w:tc>
        <w:tc>
          <w:tcPr>
            <w:tcW w:w="689"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67</w:t>
            </w:r>
          </w:p>
        </w:tc>
        <w:tc>
          <w:tcPr>
            <w:tcW w:w="706"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65</w:t>
            </w:r>
          </w:p>
        </w:tc>
        <w:tc>
          <w:tcPr>
            <w:tcW w:w="7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61</w:t>
            </w:r>
          </w:p>
        </w:tc>
        <w:tc>
          <w:tcPr>
            <w:tcW w:w="762"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55</w:t>
            </w:r>
          </w:p>
        </w:tc>
      </w:tr>
    </w:tbl>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施工期单体设备声源最大声级为105dB（A），主要施工机械单台作业时的声级强度见表 3.2-2。由表5.1-1中可以看出，项目施工过程中各阶段施工噪声昼间在厂界60m以外排放值均可以达到《建筑施工场界环境噪声排放标准》（GB12523-2011）昼间排放限值要求。以上声环境影响分析只考虑了单台施工设备作业时产生的噪声，若多台设备同时施工，则噪声值将增加3-8dB（A），影响范围还将进一步扩大。根据类比调查，多台施工机械同时作业时，噪声将增加3-8dB（A），一般不会超过10dB（A）。房屋、树木等使施工噪声在空间的自然衰减较快，按减噪15dB（A）考虑，则施工场地两面40m 处可以达到建筑施工厂界昼间噪声限值要求，对周边环境影响不大。</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szCs w:val="24"/>
        </w:rPr>
        <w:t>距离本项目最近的保护目标为项目东面直线距离为422m处的小雷宰村，只要建设方优化施工方案，合理安排施工时间，通过距离衰减后，施工期产生的噪声对其影响较小。施工机械噪声对环境敏感点的影响程度有限，且噪声随施工活动的结束而消除</w:t>
      </w:r>
      <w:r>
        <w:rPr>
          <w:rFonts w:hint="eastAsia" w:ascii="Times New Roman" w:hAnsi="Times New Roman" w:eastAsia="宋体" w:cs="Times New Roman"/>
          <w:sz w:val="24"/>
        </w:rPr>
        <w:t>。</w:t>
      </w:r>
    </w:p>
    <w:p>
      <w:pPr>
        <w:spacing w:line="360" w:lineRule="auto"/>
        <w:ind w:firstLine="482" w:firstLineChars="200"/>
        <w:outlineLvl w:val="0"/>
        <w:rPr>
          <w:rFonts w:ascii="Times New Roman" w:hAnsi="Times New Roman" w:eastAsia="宋体" w:cs="Times New Roman"/>
          <w:b/>
          <w:sz w:val="24"/>
        </w:rPr>
      </w:pPr>
      <w:bookmarkStart w:id="253" w:name="_Toc7395"/>
      <w:bookmarkStart w:id="254" w:name="_Toc9984"/>
      <w:r>
        <w:rPr>
          <w:rFonts w:hint="eastAsia" w:ascii="Times New Roman" w:hAnsi="Times New Roman" w:eastAsia="宋体" w:cs="Times New Roman"/>
          <w:b/>
          <w:sz w:val="24"/>
        </w:rPr>
        <w:t>2、施工期噪声控制措施</w:t>
      </w:r>
      <w:bookmarkEnd w:id="253"/>
      <w:bookmarkEnd w:id="254"/>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针对施工期间施工设备噪声和交通运输噪声，采取以下措施进行控制：</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（1）在符合施工需要的前提下，尽可能选取噪声低、振动小、能耗小的先进设备。加强对施工机械的维护保养，避免由于设备性能差而使机械噪声增大的现象发生；</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（2）加快施工进度，合理安排施工时间。施工期间精心组织施工，避免对</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居民休息造成不利影响。禁止在12时至14时、22时至次日6时进行施工作业；</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（3）加强对施工人员的环境宣传和教育，使他们认真落实各项降噪措施，做到文明施工；</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（4）建议建设单位和施工方与施工场地周围村民建立良好的关系，及时让居民了解施工进度及采取的降噪措施，并取得施工场地附近村民的共同理解；</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施工期噪声影响是暂时性的，在采取上述相应的控制、管理措施，做到文明施工后可使其影响减至最低。当施工期结束后其影响也随之消失。经采取上述措施后，施工期噪声对敏感点的影响可接受。</w:t>
      </w:r>
    </w:p>
    <w:p>
      <w:pPr>
        <w:spacing w:line="360" w:lineRule="auto"/>
        <w:ind w:firstLine="482" w:firstLineChars="200"/>
        <w:outlineLvl w:val="0"/>
        <w:rPr>
          <w:rFonts w:ascii="Times New Roman" w:hAnsi="Times New Roman" w:eastAsia="宋体" w:cs="Times New Roman"/>
          <w:b/>
          <w:sz w:val="24"/>
        </w:rPr>
      </w:pPr>
      <w:bookmarkStart w:id="255" w:name="_Toc7149"/>
      <w:bookmarkStart w:id="256" w:name="_Toc26785"/>
      <w:r>
        <w:rPr>
          <w:rFonts w:hint="eastAsia" w:ascii="Times New Roman" w:hAnsi="Times New Roman" w:eastAsia="宋体" w:cs="Times New Roman"/>
          <w:b/>
          <w:sz w:val="24"/>
        </w:rPr>
        <w:t>3、施工期声环境影响评价小结</w:t>
      </w:r>
      <w:bookmarkEnd w:id="255"/>
      <w:bookmarkEnd w:id="256"/>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该项目施工期噪声源主要为施工设备噪声。施工噪声会对当地声环境和居民产生一定影响。本项目施工期较短，施工噪声影响时间短暂，随着施工活动的结束，施工噪声对声环境和居民点的影响消除。</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257" w:name="_Toc23843363"/>
      <w:bookmarkStart w:id="258" w:name="_Toc28158"/>
      <w:r>
        <w:rPr>
          <w:rFonts w:hint="eastAsia" w:ascii="Times New Roman" w:hAnsi="Times New Roman" w:eastAsia="宋体" w:cs="Times New Roman"/>
          <w:b/>
          <w:bCs/>
          <w:sz w:val="24"/>
          <w:szCs w:val="32"/>
        </w:rPr>
        <w:t>5.1.4施工期固体废物环境影响分析</w:t>
      </w:r>
      <w:bookmarkEnd w:id="257"/>
      <w:bookmarkEnd w:id="258"/>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施工期项目固体废物主要是开挖的土石方、建筑垃圾及施工人员的生活垃圾。</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1、土石方</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本项目为新建项目，拟建建筑物多为一层建筑，不需要大规模的基底开挖；建筑内容主要对钢架结构生产车间、生活生产辅助用房搭建，根据主体设计资料，本项目建设过程中共产生土石方量4.9万m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（包括剥离表土1.25万m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，基础开挖3.65万m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），回填土石方4.9万m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（含1.25万m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剥离表土），土石方开挖后用于厂区覆土、填垫低洼处和绿化可以完全消纳。无弃土产生、外排。</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2、建筑垃圾</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根据工程分析，工程产生的建筑垃圾为</w:t>
      </w:r>
      <w:r>
        <w:rPr>
          <w:rFonts w:ascii="Times New Roman" w:hAnsi="Times New Roman" w:eastAsia="宋体" w:cs="Times New Roman"/>
          <w:sz w:val="24"/>
        </w:rPr>
        <w:t>195.60</w:t>
      </w:r>
      <w:r>
        <w:rPr>
          <w:rFonts w:hint="eastAsia" w:ascii="Times New Roman" w:hAnsi="Times New Roman" w:eastAsia="宋体" w:cs="Times New Roman"/>
          <w:sz w:val="24"/>
        </w:rPr>
        <w:t>t，可回收部分约为</w:t>
      </w:r>
      <w:r>
        <w:rPr>
          <w:rFonts w:ascii="Times New Roman" w:hAnsi="Times New Roman" w:eastAsia="宋体" w:cs="Times New Roman"/>
          <w:sz w:val="24"/>
        </w:rPr>
        <w:t>78.24</w:t>
      </w:r>
      <w:r>
        <w:rPr>
          <w:rFonts w:hint="eastAsia" w:ascii="Times New Roman" w:hAnsi="Times New Roman" w:eastAsia="宋体" w:cs="Times New Roman"/>
          <w:sz w:val="24"/>
        </w:rPr>
        <w:t>t，剩余不可回收利用部分为</w:t>
      </w:r>
      <w:r>
        <w:rPr>
          <w:rFonts w:ascii="Times New Roman" w:hAnsi="Times New Roman" w:eastAsia="宋体" w:cs="Times New Roman"/>
          <w:sz w:val="24"/>
        </w:rPr>
        <w:t>117.36</w:t>
      </w:r>
      <w:r>
        <w:rPr>
          <w:rFonts w:hint="eastAsia" w:ascii="Times New Roman" w:hAnsi="Times New Roman" w:eastAsia="宋体" w:cs="Times New Roman"/>
          <w:sz w:val="24"/>
        </w:rPr>
        <w:t>t。可回收部分回收利用，可回收部分用作项目建设场地填平及进厂道路铺设，不可利用的由施工方清运至主管部门指定地点堆放。建筑垃圾处置率可达100%，对环境不造成污染。</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3、施工人员生活垃圾</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根据工程分析，施工人员生活垃圾产生量为</w:t>
      </w:r>
      <w:r>
        <w:rPr>
          <w:rFonts w:ascii="Times New Roman" w:hAnsi="Times New Roman" w:eastAsia="宋体" w:cs="Times New Roman"/>
          <w:sz w:val="24"/>
        </w:rPr>
        <w:t>15</w:t>
      </w:r>
      <w:r>
        <w:rPr>
          <w:rFonts w:hint="eastAsia" w:ascii="Times New Roman" w:hAnsi="Times New Roman" w:eastAsia="宋体" w:cs="Times New Roman"/>
          <w:sz w:val="24"/>
        </w:rPr>
        <w:t>kg/d，经统一收集后委托环卫部门定期清运，同时加强对施工人员的环保教育，杜绝乱丢乱弃现象。施工人员粪便产生量约为</w:t>
      </w:r>
      <w:r>
        <w:rPr>
          <w:rFonts w:ascii="Times New Roman" w:hAnsi="Times New Roman" w:eastAsia="宋体" w:cs="Times New Roman"/>
          <w:sz w:val="24"/>
        </w:rPr>
        <w:t>7.5</w:t>
      </w:r>
      <w:r>
        <w:rPr>
          <w:rFonts w:hint="eastAsia" w:ascii="Times New Roman" w:hAnsi="Times New Roman" w:eastAsia="宋体" w:cs="Times New Roman"/>
          <w:sz w:val="24"/>
        </w:rPr>
        <w:t>kg/d，施工方在区域内建设1个旱厕，给施工人员的如厕使用，旱厕定期清掏至表土堆场覆土腐熟、后期用作绿化施肥，施工结束后进行回填，不会对当地环境产生不良影响。</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所述，本项目施工期固体废物主要为废弃土石方、建筑垃圾、施工人员生活垃圾。工程施工期间产生的废弃土石方用于项目区回填、绿化。建筑垃圾分类收集，分类处理，可以回收利用的回收利用，可回收部分将用作项目建设场地填平及进厂道路铺设，不可利用的由施工方清运至主管部门指定地点倾倒。施工人员生活垃圾统一收集后由环卫部门统一清运处置。施工期固体废物能够全部得到妥善处置，处置率100%，对周围环境的影响不大。</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259" w:name="_Toc23843364"/>
      <w:bookmarkStart w:id="260" w:name="_Toc25177"/>
      <w:r>
        <w:rPr>
          <w:rFonts w:hint="eastAsia" w:ascii="Times New Roman" w:hAnsi="Times New Roman" w:eastAsia="宋体" w:cs="Times New Roman"/>
          <w:b/>
          <w:bCs/>
          <w:sz w:val="24"/>
          <w:szCs w:val="32"/>
        </w:rPr>
        <w:t>5.1.5施工期生态影响分析</w:t>
      </w:r>
      <w:bookmarkEnd w:id="259"/>
      <w:bookmarkEnd w:id="260"/>
    </w:p>
    <w:p>
      <w:pPr>
        <w:tabs>
          <w:tab w:val="left" w:pos="3495"/>
        </w:tabs>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1、施工期生态影响分析</w:t>
      </w:r>
      <w:r>
        <w:rPr>
          <w:rFonts w:ascii="Times New Roman" w:hAnsi="Times New Roman" w:eastAsia="宋体" w:cs="Times New Roman"/>
          <w:b/>
          <w:sz w:val="24"/>
        </w:rPr>
        <w:tab/>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本项目施工期生态环境影响表现为：工程占地、对野生动物影响、植被影响、水土流失及景观影响。</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（1）工程建设对土地利用的影响分析</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本项目施工工程占地将原有的工业用地变为生产用地，改变了土地的利用类型，但不会改变当地产业结构。因此，环评认为项目建设占用土地对当地整体的土地利用格局影响不大。</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（2）工程建设对野生动物的影响分析</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工程分析，工程建设对项目区小型野生动物（如麻雀、山雀、蛇、鼠及昆虫等）类型及数量会产生一定负面影响。但项目区分布的小型野生动物为当地常见类型，且由于当地人为活动频繁，这些动物已经对人为活动有一定的适应能力，因此，该项目不会造成该区域某一物种消失，不会导致野生动物生境在该区域遭受毁灭性的破坏，对这些动物的生存影响较小。</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（3）工程建设对植被的影响分析</w:t>
      </w:r>
    </w:p>
    <w:p>
      <w:pPr>
        <w:spacing w:line="360" w:lineRule="auto"/>
        <w:ind w:firstLine="480" w:firstLineChars="200"/>
        <w:rPr>
          <w:rFonts w:ascii="Times New Roman" w:hAnsi="Times New Roman" w:eastAsia="宋体" w:cs="Times New Roman"/>
          <w:sz w:val="24"/>
          <w:szCs w:val="24"/>
        </w:rPr>
      </w:pPr>
      <w:r>
        <w:rPr>
          <w:rFonts w:ascii="Times New Roman" w:hAnsi="宋体" w:eastAsia="宋体" w:cs="Times New Roman"/>
          <w:sz w:val="24"/>
          <w:szCs w:val="24"/>
        </w:rPr>
        <w:t>由于项目区的植被类型和植物种类主要为荒草，是当地分布较广、较常见的</w:t>
      </w:r>
      <w:r>
        <w:rPr>
          <w:rFonts w:hint="eastAsia" w:ascii="Times New Roman" w:hAnsi="Times New Roman" w:eastAsia="宋体" w:cs="Times New Roman"/>
          <w:sz w:val="24"/>
        </w:rPr>
        <w:br w:type="textWrapping"/>
      </w:r>
      <w:r>
        <w:rPr>
          <w:rFonts w:ascii="Times New Roman" w:hAnsi="宋体" w:eastAsia="宋体" w:cs="Times New Roman"/>
          <w:sz w:val="24"/>
          <w:szCs w:val="24"/>
        </w:rPr>
        <w:t>植物。工程建设将减少植被的数量，但不会改变植被的物种。项目区域内无国家</w:t>
      </w:r>
      <w:r>
        <w:rPr>
          <w:rFonts w:hint="eastAsia" w:ascii="Times New Roman" w:hAnsi="Times New Roman" w:eastAsia="宋体" w:cs="Times New Roman"/>
          <w:sz w:val="24"/>
        </w:rPr>
        <w:br w:type="textWrapping"/>
      </w:r>
      <w:r>
        <w:rPr>
          <w:rFonts w:ascii="Times New Roman" w:hAnsi="宋体" w:eastAsia="宋体" w:cs="Times New Roman"/>
          <w:sz w:val="24"/>
          <w:szCs w:val="24"/>
        </w:rPr>
        <w:t>和省级重点保护的植物，建设方将在项目区进行绿化，可大大补偿施工建设对植</w:t>
      </w:r>
      <w:r>
        <w:rPr>
          <w:rFonts w:hint="eastAsia" w:ascii="Times New Roman" w:hAnsi="Times New Roman" w:eastAsia="宋体" w:cs="Times New Roman"/>
          <w:sz w:val="24"/>
        </w:rPr>
        <w:br w:type="textWrapping"/>
      </w:r>
      <w:r>
        <w:rPr>
          <w:rFonts w:ascii="Times New Roman" w:hAnsi="宋体" w:eastAsia="宋体" w:cs="Times New Roman"/>
          <w:sz w:val="24"/>
          <w:szCs w:val="24"/>
        </w:rPr>
        <w:t>被的破坏，不会造成植物物种的灭绝。施工结束后，临时占地随着植被的恢复，</w:t>
      </w:r>
      <w:r>
        <w:rPr>
          <w:rFonts w:hint="eastAsia" w:ascii="Times New Roman" w:hAnsi="Times New Roman" w:eastAsia="宋体" w:cs="Times New Roman"/>
          <w:sz w:val="24"/>
        </w:rPr>
        <w:br w:type="textWrapping"/>
      </w:r>
      <w:r>
        <w:rPr>
          <w:rFonts w:ascii="Times New Roman" w:hAnsi="宋体" w:eastAsia="宋体" w:cs="Times New Roman"/>
          <w:sz w:val="24"/>
          <w:szCs w:val="24"/>
        </w:rPr>
        <w:t>陆生植物资源也可得到恢复，不会导致任何物种的消失。项目施工建设对陆生植</w:t>
      </w:r>
      <w:r>
        <w:rPr>
          <w:rFonts w:hint="eastAsia" w:ascii="Times New Roman" w:hAnsi="Times New Roman" w:eastAsia="宋体" w:cs="Times New Roman"/>
          <w:sz w:val="24"/>
        </w:rPr>
        <w:br w:type="textWrapping"/>
      </w:r>
      <w:r>
        <w:rPr>
          <w:rFonts w:ascii="Times New Roman" w:hAnsi="宋体" w:eastAsia="宋体" w:cs="Times New Roman"/>
          <w:sz w:val="24"/>
          <w:szCs w:val="24"/>
        </w:rPr>
        <w:t>物资源量的不利影响比较小。</w:t>
      </w:r>
    </w:p>
    <w:p>
      <w:pPr>
        <w:spacing w:line="360" w:lineRule="auto"/>
        <w:ind w:firstLine="482" w:firstLineChars="200"/>
        <w:rPr>
          <w:rFonts w:ascii="Times New Roman" w:hAnsi="Times New Roman" w:eastAsia="宋体" w:cs="Times New Roman"/>
          <w:b/>
          <w:sz w:val="24"/>
          <w:szCs w:val="24"/>
        </w:rPr>
      </w:pPr>
      <w:r>
        <w:rPr>
          <w:rFonts w:ascii="Times New Roman" w:hAnsi="宋体" w:eastAsia="宋体" w:cs="Times New Roman"/>
          <w:b/>
          <w:sz w:val="24"/>
          <w:szCs w:val="24"/>
        </w:rPr>
        <w:t>（</w:t>
      </w:r>
      <w:r>
        <w:rPr>
          <w:rFonts w:ascii="Times New Roman" w:hAnsi="Times New Roman" w:eastAsia="宋体" w:cs="Times New Roman"/>
          <w:b/>
          <w:sz w:val="24"/>
          <w:szCs w:val="24"/>
        </w:rPr>
        <w:t>4</w:t>
      </w:r>
      <w:r>
        <w:rPr>
          <w:rFonts w:ascii="Times New Roman" w:hAnsi="宋体" w:eastAsia="宋体" w:cs="Times New Roman"/>
          <w:b/>
          <w:sz w:val="24"/>
          <w:szCs w:val="24"/>
        </w:rPr>
        <w:t>）工程占地对景观的影响分析</w:t>
      </w:r>
    </w:p>
    <w:p>
      <w:pPr>
        <w:spacing w:line="360" w:lineRule="auto"/>
        <w:ind w:firstLine="480" w:firstLineChars="200"/>
        <w:rPr>
          <w:rFonts w:ascii="Times New Roman" w:hAnsi="Times New Roman" w:eastAsia="宋体" w:cs="Times New Roman"/>
          <w:sz w:val="24"/>
          <w:szCs w:val="24"/>
        </w:rPr>
      </w:pPr>
      <w:r>
        <w:rPr>
          <w:rFonts w:ascii="Times New Roman" w:hAnsi="宋体" w:eastAsia="宋体" w:cs="Times New Roman"/>
          <w:sz w:val="24"/>
          <w:szCs w:val="24"/>
        </w:rPr>
        <w:t>项目位于工业园区内，项目截排水沟的建设以园区规划顺势建设，于评价区域总体地表的起伏程度不大，项目建设对评价区域现有地貌的影响轻微。</w:t>
      </w:r>
    </w:p>
    <w:p>
      <w:pPr>
        <w:spacing w:line="360" w:lineRule="auto"/>
        <w:ind w:firstLine="482" w:firstLineChars="200"/>
        <w:rPr>
          <w:rFonts w:ascii="Times New Roman" w:hAnsi="Times New Roman" w:eastAsia="宋体" w:cs="Times New Roman"/>
          <w:b/>
          <w:sz w:val="24"/>
          <w:szCs w:val="24"/>
        </w:rPr>
      </w:pPr>
      <w:r>
        <w:rPr>
          <w:rFonts w:ascii="Times New Roman" w:hAnsi="宋体" w:eastAsia="宋体" w:cs="Times New Roman"/>
          <w:b/>
          <w:sz w:val="24"/>
          <w:szCs w:val="24"/>
        </w:rPr>
        <w:t>（</w:t>
      </w:r>
      <w:r>
        <w:rPr>
          <w:rFonts w:ascii="Times New Roman" w:hAnsi="Times New Roman" w:eastAsia="宋体" w:cs="Times New Roman"/>
          <w:b/>
          <w:sz w:val="24"/>
          <w:szCs w:val="24"/>
        </w:rPr>
        <w:t>5</w:t>
      </w:r>
      <w:r>
        <w:rPr>
          <w:rFonts w:ascii="Times New Roman" w:hAnsi="宋体" w:eastAsia="宋体" w:cs="Times New Roman"/>
          <w:b/>
          <w:sz w:val="24"/>
          <w:szCs w:val="24"/>
        </w:rPr>
        <w:t>）水土流失</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建设单位现已委托有资质的单位做本项目的水土保持方案。根据本工程水土保持方案，本项目水土流失因素主要包括以下两方面：第一、场地平整过程中土石方挖填及基础开挖，造成土体松散，增加了水土流失危险性；第二、地表植被的破坏，增加了裸露面，地表在无地表植被的情况下，容易产生水土流失。</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施工避开雨天，建设截排水沟、开挖地面及时进行地面硬化，土石方要及时遮盖，同时加强占地以外周围地区植被保护。雨水经临时沉淀池处理后，用于项目区施工期洒水降尘。本项目做好分区施工，减少施工的随意性，计划好土石方开挖和回填的衔接，在落实以上措施后水土流失可得到有效控制，水土流失对环境影响是暂时的、轻微的，可以接受的。</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2、施工期生态环境保护措施</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（1）强化生态环境保护意识</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1）建设单位应按当地生态环境建设规划和水土保持规划，结合工程施工期占地、植被破坏情况，认真做好工程施工期的水土保持及生态环境建设工作。</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2）完善施工的环境管理，设立环境管理机构，明确其职能，落实生态影响防护与恢复的监督管理措施。</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（2）土壤侵蚀的防治对策</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1）施工中不得将废弃土石任意裸露弃置，以免遇强降雨引起严重的水土流失。</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2）在地面施工过程中对于施工破坏区，施工完毕，要及时平整土地，并种植适宜的植物，以防止新的土壤侵蚀。</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（3）施工期生态环境影响分析小结</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该项目施工期生态环境影响主要表现为工程建设对土地利用、野生动物、工程建设引发的水土流失。</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项目占地为临时占地，占地类型主要为工业用地，因施工工程占地将原有的用地类型变为生产用地，改变了原有土地的利用类型，但不会改变当地农业产业结构。对当地整体的土地利用格局影响不大。</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区域内及周边无大型野生动物分布，也无珍稀濒危保护动物分布，工程建设会破坏了原有生态环境小型野生动物的栖息环境，对项目区小型野生动物的类型及数量会产生一定负面影响，但不会造成该区域某一物种消失，不会导致野生动物生境在该区域遭受毁灭性的破坏，对这些动物的生存影响较小。</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项目工程建设不可避免地要对地表植被造成破坏，造成局部植被覆盖率下降，植物数量减少。但物种不会减少，不会导致任何物种的消失，对项目周边区域的生物多样性影响不大。</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项目施工会导致地形地貌改变，主要为排土场拦渣坝及截排水沟的建设所引起。截排水沟以园区规划顺势建设，与评价区域总体地表的起伏程度不大，项目建设对评价区域现有地貌的影响轻微。</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该项目建设中产生的水土流失量主要是因为项目建设造成原地貌水土保持功能降低甚至丧失，导致土壤侵蚀加剧而增加的水土流失量。</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工程建设对生态环境有一定影响，但影响程度可接受。建设单位应认真做好工程施工期的水土保持及生态环境建设工作，严格落实水土保持方案要求的水土保持措施，完善施工的环境管理，认真落实植物保护措施，及时进行植被恢复。</w:t>
      </w:r>
    </w:p>
    <w:p>
      <w:pPr>
        <w:keepNext/>
        <w:keepLines/>
        <w:spacing w:before="260" w:after="260" w:line="360" w:lineRule="auto"/>
        <w:ind w:firstLine="562"/>
        <w:outlineLvl w:val="1"/>
        <w:rPr>
          <w:rFonts w:ascii="Times New Roman" w:hAnsi="Times New Roman" w:eastAsia="宋体" w:cs="Times New Roman"/>
          <w:b/>
          <w:bCs/>
          <w:sz w:val="28"/>
          <w:szCs w:val="32"/>
        </w:rPr>
      </w:pPr>
      <w:bookmarkStart w:id="261" w:name="_Toc23843365"/>
      <w:bookmarkStart w:id="262" w:name="_Toc6540"/>
      <w:bookmarkStart w:id="263" w:name="_Toc3680"/>
      <w:r>
        <w:rPr>
          <w:rFonts w:hint="eastAsia" w:ascii="Times New Roman" w:hAnsi="Times New Roman" w:eastAsia="宋体" w:cs="Times New Roman"/>
          <w:b/>
          <w:bCs/>
          <w:sz w:val="28"/>
          <w:szCs w:val="32"/>
        </w:rPr>
        <w:t>5.2运营期环境影响分析</w:t>
      </w:r>
      <w:bookmarkEnd w:id="261"/>
      <w:bookmarkEnd w:id="262"/>
      <w:bookmarkEnd w:id="263"/>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264" w:name="_Toc23843366"/>
      <w:bookmarkStart w:id="265" w:name="_Toc27572"/>
      <w:r>
        <w:rPr>
          <w:rFonts w:hint="eastAsia" w:ascii="Times New Roman" w:hAnsi="Times New Roman" w:eastAsia="宋体" w:cs="Times New Roman"/>
          <w:b/>
          <w:bCs/>
          <w:sz w:val="24"/>
          <w:szCs w:val="32"/>
        </w:rPr>
        <w:t>5.2.1运营期环境空气影响分析</w:t>
      </w:r>
      <w:bookmarkEnd w:id="264"/>
      <w:bookmarkEnd w:id="265"/>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项目运营期产生的废气主要是倾倒</w:t>
      </w:r>
      <w:r>
        <w:rPr>
          <w:rFonts w:ascii="Times New Roman" w:hAnsi="Times New Roman" w:eastAsia="宋体" w:cs="Times New Roman"/>
          <w:sz w:val="24"/>
        </w:rPr>
        <w:t>石粉产生的</w:t>
      </w:r>
      <w:r>
        <w:rPr>
          <w:rFonts w:hint="eastAsia" w:ascii="Times New Roman" w:hAnsi="Times New Roman" w:eastAsia="宋体" w:cs="Times New Roman"/>
          <w:sz w:val="24"/>
        </w:rPr>
        <w:t>粉尘、生产</w:t>
      </w:r>
      <w:r>
        <w:rPr>
          <w:rFonts w:ascii="Times New Roman" w:hAnsi="Times New Roman" w:eastAsia="宋体" w:cs="Times New Roman"/>
          <w:sz w:val="24"/>
        </w:rPr>
        <w:t>废水循环使用散发的</w:t>
      </w:r>
      <w:r>
        <w:rPr>
          <w:rFonts w:hint="eastAsia" w:ascii="Times New Roman" w:hAnsi="Times New Roman" w:eastAsia="宋体" w:cs="Times New Roman"/>
          <w:sz w:val="24"/>
        </w:rPr>
        <w:t>恶臭</w:t>
      </w:r>
      <w:r>
        <w:rPr>
          <w:rFonts w:ascii="Times New Roman" w:hAnsi="Times New Roman" w:eastAsia="宋体" w:cs="Times New Roman"/>
          <w:sz w:val="24"/>
        </w:rPr>
        <w:t>气体、</w:t>
      </w:r>
      <w:r>
        <w:rPr>
          <w:rFonts w:hint="eastAsia" w:ascii="Times New Roman" w:hAnsi="Times New Roman" w:eastAsia="宋体" w:cs="Times New Roman"/>
          <w:sz w:val="24"/>
        </w:rPr>
        <w:t>员工</w:t>
      </w:r>
      <w:r>
        <w:rPr>
          <w:rFonts w:ascii="Times New Roman" w:hAnsi="Times New Roman" w:eastAsia="宋体" w:cs="Times New Roman"/>
          <w:sz w:val="24"/>
        </w:rPr>
        <w:t>生活过程中产生的食堂油烟和</w:t>
      </w:r>
      <w:r>
        <w:rPr>
          <w:rFonts w:hint="eastAsia" w:ascii="Times New Roman" w:hAnsi="Times New Roman" w:eastAsia="宋体" w:cs="Times New Roman"/>
          <w:sz w:val="24"/>
        </w:rPr>
        <w:t>燃烧锅炉</w:t>
      </w:r>
      <w:r>
        <w:rPr>
          <w:rFonts w:ascii="Times New Roman" w:hAnsi="Times New Roman" w:eastAsia="宋体" w:cs="Times New Roman"/>
          <w:sz w:val="24"/>
        </w:rPr>
        <w:t>产生的粉尘和锅炉废气</w:t>
      </w:r>
      <w:r>
        <w:rPr>
          <w:rFonts w:hint="eastAsia" w:ascii="Times New Roman" w:hAnsi="Times New Roman" w:eastAsia="宋体" w:cs="Times New Roman"/>
          <w:sz w:val="24"/>
        </w:rPr>
        <w:t>。</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1、元谋县气象特征分析</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根据查阅相关资料，元谋属南亚热带干热季风气候，年平均气温21.9 ℃；年日照时数2670.4小时，年平均日照时数7.3h/d，日照百分率60%；年蒸发量为降水量的6.4倍。年平均相对湿度为53%。年平均降雨量613.8mm；雨季开始一般在5月~10月。7月降雨最多，平均为137.8mm；1月份最少，为3.1mm；常年主导风向为东南风，风向稳定。平均风速为2.5m/s，风速大，利于大气污染物的扩散，静风频率为29%。</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2、大气环境影响预测与评价</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（1）运营期大气污染源分析</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根据工程分析，本项目生产运营过程中产生的大气污染物主要为粉尘</w:t>
      </w:r>
      <w:r>
        <w:rPr>
          <w:rFonts w:ascii="Times New Roman" w:hAnsi="Times New Roman" w:eastAsia="宋体" w:cs="Times New Roman"/>
          <w:sz w:val="24"/>
        </w:rPr>
        <w:t>和</w:t>
      </w:r>
      <w:r>
        <w:rPr>
          <w:rFonts w:hint="eastAsia" w:ascii="Times New Roman" w:hAnsi="Times New Roman" w:eastAsia="宋体" w:cs="Times New Roman"/>
          <w:sz w:val="24"/>
        </w:rPr>
        <w:t>锅炉废气。</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1）粉尘</w:t>
      </w:r>
    </w:p>
    <w:p>
      <w:pPr>
        <w:spacing w:line="360" w:lineRule="auto"/>
        <w:ind w:firstLine="480" w:firstLineChars="200"/>
        <w:rPr>
          <w:rFonts w:ascii="Times New Roman" w:hAnsi="Times New Roman" w:eastAsia="宋体" w:cs="Times New Roman"/>
          <w:sz w:val="24"/>
        </w:rPr>
      </w:pPr>
      <w:r>
        <w:rPr>
          <w:rFonts w:hint="eastAsia" w:ascii="Times New Roman" w:hAnsi="Times New Roman"/>
          <w:color w:val="FF0000"/>
          <w:sz w:val="24"/>
          <w:szCs w:val="24"/>
        </w:rPr>
        <w:t>项目</w:t>
      </w:r>
      <w:r>
        <w:rPr>
          <w:rFonts w:ascii="Times New Roman" w:hAnsi="Times New Roman"/>
          <w:color w:val="FF0000"/>
          <w:sz w:val="24"/>
          <w:szCs w:val="24"/>
        </w:rPr>
        <w:t>碎浆阶段采用的是水力碎浆</w:t>
      </w:r>
      <w:r>
        <w:rPr>
          <w:rFonts w:hint="eastAsia" w:ascii="Times New Roman" w:hAnsi="Times New Roman"/>
          <w:color w:val="FF0000"/>
          <w:sz w:val="24"/>
          <w:szCs w:val="24"/>
        </w:rPr>
        <w:t>；切割工序在密闭式生产车间完成；项目采购的石粉为满足项目生产需求规格的石粉，不在项目区破碎，本项目</w:t>
      </w:r>
      <w:r>
        <w:rPr>
          <w:rFonts w:hint="eastAsia"/>
          <w:bCs/>
          <w:color w:val="FF0000"/>
          <w:sz w:val="24"/>
        </w:rPr>
        <w:t>方解石粉</w:t>
      </w:r>
      <w:r>
        <w:rPr>
          <w:bCs/>
          <w:color w:val="FF0000"/>
          <w:sz w:val="24"/>
        </w:rPr>
        <w:t>料导入粉料仓中的过程是一个全密闭环境，在粉料进入粉料仓中时，由于仓内气压大于仓外气压，产生压力差而引起空气流动，粉状细料随着空气流动至粉料仓顶，经料仓顶</w:t>
      </w:r>
      <w:r>
        <w:rPr>
          <w:rFonts w:hint="eastAsia"/>
          <w:bCs/>
          <w:color w:val="FF0000"/>
          <w:sz w:val="24"/>
        </w:rPr>
        <w:t>自带</w:t>
      </w:r>
      <w:r>
        <w:rPr>
          <w:bCs/>
          <w:color w:val="FF0000"/>
          <w:sz w:val="24"/>
        </w:rPr>
        <w:t>脉冲袋式除尘器处理后</w:t>
      </w:r>
      <w:r>
        <w:rPr>
          <w:rFonts w:hint="eastAsia"/>
          <w:bCs/>
          <w:color w:val="FF0000"/>
          <w:sz w:val="24"/>
        </w:rPr>
        <w:t>呈无组织排放</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color w:val="FF0000"/>
          <w:sz w:val="24"/>
        </w:rPr>
      </w:pPr>
      <w:r>
        <w:rPr>
          <w:rFonts w:ascii="Times New Roman" w:hAnsi="Times New Roman" w:eastAsia="宋体" w:cs="Times New Roman"/>
          <w:color w:val="FF0000"/>
          <w:sz w:val="24"/>
        </w:rPr>
        <w:t>2</w:t>
      </w:r>
      <w:r>
        <w:rPr>
          <w:rFonts w:hint="eastAsia" w:ascii="Times New Roman" w:hAnsi="Times New Roman" w:eastAsia="宋体" w:cs="Times New Roman"/>
          <w:color w:val="FF0000"/>
          <w:sz w:val="24"/>
        </w:rPr>
        <w:t>）锅炉废气</w:t>
      </w:r>
    </w:p>
    <w:p>
      <w:pPr>
        <w:spacing w:line="360" w:lineRule="auto"/>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color w:val="FF0000"/>
          <w:sz w:val="24"/>
        </w:rPr>
        <w:t>项目生产过程中拟采用燃生物质燃料的锅炉提供蒸汽，根据分析计算，烟气经水膜除尘器除尘</w:t>
      </w:r>
      <w:r>
        <w:rPr>
          <w:rFonts w:ascii="Times New Roman" w:hAnsi="Times New Roman" w:eastAsia="宋体" w:cs="Times New Roman"/>
          <w:color w:val="FF0000"/>
          <w:sz w:val="24"/>
        </w:rPr>
        <w:t>最后</w:t>
      </w:r>
      <w:r>
        <w:rPr>
          <w:rFonts w:hint="eastAsia" w:ascii="Times New Roman" w:hAnsi="Times New Roman" w:eastAsia="宋体" w:cs="Times New Roman"/>
          <w:color w:val="FF0000"/>
          <w:sz w:val="24"/>
        </w:rPr>
        <w:t>通过高度为4</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rPr>
        <w:t>m的排气筒排放，烟尘排放浓度为9.92mg/m</w:t>
      </w:r>
      <w:r>
        <w:rPr>
          <w:rFonts w:hint="eastAsia"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，排放量为</w:t>
      </w:r>
      <w:r>
        <w:rPr>
          <w:rFonts w:ascii="Times New Roman" w:hAnsi="Times New Roman" w:eastAsia="宋体" w:cs="Times New Roman"/>
          <w:color w:val="FF0000"/>
          <w:sz w:val="24"/>
        </w:rPr>
        <w:t>325kg</w:t>
      </w:r>
      <w:r>
        <w:rPr>
          <w:rFonts w:hint="eastAsia" w:ascii="Times New Roman" w:hAnsi="Times New Roman" w:eastAsia="宋体" w:cs="Times New Roman"/>
          <w:color w:val="FF0000"/>
          <w:sz w:val="24"/>
        </w:rPr>
        <w:t>/a（0.026</w:t>
      </w:r>
      <w:r>
        <w:rPr>
          <w:rFonts w:ascii="Times New Roman" w:hAnsi="Times New Roman" w:eastAsia="宋体" w:cs="Times New Roman"/>
          <w:color w:val="FF0000"/>
          <w:sz w:val="24"/>
        </w:rPr>
        <w:t>kg/h</w:t>
      </w:r>
      <w:r>
        <w:rPr>
          <w:rFonts w:hint="eastAsia" w:ascii="Times New Roman" w:hAnsi="Times New Roman" w:eastAsia="宋体" w:cs="Times New Roman"/>
          <w:color w:val="FF0000"/>
          <w:sz w:val="24"/>
        </w:rPr>
        <w:t>）；SO</w:t>
      </w:r>
      <w:r>
        <w:rPr>
          <w:rFonts w:hint="eastAsia" w:ascii="Times New Roman" w:hAnsi="Times New Roman" w:eastAsia="宋体" w:cs="Times New Roman"/>
          <w:color w:val="FF0000"/>
          <w:sz w:val="24"/>
          <w:vertAlign w:val="subscript"/>
        </w:rPr>
        <w:t>2</w:t>
      </w:r>
      <w:r>
        <w:rPr>
          <w:rFonts w:hint="eastAsia" w:ascii="Times New Roman" w:hAnsi="Times New Roman" w:eastAsia="宋体" w:cs="Times New Roman"/>
          <w:color w:val="FF0000"/>
          <w:sz w:val="24"/>
        </w:rPr>
        <w:t>排放浓度为77.83mg/m</w:t>
      </w:r>
      <w:r>
        <w:rPr>
          <w:rFonts w:hint="eastAsia"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，排放量为</w:t>
      </w:r>
      <w:r>
        <w:rPr>
          <w:rFonts w:ascii="Times New Roman" w:hAnsi="Times New Roman" w:eastAsia="宋体" w:cs="Times New Roman"/>
          <w:color w:val="FF0000"/>
          <w:sz w:val="24"/>
        </w:rPr>
        <w:t>2.55</w:t>
      </w:r>
      <w:r>
        <w:rPr>
          <w:rFonts w:hint="eastAsia" w:ascii="Times New Roman" w:hAnsi="Times New Roman" w:eastAsia="宋体" w:cs="Times New Roman"/>
          <w:color w:val="FF0000"/>
          <w:sz w:val="24"/>
        </w:rPr>
        <w:t>t/a（</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rPr>
        <w:t>35</w:t>
      </w:r>
      <w:r>
        <w:rPr>
          <w:rFonts w:ascii="Times New Roman" w:hAnsi="Times New Roman" w:eastAsia="宋体" w:cs="Times New Roman"/>
          <w:color w:val="FF0000"/>
          <w:sz w:val="24"/>
        </w:rPr>
        <w:t>kg</w:t>
      </w:r>
      <w:r>
        <w:rPr>
          <w:rFonts w:hint="eastAsia" w:ascii="Times New Roman" w:hAnsi="Times New Roman" w:eastAsia="宋体" w:cs="Times New Roman"/>
          <w:color w:val="FF0000"/>
          <w:sz w:val="24"/>
        </w:rPr>
        <w:t>/h）；NO</w:t>
      </w:r>
      <w:r>
        <w:rPr>
          <w:rFonts w:hint="eastAsia" w:ascii="Times New Roman" w:hAnsi="Times New Roman" w:eastAsia="宋体" w:cs="Times New Roman"/>
          <w:color w:val="FF0000"/>
          <w:sz w:val="24"/>
          <w:vertAlign w:val="subscript"/>
        </w:rPr>
        <w:t>X</w:t>
      </w:r>
      <w:r>
        <w:rPr>
          <w:rFonts w:hint="eastAsia" w:ascii="Times New Roman" w:hAnsi="Times New Roman" w:eastAsia="宋体" w:cs="Times New Roman"/>
          <w:color w:val="FF0000"/>
          <w:sz w:val="24"/>
        </w:rPr>
        <w:t>排放浓度为155.67mg/m</w:t>
      </w:r>
      <w:r>
        <w:rPr>
          <w:rFonts w:hint="eastAsia"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，排放量为5.1t/a（</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rPr>
        <w:t>7kg/h），达到《锅炉大气污染物排放标准》（GB13271-2014）中表2燃煤锅炉排放标准。</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（2）大气环境影响分析</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1）大气环境影响预测模式</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根据《环境影响评价技术导则  大气环境》（HJ2.2-2018），二级评价可不进行大气环境影响预测工作，直接以估算模式的计算结果作为预测与分析依据。</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估算模式是一种单源预测模式，可计算点源、面源和体源等污染源的最大地面浓度，以及建筑物下洗和熏烟等特殊条件下的最大地面浓度，估算模式中嵌入了多种预设的气象组合条件，包括一些最不利的气象条件，此类气象条件在某个地区有可能发生，也有可能不发生。经估算模式计算出的最大地面浓度大于进一步预测模式的计算结果。AERSCREEN模型</w:t>
      </w:r>
      <w:r>
        <w:rPr>
          <w:rFonts w:ascii="Times New Roman" w:hAnsi="Times New Roman" w:eastAsia="宋体" w:cs="Times New Roman"/>
          <w:sz w:val="24"/>
        </w:rPr>
        <w:t>是</w:t>
      </w:r>
      <w:r>
        <w:rPr>
          <w:rFonts w:hint="eastAsia" w:ascii="Times New Roman" w:hAnsi="Times New Roman" w:eastAsia="宋体" w:cs="Times New Roman"/>
          <w:sz w:val="24"/>
        </w:rPr>
        <w:t>《环境影响评价技术导则 大气环境》（HJ2.2-2018）中</w:t>
      </w:r>
      <w:r>
        <w:rPr>
          <w:rFonts w:ascii="Times New Roman" w:hAnsi="Times New Roman" w:eastAsia="宋体" w:cs="Times New Roman"/>
          <w:sz w:val="24"/>
        </w:rPr>
        <w:t>附录</w:t>
      </w:r>
      <w:r>
        <w:rPr>
          <w:rFonts w:hint="eastAsia" w:ascii="Times New Roman" w:hAnsi="Times New Roman" w:eastAsia="宋体" w:cs="Times New Roman"/>
          <w:sz w:val="24"/>
        </w:rPr>
        <w:t>A推荐的</w:t>
      </w:r>
      <w:r>
        <w:rPr>
          <w:rFonts w:ascii="Times New Roman" w:hAnsi="Times New Roman" w:eastAsia="宋体" w:cs="Times New Roman"/>
          <w:sz w:val="24"/>
        </w:rPr>
        <w:t>模型，依据</w:t>
      </w:r>
      <w:r>
        <w:rPr>
          <w:rFonts w:hint="eastAsia" w:ascii="Times New Roman" w:hAnsi="Times New Roman" w:eastAsia="宋体" w:cs="Times New Roman"/>
          <w:sz w:val="24"/>
        </w:rPr>
        <w:t>《环境影响评价技术导则 大气环境》（HJ2.2-2018）中5.3节</w:t>
      </w:r>
      <w:r>
        <w:rPr>
          <w:rFonts w:ascii="Times New Roman" w:hAnsi="Times New Roman" w:eastAsia="宋体" w:cs="Times New Roman"/>
          <w:sz w:val="24"/>
        </w:rPr>
        <w:t>工作</w:t>
      </w:r>
      <w:r>
        <w:rPr>
          <w:rFonts w:hint="eastAsia" w:ascii="Times New Roman" w:hAnsi="Times New Roman" w:eastAsia="宋体" w:cs="Times New Roman"/>
          <w:sz w:val="24"/>
        </w:rPr>
        <w:t>等级</w:t>
      </w:r>
      <w:r>
        <w:rPr>
          <w:rFonts w:ascii="Times New Roman" w:hAnsi="Times New Roman" w:eastAsia="宋体" w:cs="Times New Roman"/>
          <w:sz w:val="24"/>
        </w:rPr>
        <w:t>的确定方法，结合项目工程工程分析结果，选址正常排放的主要污染物及排放参数，可计算出</w:t>
      </w:r>
      <w:r>
        <w:rPr>
          <w:rFonts w:hint="eastAsia" w:ascii="Times New Roman" w:hAnsi="Times New Roman" w:eastAsia="宋体" w:cs="Times New Roman"/>
          <w:sz w:val="24"/>
        </w:rPr>
        <w:t>下风向25000m 范围内的地面环境空气质量浓度。计算模式如下：</w:t>
      </w:r>
    </w:p>
    <w:p>
      <w:pPr>
        <w:spacing w:line="360" w:lineRule="auto"/>
        <w:ind w:firstLine="560" w:firstLineChars="200"/>
        <w:rPr>
          <w:rFonts w:ascii="Times New Roman" w:hAnsi="Times New Roman" w:eastAsia="宋体" w:cs="Times New Roman"/>
          <w:sz w:val="28"/>
          <w:szCs w:val="28"/>
        </w:rPr>
      </w:pPr>
      <m:oMathPara>
        <m:oMath>
          <m:r>
            <w:rPr>
              <w:rFonts w:ascii="Cambria Math" w:hAnsi="Times New Roman" w:eastAsia="宋体" w:cs="Times New Roman"/>
              <w:sz w:val="28"/>
              <w:szCs w:val="28"/>
            </w:rPr>
            <m:t>Pi</m:t>
          </m:r>
          <m:r>
            <m:rPr>
              <m:sty m:val="p"/>
            </m:rPr>
            <w:rPr>
              <w:rFonts w:ascii="Cambria Math" w:hAnsi="Times New Roman" w:eastAsia="宋体" w:cs="Times New Roman"/>
              <w:sz w:val="28"/>
              <w:szCs w:val="28"/>
            </w:rPr>
            <m:t>=</m:t>
          </m:r>
          <m:f>
            <m:fPr>
              <m:ctrlPr>
                <w:rPr>
                  <w:rFonts w:ascii="Cambria Math" w:hAnsi="Cambria Math" w:eastAsia="宋体" w:cs="Times New Roman"/>
                  <w:i/>
                  <w:sz w:val="28"/>
                  <w:szCs w:val="28"/>
                </w:rPr>
              </m:ctrlPr>
            </m:fPr>
            <m:num>
              <m:r>
                <w:rPr>
                  <w:rFonts w:ascii="Cambria Math" w:hAnsi="Times New Roman" w:eastAsia="宋体" w:cs="Times New Roman"/>
                  <w:sz w:val="28"/>
                  <w:szCs w:val="28"/>
                </w:rPr>
                <m:t>Ci</m:t>
              </m:r>
              <m:ctrlPr>
                <w:rPr>
                  <w:rFonts w:ascii="Cambria Math" w:hAnsi="Cambria Math" w:eastAsia="宋体" w:cs="Times New Roman"/>
                  <w:i/>
                  <w:sz w:val="28"/>
                  <w:szCs w:val="28"/>
                </w:rPr>
              </m:ctrlPr>
            </m:num>
            <m:den>
              <m:r>
                <w:rPr>
                  <w:rFonts w:ascii="Cambria Math" w:hAnsi="Times New Roman" w:eastAsia="宋体" w:cs="Times New Roman"/>
                  <w:sz w:val="28"/>
                  <w:szCs w:val="28"/>
                </w:rPr>
                <m:t>C0i</m:t>
              </m:r>
              <m:ctrlPr>
                <w:rPr>
                  <w:rFonts w:ascii="Cambria Math" w:hAnsi="Cambria Math" w:eastAsia="宋体" w:cs="Times New Roman"/>
                  <w:i/>
                  <w:sz w:val="28"/>
                  <w:szCs w:val="28"/>
                </w:rPr>
              </m:ctrlPr>
            </m:den>
          </m:f>
          <m:r>
            <m:rPr>
              <m:sty m:val="p"/>
            </m:rPr>
            <w:rPr>
              <w:rFonts w:ascii="Cambria Math" w:hAnsi="Cambria Math" w:eastAsia="宋体" w:cs="Times New Roman"/>
              <w:sz w:val="28"/>
              <w:szCs w:val="28"/>
            </w:rPr>
            <m:t>×</m:t>
          </m:r>
          <m:r>
            <m:rPr>
              <m:sty m:val="p"/>
            </m:rPr>
            <w:rPr>
              <w:rFonts w:ascii="Cambria Math" w:hAnsi="Times New Roman" w:eastAsia="宋体" w:cs="Times New Roman"/>
              <w:sz w:val="28"/>
              <w:szCs w:val="28"/>
            </w:rPr>
            <m:t>100%</m:t>
          </m:r>
        </m:oMath>
      </m:oMathPara>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式中：P</w:t>
      </w:r>
      <w:r>
        <w:rPr>
          <w:rFonts w:hint="eastAsia" w:ascii="Times New Roman" w:hAnsi="Times New Roman" w:eastAsia="宋体" w:cs="Times New Roman"/>
          <w:sz w:val="24"/>
          <w:szCs w:val="24"/>
          <w:vertAlign w:val="subscript"/>
        </w:rPr>
        <w:t>i</w:t>
      </w:r>
      <w:r>
        <w:rPr>
          <w:rFonts w:hint="eastAsia" w:ascii="Times New Roman" w:hAnsi="Times New Roman" w:eastAsia="宋体" w:cs="Times New Roman"/>
          <w:sz w:val="24"/>
          <w:szCs w:val="24"/>
        </w:rPr>
        <w:t>—第i个污染物的最大地面空气质量浓度占标率，%；</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C</w:t>
      </w:r>
      <w:r>
        <w:rPr>
          <w:rFonts w:hint="eastAsia" w:ascii="Times New Roman" w:hAnsi="Times New Roman" w:eastAsia="宋体" w:cs="Times New Roman"/>
          <w:sz w:val="24"/>
          <w:szCs w:val="24"/>
          <w:vertAlign w:val="subscript"/>
        </w:rPr>
        <w:t>i</w:t>
      </w:r>
      <w:r>
        <w:rPr>
          <w:rFonts w:hint="eastAsia" w:ascii="Times New Roman" w:hAnsi="Times New Roman" w:eastAsia="宋体" w:cs="Times New Roman"/>
          <w:sz w:val="24"/>
          <w:szCs w:val="24"/>
        </w:rPr>
        <w:t>—采用估算模式计算出的第i个污染物的最大1h地面浓度，mg/m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C</w:t>
      </w:r>
      <w:r>
        <w:rPr>
          <w:rFonts w:hint="eastAsia" w:ascii="Times New Roman" w:hAnsi="Times New Roman" w:eastAsia="宋体" w:cs="Times New Roman"/>
          <w:sz w:val="24"/>
          <w:szCs w:val="24"/>
          <w:vertAlign w:val="subscript"/>
        </w:rPr>
        <w:t>0i</w:t>
      </w:r>
      <w:r>
        <w:rPr>
          <w:rFonts w:hint="eastAsia" w:ascii="Times New Roman" w:hAnsi="Times New Roman" w:eastAsia="宋体" w:cs="Times New Roman"/>
          <w:sz w:val="24"/>
          <w:szCs w:val="24"/>
        </w:rPr>
        <w:t>—第i个污染物的环境空气质量浓度标准，mg/m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C</w:t>
      </w:r>
      <w:r>
        <w:rPr>
          <w:rFonts w:hint="eastAsia" w:ascii="Times New Roman" w:hAnsi="Times New Roman" w:eastAsia="宋体" w:cs="Times New Roman"/>
          <w:sz w:val="24"/>
          <w:szCs w:val="24"/>
          <w:vertAlign w:val="subscript"/>
        </w:rPr>
        <w:t>0i</w:t>
      </w:r>
      <w:r>
        <w:rPr>
          <w:rFonts w:hint="eastAsia" w:ascii="Times New Roman" w:hAnsi="Times New Roman" w:eastAsia="宋体" w:cs="Times New Roman"/>
          <w:sz w:val="24"/>
          <w:szCs w:val="24"/>
        </w:rPr>
        <w:t>一般选用《环境空气质量标准》（GB3095-2012）中1h平均质量浓度的二级标准的浓度限值；</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2）预测内容</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利用</w:t>
      </w:r>
      <w:r>
        <w:rPr>
          <w:rFonts w:ascii="Times New Roman" w:hAnsi="Times New Roman" w:eastAsia="宋体" w:cs="Times New Roman"/>
          <w:sz w:val="24"/>
        </w:rPr>
        <w:t>AERSCREEN</w:t>
      </w:r>
      <w:r>
        <w:rPr>
          <w:rFonts w:hint="eastAsia" w:ascii="Times New Roman" w:hAnsi="Times New Roman" w:eastAsia="宋体" w:cs="Times New Roman"/>
          <w:sz w:val="24"/>
        </w:rPr>
        <w:t>模式，计算污染源在各种气象条件下的排放情况，下风向轴线上2500m范围内地面小时污染物质量浓度。</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项目主要排放的气型污染物为锅炉废气（烟尘、SO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、NO</w:t>
      </w:r>
      <w:r>
        <w:rPr>
          <w:rFonts w:hint="eastAsia" w:ascii="Times New Roman" w:hAnsi="Times New Roman" w:eastAsia="宋体" w:cs="Times New Roman"/>
          <w:sz w:val="24"/>
          <w:vertAlign w:val="subscript"/>
        </w:rPr>
        <w:t>X</w:t>
      </w:r>
      <w:r>
        <w:rPr>
          <w:rFonts w:hint="eastAsia" w:ascii="Times New Roman" w:hAnsi="Times New Roman" w:eastAsia="宋体" w:cs="Times New Roman"/>
          <w:sz w:val="24"/>
        </w:rPr>
        <w:t>）。本项目大气环境评价等级确定为二级，项目大气预测主要选用《环境影响评价技术导则  大气环境》（HJ2.2-2018）中的估算模式。</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3）预测参数</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根据工程分析污染物核算，结合当地地面气象观测资料，该项目污染源排放</w:t>
      </w:r>
      <w:r>
        <w:rPr>
          <w:rFonts w:ascii="Times New Roman" w:hAnsi="Times New Roman" w:eastAsia="宋体" w:cs="Times New Roman"/>
          <w:sz w:val="24"/>
        </w:rPr>
        <w:t>参数</w:t>
      </w:r>
      <w:r>
        <w:rPr>
          <w:rFonts w:hint="eastAsia" w:ascii="Times New Roman" w:hAnsi="Times New Roman" w:eastAsia="宋体" w:cs="Times New Roman"/>
          <w:sz w:val="24"/>
        </w:rPr>
        <w:t>如表5.2-1所示。</w:t>
      </w:r>
    </w:p>
    <w:p>
      <w:pPr>
        <w:spacing w:line="360" w:lineRule="auto"/>
        <w:ind w:firstLine="482" w:firstLineChars="200"/>
        <w:jc w:val="center"/>
        <w:rPr>
          <w:rFonts w:ascii="Times New Roman" w:hAnsi="Times New Roman" w:eastAsia="宋体" w:cs="Times New Roman"/>
          <w:sz w:val="24"/>
        </w:rPr>
      </w:pPr>
      <w:r>
        <w:rPr>
          <w:rFonts w:hint="eastAsia" w:ascii="Times New Roman" w:hAnsi="Times New Roman" w:eastAsia="宋体" w:cs="Times New Roman"/>
          <w:b/>
          <w:sz w:val="24"/>
        </w:rPr>
        <w:t>表5.2-1   主要废气</w:t>
      </w:r>
      <w:r>
        <w:rPr>
          <w:rFonts w:ascii="Times New Roman" w:hAnsi="Times New Roman" w:eastAsia="宋体" w:cs="Times New Roman"/>
          <w:b/>
          <w:sz w:val="24"/>
        </w:rPr>
        <w:t>污染源参数一览表（</w:t>
      </w:r>
      <w:r>
        <w:rPr>
          <w:rFonts w:hint="eastAsia" w:ascii="Times New Roman" w:hAnsi="Times New Roman" w:eastAsia="宋体" w:cs="Times New Roman"/>
          <w:b/>
          <w:sz w:val="24"/>
        </w:rPr>
        <w:t>点源</w:t>
      </w:r>
      <w:r>
        <w:rPr>
          <w:rFonts w:ascii="Times New Roman" w:hAnsi="Times New Roman" w:eastAsia="宋体" w:cs="Times New Roman"/>
          <w:b/>
          <w:sz w:val="24"/>
        </w:rPr>
        <w:t>）</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8"/>
        <w:gridCol w:w="1109"/>
        <w:gridCol w:w="1004"/>
        <w:gridCol w:w="699"/>
        <w:gridCol w:w="676"/>
        <w:gridCol w:w="682"/>
        <w:gridCol w:w="676"/>
        <w:gridCol w:w="696"/>
        <w:gridCol w:w="696"/>
        <w:gridCol w:w="742"/>
        <w:gridCol w:w="6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88"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污染源</w:t>
            </w:r>
            <w:r>
              <w:rPr>
                <w:rFonts w:ascii="Times New Roman" w:hAnsi="Times New Roman" w:eastAsia="宋体" w:cs="Times New Roman"/>
                <w:b/>
                <w:kern w:val="0"/>
                <w:szCs w:val="21"/>
              </w:rPr>
              <w:t>名称</w:t>
            </w:r>
          </w:p>
        </w:tc>
        <w:tc>
          <w:tcPr>
            <w:tcW w:w="2812" w:type="dxa"/>
            <w:gridSpan w:val="3"/>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坐标</w:t>
            </w:r>
          </w:p>
        </w:tc>
        <w:tc>
          <w:tcPr>
            <w:tcW w:w="2730" w:type="dxa"/>
            <w:gridSpan w:val="4"/>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排气筒</w:t>
            </w:r>
            <w:r>
              <w:rPr>
                <w:rFonts w:ascii="Times New Roman" w:hAnsi="Times New Roman" w:eastAsia="宋体" w:cs="Times New Roman"/>
                <w:b/>
                <w:kern w:val="0"/>
                <w:szCs w:val="21"/>
              </w:rPr>
              <w:t>参数</w:t>
            </w:r>
          </w:p>
        </w:tc>
        <w:tc>
          <w:tcPr>
            <w:tcW w:w="696"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污染物</w:t>
            </w:r>
            <w:r>
              <w:rPr>
                <w:rFonts w:ascii="Times New Roman" w:hAnsi="Times New Roman" w:eastAsia="宋体" w:cs="Times New Roman"/>
                <w:b/>
                <w:kern w:val="0"/>
                <w:szCs w:val="21"/>
              </w:rPr>
              <w:t>名称</w:t>
            </w:r>
          </w:p>
        </w:tc>
        <w:tc>
          <w:tcPr>
            <w:tcW w:w="742"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排放</w:t>
            </w:r>
            <w:r>
              <w:rPr>
                <w:rFonts w:ascii="Times New Roman" w:hAnsi="Times New Roman" w:eastAsia="宋体" w:cs="Times New Roman"/>
                <w:b/>
                <w:kern w:val="0"/>
                <w:szCs w:val="21"/>
              </w:rPr>
              <w:t>速率</w:t>
            </w:r>
          </w:p>
        </w:tc>
        <w:tc>
          <w:tcPr>
            <w:tcW w:w="608" w:type="dxa"/>
            <w:vMerge w:val="restart"/>
            <w:vAlign w:val="center"/>
          </w:tcPr>
          <w:p>
            <w:pPr>
              <w:spacing w:line="240" w:lineRule="atLeast"/>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88" w:type="dxa"/>
            <w:vMerge w:val="continue"/>
            <w:vAlign w:val="center"/>
          </w:tcPr>
          <w:p>
            <w:pPr>
              <w:spacing w:line="240" w:lineRule="atLeast"/>
              <w:jc w:val="center"/>
              <w:rPr>
                <w:rFonts w:ascii="Times New Roman" w:hAnsi="Times New Roman" w:eastAsia="宋体" w:cs="Times New Roman"/>
                <w:kern w:val="0"/>
                <w:szCs w:val="21"/>
              </w:rPr>
            </w:pPr>
          </w:p>
        </w:tc>
        <w:tc>
          <w:tcPr>
            <w:tcW w:w="1109" w:type="dxa"/>
            <w:tcBorders>
              <w:right w:val="single" w:color="auto" w:sz="4" w:space="0"/>
            </w:tcBorders>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经度</w:t>
            </w:r>
          </w:p>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004" w:type="dxa"/>
            <w:tcBorders>
              <w:left w:val="single" w:color="auto" w:sz="4" w:space="0"/>
              <w:right w:val="single" w:color="auto" w:sz="4" w:space="0"/>
            </w:tcBorders>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纬度</w:t>
            </w:r>
          </w:p>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9" w:type="dxa"/>
            <w:tcBorders>
              <w:left w:val="single" w:color="auto" w:sz="4" w:space="0"/>
            </w:tcBorders>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海拔m</w:t>
            </w:r>
          </w:p>
        </w:tc>
        <w:tc>
          <w:tcPr>
            <w:tcW w:w="676"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高度m</w:t>
            </w:r>
          </w:p>
        </w:tc>
        <w:tc>
          <w:tcPr>
            <w:tcW w:w="682"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内径m</w:t>
            </w:r>
          </w:p>
        </w:tc>
        <w:tc>
          <w:tcPr>
            <w:tcW w:w="676"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温度</w:t>
            </w:r>
          </w:p>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96"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流速m/s</w:t>
            </w:r>
          </w:p>
        </w:tc>
        <w:tc>
          <w:tcPr>
            <w:tcW w:w="696" w:type="dxa"/>
            <w:vMerge w:val="continue"/>
            <w:vAlign w:val="center"/>
          </w:tcPr>
          <w:p>
            <w:pPr>
              <w:spacing w:line="240" w:lineRule="atLeast"/>
              <w:jc w:val="center"/>
              <w:rPr>
                <w:rFonts w:ascii="Times New Roman" w:hAnsi="Times New Roman" w:eastAsia="宋体" w:cs="Times New Roman"/>
                <w:kern w:val="0"/>
                <w:szCs w:val="21"/>
              </w:rPr>
            </w:pPr>
          </w:p>
        </w:tc>
        <w:tc>
          <w:tcPr>
            <w:tcW w:w="742" w:type="dxa"/>
            <w:vMerge w:val="continue"/>
            <w:vAlign w:val="center"/>
          </w:tcPr>
          <w:p>
            <w:pPr>
              <w:spacing w:line="240" w:lineRule="atLeast"/>
              <w:jc w:val="center"/>
              <w:rPr>
                <w:rFonts w:ascii="Times New Roman" w:hAnsi="Times New Roman" w:eastAsia="宋体" w:cs="Times New Roman"/>
                <w:kern w:val="0"/>
                <w:szCs w:val="21"/>
              </w:rPr>
            </w:pPr>
          </w:p>
        </w:tc>
        <w:tc>
          <w:tcPr>
            <w:tcW w:w="608" w:type="dxa"/>
            <w:vMerge w:val="continue"/>
            <w:vAlign w:val="center"/>
          </w:tcPr>
          <w:p>
            <w:pPr>
              <w:spacing w:line="240" w:lineRule="atLeast"/>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88"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点源12</w:t>
            </w:r>
            <w:r>
              <w:rPr>
                <w:rFonts w:ascii="Times New Roman" w:hAnsi="Times New Roman" w:eastAsia="宋体" w:cs="Times New Roman"/>
                <w:kern w:val="0"/>
                <w:szCs w:val="21"/>
              </w:rPr>
              <w:t>t/h</w:t>
            </w:r>
            <w:r>
              <w:rPr>
                <w:rFonts w:hint="eastAsia" w:ascii="Times New Roman" w:hAnsi="Times New Roman" w:eastAsia="宋体" w:cs="Times New Roman"/>
                <w:kern w:val="0"/>
                <w:szCs w:val="21"/>
              </w:rPr>
              <w:t>锅炉</w:t>
            </w:r>
          </w:p>
        </w:tc>
        <w:tc>
          <w:tcPr>
            <w:tcW w:w="1109" w:type="dxa"/>
            <w:vMerge w:val="restart"/>
            <w:tcBorders>
              <w:right w:val="single" w:color="auto" w:sz="4" w:space="0"/>
            </w:tcBorders>
            <w:vAlign w:val="center"/>
          </w:tcPr>
          <w:p>
            <w:pPr>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101.82507</w:t>
            </w:r>
          </w:p>
        </w:tc>
        <w:tc>
          <w:tcPr>
            <w:tcW w:w="1004" w:type="dxa"/>
            <w:vMerge w:val="restart"/>
            <w:tcBorders>
              <w:left w:val="single" w:color="auto" w:sz="4" w:space="0"/>
              <w:right w:val="single" w:color="auto" w:sz="4" w:space="0"/>
            </w:tcBorders>
            <w:vAlign w:val="center"/>
          </w:tcPr>
          <w:p>
            <w:pPr>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25.86707</w:t>
            </w:r>
          </w:p>
        </w:tc>
        <w:tc>
          <w:tcPr>
            <w:tcW w:w="699" w:type="dxa"/>
            <w:vMerge w:val="restart"/>
            <w:tcBorders>
              <w:left w:val="single" w:color="auto" w:sz="4" w:space="0"/>
            </w:tcBorders>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1060</w:t>
            </w:r>
          </w:p>
        </w:tc>
        <w:tc>
          <w:tcPr>
            <w:tcW w:w="676" w:type="dxa"/>
            <w:vMerge w:val="restart"/>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40</w:t>
            </w:r>
          </w:p>
        </w:tc>
        <w:tc>
          <w:tcPr>
            <w:tcW w:w="682" w:type="dxa"/>
            <w:vMerge w:val="restart"/>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0.8</w:t>
            </w:r>
          </w:p>
        </w:tc>
        <w:tc>
          <w:tcPr>
            <w:tcW w:w="676" w:type="dxa"/>
            <w:vMerge w:val="restart"/>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58</w:t>
            </w:r>
          </w:p>
        </w:tc>
        <w:tc>
          <w:tcPr>
            <w:tcW w:w="696" w:type="dxa"/>
            <w:vMerge w:val="restart"/>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25.16</w:t>
            </w:r>
          </w:p>
        </w:tc>
        <w:tc>
          <w:tcPr>
            <w:tcW w:w="696"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烟尘</w:t>
            </w:r>
          </w:p>
        </w:tc>
        <w:tc>
          <w:tcPr>
            <w:tcW w:w="742" w:type="dxa"/>
            <w:vAlign w:val="center"/>
          </w:tcPr>
          <w:p>
            <w:pPr>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0.037</w:t>
            </w:r>
          </w:p>
        </w:tc>
        <w:tc>
          <w:tcPr>
            <w:tcW w:w="608" w:type="dxa"/>
            <w:vAlign w:val="center"/>
          </w:tcPr>
          <w:p>
            <w:pPr>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k</w:t>
            </w:r>
            <w:r>
              <w:rPr>
                <w:rFonts w:hint="eastAsia" w:ascii="Times New Roman" w:hAnsi="Times New Roman" w:eastAsia="宋体" w:cs="Times New Roman"/>
                <w:color w:val="FF0000"/>
                <w:kern w:val="0"/>
                <w:szCs w:val="21"/>
              </w:rPr>
              <w:t>g</w:t>
            </w:r>
            <w:r>
              <w:rPr>
                <w:rFonts w:ascii="Times New Roman" w:hAnsi="Times New Roman" w:eastAsia="宋体" w:cs="Times New Roman"/>
                <w:color w:val="FF0000"/>
                <w:kern w:val="0"/>
                <w:szCs w:val="21"/>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88" w:type="dxa"/>
            <w:vMerge w:val="continue"/>
            <w:vAlign w:val="center"/>
          </w:tcPr>
          <w:p>
            <w:pPr>
              <w:spacing w:line="240" w:lineRule="atLeast"/>
              <w:jc w:val="center"/>
              <w:rPr>
                <w:rFonts w:ascii="Times New Roman" w:hAnsi="Times New Roman" w:eastAsia="宋体" w:cs="Times New Roman"/>
                <w:kern w:val="0"/>
                <w:szCs w:val="21"/>
              </w:rPr>
            </w:pPr>
          </w:p>
        </w:tc>
        <w:tc>
          <w:tcPr>
            <w:tcW w:w="1109" w:type="dxa"/>
            <w:vMerge w:val="continue"/>
            <w:tcBorders>
              <w:right w:val="single" w:color="auto" w:sz="4" w:space="0"/>
            </w:tcBorders>
            <w:vAlign w:val="center"/>
          </w:tcPr>
          <w:p>
            <w:pPr>
              <w:spacing w:line="240" w:lineRule="atLeast"/>
              <w:jc w:val="center"/>
              <w:rPr>
                <w:rFonts w:ascii="Times New Roman" w:hAnsi="Times New Roman" w:eastAsia="宋体" w:cs="Times New Roman"/>
                <w:color w:val="FF0000"/>
                <w:kern w:val="0"/>
                <w:szCs w:val="21"/>
              </w:rPr>
            </w:pPr>
          </w:p>
        </w:tc>
        <w:tc>
          <w:tcPr>
            <w:tcW w:w="1004" w:type="dxa"/>
            <w:vMerge w:val="continue"/>
            <w:tcBorders>
              <w:left w:val="single" w:color="auto" w:sz="4" w:space="0"/>
              <w:right w:val="single" w:color="auto" w:sz="4" w:space="0"/>
            </w:tcBorders>
            <w:vAlign w:val="center"/>
          </w:tcPr>
          <w:p>
            <w:pPr>
              <w:spacing w:line="240" w:lineRule="atLeast"/>
              <w:jc w:val="center"/>
              <w:rPr>
                <w:rFonts w:ascii="Times New Roman" w:hAnsi="Times New Roman" w:eastAsia="宋体" w:cs="Times New Roman"/>
                <w:color w:val="FF0000"/>
                <w:kern w:val="0"/>
                <w:szCs w:val="21"/>
              </w:rPr>
            </w:pPr>
          </w:p>
        </w:tc>
        <w:tc>
          <w:tcPr>
            <w:tcW w:w="699" w:type="dxa"/>
            <w:vMerge w:val="continue"/>
            <w:tcBorders>
              <w:left w:val="single" w:color="auto" w:sz="4" w:space="0"/>
            </w:tcBorders>
            <w:vAlign w:val="center"/>
          </w:tcPr>
          <w:p>
            <w:pPr>
              <w:spacing w:line="240" w:lineRule="atLeast"/>
              <w:jc w:val="center"/>
              <w:rPr>
                <w:rFonts w:ascii="Times New Roman" w:hAnsi="Times New Roman" w:eastAsia="宋体" w:cs="Times New Roman"/>
                <w:color w:val="FF0000"/>
                <w:kern w:val="0"/>
                <w:szCs w:val="21"/>
              </w:rPr>
            </w:pPr>
          </w:p>
        </w:tc>
        <w:tc>
          <w:tcPr>
            <w:tcW w:w="676"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682"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676"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696"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696"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SO</w:t>
            </w:r>
            <w:r>
              <w:rPr>
                <w:rFonts w:hint="eastAsia" w:ascii="Times New Roman" w:hAnsi="Times New Roman" w:eastAsia="宋体" w:cs="Times New Roman"/>
                <w:color w:val="FF0000"/>
                <w:kern w:val="0"/>
                <w:szCs w:val="21"/>
                <w:vertAlign w:val="subscript"/>
              </w:rPr>
              <w:t>2</w:t>
            </w:r>
          </w:p>
        </w:tc>
        <w:tc>
          <w:tcPr>
            <w:tcW w:w="742" w:type="dxa"/>
            <w:vAlign w:val="center"/>
          </w:tcPr>
          <w:p>
            <w:pPr>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0.291</w:t>
            </w:r>
          </w:p>
        </w:tc>
        <w:tc>
          <w:tcPr>
            <w:tcW w:w="608" w:type="dxa"/>
            <w:vAlign w:val="center"/>
          </w:tcPr>
          <w:p>
            <w:pPr>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k</w:t>
            </w:r>
            <w:r>
              <w:rPr>
                <w:rFonts w:hint="eastAsia" w:ascii="Times New Roman" w:hAnsi="Times New Roman" w:eastAsia="宋体" w:cs="Times New Roman"/>
                <w:color w:val="FF0000"/>
                <w:kern w:val="0"/>
                <w:szCs w:val="21"/>
              </w:rPr>
              <w:t>g/</w:t>
            </w:r>
            <w:r>
              <w:rPr>
                <w:rFonts w:ascii="Times New Roman" w:hAnsi="Times New Roman" w:eastAsia="宋体" w:cs="Times New Roman"/>
                <w:color w:val="FF0000"/>
                <w:kern w:val="0"/>
                <w:szCs w:val="21"/>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88" w:type="dxa"/>
            <w:vMerge w:val="continue"/>
            <w:vAlign w:val="center"/>
          </w:tcPr>
          <w:p>
            <w:pPr>
              <w:spacing w:line="240" w:lineRule="atLeast"/>
              <w:jc w:val="center"/>
              <w:rPr>
                <w:rFonts w:ascii="Times New Roman" w:hAnsi="Times New Roman" w:eastAsia="宋体" w:cs="Times New Roman"/>
                <w:kern w:val="0"/>
                <w:szCs w:val="21"/>
              </w:rPr>
            </w:pPr>
          </w:p>
        </w:tc>
        <w:tc>
          <w:tcPr>
            <w:tcW w:w="1109" w:type="dxa"/>
            <w:vMerge w:val="continue"/>
            <w:tcBorders>
              <w:right w:val="single" w:color="auto" w:sz="4" w:space="0"/>
            </w:tcBorders>
            <w:vAlign w:val="center"/>
          </w:tcPr>
          <w:p>
            <w:pPr>
              <w:spacing w:line="240" w:lineRule="atLeast"/>
              <w:jc w:val="center"/>
              <w:rPr>
                <w:rFonts w:ascii="Times New Roman" w:hAnsi="Times New Roman" w:eastAsia="宋体" w:cs="Times New Roman"/>
                <w:color w:val="FF0000"/>
                <w:kern w:val="0"/>
                <w:szCs w:val="21"/>
              </w:rPr>
            </w:pPr>
          </w:p>
        </w:tc>
        <w:tc>
          <w:tcPr>
            <w:tcW w:w="1004" w:type="dxa"/>
            <w:vMerge w:val="continue"/>
            <w:tcBorders>
              <w:left w:val="single" w:color="auto" w:sz="4" w:space="0"/>
              <w:right w:val="single" w:color="auto" w:sz="4" w:space="0"/>
            </w:tcBorders>
            <w:vAlign w:val="center"/>
          </w:tcPr>
          <w:p>
            <w:pPr>
              <w:spacing w:line="240" w:lineRule="atLeast"/>
              <w:jc w:val="center"/>
              <w:rPr>
                <w:rFonts w:ascii="Times New Roman" w:hAnsi="Times New Roman" w:eastAsia="宋体" w:cs="Times New Roman"/>
                <w:color w:val="FF0000"/>
                <w:kern w:val="0"/>
                <w:szCs w:val="21"/>
              </w:rPr>
            </w:pPr>
          </w:p>
        </w:tc>
        <w:tc>
          <w:tcPr>
            <w:tcW w:w="699" w:type="dxa"/>
            <w:vMerge w:val="continue"/>
            <w:tcBorders>
              <w:left w:val="single" w:color="auto" w:sz="4" w:space="0"/>
            </w:tcBorders>
            <w:vAlign w:val="center"/>
          </w:tcPr>
          <w:p>
            <w:pPr>
              <w:spacing w:line="240" w:lineRule="atLeast"/>
              <w:jc w:val="center"/>
              <w:rPr>
                <w:rFonts w:ascii="Times New Roman" w:hAnsi="Times New Roman" w:eastAsia="宋体" w:cs="Times New Roman"/>
                <w:color w:val="FF0000"/>
                <w:kern w:val="0"/>
                <w:szCs w:val="21"/>
              </w:rPr>
            </w:pPr>
          </w:p>
        </w:tc>
        <w:tc>
          <w:tcPr>
            <w:tcW w:w="676"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682"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676"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696" w:type="dxa"/>
            <w:vMerge w:val="continue"/>
            <w:vAlign w:val="center"/>
          </w:tcPr>
          <w:p>
            <w:pPr>
              <w:spacing w:line="240" w:lineRule="atLeast"/>
              <w:jc w:val="center"/>
              <w:rPr>
                <w:rFonts w:ascii="Times New Roman" w:hAnsi="Times New Roman" w:eastAsia="宋体" w:cs="Times New Roman"/>
                <w:color w:val="FF0000"/>
                <w:kern w:val="0"/>
                <w:szCs w:val="21"/>
              </w:rPr>
            </w:pPr>
          </w:p>
        </w:tc>
        <w:tc>
          <w:tcPr>
            <w:tcW w:w="696" w:type="dxa"/>
            <w:vAlign w:val="center"/>
          </w:tcPr>
          <w:p>
            <w:pPr>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NO</w:t>
            </w:r>
            <w:r>
              <w:rPr>
                <w:rFonts w:hint="eastAsia" w:ascii="Times New Roman" w:hAnsi="Times New Roman" w:eastAsia="宋体" w:cs="Times New Roman"/>
                <w:color w:val="FF0000"/>
                <w:kern w:val="0"/>
                <w:szCs w:val="21"/>
                <w:vertAlign w:val="subscript"/>
              </w:rPr>
              <w:t>X</w:t>
            </w:r>
          </w:p>
        </w:tc>
        <w:tc>
          <w:tcPr>
            <w:tcW w:w="742" w:type="dxa"/>
            <w:vAlign w:val="center"/>
          </w:tcPr>
          <w:p>
            <w:pPr>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0.582</w:t>
            </w:r>
          </w:p>
        </w:tc>
        <w:tc>
          <w:tcPr>
            <w:tcW w:w="608" w:type="dxa"/>
            <w:vAlign w:val="center"/>
          </w:tcPr>
          <w:p>
            <w:pPr>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k</w:t>
            </w:r>
            <w:r>
              <w:rPr>
                <w:rFonts w:hint="eastAsia" w:ascii="Times New Roman" w:hAnsi="Times New Roman" w:eastAsia="宋体" w:cs="Times New Roman"/>
                <w:color w:val="FF0000"/>
                <w:kern w:val="0"/>
                <w:szCs w:val="21"/>
              </w:rPr>
              <w:t>g/</w:t>
            </w:r>
            <w:r>
              <w:rPr>
                <w:rFonts w:ascii="Times New Roman" w:hAnsi="Times New Roman" w:eastAsia="宋体" w:cs="Times New Roman"/>
                <w:color w:val="FF0000"/>
                <w:kern w:val="0"/>
                <w:szCs w:val="21"/>
              </w:rPr>
              <w:t>h</w:t>
            </w:r>
          </w:p>
        </w:tc>
      </w:tr>
    </w:tbl>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估算</w:t>
      </w:r>
      <w:r>
        <w:rPr>
          <w:rFonts w:ascii="Times New Roman" w:hAnsi="Times New Roman" w:eastAsia="宋体" w:cs="Times New Roman"/>
          <w:sz w:val="24"/>
        </w:rPr>
        <w:t>模式采用参数见表</w:t>
      </w:r>
      <w:r>
        <w:rPr>
          <w:rFonts w:hint="eastAsia" w:ascii="Times New Roman" w:hAnsi="Times New Roman" w:eastAsia="宋体" w:cs="Times New Roman"/>
          <w:sz w:val="24"/>
        </w:rPr>
        <w:t>5.2</w:t>
      </w:r>
      <w:r>
        <w:rPr>
          <w:rFonts w:ascii="Times New Roman" w:hAnsi="Times New Roman" w:eastAsia="宋体" w:cs="Times New Roman"/>
          <w:sz w:val="24"/>
        </w:rPr>
        <w:t>-2</w:t>
      </w:r>
      <w:r>
        <w:rPr>
          <w:rFonts w:hint="eastAsia" w:ascii="Times New Roman" w:hAnsi="Times New Roman" w:eastAsia="宋体" w:cs="Times New Roman"/>
          <w:sz w:val="24"/>
        </w:rPr>
        <w:t>。</w:t>
      </w:r>
    </w:p>
    <w:p>
      <w:pPr>
        <w:spacing w:line="360" w:lineRule="auto"/>
        <w:ind w:firstLine="482" w:firstLineChars="200"/>
        <w:jc w:val="center"/>
        <w:rPr>
          <w:rFonts w:ascii="Times New Roman" w:hAnsi="Times New Roman" w:eastAsia="宋体" w:cs="Times New Roman"/>
          <w:b/>
          <w:sz w:val="24"/>
        </w:rPr>
      </w:pPr>
      <w:r>
        <w:rPr>
          <w:rFonts w:hint="eastAsia" w:ascii="Times New Roman" w:hAnsi="Times New Roman" w:eastAsia="宋体" w:cs="Times New Roman"/>
          <w:b/>
          <w:sz w:val="24"/>
        </w:rPr>
        <w:t>表5.2</w:t>
      </w:r>
      <w:r>
        <w:rPr>
          <w:rFonts w:ascii="Times New Roman" w:hAnsi="Times New Roman" w:eastAsia="宋体" w:cs="Times New Roman"/>
          <w:b/>
          <w:sz w:val="24"/>
        </w:rPr>
        <w:t xml:space="preserve">-2   </w:t>
      </w:r>
      <w:r>
        <w:rPr>
          <w:rFonts w:hint="eastAsia" w:ascii="Times New Roman" w:hAnsi="Times New Roman" w:eastAsia="宋体" w:cs="Times New Roman"/>
          <w:b/>
          <w:sz w:val="24"/>
        </w:rPr>
        <w:t>估算</w:t>
      </w:r>
      <w:r>
        <w:rPr>
          <w:rFonts w:ascii="Times New Roman" w:hAnsi="Times New Roman" w:eastAsia="宋体" w:cs="Times New Roman"/>
          <w:b/>
          <w:sz w:val="24"/>
        </w:rPr>
        <w:t>模型参数表</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参数</w:t>
            </w:r>
          </w:p>
        </w:tc>
        <w:tc>
          <w:tcPr>
            <w:tcW w:w="2841" w:type="dxa"/>
            <w:vAlign w:val="center"/>
          </w:tcPr>
          <w:p>
            <w:pPr>
              <w:spacing w:line="240" w:lineRule="atLeast"/>
              <w:jc w:val="center"/>
              <w:rPr>
                <w:rFonts w:ascii="Times New Roman" w:hAnsi="Times New Roman" w:eastAsia="宋体" w:cs="Times New Roman"/>
                <w:kern w:val="0"/>
                <w:szCs w:val="20"/>
              </w:rPr>
            </w:pP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restart"/>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城市</w:t>
            </w:r>
            <w:r>
              <w:rPr>
                <w:rFonts w:ascii="Times New Roman" w:hAnsi="Times New Roman" w:eastAsia="宋体" w:cs="Times New Roman"/>
                <w:kern w:val="0"/>
                <w:szCs w:val="20"/>
              </w:rPr>
              <w:t>农村</w:t>
            </w:r>
            <w:r>
              <w:rPr>
                <w:rFonts w:hint="eastAsia" w:ascii="Times New Roman" w:hAnsi="Times New Roman" w:eastAsia="宋体" w:cs="Times New Roman"/>
                <w:kern w:val="0"/>
                <w:szCs w:val="20"/>
              </w:rPr>
              <w:t>/选项</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城市/农村</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continue"/>
            <w:vAlign w:val="center"/>
          </w:tcPr>
          <w:p>
            <w:pPr>
              <w:spacing w:line="240" w:lineRule="atLeast"/>
              <w:jc w:val="center"/>
              <w:rPr>
                <w:rFonts w:ascii="Times New Roman" w:hAnsi="Times New Roman" w:eastAsia="宋体" w:cs="Times New Roman"/>
                <w:kern w:val="0"/>
                <w:szCs w:val="20"/>
              </w:rPr>
            </w:pP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人口数</w:t>
            </w:r>
            <w:r>
              <w:rPr>
                <w:rFonts w:ascii="Times New Roman" w:hAnsi="Times New Roman" w:eastAsia="宋体" w:cs="Times New Roman"/>
                <w:kern w:val="0"/>
                <w:szCs w:val="20"/>
              </w:rPr>
              <w:t>（</w:t>
            </w:r>
            <w:r>
              <w:rPr>
                <w:rFonts w:hint="eastAsia" w:ascii="Times New Roman" w:hAnsi="Times New Roman" w:eastAsia="宋体" w:cs="Times New Roman"/>
                <w:kern w:val="0"/>
                <w:szCs w:val="20"/>
              </w:rPr>
              <w:t>城市</w:t>
            </w:r>
            <w:r>
              <w:rPr>
                <w:rFonts w:ascii="Times New Roman" w:hAnsi="Times New Roman" w:eastAsia="宋体" w:cs="Times New Roman"/>
                <w:kern w:val="0"/>
                <w:szCs w:val="20"/>
              </w:rPr>
              <w:t>人口数）</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1" w:type="dxa"/>
            <w:gridSpan w:val="2"/>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最高</w:t>
            </w:r>
            <w:r>
              <w:rPr>
                <w:rFonts w:ascii="Times New Roman" w:hAnsi="Times New Roman" w:eastAsia="宋体" w:cs="Times New Roman"/>
                <w:kern w:val="0"/>
                <w:szCs w:val="20"/>
              </w:rPr>
              <w:t>环境温度</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315.15K</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 w:hRule="atLeast"/>
        </w:trPr>
        <w:tc>
          <w:tcPr>
            <w:tcW w:w="5681" w:type="dxa"/>
            <w:gridSpan w:val="2"/>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最低</w:t>
            </w:r>
            <w:r>
              <w:rPr>
                <w:rFonts w:ascii="Times New Roman" w:hAnsi="Times New Roman" w:eastAsia="宋体" w:cs="Times New Roman"/>
                <w:kern w:val="0"/>
                <w:szCs w:val="20"/>
              </w:rPr>
              <w:t>环境温度</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273.05K</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1" w:type="dxa"/>
            <w:gridSpan w:val="2"/>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土地</w:t>
            </w:r>
            <w:r>
              <w:rPr>
                <w:rFonts w:ascii="Times New Roman" w:hAnsi="Times New Roman" w:eastAsia="宋体" w:cs="Times New Roman"/>
                <w:kern w:val="0"/>
                <w:szCs w:val="20"/>
              </w:rPr>
              <w:t>利用类型</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建设用地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1" w:type="dxa"/>
            <w:gridSpan w:val="2"/>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区域</w:t>
            </w:r>
            <w:r>
              <w:rPr>
                <w:rFonts w:ascii="Times New Roman" w:hAnsi="Times New Roman" w:eastAsia="宋体" w:cs="Times New Roman"/>
                <w:kern w:val="0"/>
                <w:szCs w:val="20"/>
              </w:rPr>
              <w:t>湿度条件</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干燥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restart"/>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是否</w:t>
            </w:r>
            <w:r>
              <w:rPr>
                <w:rFonts w:ascii="Times New Roman" w:hAnsi="Times New Roman" w:eastAsia="宋体" w:cs="Times New Roman"/>
                <w:kern w:val="0"/>
                <w:szCs w:val="20"/>
              </w:rPr>
              <w:t>考虑地形</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考虑</w:t>
            </w:r>
            <w:r>
              <w:rPr>
                <w:rFonts w:ascii="Times New Roman" w:hAnsi="Times New Roman" w:eastAsia="宋体" w:cs="Times New Roman"/>
                <w:kern w:val="0"/>
                <w:szCs w:val="20"/>
              </w:rPr>
              <w:t>地形</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continue"/>
            <w:vAlign w:val="center"/>
          </w:tcPr>
          <w:p>
            <w:pPr>
              <w:spacing w:line="240" w:lineRule="atLeast"/>
              <w:jc w:val="center"/>
              <w:rPr>
                <w:rFonts w:ascii="Times New Roman" w:hAnsi="Times New Roman" w:eastAsia="宋体" w:cs="Times New Roman"/>
                <w:kern w:val="0"/>
                <w:szCs w:val="20"/>
              </w:rPr>
            </w:pP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地形</w:t>
            </w:r>
            <w:r>
              <w:rPr>
                <w:rFonts w:ascii="Times New Roman" w:hAnsi="Times New Roman" w:eastAsia="宋体" w:cs="Times New Roman"/>
                <w:kern w:val="0"/>
                <w:szCs w:val="20"/>
              </w:rPr>
              <w:t>数据分辨率（</w:t>
            </w:r>
            <w:r>
              <w:rPr>
                <w:rFonts w:hint="eastAsia" w:ascii="Times New Roman" w:hAnsi="Times New Roman" w:eastAsia="宋体" w:cs="Times New Roman"/>
                <w:kern w:val="0"/>
                <w:szCs w:val="20"/>
              </w:rPr>
              <w:t>m</w:t>
            </w:r>
            <w:r>
              <w:rPr>
                <w:rFonts w:ascii="Times New Roman" w:hAnsi="Times New Roman" w:eastAsia="宋体" w:cs="Times New Roman"/>
                <w:kern w:val="0"/>
                <w:szCs w:val="20"/>
              </w:rPr>
              <w:t>）</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restart"/>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是否</w:t>
            </w:r>
            <w:r>
              <w:rPr>
                <w:rFonts w:ascii="Times New Roman" w:hAnsi="Times New Roman" w:eastAsia="宋体" w:cs="Times New Roman"/>
                <w:kern w:val="0"/>
                <w:szCs w:val="20"/>
              </w:rPr>
              <w:t>考虑海岸线</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考虑</w:t>
            </w:r>
            <w:r>
              <w:rPr>
                <w:rFonts w:ascii="Times New Roman" w:hAnsi="Times New Roman" w:eastAsia="宋体" w:cs="Times New Roman"/>
                <w:kern w:val="0"/>
                <w:szCs w:val="20"/>
              </w:rPr>
              <w:t>海岸线熏</w:t>
            </w:r>
            <w:r>
              <w:rPr>
                <w:rFonts w:hint="eastAsia" w:ascii="Times New Roman" w:hAnsi="Times New Roman" w:eastAsia="宋体" w:cs="Times New Roman"/>
                <w:kern w:val="0"/>
                <w:szCs w:val="20"/>
              </w:rPr>
              <w:t>烟</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0" w:type="dxa"/>
            <w:vMerge w:val="continue"/>
            <w:vAlign w:val="center"/>
          </w:tcPr>
          <w:p>
            <w:pPr>
              <w:spacing w:line="240" w:lineRule="atLeast"/>
              <w:jc w:val="center"/>
              <w:rPr>
                <w:rFonts w:ascii="Times New Roman" w:hAnsi="Times New Roman" w:eastAsia="宋体" w:cs="Times New Roman"/>
                <w:kern w:val="0"/>
                <w:szCs w:val="20"/>
              </w:rPr>
            </w:pP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海岸线</w:t>
            </w:r>
            <w:r>
              <w:rPr>
                <w:rFonts w:ascii="Times New Roman" w:hAnsi="Times New Roman" w:eastAsia="宋体" w:cs="Times New Roman"/>
                <w:kern w:val="0"/>
                <w:szCs w:val="20"/>
              </w:rPr>
              <w:t>距离</w:t>
            </w:r>
            <w:r>
              <w:rPr>
                <w:rFonts w:hint="eastAsia" w:ascii="Times New Roman" w:hAnsi="Times New Roman" w:eastAsia="宋体" w:cs="Times New Roman"/>
                <w:kern w:val="0"/>
                <w:szCs w:val="20"/>
              </w:rPr>
              <w:t>/</w:t>
            </w:r>
            <w:r>
              <w:rPr>
                <w:rFonts w:ascii="Times New Roman" w:hAnsi="Times New Roman" w:eastAsia="宋体" w:cs="Times New Roman"/>
                <w:kern w:val="0"/>
                <w:szCs w:val="20"/>
              </w:rPr>
              <w:t>km</w:t>
            </w:r>
          </w:p>
        </w:tc>
        <w:tc>
          <w:tcPr>
            <w:tcW w:w="2841" w:type="dxa"/>
            <w:vAlign w:val="center"/>
          </w:tcPr>
          <w:p>
            <w:pPr>
              <w:spacing w:line="240" w:lineRule="atLeast"/>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r>
    </w:tbl>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4）预测结果</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根据估算模式</w:t>
      </w:r>
      <w:r>
        <w:rPr>
          <w:rFonts w:ascii="Times New Roman" w:hAnsi="Times New Roman" w:eastAsia="宋体" w:cs="Times New Roman"/>
          <w:sz w:val="24"/>
        </w:rPr>
        <w:t>AERSCREEN</w:t>
      </w:r>
      <w:r>
        <w:rPr>
          <w:rFonts w:hint="eastAsia" w:ascii="Times New Roman" w:hAnsi="Times New Roman" w:eastAsia="宋体" w:cs="Times New Roman"/>
          <w:sz w:val="24"/>
        </w:rPr>
        <w:t>计算，估算模式计算结果见表5.2-3。</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表5.2</w:t>
      </w:r>
      <w:r>
        <w:rPr>
          <w:rFonts w:ascii="Times New Roman" w:hAnsi="Times New Roman" w:eastAsia="宋体" w:cs="Times New Roman"/>
          <w:b/>
          <w:sz w:val="24"/>
        </w:rPr>
        <w:t xml:space="preserve">-3   </w:t>
      </w:r>
      <w:r>
        <w:rPr>
          <w:rFonts w:hint="eastAsia" w:ascii="Times New Roman" w:hAnsi="Times New Roman" w:eastAsia="宋体" w:cs="Times New Roman"/>
          <w:b/>
          <w:sz w:val="24"/>
        </w:rPr>
        <w:t>12t/h生物质</w:t>
      </w:r>
      <w:r>
        <w:rPr>
          <w:rFonts w:ascii="Times New Roman" w:hAnsi="Times New Roman" w:eastAsia="宋体" w:cs="Times New Roman"/>
          <w:b/>
          <w:sz w:val="24"/>
        </w:rPr>
        <w:t>燃料锅炉废气最大落地浓度表</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2"/>
        <w:gridCol w:w="1283"/>
        <w:gridCol w:w="1162"/>
        <w:gridCol w:w="1283"/>
        <w:gridCol w:w="1157"/>
        <w:gridCol w:w="1283"/>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70" w:type="pct"/>
            <w:vMerge w:val="restart"/>
            <w:shd w:val="clear" w:color="auto" w:fill="auto"/>
            <w:vAlign w:val="center"/>
          </w:tcPr>
          <w:p>
            <w:pPr>
              <w:widowControl/>
              <w:spacing w:line="240" w:lineRule="atLeast"/>
              <w:jc w:val="center"/>
              <w:rPr>
                <w:rFonts w:ascii="Times New Roman" w:hAnsi="Times New Roman" w:eastAsia="宋体" w:cs="宋体"/>
                <w:color w:val="FF0000"/>
                <w:kern w:val="0"/>
                <w:szCs w:val="21"/>
              </w:rPr>
            </w:pPr>
            <w:r>
              <w:rPr>
                <w:rFonts w:hint="eastAsia" w:ascii="Times New Roman" w:hAnsi="Times New Roman" w:eastAsia="宋体" w:cs="宋体"/>
                <w:color w:val="FF0000"/>
                <w:kern w:val="0"/>
                <w:szCs w:val="21"/>
              </w:rPr>
              <w:t>下方向距离</w:t>
            </w:r>
            <w:r>
              <w:rPr>
                <w:rFonts w:ascii="Times New Roman" w:hAnsi="Times New Roman" w:eastAsia="宋体" w:cs="Times New Roman"/>
                <w:color w:val="FF0000"/>
                <w:kern w:val="0"/>
                <w:szCs w:val="21"/>
              </w:rPr>
              <w:t>(m)</w:t>
            </w:r>
          </w:p>
        </w:tc>
        <w:tc>
          <w:tcPr>
            <w:tcW w:w="4329" w:type="pct"/>
            <w:gridSpan w:val="6"/>
            <w:shd w:val="clear" w:color="auto" w:fill="auto"/>
            <w:vAlign w:val="center"/>
          </w:tcPr>
          <w:p>
            <w:pPr>
              <w:widowControl/>
              <w:spacing w:line="240" w:lineRule="atLeast"/>
              <w:jc w:val="center"/>
              <w:rPr>
                <w:rFonts w:ascii="Times New Roman" w:hAnsi="Times New Roman" w:eastAsia="宋体" w:cs="宋体"/>
                <w:color w:val="FF0000"/>
                <w:kern w:val="0"/>
                <w:szCs w:val="21"/>
              </w:rPr>
            </w:pPr>
            <w:r>
              <w:rPr>
                <w:rFonts w:hint="eastAsia" w:ascii="Times New Roman" w:hAnsi="Times New Roman" w:eastAsia="宋体" w:cs="宋体"/>
                <w:color w:val="FF0000"/>
                <w:kern w:val="0"/>
                <w:szCs w:val="21"/>
              </w:rPr>
              <w:t>点源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atLeast"/>
        </w:trPr>
        <w:tc>
          <w:tcPr>
            <w:tcW w:w="670" w:type="pct"/>
            <w:vMerge w:val="continue"/>
            <w:vAlign w:val="center"/>
          </w:tcPr>
          <w:p>
            <w:pPr>
              <w:widowControl/>
              <w:spacing w:line="240" w:lineRule="atLeast"/>
              <w:jc w:val="center"/>
              <w:rPr>
                <w:rFonts w:ascii="Times New Roman" w:hAnsi="Times New Roman" w:eastAsia="宋体" w:cs="宋体"/>
                <w:color w:val="FF0000"/>
                <w:kern w:val="0"/>
                <w:szCs w:val="21"/>
              </w:rPr>
            </w:pP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SO</w:t>
            </w:r>
            <w:r>
              <w:rPr>
                <w:rFonts w:ascii="Times New Roman" w:hAnsi="Times New Roman" w:eastAsia="宋体" w:cs="Times New Roman"/>
                <w:color w:val="FF0000"/>
                <w:kern w:val="0"/>
                <w:szCs w:val="21"/>
                <w:vertAlign w:val="subscript"/>
              </w:rPr>
              <w:t>2</w:t>
            </w:r>
            <w:r>
              <w:rPr>
                <w:rFonts w:hint="eastAsia" w:ascii="Times New Roman" w:hAnsi="Times New Roman" w:eastAsia="宋体" w:cs="Times New Roman"/>
                <w:color w:val="FF0000"/>
                <w:kern w:val="0"/>
                <w:szCs w:val="21"/>
              </w:rPr>
              <w:t>浓度（</w:t>
            </w:r>
            <w:r>
              <w:rPr>
                <w:rFonts w:ascii="Times New Roman" w:hAnsi="Times New Roman" w:eastAsia="宋体" w:cs="Times New Roman"/>
                <w:color w:val="FF0000"/>
                <w:kern w:val="0"/>
                <w:szCs w:val="21"/>
              </w:rPr>
              <w:t>ug/m</w:t>
            </w:r>
            <w:r>
              <w:rPr>
                <w:rFonts w:ascii="Times New Roman" w:hAnsi="Times New Roman" w:eastAsia="宋体" w:cs="Times New Roman"/>
                <w:color w:val="FF0000"/>
                <w:kern w:val="0"/>
                <w:szCs w:val="21"/>
                <w:vertAlign w:val="superscript"/>
              </w:rPr>
              <w:t>3</w:t>
            </w:r>
            <w:r>
              <w:rPr>
                <w:rFonts w:hint="eastAsia" w:ascii="Times New Roman" w:hAnsi="Times New Roman" w:eastAsia="宋体" w:cs="Times New Roman"/>
                <w:color w:val="FF0000"/>
                <w:kern w:val="0"/>
                <w:szCs w:val="21"/>
              </w:rPr>
              <w:t>）</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SO</w:t>
            </w:r>
            <w:r>
              <w:rPr>
                <w:rFonts w:ascii="Times New Roman" w:hAnsi="Times New Roman" w:eastAsia="宋体" w:cs="Times New Roman"/>
                <w:color w:val="FF0000"/>
                <w:kern w:val="0"/>
                <w:szCs w:val="21"/>
                <w:vertAlign w:val="subscript"/>
              </w:rPr>
              <w:t>2</w:t>
            </w:r>
            <w:r>
              <w:rPr>
                <w:rFonts w:hint="eastAsia" w:ascii="Times New Roman" w:hAnsi="Times New Roman" w:eastAsia="宋体" w:cs="Times New Roman"/>
                <w:color w:val="FF0000"/>
                <w:kern w:val="0"/>
                <w:szCs w:val="21"/>
              </w:rPr>
              <w:t>占标率（</w:t>
            </w:r>
            <w:r>
              <w:rPr>
                <w:rFonts w:ascii="Times New Roman" w:hAnsi="Times New Roman" w:eastAsia="宋体" w:cs="Times New Roman"/>
                <w:color w:val="FF0000"/>
                <w:kern w:val="0"/>
                <w:szCs w:val="21"/>
              </w:rPr>
              <w:t>%</w:t>
            </w:r>
            <w:r>
              <w:rPr>
                <w:rFonts w:hint="eastAsia" w:ascii="Times New Roman" w:hAnsi="Times New Roman" w:eastAsia="宋体" w:cs="Times New Roman"/>
                <w:color w:val="FF0000"/>
                <w:kern w:val="0"/>
                <w:szCs w:val="21"/>
              </w:rPr>
              <w:t>）</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NOx</w:t>
            </w:r>
            <w:r>
              <w:rPr>
                <w:rFonts w:hint="eastAsia" w:ascii="Times New Roman" w:hAnsi="Times New Roman" w:eastAsia="宋体" w:cs="Times New Roman"/>
                <w:color w:val="FF0000"/>
                <w:kern w:val="0"/>
                <w:szCs w:val="21"/>
              </w:rPr>
              <w:t>浓度（</w:t>
            </w:r>
            <w:r>
              <w:rPr>
                <w:rFonts w:ascii="Times New Roman" w:hAnsi="Times New Roman" w:eastAsia="宋体" w:cs="Times New Roman"/>
                <w:color w:val="FF0000"/>
                <w:kern w:val="0"/>
                <w:szCs w:val="21"/>
              </w:rPr>
              <w:t>ug/m</w:t>
            </w:r>
            <w:r>
              <w:rPr>
                <w:rFonts w:ascii="Times New Roman" w:hAnsi="Times New Roman" w:eastAsia="宋体" w:cs="Times New Roman"/>
                <w:color w:val="FF0000"/>
                <w:kern w:val="0"/>
                <w:szCs w:val="21"/>
                <w:vertAlign w:val="superscript"/>
              </w:rPr>
              <w:t>3</w:t>
            </w:r>
            <w:r>
              <w:rPr>
                <w:rFonts w:hint="eastAsia" w:ascii="Times New Roman" w:hAnsi="Times New Roman" w:eastAsia="宋体" w:cs="Times New Roman"/>
                <w:color w:val="FF0000"/>
                <w:kern w:val="0"/>
                <w:szCs w:val="21"/>
              </w:rPr>
              <w:t>）</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NOx</w:t>
            </w:r>
            <w:r>
              <w:rPr>
                <w:rFonts w:hint="eastAsia" w:ascii="Times New Roman" w:hAnsi="Times New Roman" w:eastAsia="宋体" w:cs="Times New Roman"/>
                <w:color w:val="FF0000"/>
                <w:kern w:val="0"/>
                <w:szCs w:val="21"/>
              </w:rPr>
              <w:t>占标率（</w:t>
            </w:r>
            <w:r>
              <w:rPr>
                <w:rFonts w:ascii="Times New Roman" w:hAnsi="Times New Roman" w:eastAsia="宋体" w:cs="Times New Roman"/>
                <w:color w:val="FF0000"/>
                <w:kern w:val="0"/>
                <w:szCs w:val="21"/>
              </w:rPr>
              <w:t>%</w:t>
            </w:r>
            <w:r>
              <w:rPr>
                <w:rFonts w:hint="eastAsia" w:ascii="Times New Roman" w:hAnsi="Times New Roman" w:eastAsia="宋体" w:cs="Times New Roman"/>
                <w:color w:val="FF0000"/>
                <w:kern w:val="0"/>
                <w:szCs w:val="21"/>
              </w:rPr>
              <w:t>）</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PM</w:t>
            </w:r>
            <w:r>
              <w:rPr>
                <w:rFonts w:hint="eastAsia" w:ascii="Times New Roman" w:hAnsi="Times New Roman" w:eastAsia="宋体" w:cs="Times New Roman"/>
                <w:color w:val="FF0000"/>
                <w:kern w:val="0"/>
                <w:szCs w:val="21"/>
                <w:vertAlign w:val="subscript"/>
              </w:rPr>
              <w:t>10</w:t>
            </w:r>
            <w:r>
              <w:rPr>
                <w:rFonts w:hint="eastAsia" w:ascii="Times New Roman" w:hAnsi="Times New Roman" w:eastAsia="宋体" w:cs="Times New Roman"/>
                <w:color w:val="FF0000"/>
                <w:kern w:val="0"/>
                <w:szCs w:val="21"/>
              </w:rPr>
              <w:t>浓度（</w:t>
            </w:r>
            <w:r>
              <w:rPr>
                <w:rFonts w:ascii="Times New Roman" w:hAnsi="Times New Roman" w:eastAsia="宋体" w:cs="Times New Roman"/>
                <w:color w:val="FF0000"/>
                <w:kern w:val="0"/>
                <w:szCs w:val="21"/>
              </w:rPr>
              <w:t>ug/m</w:t>
            </w:r>
            <w:r>
              <w:rPr>
                <w:rFonts w:ascii="Times New Roman" w:hAnsi="Times New Roman" w:eastAsia="宋体" w:cs="Times New Roman"/>
                <w:color w:val="FF0000"/>
                <w:kern w:val="0"/>
                <w:szCs w:val="21"/>
                <w:vertAlign w:val="superscript"/>
              </w:rPr>
              <w:t>3</w:t>
            </w:r>
            <w:r>
              <w:rPr>
                <w:rFonts w:hint="eastAsia" w:ascii="Times New Roman" w:hAnsi="Times New Roman" w:eastAsia="宋体" w:cs="Times New Roman"/>
                <w:color w:val="FF0000"/>
                <w:kern w:val="0"/>
                <w:szCs w:val="21"/>
              </w:rPr>
              <w:t>）</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PM</w:t>
            </w:r>
            <w:r>
              <w:rPr>
                <w:rFonts w:hint="eastAsia" w:ascii="Times New Roman" w:hAnsi="Times New Roman" w:eastAsia="宋体" w:cs="Times New Roman"/>
                <w:color w:val="FF0000"/>
                <w:kern w:val="0"/>
                <w:szCs w:val="21"/>
                <w:vertAlign w:val="subscript"/>
              </w:rPr>
              <w:t>10</w:t>
            </w:r>
            <w:r>
              <w:rPr>
                <w:rFonts w:hint="eastAsia" w:ascii="Times New Roman" w:hAnsi="Times New Roman" w:eastAsia="宋体" w:cs="Times New Roman"/>
                <w:color w:val="FF0000"/>
                <w:kern w:val="0"/>
                <w:szCs w:val="21"/>
              </w:rPr>
              <w:t>占标率（</w:t>
            </w:r>
            <w:r>
              <w:rPr>
                <w:rFonts w:ascii="Times New Roman" w:hAnsi="Times New Roman" w:eastAsia="宋体" w:cs="Times New Roman"/>
                <w:color w:val="FF0000"/>
                <w:kern w:val="0"/>
                <w:szCs w:val="21"/>
              </w:rPr>
              <w:t>%</w:t>
            </w:r>
            <w:r>
              <w:rPr>
                <w:rFonts w:hint="eastAsia" w:ascii="Times New Roman" w:hAnsi="Times New Roman" w:eastAsia="宋体" w:cs="Times New Roman"/>
                <w:color w:val="FF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50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3.8419</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0.7684</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3.0735</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0.2854</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0.2854</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0.317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2.8602</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0.5720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5.7204</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2.2882</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0.2125</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0.0236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2.6285</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0.5252</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5.2516</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2.1006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0.1951</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0.0217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300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2.3899</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0.4780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4.7798</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1.9119</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0.1775</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0.0197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400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2.1570</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0.4314</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4.3140</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1.7256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0.1602</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0.0178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500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2.3853</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0.4771</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4.7706</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1.9082</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0.1772</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0.0197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600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4.0444</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0.8089</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8.0888</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3.2355</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0.3004</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0.0334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700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6.7345</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1.3469</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13.4690</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5.3876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0.5003</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0.00556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800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10.4100</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2.0820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20.8200</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8.3280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0.7733</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0.0859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900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10.1720</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2.0344</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20.3440</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8.1376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0.7556</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9.9479</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1.9896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19.8958</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7.9583</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0.7390</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0.0821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1200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8.8968</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1.7937</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17.9374</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7.1750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0.6662</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0.0740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1400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8.8099</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1.7620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17.6198</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7.0479</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0.6544</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0.0727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1600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8.7484</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1.77497</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17.4968</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6.9987</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0.6499</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0.0722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1800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9.6174</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1.7235</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17.2348</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6.8939</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0.6401</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0.0711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8.3916</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1.6783</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16.7832</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6.7133</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0.6234</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0.0693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2500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5.7545</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1.1509</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11.5090</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4.6036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0.4275</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3000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6.3479</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1.2696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12.6958</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5.0783</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0.4716</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0.0524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3500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5.5546</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1.1109</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11.1092</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4.4437</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0.4126</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4000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4.7903</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0.9581</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9.5806</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3.8322</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0.3559</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0.0395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4500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3.6566</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0.7313</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7.3132</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2.9253</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0.2716</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0.0302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5000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3.3900</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0.6780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6.7800</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2.7120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0.2518</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10000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2.0037</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0.4007</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4.0074</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1.6030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0.1488</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0.0165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11000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1.9114</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0.3823</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3.8228</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1.5291</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0.1420</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12000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1.0802</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0.2160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2.1604</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0.8642</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0.0802</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0.0089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13000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1.3193</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0.2639</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2.6386</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1.0554</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0.0980</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0.0109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14000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1.1856</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0.2371</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2.3712</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0.9485</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0.0881</w:t>
            </w:r>
          </w:p>
        </w:tc>
        <w:tc>
          <w:tcPr>
            <w:tcW w:w="711" w:type="pct"/>
            <w:shd w:val="clear" w:color="auto" w:fill="auto"/>
            <w:noWrap/>
            <w:vAlign w:val="center"/>
          </w:tcPr>
          <w:p>
            <w:pPr>
              <w:widowControl/>
              <w:spacing w:line="240" w:lineRule="atLeast"/>
              <w:jc w:val="center"/>
              <w:rPr>
                <w:rFonts w:ascii="Times New Roman" w:hAnsi="Times New Roman" w:eastAsia="宋体" w:cs="宋体"/>
                <w:color w:val="FF0000"/>
                <w:kern w:val="0"/>
              </w:rPr>
            </w:pPr>
            <w:r>
              <w:rPr>
                <w:rFonts w:hint="eastAsia" w:ascii="Times New Roman" w:hAnsi="Times New Roman" w:eastAsia="宋体" w:cs="宋体"/>
                <w:color w:val="FF0000"/>
                <w:kern w:val="0"/>
              </w:rPr>
              <w:t>0.0098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15000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0.7141</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0.1428</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1.4283</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0.5713</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0.0531</w:t>
            </w:r>
          </w:p>
        </w:tc>
        <w:tc>
          <w:tcPr>
            <w:tcW w:w="711" w:type="pct"/>
            <w:shd w:val="clear" w:color="auto" w:fill="auto"/>
            <w:noWrap/>
            <w:vAlign w:val="center"/>
          </w:tcPr>
          <w:p>
            <w:pPr>
              <w:widowControl/>
              <w:spacing w:line="240" w:lineRule="atLeast"/>
              <w:jc w:val="center"/>
              <w:rPr>
                <w:rFonts w:ascii="Times New Roman" w:hAnsi="Times New Roman" w:eastAsia="宋体" w:cs="宋体"/>
                <w:color w:val="FF0000"/>
                <w:kern w:val="0"/>
              </w:rPr>
            </w:pPr>
            <w:r>
              <w:rPr>
                <w:rFonts w:hint="eastAsia" w:ascii="Times New Roman" w:hAnsi="Times New Roman" w:eastAsia="宋体" w:cs="宋体"/>
                <w:color w:val="FF0000"/>
                <w:kern w:val="0"/>
              </w:rPr>
              <w:t>0.0059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20000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0.7620</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0.1524</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1.5240</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0.6096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0.0566</w:t>
            </w:r>
          </w:p>
        </w:tc>
        <w:tc>
          <w:tcPr>
            <w:tcW w:w="711" w:type="pct"/>
            <w:shd w:val="clear" w:color="auto" w:fill="auto"/>
            <w:noWrap/>
            <w:vAlign w:val="center"/>
          </w:tcPr>
          <w:p>
            <w:pPr>
              <w:widowControl/>
              <w:spacing w:line="240" w:lineRule="atLeast"/>
              <w:jc w:val="center"/>
              <w:rPr>
                <w:rFonts w:ascii="Times New Roman" w:hAnsi="Times New Roman" w:eastAsia="宋体" w:cs="宋体"/>
                <w:color w:val="FF0000"/>
                <w:kern w:val="0"/>
              </w:rPr>
            </w:pPr>
            <w:r>
              <w:rPr>
                <w:rFonts w:hint="eastAsia" w:ascii="Times New Roman" w:hAnsi="Times New Roman" w:eastAsia="宋体" w:cs="宋体"/>
                <w:color w:val="FF0000"/>
                <w:kern w:val="0"/>
              </w:rPr>
              <w:t>0.0063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7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25000</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0.3882</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0.0776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0.7764</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0.3106</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0.0288</w:t>
            </w:r>
          </w:p>
        </w:tc>
        <w:tc>
          <w:tcPr>
            <w:tcW w:w="711" w:type="pct"/>
            <w:shd w:val="clear" w:color="auto" w:fill="auto"/>
            <w:noWrap/>
            <w:vAlign w:val="center"/>
          </w:tcPr>
          <w:p>
            <w:pPr>
              <w:widowControl/>
              <w:spacing w:line="240" w:lineRule="atLeast"/>
              <w:jc w:val="center"/>
              <w:rPr>
                <w:rFonts w:ascii="Times New Roman" w:hAnsi="Times New Roman" w:eastAsia="宋体" w:cs="宋体"/>
                <w:color w:val="FF0000"/>
                <w:kern w:val="0"/>
              </w:rPr>
            </w:pPr>
            <w:r>
              <w:rPr>
                <w:rFonts w:hint="eastAsia" w:ascii="Times New Roman" w:hAnsi="Times New Roman" w:eastAsia="宋体" w:cs="宋体"/>
                <w:color w:val="FF0000"/>
                <w:kern w:val="0"/>
              </w:rPr>
              <w:t>0.0032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670" w:type="pct"/>
            <w:shd w:val="clear" w:color="auto" w:fill="auto"/>
            <w:vAlign w:val="center"/>
          </w:tcPr>
          <w:p>
            <w:pPr>
              <w:widowControl/>
              <w:spacing w:line="240" w:lineRule="atLeast"/>
              <w:jc w:val="center"/>
              <w:rPr>
                <w:rFonts w:ascii="Times New Roman" w:hAnsi="Times New Roman" w:eastAsia="宋体" w:cs="宋体"/>
                <w:color w:val="FF0000"/>
                <w:kern w:val="0"/>
                <w:szCs w:val="21"/>
              </w:rPr>
            </w:pPr>
            <w:r>
              <w:rPr>
                <w:rFonts w:hint="eastAsia" w:ascii="Times New Roman" w:hAnsi="Times New Roman" w:eastAsia="宋体" w:cs="宋体"/>
                <w:color w:val="FF0000"/>
                <w:kern w:val="0"/>
                <w:szCs w:val="21"/>
              </w:rPr>
              <w:t>下风向最大浓度</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10.4340</w:t>
            </w:r>
          </w:p>
        </w:tc>
        <w:tc>
          <w:tcPr>
            <w:tcW w:w="680"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2.0868</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20.8680</w:t>
            </w:r>
          </w:p>
        </w:tc>
        <w:tc>
          <w:tcPr>
            <w:tcW w:w="678"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8.3472</w:t>
            </w:r>
          </w:p>
        </w:tc>
        <w:tc>
          <w:tcPr>
            <w:tcW w:w="752"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0.7751</w:t>
            </w:r>
          </w:p>
        </w:tc>
        <w:tc>
          <w:tcPr>
            <w:tcW w:w="711" w:type="pct"/>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0.0961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103" w:type="pct"/>
            <w:gridSpan w:val="3"/>
            <w:shd w:val="clear" w:color="auto" w:fill="auto"/>
            <w:vAlign w:val="center"/>
          </w:tcPr>
          <w:p>
            <w:pPr>
              <w:widowControl/>
              <w:spacing w:line="240" w:lineRule="atLeast"/>
              <w:jc w:val="center"/>
              <w:rPr>
                <w:rFonts w:ascii="Times New Roman" w:hAnsi="Times New Roman" w:eastAsia="宋体" w:cs="宋体"/>
                <w:color w:val="FF0000"/>
                <w:kern w:val="0"/>
                <w:szCs w:val="21"/>
              </w:rPr>
            </w:pPr>
            <w:r>
              <w:rPr>
                <w:rFonts w:hint="eastAsia" w:ascii="Times New Roman" w:hAnsi="Times New Roman" w:eastAsia="宋体" w:cs="宋体"/>
                <w:color w:val="FF0000"/>
                <w:kern w:val="0"/>
                <w:szCs w:val="21"/>
              </w:rPr>
              <w:t>下风向最大浓度出现距离</w:t>
            </w:r>
          </w:p>
        </w:tc>
        <w:tc>
          <w:tcPr>
            <w:tcW w:w="2896" w:type="pct"/>
            <w:gridSpan w:val="4"/>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721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103" w:type="pct"/>
            <w:gridSpan w:val="3"/>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D10%</w:t>
            </w:r>
            <w:r>
              <w:rPr>
                <w:rFonts w:hint="eastAsia" w:ascii="Times New Roman" w:hAnsi="Times New Roman" w:eastAsia="宋体" w:cs="Times New Roman"/>
                <w:color w:val="FF0000"/>
                <w:kern w:val="0"/>
                <w:szCs w:val="21"/>
              </w:rPr>
              <w:t>最远距离</w:t>
            </w:r>
          </w:p>
        </w:tc>
        <w:tc>
          <w:tcPr>
            <w:tcW w:w="2896" w:type="pct"/>
            <w:gridSpan w:val="4"/>
            <w:shd w:val="clear" w:color="auto" w:fill="auto"/>
            <w:vAlign w:val="center"/>
          </w:tcPr>
          <w:p>
            <w:pPr>
              <w:widowControl/>
              <w:spacing w:line="240" w:lineRule="atLeast"/>
              <w:jc w:val="center"/>
              <w:rPr>
                <w:rFonts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rPr>
              <w:t>1575</w:t>
            </w:r>
          </w:p>
        </w:tc>
      </w:tr>
    </w:tbl>
    <w:p>
      <w:pPr>
        <w:spacing w:line="360" w:lineRule="auto"/>
        <w:ind w:firstLine="482" w:firstLineChars="200"/>
        <w:jc w:val="center"/>
        <w:rPr>
          <w:rFonts w:ascii="Times New Roman" w:hAnsi="Times New Roman" w:eastAsia="宋体" w:cs="Times New Roman"/>
          <w:b/>
          <w:sz w:val="24"/>
        </w:rPr>
      </w:pPr>
    </w:p>
    <w:p>
      <w:pPr>
        <w:spacing w:line="360" w:lineRule="auto"/>
        <w:ind w:firstLine="482" w:firstLineChars="200"/>
        <w:jc w:val="center"/>
        <w:rPr>
          <w:rFonts w:ascii="Times New Roman" w:hAnsi="Times New Roman" w:eastAsia="宋体" w:cs="Times New Roman"/>
          <w:b/>
          <w:sz w:val="24"/>
        </w:rPr>
      </w:pPr>
      <w:r>
        <w:rPr>
          <w:rFonts w:hint="eastAsia" w:ascii="Times New Roman" w:hAnsi="Times New Roman" w:eastAsia="宋体" w:cs="Times New Roman"/>
          <w:b/>
          <w:sz w:val="24"/>
        </w:rPr>
        <w:t>表5.2</w:t>
      </w:r>
      <w:r>
        <w:rPr>
          <w:rFonts w:ascii="Times New Roman" w:hAnsi="Times New Roman" w:eastAsia="宋体" w:cs="Times New Roman"/>
          <w:b/>
          <w:sz w:val="24"/>
        </w:rPr>
        <w:t>-4   P</w:t>
      </w:r>
      <w:r>
        <w:rPr>
          <w:rFonts w:ascii="Times New Roman" w:hAnsi="Times New Roman" w:eastAsia="宋体" w:cs="Times New Roman"/>
          <w:b/>
          <w:sz w:val="24"/>
          <w:vertAlign w:val="subscript"/>
        </w:rPr>
        <w:t>max</w:t>
      </w:r>
      <w:r>
        <w:rPr>
          <w:rFonts w:ascii="Times New Roman" w:hAnsi="Times New Roman" w:eastAsia="宋体" w:cs="Times New Roman"/>
          <w:b/>
          <w:sz w:val="24"/>
        </w:rPr>
        <w:t>和</w:t>
      </w:r>
      <w:r>
        <w:rPr>
          <w:rFonts w:hint="eastAsia" w:ascii="Times New Roman" w:hAnsi="Times New Roman" w:eastAsia="宋体" w:cs="Times New Roman"/>
          <w:b/>
          <w:sz w:val="24"/>
        </w:rPr>
        <w:t>D</w:t>
      </w:r>
      <w:r>
        <w:rPr>
          <w:rFonts w:ascii="Times New Roman" w:hAnsi="Times New Roman" w:eastAsia="宋体" w:cs="Times New Roman"/>
          <w:b/>
          <w:sz w:val="24"/>
          <w:vertAlign w:val="subscript"/>
        </w:rPr>
        <w:t>10</w:t>
      </w:r>
      <w:r>
        <w:rPr>
          <w:rFonts w:ascii="Times New Roman" w:hAnsi="Times New Roman" w:eastAsia="宋体" w:cs="Times New Roman"/>
          <w:b/>
          <w:sz w:val="24"/>
        </w:rPr>
        <w:t>%预测和计算结果一览表</w:t>
      </w:r>
    </w:p>
    <w:tbl>
      <w:tblPr>
        <w:tblStyle w:val="4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6"/>
        <w:gridCol w:w="2110"/>
        <w:gridCol w:w="1704"/>
        <w:gridCol w:w="1707"/>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9" w:hRule="atLeast"/>
        </w:trPr>
        <w:tc>
          <w:tcPr>
            <w:tcW w:w="766"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评价因子</w:t>
            </w:r>
          </w:p>
        </w:tc>
        <w:tc>
          <w:tcPr>
            <w:tcW w:w="1237"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评价标准</w:t>
            </w:r>
            <w:r>
              <w:rPr>
                <w:rFonts w:hint="eastAsia" w:ascii="Times New Roman" w:hAnsi="Times New Roman" w:cs="Times New Roman"/>
                <w:color w:val="FF0000"/>
                <w:kern w:val="0"/>
                <w:szCs w:val="21"/>
              </w:rPr>
              <w:t>(</w:t>
            </w:r>
            <w:r>
              <w:rPr>
                <w:rFonts w:ascii="Times New Roman" w:hAnsi="Times New Roman" w:cs="Times New Roman"/>
                <w:color w:val="FF0000"/>
                <w:kern w:val="0"/>
                <w:szCs w:val="21"/>
              </w:rPr>
              <w:t>μg/m</w:t>
            </w:r>
            <w:r>
              <w:rPr>
                <w:rFonts w:ascii="Times New Roman" w:hAnsi="Times New Roman" w:cs="Times New Roman"/>
                <w:color w:val="FF0000"/>
                <w:kern w:val="0"/>
                <w:szCs w:val="21"/>
                <w:vertAlign w:val="superscript"/>
              </w:rPr>
              <w:t>3</w:t>
            </w:r>
            <w:r>
              <w:rPr>
                <w:rFonts w:hint="eastAsia" w:ascii="Times New Roman" w:hAnsi="Times New Roman" w:cs="Times New Roman"/>
                <w:color w:val="FF0000"/>
                <w:kern w:val="0"/>
                <w:szCs w:val="21"/>
              </w:rPr>
              <w:t>)</w:t>
            </w:r>
          </w:p>
        </w:tc>
        <w:tc>
          <w:tcPr>
            <w:tcW w:w="999"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C</w:t>
            </w:r>
            <w:r>
              <w:rPr>
                <w:rFonts w:hint="eastAsia" w:ascii="Times New Roman" w:hAnsi="Times New Roman" w:cs="Times New Roman"/>
                <w:color w:val="FF0000"/>
                <w:kern w:val="0"/>
                <w:szCs w:val="21"/>
                <w:vertAlign w:val="subscript"/>
              </w:rPr>
              <w:t>max</w:t>
            </w:r>
            <w:r>
              <w:rPr>
                <w:rFonts w:ascii="Times New Roman" w:hAnsi="Times New Roman" w:cs="Times New Roman"/>
                <w:color w:val="FF0000"/>
                <w:kern w:val="0"/>
                <w:szCs w:val="21"/>
              </w:rPr>
              <w:t>(μg/m</w:t>
            </w:r>
            <w:r>
              <w:rPr>
                <w:rFonts w:ascii="Times New Roman" w:hAnsi="Times New Roman" w:cs="Times New Roman"/>
                <w:color w:val="FF0000"/>
                <w:kern w:val="0"/>
                <w:szCs w:val="21"/>
                <w:vertAlign w:val="superscript"/>
              </w:rPr>
              <w:t>3</w:t>
            </w:r>
            <w:r>
              <w:rPr>
                <w:rFonts w:ascii="Times New Roman" w:hAnsi="Times New Roman" w:cs="Times New Roman"/>
                <w:color w:val="FF0000"/>
                <w:kern w:val="0"/>
                <w:szCs w:val="21"/>
              </w:rPr>
              <w:t>)</w:t>
            </w:r>
          </w:p>
        </w:tc>
        <w:tc>
          <w:tcPr>
            <w:tcW w:w="1001"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P</w:t>
            </w:r>
            <w:r>
              <w:rPr>
                <w:rFonts w:hint="eastAsia" w:ascii="Times New Roman" w:hAnsi="Times New Roman" w:cs="Times New Roman"/>
                <w:color w:val="FF0000"/>
                <w:kern w:val="0"/>
                <w:szCs w:val="21"/>
                <w:vertAlign w:val="subscript"/>
              </w:rPr>
              <w:t>max</w:t>
            </w:r>
            <w:r>
              <w:rPr>
                <w:rFonts w:ascii="Times New Roman" w:hAnsi="Times New Roman" w:cs="Times New Roman"/>
                <w:color w:val="FF0000"/>
                <w:kern w:val="0"/>
                <w:szCs w:val="21"/>
              </w:rPr>
              <w:t>(%)</w:t>
            </w:r>
          </w:p>
        </w:tc>
        <w:tc>
          <w:tcPr>
            <w:tcW w:w="997"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D</w:t>
            </w:r>
            <w:r>
              <w:rPr>
                <w:rFonts w:ascii="Times New Roman" w:hAnsi="Times New Roman" w:cs="Times New Roman"/>
                <w:color w:val="FF0000"/>
                <w:kern w:val="0"/>
                <w:szCs w:val="21"/>
                <w:vertAlign w:val="subscript"/>
              </w:rPr>
              <w:t>10%</w:t>
            </w:r>
            <w:r>
              <w:rPr>
                <w:rFonts w:ascii="Times New Roman" w:hAnsi="Times New Roman" w:cs="Times New Roman"/>
                <w:color w:val="FF0000"/>
                <w:kern w:val="0"/>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6" w:type="pct"/>
            <w:vAlign w:val="center"/>
          </w:tcPr>
          <w:p>
            <w:pPr>
              <w:spacing w:line="240" w:lineRule="atLeast"/>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PM</w:t>
            </w:r>
            <w:r>
              <w:rPr>
                <w:rFonts w:hint="eastAsia" w:ascii="Times New Roman" w:hAnsi="Times New Roman" w:cs="Times New Roman"/>
                <w:color w:val="FF0000"/>
                <w:kern w:val="0"/>
                <w:szCs w:val="21"/>
                <w:vertAlign w:val="subscript"/>
              </w:rPr>
              <w:t>10</w:t>
            </w:r>
          </w:p>
        </w:tc>
        <w:tc>
          <w:tcPr>
            <w:tcW w:w="1237"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900.0</w:t>
            </w:r>
          </w:p>
        </w:tc>
        <w:tc>
          <w:tcPr>
            <w:tcW w:w="999" w:type="pct"/>
            <w:vAlign w:val="center"/>
          </w:tcPr>
          <w:p>
            <w:pPr>
              <w:spacing w:line="240" w:lineRule="atLeast"/>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0.7751</w:t>
            </w:r>
          </w:p>
        </w:tc>
        <w:tc>
          <w:tcPr>
            <w:tcW w:w="1001" w:type="pct"/>
            <w:vAlign w:val="center"/>
          </w:tcPr>
          <w:p>
            <w:pPr>
              <w:spacing w:line="240" w:lineRule="atLeast"/>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2.0868</w:t>
            </w:r>
          </w:p>
        </w:tc>
        <w:tc>
          <w:tcPr>
            <w:tcW w:w="997"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6"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SO</w:t>
            </w:r>
            <w:r>
              <w:rPr>
                <w:rFonts w:ascii="Times New Roman" w:hAnsi="Times New Roman" w:cs="Times New Roman"/>
                <w:color w:val="FF0000"/>
                <w:kern w:val="0"/>
                <w:szCs w:val="21"/>
                <w:vertAlign w:val="subscript"/>
              </w:rPr>
              <w:t>2</w:t>
            </w:r>
          </w:p>
        </w:tc>
        <w:tc>
          <w:tcPr>
            <w:tcW w:w="1237"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500.0</w:t>
            </w:r>
          </w:p>
        </w:tc>
        <w:tc>
          <w:tcPr>
            <w:tcW w:w="999" w:type="pct"/>
            <w:vAlign w:val="center"/>
          </w:tcPr>
          <w:p>
            <w:pPr>
              <w:spacing w:line="240" w:lineRule="atLeast"/>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20.8680</w:t>
            </w:r>
          </w:p>
        </w:tc>
        <w:tc>
          <w:tcPr>
            <w:tcW w:w="1001" w:type="pct"/>
            <w:vAlign w:val="center"/>
          </w:tcPr>
          <w:p>
            <w:pPr>
              <w:spacing w:line="240" w:lineRule="atLeast"/>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0.0961</w:t>
            </w:r>
          </w:p>
        </w:tc>
        <w:tc>
          <w:tcPr>
            <w:tcW w:w="997"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6"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NOx</w:t>
            </w:r>
          </w:p>
        </w:tc>
        <w:tc>
          <w:tcPr>
            <w:tcW w:w="1237" w:type="pct"/>
            <w:vAlign w:val="center"/>
          </w:tcPr>
          <w:p>
            <w:pPr>
              <w:spacing w:line="240" w:lineRule="atLeast"/>
              <w:jc w:val="center"/>
              <w:rPr>
                <w:rFonts w:ascii="Times New Roman" w:hAnsi="Times New Roman" w:cs="Times New Roman"/>
                <w:color w:val="FF0000"/>
                <w:kern w:val="0"/>
                <w:szCs w:val="21"/>
              </w:rPr>
            </w:pPr>
            <w:r>
              <w:rPr>
                <w:rFonts w:ascii="Times New Roman" w:hAnsi="Times New Roman" w:cs="Times New Roman"/>
                <w:color w:val="FF0000"/>
                <w:kern w:val="0"/>
                <w:szCs w:val="21"/>
              </w:rPr>
              <w:t>250.0</w:t>
            </w:r>
          </w:p>
        </w:tc>
        <w:tc>
          <w:tcPr>
            <w:tcW w:w="999" w:type="pct"/>
            <w:vAlign w:val="center"/>
          </w:tcPr>
          <w:p>
            <w:pPr>
              <w:spacing w:line="240" w:lineRule="atLeast"/>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10.4340</w:t>
            </w:r>
          </w:p>
        </w:tc>
        <w:tc>
          <w:tcPr>
            <w:tcW w:w="1001" w:type="pct"/>
            <w:vAlign w:val="center"/>
          </w:tcPr>
          <w:p>
            <w:pPr>
              <w:spacing w:line="240" w:lineRule="atLeast"/>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8.3472</w:t>
            </w:r>
          </w:p>
        </w:tc>
        <w:tc>
          <w:tcPr>
            <w:tcW w:w="997" w:type="pct"/>
            <w:vAlign w:val="center"/>
          </w:tcPr>
          <w:p>
            <w:pPr>
              <w:spacing w:line="240" w:lineRule="atLeast"/>
              <w:jc w:val="center"/>
              <w:rPr>
                <w:rFonts w:ascii="Times New Roman" w:hAnsi="Times New Roman" w:cs="Times New Roman"/>
                <w:color w:val="FF0000"/>
                <w:kern w:val="0"/>
                <w:szCs w:val="21"/>
              </w:rPr>
            </w:pPr>
            <w:r>
              <w:rPr>
                <w:rFonts w:hint="eastAsia" w:ascii="Times New Roman" w:hAnsi="Times New Roman" w:cs="Times New Roman"/>
                <w:color w:val="FF0000"/>
                <w:kern w:val="0"/>
                <w:szCs w:val="21"/>
              </w:rPr>
              <w:t>721</w:t>
            </w:r>
          </w:p>
        </w:tc>
      </w:tr>
    </w:tbl>
    <w:p>
      <w:pPr>
        <w:spacing w:line="360" w:lineRule="auto"/>
        <w:ind w:firstLine="482" w:firstLineChars="200"/>
        <w:rPr>
          <w:rFonts w:ascii="Times New Roman" w:hAnsi="Times New Roman" w:eastAsia="宋体" w:cs="Times New Roman"/>
          <w:b/>
          <w:color w:val="FF0000"/>
          <w:sz w:val="24"/>
        </w:rPr>
      </w:pPr>
    </w:p>
    <w:p>
      <w:pPr>
        <w:spacing w:line="360" w:lineRule="auto"/>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color w:val="FF0000"/>
          <w:sz w:val="24"/>
        </w:rPr>
        <w:t>综合以上</w:t>
      </w:r>
      <w:r>
        <w:rPr>
          <w:rFonts w:ascii="Times New Roman" w:hAnsi="Times New Roman" w:eastAsia="宋体" w:cs="Times New Roman"/>
          <w:color w:val="FF0000"/>
          <w:sz w:val="24"/>
        </w:rPr>
        <w:t>分析，本项目</w:t>
      </w:r>
      <w:r>
        <w:rPr>
          <w:rFonts w:hint="eastAsia" w:ascii="Times New Roman" w:hAnsi="Times New Roman" w:eastAsia="宋体" w:cs="Times New Roman"/>
          <w:color w:val="FF0000"/>
          <w:sz w:val="24"/>
        </w:rPr>
        <w:t>P</w:t>
      </w:r>
      <w:r>
        <w:rPr>
          <w:rFonts w:hint="eastAsia" w:ascii="Times New Roman" w:hAnsi="Times New Roman" w:eastAsia="宋体" w:cs="Times New Roman"/>
          <w:color w:val="FF0000"/>
          <w:sz w:val="24"/>
          <w:vertAlign w:val="subscript"/>
        </w:rPr>
        <w:t>max</w:t>
      </w:r>
      <w:r>
        <w:rPr>
          <w:rFonts w:ascii="Times New Roman" w:hAnsi="Times New Roman" w:eastAsia="宋体" w:cs="Times New Roman"/>
          <w:color w:val="FF0000"/>
          <w:sz w:val="24"/>
        </w:rPr>
        <w:t>最大值出现</w:t>
      </w:r>
      <w:r>
        <w:rPr>
          <w:rFonts w:hint="eastAsia" w:ascii="Times New Roman" w:hAnsi="Times New Roman" w:eastAsia="宋体" w:cs="Times New Roman"/>
          <w:color w:val="FF0000"/>
          <w:sz w:val="24"/>
        </w:rPr>
        <w:t>为</w:t>
      </w:r>
      <w:r>
        <w:rPr>
          <w:rFonts w:ascii="Times New Roman" w:hAnsi="Times New Roman" w:eastAsia="宋体" w:cs="Times New Roman"/>
          <w:color w:val="FF0000"/>
          <w:sz w:val="24"/>
        </w:rPr>
        <w:t>点源排放的</w:t>
      </w:r>
      <w:r>
        <w:rPr>
          <w:rFonts w:hint="eastAsia" w:ascii="Times New Roman" w:hAnsi="Times New Roman" w:eastAsia="宋体" w:cs="Times New Roman"/>
          <w:color w:val="FF0000"/>
          <w:sz w:val="24"/>
        </w:rPr>
        <w:t>N</w:t>
      </w:r>
      <w:r>
        <w:rPr>
          <w:rFonts w:ascii="Times New Roman" w:hAnsi="Times New Roman" w:eastAsia="宋体" w:cs="Times New Roman"/>
          <w:color w:val="FF0000"/>
          <w:sz w:val="24"/>
        </w:rPr>
        <w:t>Ox</w:t>
      </w:r>
      <w:r>
        <w:rPr>
          <w:rFonts w:hint="eastAsia" w:ascii="Times New Roman" w:hAnsi="Times New Roman" w:eastAsia="宋体" w:cs="Times New Roman"/>
          <w:color w:val="FF0000"/>
          <w:sz w:val="24"/>
        </w:rPr>
        <w:t>，P</w:t>
      </w:r>
      <w:r>
        <w:rPr>
          <w:rFonts w:hint="eastAsia" w:ascii="Times New Roman" w:hAnsi="Times New Roman" w:eastAsia="宋体" w:cs="Times New Roman"/>
          <w:color w:val="FF0000"/>
          <w:sz w:val="24"/>
          <w:vertAlign w:val="subscript"/>
        </w:rPr>
        <w:t>max</w:t>
      </w:r>
      <w:r>
        <w:rPr>
          <w:rFonts w:ascii="Times New Roman" w:hAnsi="Times New Roman" w:eastAsia="宋体" w:cs="Times New Roman"/>
          <w:color w:val="FF0000"/>
          <w:sz w:val="24"/>
        </w:rPr>
        <w:t>值为</w:t>
      </w:r>
      <w:r>
        <w:rPr>
          <w:rFonts w:hint="eastAsia" w:ascii="Times New Roman" w:hAnsi="Times New Roman" w:eastAsia="宋体" w:cs="Times New Roman"/>
          <w:color w:val="FF0000"/>
          <w:sz w:val="24"/>
        </w:rPr>
        <w:t>8.3472</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rPr>
        <w:t>，D10</w:t>
      </w:r>
      <w:r>
        <w:rPr>
          <w:rFonts w:ascii="Times New Roman" w:hAnsi="Times New Roman" w:eastAsia="宋体" w:cs="Times New Roman"/>
          <w:color w:val="FF0000"/>
          <w:sz w:val="24"/>
        </w:rPr>
        <w:t>%为</w:t>
      </w:r>
      <w:r>
        <w:rPr>
          <w:rFonts w:hint="eastAsia" w:ascii="Times New Roman" w:hAnsi="Times New Roman" w:eastAsia="宋体" w:cs="Times New Roman"/>
          <w:color w:val="FF0000"/>
          <w:sz w:val="24"/>
        </w:rPr>
        <w:t>1575</w:t>
      </w:r>
      <w:r>
        <w:rPr>
          <w:rFonts w:ascii="Times New Roman" w:hAnsi="Times New Roman" w:eastAsia="宋体" w:cs="Times New Roman"/>
          <w:color w:val="FF0000"/>
          <w:sz w:val="24"/>
        </w:rPr>
        <w:t>m，</w:t>
      </w:r>
      <w:r>
        <w:rPr>
          <w:rFonts w:hint="eastAsia" w:ascii="Times New Roman" w:hAnsi="Times New Roman" w:eastAsia="宋体" w:cs="Times New Roman"/>
          <w:color w:val="FF0000"/>
          <w:sz w:val="24"/>
        </w:rPr>
        <w:t>C</w:t>
      </w:r>
      <w:r>
        <w:rPr>
          <w:rFonts w:ascii="Times New Roman" w:hAnsi="Times New Roman" w:eastAsia="宋体" w:cs="Times New Roman"/>
          <w:color w:val="FF0000"/>
          <w:sz w:val="24"/>
          <w:vertAlign w:val="subscript"/>
        </w:rPr>
        <w:t>max</w:t>
      </w:r>
      <w:r>
        <w:rPr>
          <w:rFonts w:ascii="Times New Roman" w:hAnsi="Times New Roman" w:eastAsia="宋体" w:cs="Times New Roman"/>
          <w:color w:val="FF0000"/>
          <w:sz w:val="24"/>
        </w:rPr>
        <w:t>为</w:t>
      </w:r>
      <w:r>
        <w:rPr>
          <w:rFonts w:hint="eastAsia" w:ascii="Times New Roman" w:hAnsi="Times New Roman" w:eastAsia="宋体" w:cs="Times New Roman"/>
          <w:color w:val="FF0000"/>
          <w:sz w:val="24"/>
        </w:rPr>
        <w:t>10.4340</w:t>
      </w:r>
      <w:r>
        <w:rPr>
          <w:rFonts w:ascii="Times New Roman" w:hAnsi="Times New Roman" w:eastAsia="宋体" w:cs="Times New Roman"/>
          <w:color w:val="FF0000"/>
          <w:sz w:val="24"/>
        </w:rPr>
        <w:t>μm/m</w:t>
      </w:r>
      <w:r>
        <w:rPr>
          <w:rFonts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w:t>
      </w:r>
    </w:p>
    <w:p>
      <w:pPr>
        <w:numPr>
          <w:ilvl w:val="0"/>
          <w:numId w:val="5"/>
        </w:num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恶臭气体</w:t>
      </w:r>
    </w:p>
    <w:p>
      <w:pPr>
        <w:spacing w:line="360" w:lineRule="auto"/>
        <w:ind w:firstLine="480" w:firstLineChars="200"/>
      </w:pPr>
      <w:r>
        <w:rPr>
          <w:rFonts w:hint="eastAsia" w:ascii="Times New Roman" w:hAnsi="Times New Roman"/>
          <w:color w:val="FF0000"/>
          <w:sz w:val="24"/>
          <w:szCs w:val="24"/>
        </w:rPr>
        <w:t>项目生产</w:t>
      </w:r>
      <w:r>
        <w:rPr>
          <w:rFonts w:ascii="Times New Roman" w:hAnsi="Times New Roman"/>
          <w:color w:val="FF0000"/>
          <w:sz w:val="24"/>
          <w:szCs w:val="24"/>
        </w:rPr>
        <w:t>过程中，由于</w:t>
      </w:r>
      <w:r>
        <w:rPr>
          <w:rFonts w:hint="eastAsia" w:ascii="Times New Roman" w:hAnsi="Times New Roman"/>
          <w:color w:val="FF0000"/>
          <w:sz w:val="24"/>
          <w:szCs w:val="24"/>
        </w:rPr>
        <w:t>造纸</w:t>
      </w:r>
      <w:r>
        <w:rPr>
          <w:rFonts w:ascii="Times New Roman" w:hAnsi="Times New Roman"/>
          <w:color w:val="FF0000"/>
          <w:sz w:val="24"/>
          <w:szCs w:val="24"/>
        </w:rPr>
        <w:t>废水循环利用</w:t>
      </w:r>
      <w:r>
        <w:rPr>
          <w:rFonts w:hint="eastAsia" w:ascii="Times New Roman" w:hAnsi="Times New Roman"/>
          <w:color w:val="FF0000"/>
          <w:sz w:val="24"/>
          <w:szCs w:val="24"/>
        </w:rPr>
        <w:t>池和生活污水处理设施会</w:t>
      </w:r>
      <w:r>
        <w:rPr>
          <w:rFonts w:ascii="Times New Roman" w:hAnsi="Times New Roman"/>
          <w:color w:val="FF0000"/>
          <w:sz w:val="24"/>
          <w:szCs w:val="24"/>
        </w:rPr>
        <w:t>散发少量的恶臭气体，</w:t>
      </w:r>
      <w:r>
        <w:rPr>
          <w:rFonts w:hint="eastAsia" w:ascii="Times New Roman" w:hAnsi="Times New Roman"/>
          <w:color w:val="FF0000"/>
          <w:sz w:val="24"/>
          <w:szCs w:val="24"/>
        </w:rPr>
        <w:t>其中：</w:t>
      </w:r>
      <w:r>
        <w:rPr>
          <w:color w:val="FF0000"/>
          <w:sz w:val="24"/>
        </w:rPr>
        <w:t>NH</w:t>
      </w:r>
      <w:r>
        <w:rPr>
          <w:color w:val="FF0000"/>
          <w:sz w:val="24"/>
          <w:vertAlign w:val="subscript"/>
        </w:rPr>
        <w:t>3</w:t>
      </w:r>
      <w:r>
        <w:rPr>
          <w:color w:val="FF0000"/>
          <w:sz w:val="24"/>
        </w:rPr>
        <w:t>排放浓度0.455mg/m</w:t>
      </w:r>
      <w:r>
        <w:rPr>
          <w:color w:val="FF0000"/>
          <w:sz w:val="24"/>
          <w:vertAlign w:val="superscript"/>
        </w:rPr>
        <w:t>3</w:t>
      </w:r>
      <w:r>
        <w:rPr>
          <w:color w:val="FF0000"/>
          <w:sz w:val="24"/>
        </w:rPr>
        <w:t>，H</w:t>
      </w:r>
      <w:r>
        <w:rPr>
          <w:color w:val="FF0000"/>
          <w:sz w:val="24"/>
          <w:vertAlign w:val="subscript"/>
        </w:rPr>
        <w:t>2</w:t>
      </w:r>
      <w:r>
        <w:rPr>
          <w:color w:val="FF0000"/>
          <w:sz w:val="24"/>
        </w:rPr>
        <w:t>S排放浓度为0.0091 mg/m</w:t>
      </w:r>
      <w:r>
        <w:rPr>
          <w:color w:val="FF0000"/>
          <w:sz w:val="24"/>
          <w:vertAlign w:val="superscript"/>
        </w:rPr>
        <w:t>3</w:t>
      </w:r>
      <w:r>
        <w:rPr>
          <w:color w:val="FF0000"/>
          <w:sz w:val="24"/>
        </w:rPr>
        <w:t>，呈无组织排放。</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4、运营期废气防治措施</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为减轻大气污染物对外环境的不利影响，项目应采取如下措施：</w:t>
      </w:r>
    </w:p>
    <w:p>
      <w:pPr>
        <w:spacing w:line="360" w:lineRule="auto"/>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sz w:val="24"/>
        </w:rPr>
        <w:t>厂区加强通风、加强绿化，厂区道路两旁种植乔、灌木及松柏等，厂界边缘种植高大树种，建设5-10m的绿化隔离带，使厂区绿化形成多层隔离，尽量降低废污染的影响程度；</w:t>
      </w:r>
      <w:r>
        <w:rPr>
          <w:rFonts w:hint="eastAsia" w:ascii="Times New Roman" w:hAnsi="Times New Roman" w:eastAsia="宋体" w:cs="Times New Roman"/>
          <w:color w:val="FF0000"/>
          <w:sz w:val="24"/>
        </w:rPr>
        <w:t>锅炉烟气经水膜收尘后，由除40m高的排气筒排放。</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5、运营期大气环境影响分析小结</w:t>
      </w:r>
    </w:p>
    <w:p>
      <w:pPr>
        <w:spacing w:line="360" w:lineRule="auto"/>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sz w:val="24"/>
        </w:rPr>
        <w:t>本项目运营期过程产生的废气主要为粉尘</w:t>
      </w:r>
      <w:r>
        <w:rPr>
          <w:rFonts w:ascii="Times New Roman" w:hAnsi="Times New Roman" w:eastAsia="宋体" w:cs="Times New Roman"/>
          <w:sz w:val="24"/>
        </w:rPr>
        <w:t>、</w:t>
      </w:r>
      <w:r>
        <w:rPr>
          <w:rFonts w:hint="eastAsia" w:ascii="Times New Roman" w:hAnsi="Times New Roman" w:eastAsia="宋体" w:cs="Times New Roman"/>
          <w:sz w:val="24"/>
        </w:rPr>
        <w:t>恶臭</w:t>
      </w:r>
      <w:r>
        <w:rPr>
          <w:rFonts w:ascii="Times New Roman" w:hAnsi="Times New Roman" w:eastAsia="宋体" w:cs="Times New Roman"/>
          <w:sz w:val="24"/>
        </w:rPr>
        <w:t>气体、食堂油烟和</w:t>
      </w:r>
      <w:r>
        <w:rPr>
          <w:rFonts w:hint="eastAsia" w:ascii="Times New Roman" w:hAnsi="Times New Roman" w:eastAsia="宋体" w:cs="Times New Roman"/>
          <w:sz w:val="24"/>
        </w:rPr>
        <w:t>锅炉废气；</w:t>
      </w:r>
      <w:r>
        <w:rPr>
          <w:rFonts w:ascii="Times New Roman" w:hAnsi="Times New Roman" w:eastAsia="宋体" w:cs="Times New Roman"/>
          <w:sz w:val="24"/>
        </w:rPr>
        <w:t>粉尘产生量少，每天定时清理对周边环境影响不大；食堂油烟经净化效率为</w:t>
      </w:r>
      <w:r>
        <w:rPr>
          <w:rFonts w:hint="eastAsia" w:ascii="Times New Roman" w:hAnsi="Times New Roman" w:eastAsia="宋体" w:cs="Times New Roman"/>
          <w:sz w:val="24"/>
        </w:rPr>
        <w:t>9</w:t>
      </w:r>
      <w:r>
        <w:rPr>
          <w:rFonts w:ascii="Times New Roman" w:hAnsi="Times New Roman" w:eastAsia="宋体" w:cs="Times New Roman"/>
          <w:sz w:val="24"/>
        </w:rPr>
        <w:t>0%的油烟净化器处理后通过烟囱排放，排放浓度为</w:t>
      </w:r>
      <w:r>
        <w:rPr>
          <w:rFonts w:hint="eastAsia" w:ascii="Times New Roman" w:hAnsi="Times New Roman" w:eastAsia="宋体" w:cs="Times New Roman"/>
          <w:sz w:val="24"/>
        </w:rPr>
        <w:t>1.23mg/m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，排放量</w:t>
      </w:r>
      <w:r>
        <w:rPr>
          <w:rFonts w:ascii="Times New Roman" w:hAnsi="Times New Roman" w:eastAsia="宋体" w:cs="Times New Roman"/>
          <w:sz w:val="24"/>
        </w:rPr>
        <w:t>为</w:t>
      </w:r>
      <w:r>
        <w:rPr>
          <w:rFonts w:hint="eastAsia" w:ascii="Times New Roman" w:hAnsi="Times New Roman" w:eastAsia="宋体" w:cs="Times New Roman"/>
          <w:sz w:val="24"/>
        </w:rPr>
        <w:t>0.369</w:t>
      </w:r>
      <w:r>
        <w:rPr>
          <w:rFonts w:ascii="Times New Roman" w:hAnsi="Times New Roman" w:eastAsia="宋体" w:cs="Times New Roman"/>
          <w:sz w:val="24"/>
        </w:rPr>
        <w:t>t/a</w:t>
      </w:r>
      <w:r>
        <w:rPr>
          <w:rFonts w:hint="eastAsia" w:ascii="Times New Roman" w:hAnsi="Times New Roman" w:eastAsia="宋体" w:cs="Times New Roman"/>
          <w:sz w:val="24"/>
        </w:rPr>
        <w:t>，</w:t>
      </w:r>
      <w:r>
        <w:rPr>
          <w:rFonts w:hint="eastAsia" w:ascii="Times New Roman" w:hAnsi="Times New Roman" w:eastAsia="宋体" w:cs="Times New Roman"/>
          <w:sz w:val="24"/>
          <w:szCs w:val="24"/>
        </w:rPr>
        <w:t>符合</w:t>
      </w:r>
      <w:r>
        <w:rPr>
          <w:rFonts w:ascii="Times New Roman" w:hAnsi="Times New Roman" w:eastAsia="宋体" w:cs="Times New Roman"/>
          <w:sz w:val="24"/>
          <w:szCs w:val="24"/>
        </w:rPr>
        <w:t>《</w:t>
      </w:r>
      <w:r>
        <w:rPr>
          <w:rFonts w:hint="eastAsia" w:ascii="Times New Roman" w:hAnsi="Times New Roman" w:eastAsia="宋体" w:cs="Times New Roman"/>
          <w:sz w:val="24"/>
          <w:szCs w:val="24"/>
        </w:rPr>
        <w:t>饮食业</w:t>
      </w:r>
      <w:r>
        <w:rPr>
          <w:rFonts w:ascii="Times New Roman" w:hAnsi="Times New Roman" w:eastAsia="宋体" w:cs="Times New Roman"/>
          <w:sz w:val="24"/>
          <w:szCs w:val="24"/>
        </w:rPr>
        <w:t>油烟排放标准</w:t>
      </w:r>
      <w:r>
        <w:rPr>
          <w:rFonts w:hint="eastAsia" w:ascii="Times New Roman" w:hAnsi="Times New Roman" w:eastAsia="宋体" w:cs="Times New Roman"/>
          <w:sz w:val="24"/>
          <w:szCs w:val="24"/>
        </w:rPr>
        <w:t>（试行）</w:t>
      </w:r>
      <w:r>
        <w:rPr>
          <w:rFonts w:ascii="Times New Roman" w:hAnsi="Times New Roman" w:eastAsia="宋体" w:cs="Times New Roman"/>
          <w:sz w:val="24"/>
          <w:szCs w:val="24"/>
        </w:rPr>
        <w:t>》</w:t>
      </w:r>
      <w:r>
        <w:rPr>
          <w:rFonts w:hint="eastAsia" w:ascii="Times New Roman" w:hAnsi="Times New Roman" w:eastAsia="宋体" w:cs="Times New Roman"/>
          <w:sz w:val="24"/>
          <w:szCs w:val="24"/>
        </w:rPr>
        <w:t>（GB18483-2001）中</w:t>
      </w:r>
      <w:r>
        <w:rPr>
          <w:rFonts w:ascii="Times New Roman" w:hAnsi="Times New Roman" w:eastAsia="宋体" w:cs="Times New Roman"/>
          <w:sz w:val="24"/>
          <w:szCs w:val="24"/>
        </w:rPr>
        <w:t>对应的小型规模，油烟最高允许排放浓度为</w:t>
      </w:r>
      <w:r>
        <w:rPr>
          <w:rFonts w:hint="eastAsia" w:ascii="Times New Roman" w:hAnsi="Times New Roman" w:eastAsia="宋体" w:cs="Times New Roman"/>
          <w:sz w:val="24"/>
          <w:szCs w:val="24"/>
        </w:rPr>
        <w:t>2.0 mg</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w:t>
      </w:r>
      <w:r>
        <w:rPr>
          <w:rFonts w:ascii="Times New Roman" w:hAnsi="Times New Roman" w:eastAsia="宋体" w:cs="Times New Roman"/>
          <w:sz w:val="24"/>
          <w:szCs w:val="24"/>
        </w:rPr>
        <w:t>油烟净化率≥60%要求</w:t>
      </w:r>
      <w:r>
        <w:rPr>
          <w:rFonts w:hint="eastAsia" w:ascii="Times New Roman" w:hAnsi="Times New Roman" w:eastAsia="宋体" w:cs="Times New Roman"/>
          <w:sz w:val="24"/>
          <w:szCs w:val="24"/>
        </w:rPr>
        <w:t>，</w:t>
      </w:r>
      <w:r>
        <w:rPr>
          <w:rFonts w:ascii="Times New Roman" w:hAnsi="Times New Roman" w:eastAsia="宋体" w:cs="Times New Roman"/>
          <w:sz w:val="24"/>
          <w:szCs w:val="24"/>
        </w:rPr>
        <w:t>对周边环境影响小</w:t>
      </w:r>
      <w:r>
        <w:rPr>
          <w:rFonts w:hint="eastAsia" w:ascii="Times New Roman" w:hAnsi="Times New Roman" w:eastAsia="宋体" w:cs="Times New Roman"/>
          <w:sz w:val="24"/>
          <w:szCs w:val="24"/>
        </w:rPr>
        <w:t>；</w:t>
      </w:r>
      <w:r>
        <w:rPr>
          <w:rFonts w:hint="eastAsia" w:ascii="Times New Roman" w:hAnsi="Times New Roman" w:eastAsia="宋体" w:cs="Times New Roman"/>
          <w:color w:val="FF0000"/>
          <w:sz w:val="24"/>
        </w:rPr>
        <w:t>锅炉废气水膜收尘后由4</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rPr>
        <w:t>m高的排气筒排放，烟尘排放浓度为9.92mg/m</w:t>
      </w:r>
      <w:r>
        <w:rPr>
          <w:rFonts w:hint="eastAsia"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，排放量为</w:t>
      </w:r>
      <w:r>
        <w:rPr>
          <w:rFonts w:ascii="Times New Roman" w:hAnsi="Times New Roman" w:eastAsia="宋体" w:cs="Times New Roman"/>
          <w:color w:val="FF0000"/>
          <w:sz w:val="24"/>
        </w:rPr>
        <w:t>325kg</w:t>
      </w:r>
      <w:r>
        <w:rPr>
          <w:rFonts w:hint="eastAsia" w:ascii="Times New Roman" w:hAnsi="Times New Roman" w:eastAsia="宋体" w:cs="Times New Roman"/>
          <w:color w:val="FF0000"/>
          <w:sz w:val="24"/>
        </w:rPr>
        <w:t>/a；SO</w:t>
      </w:r>
      <w:r>
        <w:rPr>
          <w:rFonts w:hint="eastAsia" w:ascii="Times New Roman" w:hAnsi="Times New Roman" w:eastAsia="宋体" w:cs="Times New Roman"/>
          <w:color w:val="FF0000"/>
          <w:sz w:val="24"/>
          <w:vertAlign w:val="subscript"/>
        </w:rPr>
        <w:t>2</w:t>
      </w:r>
      <w:r>
        <w:rPr>
          <w:rFonts w:hint="eastAsia" w:ascii="Times New Roman" w:hAnsi="Times New Roman" w:eastAsia="宋体" w:cs="Times New Roman"/>
          <w:color w:val="FF0000"/>
          <w:sz w:val="24"/>
        </w:rPr>
        <w:t>排放浓度为77.83mg/m</w:t>
      </w:r>
      <w:r>
        <w:rPr>
          <w:rFonts w:hint="eastAsia"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，排放量为</w:t>
      </w:r>
      <w:r>
        <w:rPr>
          <w:rFonts w:ascii="Times New Roman" w:hAnsi="Times New Roman" w:eastAsia="宋体" w:cs="Times New Roman"/>
          <w:color w:val="FF0000"/>
          <w:sz w:val="24"/>
        </w:rPr>
        <w:t>2.55</w:t>
      </w:r>
      <w:r>
        <w:rPr>
          <w:rFonts w:hint="eastAsia" w:ascii="Times New Roman" w:hAnsi="Times New Roman" w:eastAsia="宋体" w:cs="Times New Roman"/>
          <w:color w:val="FF0000"/>
          <w:sz w:val="24"/>
        </w:rPr>
        <w:t>t/a；NO</w:t>
      </w:r>
      <w:r>
        <w:rPr>
          <w:rFonts w:hint="eastAsia" w:ascii="Times New Roman" w:hAnsi="Times New Roman" w:eastAsia="宋体" w:cs="Times New Roman"/>
          <w:color w:val="FF0000"/>
          <w:sz w:val="24"/>
          <w:vertAlign w:val="subscript"/>
        </w:rPr>
        <w:t>X</w:t>
      </w:r>
      <w:r>
        <w:rPr>
          <w:rFonts w:hint="eastAsia" w:ascii="Times New Roman" w:hAnsi="Times New Roman" w:eastAsia="宋体" w:cs="Times New Roman"/>
          <w:color w:val="FF0000"/>
          <w:sz w:val="24"/>
        </w:rPr>
        <w:t>排放浓度为155.67mg/m</w:t>
      </w:r>
      <w:r>
        <w:rPr>
          <w:rFonts w:hint="eastAsia"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，排放量为5.1t/a，达到《锅炉大气污染物排放标准》（GB13271-2014）中表2燃煤锅炉排放标准，对周边环境影响小。</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综上所述，建设单位严格执行以上措施后，本项目产生的废气对周围环境的影响在可接受范围。</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266" w:name="_Toc23843367"/>
      <w:bookmarkStart w:id="267" w:name="_Toc31085"/>
      <w:r>
        <w:rPr>
          <w:rFonts w:hint="eastAsia" w:ascii="Times New Roman" w:hAnsi="Times New Roman" w:eastAsia="宋体" w:cs="Times New Roman"/>
          <w:b/>
          <w:bCs/>
          <w:sz w:val="24"/>
          <w:szCs w:val="32"/>
        </w:rPr>
        <w:t>5.2.2运营期地表水环境影响分析</w:t>
      </w:r>
      <w:bookmarkEnd w:id="266"/>
      <w:bookmarkEnd w:id="267"/>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本项目运营期用水主要为生产用水、生活用水、</w:t>
      </w:r>
      <w:r>
        <w:rPr>
          <w:rFonts w:ascii="Times New Roman" w:hAnsi="Times New Roman" w:eastAsia="宋体" w:cs="Times New Roman"/>
          <w:sz w:val="24"/>
        </w:rPr>
        <w:t>锅炉用水</w:t>
      </w:r>
      <w:r>
        <w:rPr>
          <w:rFonts w:hint="eastAsia" w:ascii="Times New Roman" w:hAnsi="Times New Roman" w:eastAsia="宋体" w:cs="Times New Roman"/>
          <w:sz w:val="24"/>
        </w:rPr>
        <w:t>及绿化用水，项目生产用水循环使用不外排，废水为生活污水。</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1、生产用水</w:t>
      </w:r>
    </w:p>
    <w:p>
      <w:pPr>
        <w:spacing w:line="360" w:lineRule="auto"/>
        <w:ind w:firstLine="480" w:firstLineChars="200"/>
        <w:rPr>
          <w:rFonts w:ascii="Times New Roman" w:hAnsi="宋体" w:eastAsia="宋体" w:cs="Times New Roman"/>
          <w:color w:val="FF0000"/>
          <w:sz w:val="24"/>
          <w:szCs w:val="28"/>
        </w:rPr>
      </w:pPr>
      <w:r>
        <w:rPr>
          <w:rFonts w:hint="eastAsia" w:ascii="Times New Roman" w:hAnsi="宋体" w:eastAsia="宋体" w:cs="Times New Roman"/>
          <w:color w:val="FF0000"/>
          <w:sz w:val="24"/>
          <w:szCs w:val="28"/>
        </w:rPr>
        <w:t>本项目在生产过程中需要在水力碎浆阶段加入水，该工段的废水部分直接进入废水池，然后再次进入循环塔循环利用。根据项目组提供资料可知。本项目水力碎浆阶段需要用水量为54</w:t>
      </w:r>
      <w:r>
        <w:rPr>
          <w:rFonts w:ascii="Times New Roman" w:hAnsi="宋体" w:eastAsia="宋体" w:cs="Times New Roman"/>
          <w:color w:val="FF0000"/>
          <w:sz w:val="24"/>
          <w:szCs w:val="28"/>
        </w:rPr>
        <w:t>3</w:t>
      </w:r>
      <w:r>
        <w:rPr>
          <w:rFonts w:hint="eastAsia" w:ascii="Times New Roman" w:hAnsi="宋体" w:eastAsia="宋体" w:cs="Times New Roman"/>
          <w:color w:val="FF0000"/>
          <w:sz w:val="24"/>
          <w:szCs w:val="28"/>
        </w:rPr>
        <w:t>00m</w:t>
      </w:r>
      <w:r>
        <w:rPr>
          <w:rFonts w:hint="eastAsia" w:ascii="Times New Roman" w:hAnsi="宋体" w:eastAsia="宋体" w:cs="Times New Roman"/>
          <w:color w:val="FF0000"/>
          <w:sz w:val="24"/>
          <w:szCs w:val="28"/>
          <w:vertAlign w:val="superscript"/>
        </w:rPr>
        <w:t>3</w:t>
      </w:r>
      <w:r>
        <w:rPr>
          <w:rFonts w:hint="eastAsia" w:ascii="Times New Roman" w:hAnsi="宋体" w:eastAsia="宋体" w:cs="Times New Roman"/>
          <w:color w:val="FF0000"/>
          <w:sz w:val="24"/>
          <w:szCs w:val="28"/>
        </w:rPr>
        <w:t>/</w:t>
      </w:r>
      <w:r>
        <w:rPr>
          <w:rFonts w:ascii="Times New Roman" w:hAnsi="宋体" w:eastAsia="宋体" w:cs="Times New Roman"/>
          <w:color w:val="FF0000"/>
          <w:sz w:val="24"/>
          <w:szCs w:val="28"/>
        </w:rPr>
        <w:t>a</w:t>
      </w:r>
      <w:r>
        <w:rPr>
          <w:rFonts w:hint="eastAsia" w:ascii="Times New Roman" w:hAnsi="宋体" w:eastAsia="宋体" w:cs="Times New Roman"/>
          <w:color w:val="FF0000"/>
          <w:sz w:val="24"/>
          <w:szCs w:val="28"/>
        </w:rPr>
        <w:t>，造纸蒸发水量按20%计算，需要补充的新鲜水量为</w:t>
      </w:r>
      <w:r>
        <w:rPr>
          <w:rFonts w:ascii="Times New Roman" w:hAnsi="宋体" w:eastAsia="宋体" w:cs="Times New Roman"/>
          <w:color w:val="FF0000"/>
          <w:sz w:val="24"/>
          <w:szCs w:val="28"/>
        </w:rPr>
        <w:t>10860</w:t>
      </w:r>
      <w:r>
        <w:rPr>
          <w:rFonts w:hint="eastAsia" w:ascii="Times New Roman" w:hAnsi="宋体" w:eastAsia="宋体" w:cs="Times New Roman"/>
          <w:color w:val="FF0000"/>
          <w:sz w:val="24"/>
          <w:szCs w:val="28"/>
        </w:rPr>
        <w:t>m</w:t>
      </w:r>
      <w:r>
        <w:rPr>
          <w:rFonts w:hint="eastAsia" w:ascii="Times New Roman" w:hAnsi="宋体" w:eastAsia="宋体" w:cs="Times New Roman"/>
          <w:color w:val="FF0000"/>
          <w:sz w:val="24"/>
          <w:szCs w:val="28"/>
          <w:vertAlign w:val="superscript"/>
        </w:rPr>
        <w:t>3</w:t>
      </w:r>
      <w:r>
        <w:rPr>
          <w:rFonts w:hint="eastAsia" w:ascii="Times New Roman" w:hAnsi="宋体" w:eastAsia="宋体" w:cs="Times New Roman"/>
          <w:color w:val="FF0000"/>
          <w:sz w:val="24"/>
          <w:szCs w:val="28"/>
        </w:rPr>
        <w:t>/</w:t>
      </w:r>
      <w:r>
        <w:rPr>
          <w:rFonts w:ascii="Times New Roman" w:hAnsi="宋体" w:eastAsia="宋体" w:cs="Times New Roman"/>
          <w:color w:val="FF0000"/>
          <w:sz w:val="24"/>
          <w:szCs w:val="28"/>
        </w:rPr>
        <w:t>a</w:t>
      </w:r>
      <w:r>
        <w:rPr>
          <w:rFonts w:hint="eastAsia" w:ascii="Times New Roman" w:hAnsi="宋体" w:eastAsia="宋体" w:cs="Times New Roman"/>
          <w:color w:val="FF0000"/>
          <w:sz w:val="24"/>
          <w:szCs w:val="28"/>
        </w:rPr>
        <w:t>，项目年工作300天，则每天碎浆用水循环量为</w:t>
      </w:r>
      <w:r>
        <w:rPr>
          <w:rFonts w:ascii="Times New Roman" w:hAnsi="宋体" w:eastAsia="宋体" w:cs="Times New Roman"/>
          <w:color w:val="FF0000"/>
          <w:sz w:val="24"/>
          <w:szCs w:val="28"/>
        </w:rPr>
        <w:t>144.8</w:t>
      </w:r>
      <w:r>
        <w:rPr>
          <w:rFonts w:hint="eastAsia" w:ascii="Times New Roman" w:hAnsi="宋体" w:eastAsia="宋体" w:cs="Times New Roman"/>
          <w:color w:val="FF0000"/>
          <w:sz w:val="24"/>
          <w:szCs w:val="28"/>
        </w:rPr>
        <w:t>m</w:t>
      </w:r>
      <w:r>
        <w:rPr>
          <w:rFonts w:hint="eastAsia" w:ascii="Times New Roman" w:hAnsi="宋体" w:eastAsia="宋体" w:cs="Times New Roman"/>
          <w:color w:val="FF0000"/>
          <w:sz w:val="24"/>
          <w:szCs w:val="28"/>
          <w:vertAlign w:val="superscript"/>
        </w:rPr>
        <w:t>3</w:t>
      </w:r>
      <w:r>
        <w:rPr>
          <w:rFonts w:hint="eastAsia" w:ascii="Times New Roman" w:hAnsi="宋体" w:eastAsia="宋体" w:cs="Times New Roman"/>
          <w:color w:val="FF0000"/>
          <w:sz w:val="24"/>
          <w:szCs w:val="28"/>
        </w:rPr>
        <w:t>/</w:t>
      </w:r>
      <w:r>
        <w:rPr>
          <w:rFonts w:ascii="Times New Roman" w:hAnsi="宋体" w:eastAsia="宋体" w:cs="Times New Roman"/>
          <w:color w:val="FF0000"/>
          <w:sz w:val="24"/>
          <w:szCs w:val="28"/>
        </w:rPr>
        <w:t>d</w:t>
      </w:r>
      <w:r>
        <w:rPr>
          <w:rFonts w:hint="eastAsia" w:ascii="Times New Roman" w:hAnsi="宋体" w:eastAsia="宋体" w:cs="Times New Roman"/>
          <w:color w:val="FF0000"/>
          <w:sz w:val="24"/>
          <w:szCs w:val="28"/>
        </w:rPr>
        <w:t>，补充水量为</w:t>
      </w:r>
      <w:r>
        <w:rPr>
          <w:rFonts w:ascii="Times New Roman" w:hAnsi="宋体" w:eastAsia="宋体" w:cs="Times New Roman"/>
          <w:color w:val="FF0000"/>
          <w:sz w:val="24"/>
          <w:szCs w:val="28"/>
        </w:rPr>
        <w:t>36.2</w:t>
      </w:r>
      <w:r>
        <w:rPr>
          <w:rFonts w:hint="eastAsia" w:ascii="Times New Roman" w:hAnsi="宋体" w:eastAsia="宋体" w:cs="Times New Roman"/>
          <w:color w:val="FF0000"/>
          <w:sz w:val="24"/>
          <w:szCs w:val="28"/>
        </w:rPr>
        <w:t>m</w:t>
      </w:r>
      <w:r>
        <w:rPr>
          <w:rFonts w:hint="eastAsia" w:ascii="Times New Roman" w:hAnsi="宋体" w:eastAsia="宋体" w:cs="Times New Roman"/>
          <w:color w:val="FF0000"/>
          <w:sz w:val="24"/>
          <w:szCs w:val="28"/>
          <w:vertAlign w:val="superscript"/>
        </w:rPr>
        <w:t>3</w:t>
      </w:r>
      <w:r>
        <w:rPr>
          <w:rFonts w:hint="eastAsia" w:ascii="Times New Roman" w:hAnsi="宋体" w:eastAsia="宋体" w:cs="Times New Roman"/>
          <w:color w:val="FF0000"/>
          <w:sz w:val="24"/>
          <w:szCs w:val="28"/>
        </w:rPr>
        <w:t>/</w:t>
      </w:r>
      <w:r>
        <w:rPr>
          <w:rFonts w:ascii="Times New Roman" w:hAnsi="宋体" w:eastAsia="宋体" w:cs="Times New Roman"/>
          <w:color w:val="FF0000"/>
          <w:sz w:val="24"/>
          <w:szCs w:val="28"/>
        </w:rPr>
        <w:t>d</w:t>
      </w:r>
      <w:r>
        <w:rPr>
          <w:rFonts w:hint="eastAsia" w:ascii="Times New Roman" w:hAnsi="宋体" w:eastAsia="宋体" w:cs="Times New Roman"/>
          <w:color w:val="FF0000"/>
          <w:sz w:val="24"/>
          <w:szCs w:val="28"/>
        </w:rPr>
        <w:t>。</w:t>
      </w:r>
      <w:r>
        <w:rPr>
          <w:rFonts w:hAnsi="宋体"/>
          <w:color w:val="FF0000"/>
          <w:sz w:val="24"/>
          <w:szCs w:val="24"/>
        </w:rPr>
        <w:t>项目</w:t>
      </w:r>
      <w:r>
        <w:rPr>
          <w:rFonts w:hint="eastAsia" w:hAnsi="宋体"/>
          <w:color w:val="FF0000"/>
          <w:sz w:val="24"/>
          <w:szCs w:val="24"/>
        </w:rPr>
        <w:t>生物质锅炉</w:t>
      </w:r>
      <w:r>
        <w:rPr>
          <w:rFonts w:hAnsi="宋体"/>
          <w:color w:val="FF0000"/>
          <w:sz w:val="24"/>
          <w:szCs w:val="24"/>
        </w:rPr>
        <w:t>水膜除尘系统，用水量为</w:t>
      </w:r>
      <w:r>
        <w:rPr>
          <w:rFonts w:hint="eastAsia"/>
          <w:color w:val="FF0000"/>
          <w:sz w:val="24"/>
          <w:szCs w:val="24"/>
        </w:rPr>
        <w:t>109</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d，32700</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a。</w:t>
      </w:r>
      <w:r>
        <w:rPr>
          <w:rFonts w:hAnsi="宋体"/>
          <w:color w:val="FF0000"/>
          <w:sz w:val="24"/>
          <w:szCs w:val="24"/>
        </w:rPr>
        <w:t>水的损失率取</w:t>
      </w:r>
      <w:r>
        <w:rPr>
          <w:rFonts w:hint="eastAsia"/>
          <w:color w:val="FF0000"/>
          <w:sz w:val="24"/>
          <w:szCs w:val="24"/>
        </w:rPr>
        <w:t>10</w:t>
      </w:r>
      <w:r>
        <w:rPr>
          <w:color w:val="FF0000"/>
          <w:sz w:val="24"/>
          <w:szCs w:val="24"/>
        </w:rPr>
        <w:t>%</w:t>
      </w:r>
      <w:r>
        <w:rPr>
          <w:rFonts w:hAnsi="宋体"/>
          <w:color w:val="FF0000"/>
          <w:sz w:val="24"/>
          <w:szCs w:val="24"/>
        </w:rPr>
        <w:t>，</w:t>
      </w:r>
      <w:r>
        <w:rPr>
          <w:rFonts w:hint="eastAsia" w:hAnsi="宋体"/>
          <w:color w:val="FF0000"/>
          <w:sz w:val="24"/>
          <w:szCs w:val="24"/>
        </w:rPr>
        <w:t>每天补充新鲜水两为10.9</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d，</w:t>
      </w:r>
      <w:r>
        <w:rPr>
          <w:rFonts w:hint="eastAsia" w:hAnsi="宋体"/>
          <w:color w:val="FF0000"/>
          <w:sz w:val="24"/>
          <w:szCs w:val="24"/>
        </w:rPr>
        <w:t>则除尘废水产生量约98.1</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d，29430</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a，项目除尘废水经除尘废水沉淀池沉淀后循环使用，由于项目使用的生物质锅炉，除尘废水沉淀池中污泥主要是生物质燃烧后的烟尘，该污泥可还田处置。</w:t>
      </w:r>
    </w:p>
    <w:p>
      <w:pPr>
        <w:spacing w:line="360" w:lineRule="auto"/>
        <w:ind w:firstLine="480" w:firstLineChars="200"/>
        <w:rPr>
          <w:rFonts w:ascii="Times New Roman" w:hAnsi="宋体" w:eastAsia="宋体" w:cs="Times New Roman"/>
          <w:sz w:val="24"/>
          <w:szCs w:val="28"/>
        </w:rPr>
      </w:pPr>
      <w:r>
        <w:rPr>
          <w:rFonts w:hint="eastAsia" w:ascii="Times New Roman" w:hAnsi="宋体" w:eastAsia="宋体" w:cs="Times New Roman"/>
          <w:sz w:val="24"/>
          <w:szCs w:val="28"/>
        </w:rPr>
        <w:t>因此本项目生产过程中无废水外排，对周边环境影响小。</w:t>
      </w:r>
    </w:p>
    <w:p>
      <w:pPr>
        <w:spacing w:line="360" w:lineRule="auto"/>
        <w:ind w:firstLine="482" w:firstLineChars="200"/>
        <w:rPr>
          <w:rFonts w:ascii="Times New Roman" w:hAnsi="宋体" w:eastAsia="宋体" w:cs="Times New Roman"/>
          <w:b/>
          <w:sz w:val="24"/>
          <w:szCs w:val="28"/>
        </w:rPr>
      </w:pPr>
      <w:r>
        <w:rPr>
          <w:rFonts w:hint="eastAsia" w:ascii="Times New Roman" w:hAnsi="宋体" w:eastAsia="宋体" w:cs="Times New Roman"/>
          <w:b/>
          <w:sz w:val="24"/>
          <w:szCs w:val="28"/>
        </w:rPr>
        <w:t>2、生活污水</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项目建成后，总共有相关工作人员70人，其中常住项目区员工60人，项目区提供常住员工食宿，员工生活污水产生量约为4.8m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/d，1440m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/a，其中项目食堂废水为</w:t>
      </w:r>
      <w:r>
        <w:rPr>
          <w:rFonts w:ascii="Times New Roman" w:hAnsi="Times New Roman" w:eastAsia="宋体" w:cs="Times New Roman"/>
          <w:sz w:val="24"/>
        </w:rPr>
        <w:t>1.44m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eastAsia" w:ascii="Times New Roman" w:hAnsi="Times New Roman" w:eastAsia="宋体" w:cs="Times New Roman"/>
          <w:sz w:val="24"/>
        </w:rPr>
        <w:t>，生活区的食堂废水经隔油池（2m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）处理后同其他生活污水进入化粪池（5m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）处理后，</w:t>
      </w:r>
      <w:r>
        <w:rPr>
          <w:rFonts w:hint="eastAsia" w:ascii="Times New Roman" w:hAnsi="Times New Roman" w:eastAsia="宋体" w:cs="Times New Roman"/>
          <w:color w:val="FF0000"/>
          <w:sz w:val="24"/>
        </w:rPr>
        <w:t>通过自建污水处理设施（处理规模6m</w:t>
      </w:r>
      <w:r>
        <w:rPr>
          <w:rFonts w:hint="eastAsia"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/d）处理达标后晴天回用于绿化，雨天回用于生产，不外排。</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3、锅炉用水</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为保证</w:t>
      </w:r>
      <w:r>
        <w:rPr>
          <w:rFonts w:ascii="Times New Roman" w:hAnsi="Times New Roman"/>
          <w:color w:val="000000"/>
          <w:sz w:val="24"/>
          <w:szCs w:val="24"/>
        </w:rPr>
        <w:t>锅炉使用寿命及效率，本项目</w:t>
      </w:r>
      <w:r>
        <w:rPr>
          <w:rFonts w:hint="eastAsia" w:ascii="Times New Roman" w:hAnsi="Times New Roman"/>
          <w:color w:val="000000"/>
          <w:sz w:val="24"/>
          <w:szCs w:val="24"/>
        </w:rPr>
        <w:t>使用</w:t>
      </w:r>
      <w:r>
        <w:rPr>
          <w:rFonts w:ascii="Times New Roman" w:hAnsi="Times New Roman"/>
          <w:color w:val="000000"/>
          <w:sz w:val="24"/>
          <w:szCs w:val="24"/>
        </w:rPr>
        <w:t>的锅炉设置钠离子交换器，用于除去水中钙离子、镁离子，将自来水制成软水供锅炉使用。制</w:t>
      </w:r>
      <w:r>
        <w:rPr>
          <w:rFonts w:hint="eastAsia" w:ascii="Times New Roman" w:hAnsi="Times New Roman"/>
          <w:color w:val="000000"/>
          <w:sz w:val="24"/>
          <w:szCs w:val="24"/>
        </w:rPr>
        <w:t>软水</w:t>
      </w:r>
      <w:r>
        <w:rPr>
          <w:rFonts w:ascii="Times New Roman" w:hAnsi="Times New Roman"/>
          <w:color w:val="000000"/>
          <w:sz w:val="24"/>
          <w:szCs w:val="24"/>
        </w:rPr>
        <w:t>过程中产生少量的</w:t>
      </w:r>
      <w:r>
        <w:rPr>
          <w:rFonts w:hint="eastAsia" w:ascii="Times New Roman" w:hAnsi="Times New Roman"/>
          <w:color w:val="000000"/>
          <w:sz w:val="24"/>
          <w:szCs w:val="24"/>
        </w:rPr>
        <w:t>反冲洗废水</w:t>
      </w:r>
      <w:r>
        <w:rPr>
          <w:rFonts w:ascii="Times New Roman" w:hAnsi="Times New Roman"/>
          <w:color w:val="000000"/>
          <w:sz w:val="24"/>
          <w:szCs w:val="24"/>
        </w:rPr>
        <w:t>，</w:t>
      </w:r>
      <w:r>
        <w:rPr>
          <w:rFonts w:hint="eastAsia" w:ascii="Times New Roman" w:hAnsi="Times New Roman"/>
          <w:color w:val="000000"/>
          <w:sz w:val="24"/>
          <w:szCs w:val="24"/>
        </w:rPr>
        <w:t>根据</w:t>
      </w:r>
      <w:r>
        <w:rPr>
          <w:rFonts w:ascii="Times New Roman" w:hAnsi="Times New Roman"/>
          <w:color w:val="000000"/>
          <w:sz w:val="24"/>
          <w:szCs w:val="24"/>
        </w:rPr>
        <w:t>计算，</w:t>
      </w:r>
      <w:r>
        <w:rPr>
          <w:rFonts w:hint="eastAsia" w:ascii="Times New Roman" w:hAnsi="Times New Roman"/>
          <w:color w:val="000000"/>
          <w:sz w:val="24"/>
          <w:szCs w:val="24"/>
        </w:rPr>
        <w:t>反冲洗废水</w:t>
      </w:r>
      <w:r>
        <w:rPr>
          <w:rFonts w:ascii="Times New Roman" w:hAnsi="Times New Roman"/>
          <w:color w:val="000000"/>
          <w:sz w:val="24"/>
          <w:szCs w:val="24"/>
        </w:rPr>
        <w:t>产生量按</w:t>
      </w:r>
      <w:r>
        <w:rPr>
          <w:rFonts w:hint="eastAsia" w:ascii="Times New Roman" w:hAnsi="Times New Roman"/>
          <w:color w:val="000000"/>
          <w:sz w:val="24"/>
          <w:szCs w:val="24"/>
        </w:rPr>
        <w:t>10</w:t>
      </w:r>
      <w:r>
        <w:rPr>
          <w:rFonts w:ascii="Times New Roman" w:hAnsi="Times New Roman"/>
          <w:color w:val="000000"/>
          <w:sz w:val="24"/>
          <w:szCs w:val="24"/>
        </w:rPr>
        <w:t>%计算，</w:t>
      </w:r>
      <w:r>
        <w:rPr>
          <w:rFonts w:hint="eastAsia" w:ascii="Times New Roman" w:hAnsi="Times New Roman"/>
          <w:color w:val="000000"/>
          <w:sz w:val="24"/>
          <w:szCs w:val="24"/>
        </w:rPr>
        <w:t>首次</w:t>
      </w:r>
      <w:r>
        <w:rPr>
          <w:rFonts w:ascii="Times New Roman" w:hAnsi="Times New Roman"/>
          <w:color w:val="000000"/>
          <w:sz w:val="24"/>
          <w:szCs w:val="24"/>
        </w:rPr>
        <w:t>制备软水需要水量为320</w:t>
      </w:r>
      <w:r>
        <w:rPr>
          <w:rFonts w:hint="eastAsia" w:ascii="Times New Roman" w:hAnsi="Times New Roman"/>
          <w:color w:val="000000"/>
          <w:sz w:val="24"/>
          <w:szCs w:val="24"/>
        </w:rPr>
        <w:t xml:space="preserve"> 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w:t>
      </w:r>
      <w:r>
        <w:rPr>
          <w:rFonts w:ascii="Times New Roman" w:hAnsi="Times New Roman"/>
          <w:color w:val="000000"/>
          <w:sz w:val="24"/>
          <w:szCs w:val="24"/>
        </w:rPr>
        <w:t>d</w:t>
      </w:r>
      <w:r>
        <w:rPr>
          <w:rFonts w:hint="eastAsia" w:ascii="Times New Roman" w:hAnsi="Times New Roman"/>
          <w:color w:val="000000"/>
          <w:sz w:val="24"/>
          <w:szCs w:val="24"/>
        </w:rPr>
        <w:t>，由于</w:t>
      </w:r>
      <w:r>
        <w:rPr>
          <w:rFonts w:ascii="Times New Roman" w:hAnsi="Times New Roman"/>
          <w:color w:val="000000"/>
          <w:sz w:val="24"/>
          <w:szCs w:val="24"/>
        </w:rPr>
        <w:t>每天蒸汽回收230.4</w:t>
      </w:r>
      <w:r>
        <w:rPr>
          <w:rFonts w:hint="eastAsia" w:ascii="Times New Roman" w:hAnsi="Times New Roman"/>
          <w:color w:val="000000"/>
          <w:sz w:val="24"/>
          <w:szCs w:val="24"/>
        </w:rPr>
        <w:t xml:space="preserve"> 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的</w:t>
      </w:r>
      <w:r>
        <w:rPr>
          <w:rFonts w:ascii="Times New Roman" w:hAnsi="Times New Roman"/>
          <w:color w:val="000000"/>
          <w:sz w:val="24"/>
          <w:szCs w:val="24"/>
        </w:rPr>
        <w:t>水量，</w:t>
      </w:r>
      <w:r>
        <w:rPr>
          <w:rFonts w:hint="eastAsia" w:ascii="Times New Roman" w:hAnsi="Times New Roman"/>
          <w:color w:val="000000"/>
          <w:sz w:val="24"/>
          <w:szCs w:val="24"/>
        </w:rPr>
        <w:t>往后</w:t>
      </w:r>
      <w:r>
        <w:rPr>
          <w:rFonts w:ascii="Times New Roman" w:hAnsi="Times New Roman"/>
          <w:color w:val="000000"/>
          <w:sz w:val="24"/>
          <w:szCs w:val="24"/>
        </w:rPr>
        <w:t>仅需每天补充57.6</w:t>
      </w:r>
      <w:r>
        <w:rPr>
          <w:rFonts w:hint="eastAsia" w:ascii="Times New Roman" w:hAnsi="Times New Roman"/>
          <w:color w:val="000000"/>
          <w:sz w:val="24"/>
          <w:szCs w:val="24"/>
        </w:rPr>
        <w:t xml:space="preserve"> 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w:t>
      </w:r>
      <w:r>
        <w:rPr>
          <w:rFonts w:ascii="Times New Roman" w:hAnsi="Times New Roman"/>
          <w:color w:val="000000"/>
          <w:sz w:val="24"/>
          <w:szCs w:val="24"/>
        </w:rPr>
        <w:t>d</w:t>
      </w:r>
      <w:r>
        <w:rPr>
          <w:rFonts w:hint="eastAsia" w:ascii="Times New Roman" w:hAnsi="Times New Roman"/>
          <w:color w:val="000000"/>
          <w:sz w:val="24"/>
          <w:szCs w:val="24"/>
        </w:rPr>
        <w:t>的软水量</w:t>
      </w:r>
      <w:r>
        <w:rPr>
          <w:rFonts w:ascii="Times New Roman" w:hAnsi="Times New Roman"/>
          <w:color w:val="000000"/>
          <w:sz w:val="24"/>
          <w:szCs w:val="24"/>
        </w:rPr>
        <w:t>；</w:t>
      </w:r>
      <w:r>
        <w:rPr>
          <w:rFonts w:ascii="Times New Roman" w:hAnsi="Times New Roman"/>
          <w:color w:val="FF0000"/>
          <w:sz w:val="24"/>
          <w:szCs w:val="24"/>
        </w:rPr>
        <w:t>因此</w:t>
      </w:r>
      <w:r>
        <w:rPr>
          <w:rFonts w:hint="eastAsia" w:ascii="Times New Roman" w:hAnsi="Times New Roman"/>
          <w:color w:val="FF0000"/>
          <w:sz w:val="24"/>
          <w:szCs w:val="24"/>
        </w:rPr>
        <w:t>反冲洗废水</w:t>
      </w:r>
      <w:r>
        <w:rPr>
          <w:rFonts w:ascii="Times New Roman" w:hAnsi="Times New Roman"/>
          <w:color w:val="FF0000"/>
          <w:sz w:val="24"/>
          <w:szCs w:val="24"/>
        </w:rPr>
        <w:t>产生量为</w:t>
      </w:r>
      <w:r>
        <w:rPr>
          <w:rFonts w:hint="eastAsia" w:ascii="Times New Roman" w:hAnsi="Times New Roman"/>
          <w:color w:val="FF0000"/>
          <w:sz w:val="24"/>
          <w:szCs w:val="24"/>
        </w:rPr>
        <w:t>6.4m</w:t>
      </w:r>
      <w:r>
        <w:rPr>
          <w:rFonts w:hint="eastAsia" w:ascii="Times New Roman" w:hAnsi="Times New Roman"/>
          <w:color w:val="FF0000"/>
          <w:sz w:val="24"/>
          <w:szCs w:val="24"/>
          <w:vertAlign w:val="superscript"/>
        </w:rPr>
        <w:t>3</w:t>
      </w:r>
      <w:r>
        <w:rPr>
          <w:rFonts w:hint="eastAsia" w:ascii="Times New Roman" w:hAnsi="Times New Roman"/>
          <w:color w:val="FF0000"/>
          <w:sz w:val="24"/>
          <w:szCs w:val="24"/>
        </w:rPr>
        <w:t>/d，反冲洗废水</w:t>
      </w:r>
      <w:r>
        <w:rPr>
          <w:rFonts w:ascii="Times New Roman" w:hAnsi="Times New Roman"/>
          <w:color w:val="FF0000"/>
          <w:sz w:val="24"/>
          <w:szCs w:val="24"/>
        </w:rPr>
        <w:t>中主要为</w:t>
      </w:r>
      <w:r>
        <w:rPr>
          <w:rFonts w:hint="eastAsia" w:ascii="Times New Roman" w:hAnsi="Times New Roman"/>
          <w:color w:val="FF0000"/>
          <w:sz w:val="24"/>
          <w:szCs w:val="24"/>
        </w:rPr>
        <w:t>钙离子</w:t>
      </w:r>
      <w:r>
        <w:rPr>
          <w:rFonts w:ascii="Times New Roman" w:hAnsi="Times New Roman"/>
          <w:color w:val="FF0000"/>
          <w:sz w:val="24"/>
          <w:szCs w:val="24"/>
        </w:rPr>
        <w:t>和镁离子，不含其它污染物，</w:t>
      </w:r>
      <w:r>
        <w:rPr>
          <w:rFonts w:hint="eastAsia" w:ascii="Times New Roman" w:hAnsi="Times New Roman"/>
          <w:color w:val="FF0000"/>
          <w:sz w:val="24"/>
          <w:szCs w:val="24"/>
        </w:rPr>
        <w:t>反冲洗废水</w:t>
      </w:r>
      <w:r>
        <w:rPr>
          <w:rFonts w:hint="eastAsia"/>
          <w:color w:val="FF0000"/>
          <w:sz w:val="24"/>
        </w:rPr>
        <w:t>下回用于水膜除尘</w:t>
      </w:r>
      <w:r>
        <w:rPr>
          <w:rFonts w:ascii="Times New Roman" w:hAnsi="Times New Roman"/>
          <w:color w:val="FF0000"/>
          <w:sz w:val="24"/>
          <w:szCs w:val="24"/>
        </w:rPr>
        <w:t>。</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4</w:t>
      </w:r>
      <w:r>
        <w:rPr>
          <w:rFonts w:hint="eastAsia" w:ascii="Times New Roman" w:hAnsi="Times New Roman" w:eastAsia="宋体" w:cs="Times New Roman"/>
          <w:b/>
          <w:sz w:val="24"/>
        </w:rPr>
        <w:t>、绿化用水</w:t>
      </w:r>
    </w:p>
    <w:p>
      <w:pPr>
        <w:spacing w:line="360" w:lineRule="auto"/>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color w:val="FF0000"/>
          <w:sz w:val="24"/>
        </w:rPr>
        <w:t>项目绿地面积为</w:t>
      </w:r>
      <w:r>
        <w:rPr>
          <w:rFonts w:ascii="Times New Roman" w:hAnsi="Times New Roman" w:eastAsia="宋体" w:cs="Times New Roman"/>
          <w:color w:val="FF0000"/>
          <w:sz w:val="24"/>
        </w:rPr>
        <w:t>3559.07</w:t>
      </w:r>
      <w:r>
        <w:rPr>
          <w:rFonts w:hint="eastAsia" w:ascii="Times New Roman" w:hAnsi="Times New Roman" w:eastAsia="宋体" w:cs="Times New Roman"/>
          <w:color w:val="FF0000"/>
          <w:sz w:val="24"/>
        </w:rPr>
        <w:t>m</w:t>
      </w:r>
      <w:r>
        <w:rPr>
          <w:rFonts w:hint="eastAsia" w:ascii="Times New Roman" w:hAnsi="Times New Roman" w:eastAsia="宋体" w:cs="Times New Roman"/>
          <w:color w:val="FF0000"/>
          <w:sz w:val="24"/>
          <w:vertAlign w:val="superscript"/>
        </w:rPr>
        <w:t>2</w:t>
      </w:r>
      <w:r>
        <w:rPr>
          <w:rFonts w:hint="eastAsia" w:ascii="Times New Roman" w:hAnsi="Times New Roman" w:eastAsia="宋体" w:cs="Times New Roman"/>
          <w:color w:val="FF0000"/>
          <w:sz w:val="24"/>
        </w:rPr>
        <w:t>。晴天绿化一天实施一次，绿化用水量为10.68m</w:t>
      </w:r>
      <w:r>
        <w:rPr>
          <w:rFonts w:hint="eastAsia" w:ascii="Times New Roman" w:hAnsi="Times New Roman" w:eastAsia="宋体" w:cs="Times New Roman"/>
          <w:color w:val="FF0000"/>
          <w:sz w:val="24"/>
          <w:vertAlign w:val="superscript"/>
        </w:rPr>
        <w:t>3</w:t>
      </w:r>
      <w:r>
        <w:rPr>
          <w:rFonts w:hint="eastAsia" w:ascii="Times New Roman" w:hAnsi="Times New Roman" w:eastAsia="宋体" w:cs="Times New Roman"/>
          <w:color w:val="FF0000"/>
          <w:sz w:val="24"/>
        </w:rPr>
        <w:t>/d。绿化用水经土地吸收渗滤、植物吸收和蒸发后，无废水外排。</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综上所述，项目废水对地表水环境影响不大。</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5</w:t>
      </w:r>
      <w:r>
        <w:rPr>
          <w:rFonts w:hint="eastAsia" w:ascii="Times New Roman" w:hAnsi="Times New Roman" w:eastAsia="宋体" w:cs="Times New Roman"/>
          <w:b/>
          <w:sz w:val="24"/>
        </w:rPr>
        <w:t>、运营期地表水环境影响分析小结</w:t>
      </w:r>
    </w:p>
    <w:p>
      <w:pPr>
        <w:spacing w:line="360" w:lineRule="auto"/>
        <w:ind w:firstLine="480" w:firstLineChars="200"/>
        <w:rPr>
          <w:rFonts w:ascii="Times New Roman" w:hAnsi="宋体" w:eastAsia="宋体" w:cs="Times New Roman"/>
          <w:sz w:val="24"/>
          <w:szCs w:val="28"/>
        </w:rPr>
      </w:pPr>
      <w:r>
        <w:rPr>
          <w:rFonts w:hint="eastAsia" w:ascii="Times New Roman" w:hAnsi="宋体" w:eastAsia="宋体" w:cs="Times New Roman"/>
          <w:sz w:val="24"/>
          <w:szCs w:val="28"/>
        </w:rPr>
        <w:t>项目运营期用水主要为生产用水、生活用水和绿化用水，废水主要为生活污水。生产循环用水用量为</w:t>
      </w:r>
      <w:r>
        <w:rPr>
          <w:rFonts w:ascii="Times New Roman" w:hAnsi="宋体" w:eastAsia="宋体" w:cs="Times New Roman"/>
          <w:sz w:val="24"/>
          <w:szCs w:val="28"/>
        </w:rPr>
        <w:t>43440</w:t>
      </w:r>
      <w:r>
        <w:rPr>
          <w:rFonts w:hint="eastAsia" w:ascii="Times New Roman" w:hAnsi="宋体" w:eastAsia="宋体" w:cs="Times New Roman"/>
          <w:sz w:val="24"/>
          <w:szCs w:val="28"/>
        </w:rPr>
        <w:t>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/a，由于蒸发携带水分，新鲜水补充水量为</w:t>
      </w:r>
      <w:r>
        <w:rPr>
          <w:rFonts w:ascii="Times New Roman" w:hAnsi="宋体" w:eastAsia="宋体" w:cs="Times New Roman"/>
          <w:sz w:val="24"/>
          <w:szCs w:val="28"/>
        </w:rPr>
        <w:t>10860</w:t>
      </w:r>
      <w:r>
        <w:rPr>
          <w:rFonts w:hint="eastAsia" w:ascii="Times New Roman" w:hAnsi="宋体" w:eastAsia="宋体" w:cs="Times New Roman"/>
          <w:sz w:val="24"/>
          <w:szCs w:val="28"/>
        </w:rPr>
        <w:t>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/a，生产用水循环使用不外排，对周边环境影响小；制备</w:t>
      </w:r>
      <w:r>
        <w:rPr>
          <w:rFonts w:ascii="Times New Roman" w:hAnsi="宋体" w:eastAsia="宋体" w:cs="Times New Roman"/>
          <w:sz w:val="24"/>
          <w:szCs w:val="28"/>
        </w:rPr>
        <w:t>锅炉用软水水量为22160</w:t>
      </w:r>
      <w:r>
        <w:rPr>
          <w:rFonts w:hint="eastAsia" w:ascii="Times New Roman" w:hAnsi="宋体" w:eastAsia="宋体" w:cs="Times New Roman"/>
          <w:sz w:val="24"/>
          <w:szCs w:val="28"/>
        </w:rPr>
        <w:t xml:space="preserve"> 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/a，反冲洗废水</w:t>
      </w:r>
      <w:r>
        <w:rPr>
          <w:rFonts w:ascii="Times New Roman" w:hAnsi="宋体" w:eastAsia="宋体" w:cs="Times New Roman"/>
          <w:sz w:val="24"/>
          <w:szCs w:val="28"/>
        </w:rPr>
        <w:t>产生</w:t>
      </w:r>
      <w:r>
        <w:rPr>
          <w:rFonts w:hint="eastAsia" w:ascii="Times New Roman" w:hAnsi="宋体" w:eastAsia="宋体" w:cs="Times New Roman"/>
          <w:sz w:val="24"/>
          <w:szCs w:val="28"/>
        </w:rPr>
        <w:t>量</w:t>
      </w:r>
      <w:r>
        <w:rPr>
          <w:rFonts w:ascii="Times New Roman" w:hAnsi="宋体" w:eastAsia="宋体" w:cs="Times New Roman"/>
          <w:sz w:val="24"/>
          <w:szCs w:val="28"/>
        </w:rPr>
        <w:t>为905.6</w:t>
      </w:r>
      <w:r>
        <w:rPr>
          <w:rFonts w:hint="eastAsia" w:ascii="Times New Roman" w:hAnsi="宋体" w:eastAsia="宋体" w:cs="Times New Roman"/>
          <w:sz w:val="24"/>
          <w:szCs w:val="28"/>
        </w:rPr>
        <w:t>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/a，</w:t>
      </w:r>
      <w:r>
        <w:rPr>
          <w:rFonts w:ascii="Times New Roman" w:hAnsi="宋体" w:eastAsia="宋体" w:cs="Times New Roman"/>
          <w:sz w:val="24"/>
          <w:szCs w:val="28"/>
        </w:rPr>
        <w:t>由于</w:t>
      </w:r>
      <w:r>
        <w:rPr>
          <w:rFonts w:hint="eastAsia" w:ascii="Times New Roman" w:hAnsi="宋体" w:eastAsia="宋体" w:cs="Times New Roman"/>
          <w:sz w:val="24"/>
          <w:szCs w:val="28"/>
        </w:rPr>
        <w:t>反冲洗废水</w:t>
      </w:r>
      <w:r>
        <w:rPr>
          <w:rFonts w:ascii="Times New Roman" w:hAnsi="Times New Roman" w:eastAsia="宋体" w:cs="Times New Roman"/>
          <w:sz w:val="24"/>
          <w:szCs w:val="24"/>
        </w:rPr>
        <w:t>主要为</w:t>
      </w:r>
      <w:r>
        <w:rPr>
          <w:rFonts w:hint="eastAsia" w:ascii="Times New Roman" w:hAnsi="Times New Roman" w:eastAsia="宋体" w:cs="Times New Roman"/>
          <w:sz w:val="24"/>
          <w:szCs w:val="24"/>
        </w:rPr>
        <w:t>钙离子</w:t>
      </w:r>
      <w:r>
        <w:rPr>
          <w:rFonts w:ascii="Times New Roman" w:hAnsi="Times New Roman" w:eastAsia="宋体" w:cs="Times New Roman"/>
          <w:sz w:val="24"/>
          <w:szCs w:val="24"/>
        </w:rPr>
        <w:t>和镁离子，不含其它污染物，可直接</w:t>
      </w:r>
      <w:r>
        <w:rPr>
          <w:rFonts w:hint="eastAsia" w:ascii="Times New Roman" w:hAnsi="Times New Roman" w:eastAsia="宋体" w:cs="Times New Roman"/>
          <w:sz w:val="24"/>
          <w:szCs w:val="24"/>
        </w:rPr>
        <w:t>回用作水膜除尘废水，</w:t>
      </w:r>
      <w:r>
        <w:rPr>
          <w:rFonts w:ascii="Times New Roman" w:hAnsi="Times New Roman" w:eastAsia="宋体" w:cs="Times New Roman"/>
          <w:sz w:val="24"/>
          <w:szCs w:val="24"/>
        </w:rPr>
        <w:t>对周边环境影响</w:t>
      </w:r>
      <w:r>
        <w:rPr>
          <w:rFonts w:hint="eastAsia" w:ascii="Times New Roman" w:hAnsi="Times New Roman" w:eastAsia="宋体" w:cs="Times New Roman"/>
          <w:sz w:val="24"/>
          <w:szCs w:val="24"/>
        </w:rPr>
        <w:t>小</w:t>
      </w:r>
      <w:r>
        <w:rPr>
          <w:rFonts w:ascii="Times New Roman" w:hAnsi="Times New Roman" w:eastAsia="宋体" w:cs="Times New Roman"/>
          <w:sz w:val="24"/>
          <w:szCs w:val="24"/>
        </w:rPr>
        <w:t>；</w:t>
      </w:r>
      <w:r>
        <w:rPr>
          <w:rFonts w:hint="eastAsia" w:ascii="Times New Roman" w:hAnsi="宋体" w:eastAsia="宋体" w:cs="Times New Roman"/>
          <w:sz w:val="24"/>
          <w:szCs w:val="28"/>
        </w:rPr>
        <w:t>生活污水产生量为</w:t>
      </w:r>
      <w:r>
        <w:rPr>
          <w:rFonts w:hint="eastAsia" w:ascii="Times New Roman" w:hAnsi="Times New Roman" w:eastAsia="宋体" w:cs="Times New Roman"/>
          <w:sz w:val="24"/>
        </w:rPr>
        <w:t>4.8m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/d，1440m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/a，生活区的食堂废水</w:t>
      </w:r>
      <w:r>
        <w:rPr>
          <w:rFonts w:hint="eastAsia" w:ascii="Times New Roman" w:hAnsi="宋体" w:eastAsia="宋体" w:cs="Times New Roman"/>
          <w:sz w:val="24"/>
          <w:szCs w:val="28"/>
        </w:rPr>
        <w:t>经隔油池（2m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）处理后同其他生活污水进入化粪池（5m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）处理后，通过自建的污水处理设施（处理规模为6m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/d）处理达标后晴天回用于绿化，雨天回用于生产；绿化用水经土地吸收渗滤、植物吸收和蒸发后，无废水外排。通过采取以上废水防治措施后，项目建设运营对当地地表水环境影响在可接受范围内。</w:t>
      </w:r>
    </w:p>
    <w:p>
      <w:pPr>
        <w:keepNext/>
        <w:keepLines/>
        <w:spacing w:before="260" w:after="260" w:line="416" w:lineRule="auto"/>
        <w:ind w:firstLine="482" w:firstLineChars="200"/>
        <w:outlineLvl w:val="2"/>
        <w:rPr>
          <w:rFonts w:ascii="Times New Roman" w:hAnsi="Times New Roman" w:eastAsia="宋体" w:cs="Times New Roman"/>
          <w:b/>
          <w:bCs/>
          <w:sz w:val="24"/>
          <w:szCs w:val="32"/>
        </w:rPr>
      </w:pPr>
      <w:bookmarkStart w:id="268" w:name="_Toc23843368"/>
      <w:bookmarkStart w:id="269" w:name="_Toc16730"/>
      <w:r>
        <w:rPr>
          <w:rFonts w:hint="eastAsia" w:ascii="Times New Roman" w:hAnsi="Times New Roman" w:eastAsia="宋体" w:cs="Times New Roman"/>
          <w:b/>
          <w:bCs/>
          <w:sz w:val="24"/>
          <w:szCs w:val="32"/>
        </w:rPr>
        <w:t>5.2.3运营期地下水环境影响分析</w:t>
      </w:r>
      <w:bookmarkEnd w:id="268"/>
      <w:bookmarkEnd w:id="269"/>
    </w:p>
    <w:p>
      <w:pPr>
        <w:spacing w:line="360" w:lineRule="auto"/>
        <w:ind w:firstLine="480" w:firstLineChars="200"/>
        <w:rPr>
          <w:rFonts w:ascii="Times New Roman" w:hAnsi="宋体" w:eastAsia="宋体" w:cs="Times New Roman"/>
          <w:sz w:val="24"/>
          <w:szCs w:val="28"/>
        </w:rPr>
      </w:pPr>
      <w:bookmarkStart w:id="270" w:name="_Toc450920471"/>
      <w:r>
        <w:rPr>
          <w:rFonts w:ascii="Times New Roman" w:hAnsi="宋体" w:eastAsia="宋体" w:cs="Times New Roman"/>
          <w:sz w:val="24"/>
          <w:szCs w:val="28"/>
        </w:rPr>
        <w:t>1）工程地质条件</w:t>
      </w:r>
      <w:bookmarkEnd w:id="270"/>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项目引用</w:t>
      </w:r>
      <w:r>
        <w:rPr>
          <w:rFonts w:hint="eastAsia" w:ascii="Times New Roman" w:hAnsi="宋体" w:eastAsia="宋体" w:cs="Times New Roman"/>
          <w:sz w:val="24"/>
          <w:szCs w:val="28"/>
        </w:rPr>
        <w:t>北</w:t>
      </w:r>
      <w:r>
        <w:rPr>
          <w:rFonts w:ascii="Times New Roman" w:hAnsi="宋体" w:eastAsia="宋体" w:cs="Times New Roman"/>
          <w:sz w:val="24"/>
          <w:szCs w:val="28"/>
        </w:rPr>
        <w:t>面200m处的元谋嘉豪泡沫制品有限公司年产500万只泡沫箱建设项目岩土工程勘察简报可知：</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（1）素填土：厚度0.5-1.2m，平均厚度0.85m，灰色、灰白色、褐红色，以粉砂、粉土为主，结构松散、欠固结。</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（2）粉砂：厚度1.5-4.6m，平均厚度3.05m，褐红色、灰色、灰黄色，夹薄层中砂、粗砂，中—密实状。</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（3）粘土：厚度8.0-13.0m，平均厚度10.5m（未揭穿），褐红色、褐黄色、灰黄色，夹薄层粉质粘土，硬塑—坚硬状。</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2）场地地下水补给、径流、排泄条件</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项目区地下水埋层较深，无潜水层出露。降水补给主要依靠降水形成地表径流，地表径流主要通过区域内的沟壑、断裂带或山箐等地质构造逐渐下渗补充地下水。</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3）正常情况下地下水影响分析</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（1）项目生活废水对地下水的影响</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项目对隔油池、化粪池均采取防渗、防漏措施，场区地面除绿化区域外均进行了水泥硬化处理。因此项目废水不会泄漏对当地地下水造成不良影响。</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4）非正常情况影响预测</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项目非正常情况主要是隔油池、化粪池受损，生活废水直接排出，最终下渗对场区地下水产生污染，由于废水中污染物质浓度较高，因此本次以生活废水下渗对场区地下水的影响进行分析。</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（1）源强分析</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由于生活废水中以COD、BOD、氨氮、总磷、SS等为主，本次地下水预测污染因子主要考虑COD、氨氮为例进行计算。COD的浓度以300mg/L计算，氨氮的浓度以60mg/L计算，预测时间最长取20h。</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（2）预测模型</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项目区水文地质条件较为简单，可通过解析法预测地下水环境影响。将污染源视为连续稳定释放的点源，通过对污染物源强的分析，筛选出具有代表性的污染因子进行正向推算。由于项目非正常排放情况很小，同时易于发现非正常排放情况，因此项目分别计算1h、2h、5h、10h、20h后的污染物的超标距离与最大运移距离。</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影响预测采用《环境影响评价技术导则-地下水环境》（HJ610-2016）推荐的一维稳定流动一维水动力弥散问题，概化条件为一维半无限长多孔介质柱体，一端为定浓度边界。其解析解为：</w:t>
      </w:r>
    </w:p>
    <w:p>
      <w:pPr>
        <w:spacing w:line="360" w:lineRule="auto"/>
        <w:ind w:firstLine="200"/>
        <w:jc w:val="center"/>
        <w:rPr>
          <w:rFonts w:ascii="Times New Roman" w:hAnsi="Times New Roman" w:eastAsia="宋体" w:cs="Times New Roman"/>
          <w:color w:val="000000"/>
          <w:sz w:val="24"/>
          <w:szCs w:val="24"/>
        </w:rPr>
      </w:pP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INCLUDEPICTURE "C:\\Users\\fc\\AppData\\Local\\Temp\\ksohtml9388\\wps1.png" \* MERGEFORMATINET </w:instrText>
      </w:r>
      <w:r>
        <w:rPr>
          <w:rFonts w:ascii="Times New Roman" w:hAnsi="Times New Roman" w:eastAsia="宋体" w:cs="Times New Roman"/>
          <w:color w:val="000000"/>
          <w:szCs w:val="21"/>
        </w:rPr>
        <w:fldChar w:fldCharType="separate"/>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INCLUDEPICTURE  "C:\\Users\\fc\\AppData\\Local\\Temp\\ksohtml9388\\wps1.png" \* MERGEFORMATINET </w:instrText>
      </w:r>
      <w:r>
        <w:rPr>
          <w:rFonts w:ascii="Times New Roman" w:hAnsi="Times New Roman" w:eastAsia="宋体" w:cs="Times New Roman"/>
          <w:color w:val="000000"/>
          <w:szCs w:val="21"/>
        </w:rPr>
        <w:fldChar w:fldCharType="separate"/>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INCLUDEPICTURE  "C:\\Users\\fc\\AppData\\Local\\Temp\\ksohtml9388\\wps1.png" \* MERGEFORMATINET </w:instrText>
      </w:r>
      <w:r>
        <w:rPr>
          <w:rFonts w:ascii="Times New Roman" w:hAnsi="Times New Roman" w:eastAsia="宋体" w:cs="Times New Roman"/>
          <w:color w:val="000000"/>
          <w:szCs w:val="21"/>
        </w:rPr>
        <w:fldChar w:fldCharType="separate"/>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INCLUDEPICTURE  "C:\\Users\\ASUS\\fc\\AppData\\Local\\Temp\\ksohtml9388\\wps1.png" \* MERGEFORMATINET </w:instrText>
      </w:r>
      <w:r>
        <w:rPr>
          <w:rFonts w:ascii="Times New Roman" w:hAnsi="Times New Roman" w:eastAsia="宋体" w:cs="Times New Roman"/>
          <w:color w:val="000000"/>
          <w:szCs w:val="21"/>
        </w:rPr>
        <w:fldChar w:fldCharType="separate"/>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INCLUDEPICTURE  "C:\\Users\\ASUS\\fc\\AppData\\Local\\Temp\\ksohtml9388\\wps1.png" \* MERGEFORMATINET </w:instrText>
      </w:r>
      <w:r>
        <w:rPr>
          <w:rFonts w:ascii="Times New Roman" w:hAnsi="Times New Roman" w:eastAsia="宋体" w:cs="Times New Roman"/>
          <w:color w:val="000000"/>
          <w:szCs w:val="21"/>
        </w:rPr>
        <w:fldChar w:fldCharType="separate"/>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INCLUDEPICTURE  "C:\\Users\\ASUS\\fc\\AppData\\Local\\Temp\\ksohtml9388\\wps1.png" \* MERGEFORMATINET </w:instrText>
      </w:r>
      <w:r>
        <w:rPr>
          <w:rFonts w:ascii="Times New Roman" w:hAnsi="Times New Roman" w:eastAsia="宋体" w:cs="Times New Roman"/>
          <w:color w:val="000000"/>
          <w:szCs w:val="21"/>
        </w:rPr>
        <w:fldChar w:fldCharType="separate"/>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INCLUDEPICTURE  "C:\\Users\\ThinkPad\\fc\\AppData\\Local\\Temp\\ksohtml9388\\wps1.png" \* MERGEFORMATINET </w:instrText>
      </w:r>
      <w:r>
        <w:rPr>
          <w:rFonts w:ascii="Times New Roman" w:hAnsi="Times New Roman" w:eastAsia="宋体" w:cs="Times New Roman"/>
          <w:color w:val="000000"/>
          <w:szCs w:val="21"/>
        </w:rPr>
        <w:fldChar w:fldCharType="separate"/>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 INCLUDEPICTURE  "C:\\Users\\fc\\AppData\\Local\\Temp\\ksohtml9388\\wps1.png" \* MERGEFORMATINET </w:instrText>
      </w:r>
      <w:r>
        <w:rPr>
          <w:rFonts w:ascii="Times New Roman" w:hAnsi="Times New Roman" w:eastAsia="宋体" w:cs="Times New Roman"/>
          <w:color w:val="000000"/>
          <w:szCs w:val="21"/>
        </w:rPr>
        <w:fldChar w:fldCharType="separate"/>
      </w:r>
      <w:r>
        <w:rPr>
          <w:rFonts w:ascii="Times New Roman" w:hAnsi="Times New Roman" w:eastAsia="宋体" w:cs="Times New Roman"/>
          <w:color w:val="000000"/>
          <w:szCs w:val="21"/>
        </w:rPr>
        <w:pict>
          <v:shape id="_x0000_i1026" o:spt="75" type="#_x0000_t75" style="height:46pt;width:218.5pt;" filled="f" o:preferrelative="t" stroked="f" coordsize="21600,21600">
            <v:path/>
            <v:fill on="f" focussize="0,0"/>
            <v:stroke on="f" joinstyle="miter"/>
            <v:imagedata r:id="rId11" r:href="rId12" o:title=""/>
            <o:lock v:ext="edit" aspectratio="t"/>
            <w10:wrap type="none"/>
            <w10:anchorlock/>
          </v:shape>
        </w:pic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end"/>
      </w:r>
    </w:p>
    <w:p>
      <w:pPr>
        <w:spacing w:line="360" w:lineRule="auto"/>
        <w:ind w:firstLine="480" w:firstLineChars="200"/>
        <w:rPr>
          <w:rFonts w:ascii="Times New Roman" w:hAnsi="宋体" w:eastAsia="宋体" w:cs="Times New Roman"/>
          <w:sz w:val="24"/>
          <w:szCs w:val="28"/>
        </w:rPr>
      </w:pPr>
      <w:r>
        <w:rPr>
          <w:rFonts w:ascii="Times New Roman" w:hAnsi="Times New Roman" w:eastAsia="宋体" w:cs="Times New Roman"/>
          <w:color w:val="000000"/>
          <w:sz w:val="24"/>
          <w:szCs w:val="24"/>
        </w:rPr>
        <w:t xml:space="preserve"> </w:t>
      </w:r>
      <w:r>
        <w:rPr>
          <w:rFonts w:ascii="Times New Roman" w:hAnsi="宋体" w:eastAsia="宋体" w:cs="Times New Roman"/>
          <w:sz w:val="24"/>
          <w:szCs w:val="28"/>
        </w:rPr>
        <w:t>式中：x—预测点距污染源强的距离，m；</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 xml:space="preserve">      t—预测时间，d；</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 xml:space="preserve">      C—t时刻x处的污染物浓度，mg/L；</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 xml:space="preserve">      C0—地下水污染源强浓度，mg/L；</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 xml:space="preserve">      u—水流速度，m/d；</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 xml:space="preserve">      DL—纵向弥散系数，m</w:t>
      </w:r>
      <w:r>
        <w:rPr>
          <w:rFonts w:ascii="Times New Roman" w:hAnsi="宋体" w:eastAsia="宋体" w:cs="Times New Roman"/>
          <w:sz w:val="24"/>
          <w:szCs w:val="28"/>
          <w:vertAlign w:val="superscript"/>
        </w:rPr>
        <w:t>2</w:t>
      </w:r>
      <w:r>
        <w:rPr>
          <w:rFonts w:ascii="Times New Roman" w:hAnsi="宋体" w:eastAsia="宋体" w:cs="Times New Roman"/>
          <w:sz w:val="24"/>
          <w:szCs w:val="28"/>
        </w:rPr>
        <w:t>/d；</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 xml:space="preserve">      erfc (  )—余误差函数。</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（3）水文地质参数设置</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①水流速度：</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地下水实际流速和弥散系数的确定按下列方法取得：</w:t>
      </w:r>
    </w:p>
    <w:p>
      <w:pPr>
        <w:spacing w:line="360"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U＝K×I／n</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其中：U—地下水实际流速，m/d；</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K—渗透系数，m/d；</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I—水力坡度，‰；</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n—孔隙度；</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渗透系数：根据资料显示分为2个土层：第①层为素填土（粉砂为主）第②层为粉砂，其中以第②层粉砂为主，相关设计参数参考毛旭熙主编《堤防工程手册》中的各地土层相关渗透系数，具体见下表。</w:t>
      </w:r>
    </w:p>
    <w:p>
      <w:pPr>
        <w:snapToGrid w:val="0"/>
        <w:spacing w:line="360" w:lineRule="auto"/>
        <w:jc w:val="center"/>
        <w:rPr>
          <w:rFonts w:ascii="Times New Roman" w:hAnsi="Times New Roman" w:eastAsia="宋体" w:cs="Times New Roman"/>
          <w:color w:val="000000"/>
          <w:sz w:val="28"/>
          <w:szCs w:val="28"/>
        </w:rPr>
      </w:pPr>
      <w:r>
        <w:rPr>
          <w:rFonts w:ascii="Times New Roman" w:hAnsi="Times New Roman" w:eastAsia="宋体" w:cs="Times New Roman"/>
          <w:b/>
          <w:bCs/>
          <w:color w:val="000000"/>
          <w:sz w:val="24"/>
          <w:szCs w:val="24"/>
        </w:rPr>
        <w:t>表5.2-5  场地地层及其渗透系数值</w:t>
      </w:r>
    </w:p>
    <w:tbl>
      <w:tblPr>
        <w:tblStyle w:val="19"/>
        <w:tblW w:w="852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83"/>
        <w:gridCol w:w="3828"/>
        <w:gridCol w:w="33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6" w:hRule="atLeast"/>
          <w:jc w:val="center"/>
        </w:trPr>
        <w:tc>
          <w:tcPr>
            <w:tcW w:w="1383" w:type="dxa"/>
            <w:tcBorders>
              <w:top w:val="single" w:color="auto" w:sz="2" w:space="0"/>
              <w:left w:val="single" w:color="auto" w:sz="2" w:space="0"/>
              <w:bottom w:val="single" w:color="auto" w:sz="2" w:space="0"/>
              <w:right w:val="single" w:color="auto" w:sz="2" w:space="0"/>
            </w:tcBorders>
            <w:vAlign w:val="center"/>
          </w:tcPr>
          <w:p>
            <w:pPr>
              <w:ind w:firstLine="200"/>
              <w:jc w:val="center"/>
              <w:rPr>
                <w:rFonts w:ascii="Times New Roman" w:hAnsi="Times New Roman"/>
                <w:b/>
                <w:bCs/>
                <w:color w:val="000000"/>
              </w:rPr>
            </w:pPr>
            <w:r>
              <w:rPr>
                <w:rFonts w:ascii="Times New Roman" w:hAnsi="Times New Roman"/>
                <w:b/>
                <w:bCs/>
                <w:color w:val="000000"/>
              </w:rPr>
              <w:t>土层编号</w:t>
            </w:r>
          </w:p>
        </w:tc>
        <w:tc>
          <w:tcPr>
            <w:tcW w:w="3828" w:type="dxa"/>
            <w:tcBorders>
              <w:top w:val="single" w:color="auto" w:sz="2" w:space="0"/>
              <w:left w:val="nil"/>
              <w:bottom w:val="single" w:color="auto" w:sz="2" w:space="0"/>
              <w:right w:val="single" w:color="auto" w:sz="2" w:space="0"/>
            </w:tcBorders>
            <w:vAlign w:val="center"/>
          </w:tcPr>
          <w:p>
            <w:pPr>
              <w:ind w:firstLine="200"/>
              <w:jc w:val="center"/>
              <w:rPr>
                <w:rFonts w:ascii="Times New Roman" w:hAnsi="Times New Roman"/>
                <w:b/>
                <w:bCs/>
                <w:color w:val="000000"/>
              </w:rPr>
            </w:pPr>
            <w:r>
              <w:rPr>
                <w:rFonts w:ascii="Times New Roman" w:hAnsi="Times New Roman"/>
                <w:b/>
                <w:bCs/>
                <w:color w:val="000000"/>
              </w:rPr>
              <w:t>土层名称</w:t>
            </w:r>
          </w:p>
        </w:tc>
        <w:tc>
          <w:tcPr>
            <w:tcW w:w="3318" w:type="dxa"/>
            <w:tcBorders>
              <w:top w:val="single" w:color="auto" w:sz="2" w:space="0"/>
              <w:left w:val="nil"/>
              <w:bottom w:val="single" w:color="auto" w:sz="2" w:space="0"/>
              <w:right w:val="single" w:color="auto" w:sz="2" w:space="0"/>
            </w:tcBorders>
            <w:vAlign w:val="center"/>
          </w:tcPr>
          <w:p>
            <w:pPr>
              <w:snapToGrid w:val="0"/>
              <w:ind w:firstLine="200"/>
              <w:jc w:val="center"/>
              <w:rPr>
                <w:rFonts w:ascii="Times New Roman" w:hAnsi="Times New Roman"/>
                <w:b/>
                <w:bCs/>
                <w:color w:val="000000"/>
              </w:rPr>
            </w:pPr>
            <w:r>
              <w:rPr>
                <w:rFonts w:ascii="Times New Roman" w:hAnsi="Times New Roman"/>
                <w:b/>
                <w:bCs/>
                <w:color w:val="000000"/>
              </w:rPr>
              <w:t>渗透系数K（c</w:t>
            </w:r>
            <w:r>
              <w:rPr>
                <w:rFonts w:ascii="Times New Roman" w:hAnsi="Times New Roman"/>
                <w:color w:val="000000"/>
                <w:sz w:val="24"/>
                <w:szCs w:val="24"/>
              </w:rPr>
              <w:t>m/s</w:t>
            </w:r>
            <w:r>
              <w:rPr>
                <w:rFonts w:ascii="Times New Roman" w:hAnsi="Times New Roman"/>
                <w:b/>
                <w:bCs/>
                <w:color w:val="00000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1383" w:type="dxa"/>
            <w:tcBorders>
              <w:top w:val="single" w:color="auto" w:sz="2" w:space="0"/>
              <w:left w:val="single" w:color="auto" w:sz="2" w:space="0"/>
              <w:bottom w:val="single" w:color="auto" w:sz="2" w:space="0"/>
              <w:right w:val="single" w:color="auto" w:sz="2" w:space="0"/>
            </w:tcBorders>
            <w:vAlign w:val="center"/>
          </w:tcPr>
          <w:p>
            <w:pPr>
              <w:numPr>
                <w:ilvl w:val="0"/>
                <w:numId w:val="6"/>
              </w:numPr>
              <w:snapToGrid w:val="0"/>
              <w:ind w:left="0" w:firstLine="200"/>
              <w:jc w:val="center"/>
              <w:rPr>
                <w:rFonts w:ascii="Times New Roman" w:hAnsi="Times New Roman"/>
                <w:color w:val="000000"/>
              </w:rPr>
            </w:pPr>
          </w:p>
        </w:tc>
        <w:tc>
          <w:tcPr>
            <w:tcW w:w="3828" w:type="dxa"/>
            <w:tcBorders>
              <w:top w:val="single" w:color="auto" w:sz="2" w:space="0"/>
              <w:left w:val="nil"/>
              <w:bottom w:val="single" w:color="auto" w:sz="2" w:space="0"/>
              <w:right w:val="single" w:color="auto" w:sz="2" w:space="0"/>
            </w:tcBorders>
            <w:vAlign w:val="center"/>
          </w:tcPr>
          <w:p>
            <w:pPr>
              <w:snapToGrid w:val="0"/>
              <w:ind w:firstLine="200"/>
              <w:jc w:val="center"/>
              <w:rPr>
                <w:rFonts w:ascii="Times New Roman" w:hAnsi="Times New Roman"/>
                <w:color w:val="000000"/>
              </w:rPr>
            </w:pPr>
            <w:r>
              <w:rPr>
                <w:rFonts w:ascii="Times New Roman" w:hAnsi="Times New Roman"/>
                <w:color w:val="000000"/>
                <w:sz w:val="24"/>
                <w:szCs w:val="24"/>
              </w:rPr>
              <w:t>素填土（粉砂为主）</w:t>
            </w:r>
          </w:p>
        </w:tc>
        <w:tc>
          <w:tcPr>
            <w:tcW w:w="3318" w:type="dxa"/>
            <w:tcBorders>
              <w:top w:val="single" w:color="auto" w:sz="2" w:space="0"/>
              <w:left w:val="nil"/>
              <w:bottom w:val="single" w:color="auto" w:sz="2" w:space="0"/>
              <w:right w:val="single" w:color="auto" w:sz="2" w:space="0"/>
            </w:tcBorders>
            <w:vAlign w:val="center"/>
          </w:tcPr>
          <w:p>
            <w:pPr>
              <w:snapToGrid w:val="0"/>
              <w:ind w:firstLine="200"/>
              <w:jc w:val="center"/>
              <w:rPr>
                <w:rFonts w:ascii="Times New Roman" w:hAnsi="Times New Roman"/>
                <w:color w:val="000000"/>
                <w:vertAlign w:val="superscript"/>
              </w:rPr>
            </w:pPr>
            <w:r>
              <w:rPr>
                <w:rFonts w:ascii="Times New Roman" w:hAnsi="Times New Roman"/>
                <w:color w:val="000000"/>
              </w:rPr>
              <w:t>6×10</w:t>
            </w:r>
            <w:r>
              <w:rPr>
                <w:rFonts w:ascii="Times New Roman" w:hAnsi="Times New Roman"/>
                <w:color w:val="000000"/>
                <w:vertAlign w:val="superscript"/>
              </w:rPr>
              <w:t>-6</w:t>
            </w:r>
            <w:r>
              <w:rPr>
                <w:rFonts w:ascii="Times New Roman" w:hAnsi="Times New Roman"/>
                <w:color w:val="000000"/>
              </w:rPr>
              <w:t>~1.2×10</w:t>
            </w:r>
            <w:r>
              <w:rPr>
                <w:rFonts w:ascii="Times New Roman" w:hAnsi="Times New Roman"/>
                <w:color w:val="000000"/>
                <w:vertAlign w:val="superscript"/>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4" w:hRule="atLeast"/>
          <w:jc w:val="center"/>
        </w:trPr>
        <w:tc>
          <w:tcPr>
            <w:tcW w:w="1383" w:type="dxa"/>
            <w:tcBorders>
              <w:top w:val="single" w:color="auto" w:sz="2" w:space="0"/>
              <w:left w:val="single" w:color="auto" w:sz="2" w:space="0"/>
              <w:bottom w:val="single" w:color="auto" w:sz="2" w:space="0"/>
              <w:right w:val="single" w:color="auto" w:sz="2" w:space="0"/>
            </w:tcBorders>
            <w:vAlign w:val="center"/>
          </w:tcPr>
          <w:p>
            <w:pPr>
              <w:numPr>
                <w:ilvl w:val="0"/>
                <w:numId w:val="6"/>
              </w:numPr>
              <w:snapToGrid w:val="0"/>
              <w:ind w:left="0" w:firstLine="200"/>
              <w:jc w:val="center"/>
              <w:rPr>
                <w:rFonts w:ascii="Times New Roman" w:hAnsi="Times New Roman"/>
                <w:color w:val="000000"/>
              </w:rPr>
            </w:pPr>
          </w:p>
        </w:tc>
        <w:tc>
          <w:tcPr>
            <w:tcW w:w="3828" w:type="dxa"/>
            <w:tcBorders>
              <w:top w:val="single" w:color="auto" w:sz="2" w:space="0"/>
              <w:left w:val="nil"/>
              <w:bottom w:val="single" w:color="auto" w:sz="2" w:space="0"/>
              <w:right w:val="single" w:color="auto" w:sz="2" w:space="0"/>
            </w:tcBorders>
            <w:vAlign w:val="center"/>
          </w:tcPr>
          <w:p>
            <w:pPr>
              <w:snapToGrid w:val="0"/>
              <w:ind w:firstLine="200"/>
              <w:jc w:val="center"/>
              <w:rPr>
                <w:rFonts w:ascii="Times New Roman" w:hAnsi="Times New Roman"/>
                <w:color w:val="000000"/>
              </w:rPr>
            </w:pPr>
            <w:r>
              <w:rPr>
                <w:rFonts w:ascii="Times New Roman" w:hAnsi="Times New Roman"/>
                <w:color w:val="000000"/>
                <w:sz w:val="24"/>
                <w:szCs w:val="24"/>
              </w:rPr>
              <w:t>粉砂</w:t>
            </w:r>
          </w:p>
        </w:tc>
        <w:tc>
          <w:tcPr>
            <w:tcW w:w="3318" w:type="dxa"/>
            <w:tcBorders>
              <w:top w:val="single" w:color="auto" w:sz="2" w:space="0"/>
              <w:left w:val="nil"/>
              <w:bottom w:val="single" w:color="auto" w:sz="2" w:space="0"/>
              <w:right w:val="single" w:color="auto" w:sz="2" w:space="0"/>
            </w:tcBorders>
            <w:vAlign w:val="center"/>
          </w:tcPr>
          <w:p>
            <w:pPr>
              <w:snapToGrid w:val="0"/>
              <w:ind w:firstLine="200"/>
              <w:jc w:val="center"/>
              <w:rPr>
                <w:rFonts w:ascii="Times New Roman" w:hAnsi="Times New Roman"/>
                <w:color w:val="000000"/>
              </w:rPr>
            </w:pPr>
            <w:r>
              <w:rPr>
                <w:rFonts w:ascii="Times New Roman" w:hAnsi="Times New Roman"/>
                <w:color w:val="000000"/>
              </w:rPr>
              <w:t>6×10</w:t>
            </w:r>
            <w:r>
              <w:rPr>
                <w:rFonts w:ascii="Times New Roman" w:hAnsi="Times New Roman"/>
                <w:color w:val="000000"/>
                <w:vertAlign w:val="superscript"/>
              </w:rPr>
              <w:t>-6</w:t>
            </w:r>
            <w:r>
              <w:rPr>
                <w:rFonts w:ascii="Times New Roman" w:hAnsi="Times New Roman"/>
                <w:color w:val="000000"/>
              </w:rPr>
              <w:t>~1.2×10</w:t>
            </w:r>
            <w:r>
              <w:rPr>
                <w:rFonts w:ascii="Times New Roman" w:hAnsi="Times New Roman"/>
                <w:color w:val="000000"/>
                <w:vertAlign w:val="superscript"/>
              </w:rPr>
              <w:t>-4</w:t>
            </w:r>
          </w:p>
        </w:tc>
      </w:tr>
    </w:tbl>
    <w:p>
      <w:pPr>
        <w:snapToGrid w:val="0"/>
        <w:spacing w:line="360" w:lineRule="auto"/>
        <w:ind w:firstLine="200"/>
        <w:jc w:val="left"/>
        <w:rPr>
          <w:rFonts w:ascii="Times New Roman" w:hAnsi="Times New Roman"/>
          <w:color w:val="000000"/>
        </w:rPr>
      </w:pPr>
      <w:r>
        <w:rPr>
          <w:rFonts w:ascii="Times New Roman" w:hAnsi="Times New Roman"/>
          <w:b/>
          <w:bCs/>
          <w:color w:val="000000"/>
          <w:sz w:val="24"/>
          <w:szCs w:val="24"/>
        </w:rPr>
        <w:t xml:space="preserve">      </w:t>
      </w:r>
      <w:r>
        <w:rPr>
          <w:rFonts w:ascii="Times New Roman" w:hAnsi="Times New Roman"/>
          <w:color w:val="000000"/>
        </w:rPr>
        <w:t>注：全部为经验数据</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水力坡度：水力坡度I=1.4‰；</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孔隙度：岩石和土壤孔隙度的大小与颗粒的排列方式、颗粒大小、分选性、颗粒形状以及胶结程度有关，不同岩性孔隙度大小。场区的岩性主要为粉砂，因此本环评孔隙度取值为 0.25。</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计算得到水流速度U=0.13m</w:t>
      </w:r>
      <w:r>
        <w:rPr>
          <w:rFonts w:ascii="Times New Roman" w:hAnsi="宋体" w:eastAsia="宋体" w:cs="Times New Roman"/>
          <w:sz w:val="24"/>
          <w:szCs w:val="28"/>
          <w:vertAlign w:val="superscript"/>
        </w:rPr>
        <w:t>3</w:t>
      </w:r>
      <w:r>
        <w:rPr>
          <w:rFonts w:ascii="Times New Roman" w:hAnsi="宋体" w:eastAsia="宋体" w:cs="Times New Roman"/>
          <w:sz w:val="24"/>
          <w:szCs w:val="28"/>
        </w:rPr>
        <w:t>/d。</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②纵向弥散系数</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地下水弥散系数的确定按下列方法取得：</w:t>
      </w:r>
    </w:p>
    <w:p>
      <w:pPr>
        <w:spacing w:line="360"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DL＝aL×Um</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DL—纵向弥散系数，m</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/d；</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a</w:t>
      </w:r>
      <w:r>
        <w:rPr>
          <w:rFonts w:ascii="Times New Roman" w:hAnsi="Times New Roman" w:eastAsia="宋体" w:cs="Times New Roman"/>
          <w:color w:val="000000"/>
          <w:sz w:val="24"/>
          <w:szCs w:val="24"/>
          <w:vertAlign w:val="subscript"/>
        </w:rPr>
        <w:t>L</w:t>
      </w:r>
      <w:r>
        <w:rPr>
          <w:rFonts w:ascii="Times New Roman" w:hAnsi="Times New Roman" w:eastAsia="宋体" w:cs="Times New Roman"/>
          <w:color w:val="000000"/>
          <w:sz w:val="24"/>
          <w:szCs w:val="24"/>
        </w:rPr>
        <w:t>—纵向弥散度；</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m—指数。</w:t>
      </w:r>
    </w:p>
    <w:p>
      <w:pPr>
        <w:spacing w:line="360" w:lineRule="auto"/>
        <w:ind w:firstLine="480" w:firstLineChars="200"/>
        <w:rPr>
          <w:rFonts w:ascii="Times New Roman" w:hAnsi="宋体" w:eastAsia="宋体" w:cs="Times New Roman"/>
          <w:sz w:val="24"/>
          <w:szCs w:val="28"/>
        </w:rPr>
      </w:pPr>
      <w:r>
        <w:rPr>
          <w:rFonts w:ascii="Times New Roman" w:hAnsi="宋体" w:eastAsia="宋体" w:cs="Times New Roman"/>
          <w:sz w:val="24"/>
          <w:szCs w:val="28"/>
        </w:rPr>
        <w:t>D. S. Makuch（2005）综合了其他人的研究成果，对不同岩性和不同尺度条件下介质的弥散度大小进行了统计，获得了污染物在不同岩性中迁移的纵向弥散度。根据含水中砂砾石颗粒大小、颗粒均匀度和排列情况类比。场区岩性主要为粉砂，粒径范围为0.2~5.0mm。根据表5.2-20，项目纵向弥散度aL取8.3m，指数m取1.08，则纵向弥散系数DL=1.70。</w:t>
      </w:r>
    </w:p>
    <w:p>
      <w:pPr>
        <w:spacing w:line="360" w:lineRule="auto"/>
        <w:jc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表5.2-6 含水层弥散度类比取值表</w:t>
      </w:r>
    </w:p>
    <w:tbl>
      <w:tblPr>
        <w:tblStyle w:val="19"/>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1"/>
        <w:gridCol w:w="1926"/>
        <w:gridCol w:w="1900"/>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粒径变化范围（mm）</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均匀度系数</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m指数</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弥散度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0.4-0.7</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1.55</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1.09</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0.5-1.5</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1.85</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1.1</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1-2</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1.6</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1.1</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2-3</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1.3</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1.09</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5-7</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1.3</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1.09</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0.5-2</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1.08</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0.2-5</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1.08</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0.1-10</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1.07</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6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0.05-20</w:t>
            </w:r>
          </w:p>
        </w:tc>
        <w:tc>
          <w:tcPr>
            <w:tcW w:w="192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w:t>
            </w:r>
          </w:p>
        </w:tc>
        <w:tc>
          <w:tcPr>
            <w:tcW w:w="190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1.07</w:t>
            </w:r>
          </w:p>
        </w:tc>
        <w:tc>
          <w:tcPr>
            <w:tcW w:w="210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70.7</w:t>
            </w:r>
          </w:p>
        </w:tc>
      </w:tr>
    </w:tbl>
    <w:p>
      <w:pPr>
        <w:spacing w:line="480" w:lineRule="exact"/>
        <w:ind w:left="360" w:firstLine="120"/>
        <w:jc w:val="left"/>
        <w:rPr>
          <w:rFonts w:ascii="Times New Roman" w:hAnsi="Times New Roman" w:eastAsia="宋体" w:cs="Times New Roman"/>
          <w:color w:val="000000"/>
          <w:sz w:val="24"/>
          <w:szCs w:val="24"/>
        </w:rPr>
      </w:pPr>
      <w:r>
        <w:rPr>
          <w:rFonts w:ascii="宋体" w:hAnsi="宋体" w:eastAsia="宋体" w:cs="宋体"/>
          <w:color w:val="000000"/>
          <w:sz w:val="24"/>
          <w:szCs w:val="24"/>
        </w:rPr>
        <w:t>③</w:t>
      </w:r>
      <w:r>
        <w:rPr>
          <w:rFonts w:ascii="Times New Roman" w:hAnsi="Times New Roman" w:eastAsia="宋体" w:cs="Times New Roman"/>
          <w:color w:val="000000"/>
          <w:sz w:val="24"/>
          <w:szCs w:val="24"/>
        </w:rPr>
        <w:t>计算参数结果见下表。</w:t>
      </w:r>
    </w:p>
    <w:p>
      <w:pPr>
        <w:spacing w:line="360" w:lineRule="auto"/>
        <w:ind w:firstLine="482" w:firstLineChars="200"/>
        <w:jc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表5.2-7  计算参数一览表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418"/>
        <w:gridCol w:w="1984"/>
        <w:gridCol w:w="1701"/>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参数</w:t>
            </w:r>
          </w:p>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含水层</w:t>
            </w:r>
          </w:p>
        </w:tc>
        <w:tc>
          <w:tcPr>
            <w:tcW w:w="1418" w:type="dxa"/>
            <w:vMerge w:val="restar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水流速度U（m</w:t>
            </w:r>
            <w:r>
              <w:rPr>
                <w:rFonts w:ascii="Times New Roman" w:hAnsi="Times New Roman" w:eastAsia="宋体" w:cs="Times New Roman"/>
                <w:b/>
                <w:bCs/>
                <w:color w:val="000000"/>
                <w:szCs w:val="21"/>
                <w:vertAlign w:val="superscript"/>
              </w:rPr>
              <w:t>3</w:t>
            </w:r>
            <w:r>
              <w:rPr>
                <w:rFonts w:ascii="Times New Roman" w:hAnsi="Times New Roman" w:eastAsia="宋体" w:cs="Times New Roman"/>
                <w:b/>
                <w:bCs/>
                <w:color w:val="000000"/>
                <w:szCs w:val="21"/>
              </w:rPr>
              <w:t>/d）</w:t>
            </w:r>
          </w:p>
        </w:tc>
        <w:tc>
          <w:tcPr>
            <w:tcW w:w="1984" w:type="dxa"/>
            <w:vMerge w:val="restar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纵向弥散系数D</w:t>
            </w:r>
            <w:r>
              <w:rPr>
                <w:rFonts w:ascii="Times New Roman" w:hAnsi="Times New Roman" w:eastAsia="宋体" w:cs="Times New Roman"/>
                <w:b/>
                <w:bCs/>
                <w:color w:val="000000"/>
                <w:szCs w:val="21"/>
                <w:vertAlign w:val="subscript"/>
              </w:rPr>
              <w:t>L</w:t>
            </w:r>
            <w:r>
              <w:rPr>
                <w:rFonts w:ascii="Times New Roman" w:hAnsi="Times New Roman" w:eastAsia="宋体" w:cs="Times New Roman"/>
                <w:b/>
                <w:bCs/>
                <w:color w:val="000000"/>
                <w:szCs w:val="21"/>
              </w:rPr>
              <w:t>（m</w:t>
            </w:r>
            <w:r>
              <w:rPr>
                <w:rFonts w:ascii="Times New Roman" w:hAnsi="Times New Roman" w:eastAsia="宋体" w:cs="Times New Roman"/>
                <w:b/>
                <w:bCs/>
                <w:color w:val="000000"/>
                <w:szCs w:val="21"/>
                <w:vertAlign w:val="superscript"/>
              </w:rPr>
              <w:t>2</w:t>
            </w:r>
            <w:r>
              <w:rPr>
                <w:rFonts w:ascii="Times New Roman" w:hAnsi="Times New Roman" w:eastAsia="宋体" w:cs="Times New Roman"/>
                <w:b/>
                <w:bCs/>
                <w:color w:val="000000"/>
                <w:szCs w:val="21"/>
              </w:rPr>
              <w:t>/d）</w:t>
            </w:r>
          </w:p>
        </w:tc>
        <w:tc>
          <w:tcPr>
            <w:tcW w:w="3177"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污染源强C</w:t>
            </w:r>
            <w:r>
              <w:rPr>
                <w:rFonts w:ascii="Times New Roman" w:hAnsi="Times New Roman" w:eastAsia="宋体" w:cs="Times New Roman"/>
                <w:b/>
                <w:bCs/>
                <w:color w:val="000000"/>
                <w:szCs w:val="21"/>
                <w:vertAlign w:val="subscript"/>
              </w:rPr>
              <w:t>0</w:t>
            </w:r>
            <w:r>
              <w:rPr>
                <w:rFonts w:ascii="Times New Roman" w:hAnsi="Times New Roman" w:eastAsia="宋体" w:cs="Times New Roman"/>
                <w:b/>
                <w:bCs/>
                <w:color w:val="000000"/>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color w:val="000000"/>
                <w:szCs w:val="21"/>
              </w:rPr>
            </w:pPr>
          </w:p>
        </w:tc>
        <w:tc>
          <w:tcPr>
            <w:tcW w:w="1418"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宋体" w:cs="Times New Roman"/>
                <w:b/>
                <w:bCs/>
                <w:color w:val="000000"/>
                <w:szCs w:val="21"/>
              </w:rPr>
            </w:pPr>
          </w:p>
        </w:tc>
        <w:tc>
          <w:tcPr>
            <w:tcW w:w="1984"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宋体" w:cs="Times New Roman"/>
                <w:b/>
                <w:bCs/>
                <w:color w:val="000000"/>
                <w:szCs w:val="21"/>
              </w:rPr>
            </w:pPr>
          </w:p>
        </w:tc>
        <w:tc>
          <w:tcPr>
            <w:tcW w:w="170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COD</w:t>
            </w:r>
          </w:p>
        </w:tc>
        <w:tc>
          <w:tcPr>
            <w:tcW w:w="14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项目建设区含水层</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0.13</w:t>
            </w:r>
          </w:p>
        </w:tc>
        <w:tc>
          <w:tcPr>
            <w:tcW w:w="198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1.70</w:t>
            </w:r>
          </w:p>
        </w:tc>
        <w:tc>
          <w:tcPr>
            <w:tcW w:w="170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300</w:t>
            </w:r>
          </w:p>
        </w:tc>
        <w:tc>
          <w:tcPr>
            <w:tcW w:w="14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60</w:t>
            </w:r>
          </w:p>
        </w:tc>
      </w:tr>
    </w:tbl>
    <w:p>
      <w:pPr>
        <w:spacing w:line="360" w:lineRule="auto"/>
        <w:ind w:firstLine="360" w:firstLineChars="150"/>
        <w:jc w:val="left"/>
        <w:rPr>
          <w:rFonts w:ascii="Times New Roman" w:hAnsi="Times New Roman" w:eastAsia="宋体" w:cs="Times New Roman"/>
          <w:color w:val="000000"/>
          <w:sz w:val="24"/>
          <w:szCs w:val="24"/>
        </w:rPr>
      </w:pPr>
      <w:r>
        <w:rPr>
          <w:rFonts w:ascii="宋体" w:hAnsi="宋体" w:eastAsia="宋体" w:cs="宋体"/>
          <w:color w:val="000000"/>
          <w:sz w:val="24"/>
          <w:szCs w:val="24"/>
        </w:rPr>
        <w:t>④</w:t>
      </w:r>
      <w:r>
        <w:rPr>
          <w:rFonts w:ascii="Times New Roman" w:hAnsi="Times New Roman" w:eastAsia="宋体" w:cs="Times New Roman"/>
          <w:color w:val="000000"/>
          <w:sz w:val="24"/>
          <w:szCs w:val="24"/>
        </w:rPr>
        <w:t>预测结果</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污染物运移范围计算见下表。</w:t>
      </w:r>
    </w:p>
    <w:p>
      <w:pPr>
        <w:spacing w:line="360" w:lineRule="auto"/>
        <w:jc w:val="center"/>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表5.2-8  COD污染物运移范围预测结果表</w:t>
      </w:r>
    </w:p>
    <w:tbl>
      <w:tblPr>
        <w:tblStyle w:val="19"/>
        <w:tblW w:w="8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52"/>
        <w:gridCol w:w="1532"/>
        <w:gridCol w:w="1418"/>
        <w:gridCol w:w="1649"/>
        <w:gridCol w:w="1527"/>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时间</w:t>
            </w:r>
          </w:p>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距离</w:t>
            </w:r>
          </w:p>
        </w:tc>
        <w:tc>
          <w:tcPr>
            <w:tcW w:w="1532"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1h</w:t>
            </w:r>
          </w:p>
        </w:tc>
        <w:tc>
          <w:tcPr>
            <w:tcW w:w="1418"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2h</w:t>
            </w:r>
          </w:p>
        </w:tc>
        <w:tc>
          <w:tcPr>
            <w:tcW w:w="16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5h</w:t>
            </w:r>
          </w:p>
        </w:tc>
        <w:tc>
          <w:tcPr>
            <w:tcW w:w="1527"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10h</w:t>
            </w:r>
          </w:p>
        </w:tc>
        <w:tc>
          <w:tcPr>
            <w:tcW w:w="14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0m</w:t>
            </w:r>
          </w:p>
        </w:tc>
        <w:tc>
          <w:tcPr>
            <w:tcW w:w="1532"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300</w:t>
            </w:r>
          </w:p>
        </w:tc>
        <w:tc>
          <w:tcPr>
            <w:tcW w:w="1418"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szCs w:val="21"/>
              </w:rPr>
            </w:pPr>
            <w:r>
              <w:rPr>
                <w:rFonts w:ascii="Times New Roman" w:hAnsi="Times New Roman" w:eastAsia="宋体" w:cs="Times New Roman"/>
                <w:color w:val="000000"/>
                <w:szCs w:val="21"/>
              </w:rPr>
              <w:t>300</w:t>
            </w:r>
          </w:p>
        </w:tc>
        <w:tc>
          <w:tcPr>
            <w:tcW w:w="1649"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szCs w:val="21"/>
              </w:rPr>
            </w:pPr>
            <w:r>
              <w:rPr>
                <w:rFonts w:ascii="Times New Roman" w:hAnsi="Times New Roman" w:eastAsia="宋体" w:cs="Times New Roman"/>
                <w:color w:val="000000"/>
                <w:szCs w:val="21"/>
              </w:rPr>
              <w:t>300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szCs w:val="21"/>
              </w:rPr>
            </w:pPr>
            <w:r>
              <w:rPr>
                <w:rFonts w:ascii="Times New Roman" w:hAnsi="Times New Roman" w:eastAsia="宋体" w:cs="Times New Roman"/>
                <w:color w:val="000000"/>
                <w:szCs w:val="21"/>
              </w:rPr>
              <w:t>300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szCs w:val="21"/>
              </w:rPr>
            </w:pPr>
            <w:r>
              <w:rPr>
                <w:rFonts w:ascii="Times New Roman" w:hAnsi="Times New Roman" w:eastAsia="宋体" w:cs="Times New Roman"/>
                <w:color w:val="00000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2.611667</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19.17884</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75.16722</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129.0644</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176.8896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4.41998E-05</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0.05721524</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5.966733</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32.28044</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80.29704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7.995274E-13</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6.001859E-06</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0.1323456</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4.41915</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27.30675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2.15085E-11</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0.0007742958</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0.319993</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6.831242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1.1608118E-06</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0.012001541</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1.241967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4.732005E-10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0.002311218</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0.162753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5.95876E-14</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2.259759E-06</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0.01528557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1.117124E-08</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0.001024717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2.970921E-11</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4.888824E-05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1.665335E-14</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1.656195E-06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20m</w:t>
            </w:r>
          </w:p>
        </w:tc>
        <w:tc>
          <w:tcPr>
            <w:tcW w:w="153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64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bl>
    <w:p>
      <w:pPr>
        <w:spacing w:line="360" w:lineRule="auto"/>
        <w:jc w:val="center"/>
        <w:rPr>
          <w:rFonts w:ascii="Times New Roman" w:hAnsi="Times New Roman" w:eastAsia="宋体" w:cs="Times New Roman"/>
          <w:b/>
          <w:bCs/>
          <w:color w:val="000000"/>
          <w:sz w:val="24"/>
          <w:szCs w:val="24"/>
        </w:rPr>
      </w:pPr>
    </w:p>
    <w:p>
      <w:pPr>
        <w:spacing w:line="360" w:lineRule="auto"/>
        <w:jc w:val="center"/>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表5.2-8  氨氮污染物运移范围预测结果表</w:t>
      </w:r>
    </w:p>
    <w:tbl>
      <w:tblPr>
        <w:tblStyle w:val="1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52"/>
        <w:gridCol w:w="1438"/>
        <w:gridCol w:w="1418"/>
        <w:gridCol w:w="1743"/>
        <w:gridCol w:w="1527"/>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时间</w:t>
            </w:r>
          </w:p>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距离</w:t>
            </w:r>
          </w:p>
        </w:tc>
        <w:tc>
          <w:tcPr>
            <w:tcW w:w="1438"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1h</w:t>
            </w:r>
          </w:p>
        </w:tc>
        <w:tc>
          <w:tcPr>
            <w:tcW w:w="1418"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2h</w:t>
            </w:r>
          </w:p>
        </w:tc>
        <w:tc>
          <w:tcPr>
            <w:tcW w:w="1743"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5h</w:t>
            </w:r>
          </w:p>
        </w:tc>
        <w:tc>
          <w:tcPr>
            <w:tcW w:w="1527"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10h</w:t>
            </w:r>
          </w:p>
        </w:tc>
        <w:tc>
          <w:tcPr>
            <w:tcW w:w="14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0m</w:t>
            </w:r>
          </w:p>
        </w:tc>
        <w:tc>
          <w:tcPr>
            <w:tcW w:w="1438"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80</w:t>
            </w:r>
          </w:p>
        </w:tc>
        <w:tc>
          <w:tcPr>
            <w:tcW w:w="1418"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80</w:t>
            </w:r>
          </w:p>
        </w:tc>
        <w:tc>
          <w:tcPr>
            <w:tcW w:w="1743"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0.5223334</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3.865393</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15.03344</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25.81287</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35.37792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8.299959E-06</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0.01175773</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1.193347</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6.456087</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16.05941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3m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1.599055E-13</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1.273467E-06</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0.02646912</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0.8838301</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5.461351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4m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4.772786E-12</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0.0001548592</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0.06399987</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1.366248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5m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2.321636E-07</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0.002403082</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0.2483934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6m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9.464011E-10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4.622437E-05</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0.03255061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7m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1.191752E-14</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4.519518E-07</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0.003057114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8m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2.234247E-09</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0.0002049434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5.941841E-12</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9.777647E-06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3.330669E-15</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3.312389E-07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20m</w:t>
            </w:r>
          </w:p>
        </w:tc>
        <w:tc>
          <w:tcPr>
            <w:tcW w:w="143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18"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7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52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c>
          <w:tcPr>
            <w:tcW w:w="1465"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p>
        </w:tc>
      </w:tr>
    </w:tbl>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综上分析可知，项目区域地下第一、二土层分别为素填土、粘土层，渗透性能较差，弥散系数较小。在非正常排放情况下发生废水泄露后进入地下污染地下水，1h时间内，污染可控制在3m范围内，因此只要加强管理，尤其生活废水做好相应防渗措施后，项目的实施对当地地下水影响较小。</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5）地下水防治措施</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（1）场区防渗要求</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对场区严格划分污染区和非污染区，根据污染性质的不同，防渗区分为一般防渗结构区、重点防渗结构区和简单防渗区。</w:t>
      </w:r>
    </w:p>
    <w:p>
      <w:pPr>
        <w:spacing w:line="360" w:lineRule="auto"/>
        <w:ind w:firstLine="480" w:firstLineChars="200"/>
        <w:rPr>
          <w:rFonts w:ascii="Times New Roman" w:hAnsi="Times New Roman" w:eastAsia="宋体" w:cs="Times New Roman"/>
          <w:color w:val="000000"/>
          <w:sz w:val="24"/>
          <w:szCs w:val="24"/>
        </w:rPr>
      </w:pPr>
      <w:r>
        <w:rPr>
          <w:rFonts w:hint="eastAsia" w:ascii="宋体" w:hAnsi="宋体" w:eastAsia="宋体" w:cs="宋体"/>
          <w:color w:val="000000"/>
          <w:sz w:val="24"/>
          <w:szCs w:val="24"/>
        </w:rPr>
        <w:t>①</w:t>
      </w:r>
      <w:r>
        <w:rPr>
          <w:rFonts w:ascii="Times New Roman" w:hAnsi="Times New Roman" w:eastAsia="宋体" w:cs="Times New Roman"/>
          <w:color w:val="000000"/>
          <w:sz w:val="24"/>
          <w:szCs w:val="24"/>
        </w:rPr>
        <w:t>一般防渗区</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一般防渗区包括生活区隔油池、化粪池</w:t>
      </w:r>
      <w:r>
        <w:rPr>
          <w:rFonts w:hint="eastAsia" w:ascii="Times New Roman" w:hAnsi="Times New Roman" w:eastAsia="宋体" w:cs="Times New Roman"/>
          <w:color w:val="FF0000"/>
          <w:sz w:val="24"/>
          <w:szCs w:val="24"/>
        </w:rPr>
        <w:t>、一体化污水处理站、造纸废水循环水池、水膜除尘废水循环水池、应急水池</w:t>
      </w:r>
      <w:r>
        <w:rPr>
          <w:rFonts w:ascii="Times New Roman" w:hAnsi="Times New Roman" w:eastAsia="宋体" w:cs="Times New Roman"/>
          <w:color w:val="FF0000"/>
          <w:sz w:val="24"/>
          <w:szCs w:val="24"/>
        </w:rPr>
        <w:t>等。防渗要求为：等效粘土防渗层Mb≥1.5m，渗透系数≤1×10</w:t>
      </w:r>
      <w:r>
        <w:rPr>
          <w:rFonts w:ascii="Times New Roman" w:hAnsi="Times New Roman" w:eastAsia="宋体" w:cs="Times New Roman"/>
          <w:color w:val="FF0000"/>
          <w:sz w:val="24"/>
          <w:szCs w:val="24"/>
          <w:vertAlign w:val="superscript"/>
        </w:rPr>
        <w:t>-7</w:t>
      </w:r>
      <w:r>
        <w:rPr>
          <w:rFonts w:ascii="Times New Roman" w:hAnsi="Times New Roman" w:eastAsia="宋体" w:cs="Times New Roman"/>
          <w:color w:val="FF0000"/>
          <w:sz w:val="24"/>
          <w:szCs w:val="24"/>
        </w:rPr>
        <w:t xml:space="preserve"> cm/s。</w:t>
      </w:r>
    </w:p>
    <w:p>
      <w:pPr>
        <w:spacing w:line="360" w:lineRule="auto"/>
        <w:ind w:firstLine="480" w:firstLineChars="200"/>
        <w:rPr>
          <w:rFonts w:ascii="Times New Roman" w:hAnsi="Times New Roman" w:eastAsia="宋体" w:cs="Times New Roman"/>
          <w:color w:val="000000"/>
          <w:sz w:val="24"/>
          <w:szCs w:val="24"/>
        </w:rPr>
      </w:pPr>
      <w:r>
        <w:rPr>
          <w:rFonts w:hint="eastAsia" w:ascii="宋体" w:hAnsi="宋体" w:eastAsia="宋体" w:cs="宋体"/>
          <w:color w:val="000000"/>
          <w:sz w:val="24"/>
          <w:szCs w:val="24"/>
        </w:rPr>
        <w:t>②</w:t>
      </w:r>
      <w:r>
        <w:rPr>
          <w:rFonts w:ascii="Times New Roman" w:hAnsi="Times New Roman" w:eastAsia="宋体" w:cs="Times New Roman"/>
          <w:color w:val="000000"/>
          <w:sz w:val="24"/>
          <w:szCs w:val="24"/>
        </w:rPr>
        <w:t>简单防渗区</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除上述区域外，按常规建筑结构要求进行地面硬化处理。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（2）其它措施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①</w:t>
      </w:r>
      <w:r>
        <w:rPr>
          <w:rFonts w:ascii="宋体" w:hAnsi="宋体" w:eastAsia="宋体" w:cs="宋体"/>
          <w:color w:val="000000"/>
          <w:sz w:val="24"/>
          <w:szCs w:val="24"/>
        </w:rPr>
        <w:t>所有设备、管道、池子等的布置、安装、维修和维护要符合行业标准，采取必要的防渗漏措施。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②</w:t>
      </w:r>
      <w:r>
        <w:rPr>
          <w:rFonts w:ascii="宋体" w:hAnsi="宋体" w:eastAsia="宋体" w:cs="宋体"/>
          <w:color w:val="000000"/>
          <w:sz w:val="24"/>
          <w:szCs w:val="24"/>
        </w:rPr>
        <w:t>设施的管理、维修要有专人负责，并与环保考核挂钩。</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6）地下水环境监测与管理</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建设单位应委托有资质的单位定期对地下水水质进行监测，以掌握场区及周围地下水水质的动态变化，为及时应对地下水污染提供依据，确保建设项目的生产运行不会影响地下水环境。</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根据《环境影响评价技术导则  地下水环境》（HJ 610-2016）11.3地下水环境监测和管理：11.3.2.1跟踪监测点数量要求：b）三级评价的建设项目，一般不少于1个，应至少在建设项目场地下游方向布置一个。所以具体监测方案如下：</w:t>
      </w:r>
    </w:p>
    <w:p>
      <w:pPr>
        <w:spacing w:line="360" w:lineRule="auto"/>
        <w:ind w:firstLine="480" w:firstLineChars="200"/>
        <w:rPr>
          <w:rFonts w:ascii="宋体" w:hAnsi="宋体" w:eastAsia="宋体" w:cs="宋体"/>
          <w:color w:val="000000"/>
          <w:sz w:val="24"/>
          <w:szCs w:val="24"/>
        </w:rPr>
      </w:pPr>
      <w:r>
        <w:rPr>
          <w:rFonts w:ascii="Times New Roman" w:hAnsi="Times New Roman" w:eastAsia="宋体" w:cs="Times New Roman"/>
          <w:color w:val="000000"/>
          <w:sz w:val="24"/>
          <w:szCs w:val="24"/>
        </w:rPr>
        <w:t>（</w:t>
      </w:r>
      <w:r>
        <w:rPr>
          <w:rFonts w:ascii="宋体" w:hAnsi="宋体" w:eastAsia="宋体" w:cs="宋体"/>
          <w:color w:val="000000"/>
          <w:sz w:val="24"/>
          <w:szCs w:val="24"/>
        </w:rPr>
        <w:t>1）监测点布设（1个）：根据场区地下水流向：</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以项目小雷宰村水井为监测井，取水样水井进行跟踪监测。</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（2）监测项目：COD、氨氮类。</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（3）监测频次：建议每年监测 1 次。</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（4）将每次的监测数据及时进行统计、整理，并将每次的监测结果与相关标准及历史监测结果进行比较，以分析地下水水质各项指标的变化。</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5）在日常例行监测中，一旦发现地下水水质监测数据异常，应尽快核查数据，确保数据的正确性。并将核查过的监测数据通告建设单位环保部门，由专人负责对数据进行分析、核实，并密切关注生产设施的运行情况，为防止地下水污染采取措施提供正确的依据。</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7）地下水应急预案和应急处置</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非正常状况发生后，迅速成立由当地环保局牵头，公安、交通、消防、安全、卫生等部门参与的协调领导小组，启动应急预案，组织有关技术人员赴现场勘查、分析情况、开展监测，制定解决消除污染方案。</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（2）制定应急监测方案，确定对所受污染地段的上下游地表水和地下水进行加密监测，密切关注污染动向，及时向协调领导小组通报监测结果，作为应急处理决策的直接支持。</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8）地下水影响结论</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综合以上分析，项目在认真落实采取本次评价提出的防渗措施及管理要求后，项目建设对地下水水质影响较小。项目建设对地下水环境影响是可控的。</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271" w:name="_Toc12219"/>
      <w:bookmarkStart w:id="272" w:name="_Toc23843369"/>
      <w:r>
        <w:rPr>
          <w:rFonts w:hint="eastAsia" w:ascii="Times New Roman" w:hAnsi="Times New Roman" w:eastAsia="宋体" w:cs="Times New Roman"/>
          <w:b/>
          <w:bCs/>
          <w:sz w:val="24"/>
          <w:szCs w:val="32"/>
        </w:rPr>
        <w:t>5.2.4运营期噪声环境影响分析</w:t>
      </w:r>
      <w:bookmarkEnd w:id="271"/>
      <w:bookmarkEnd w:id="272"/>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1、噪声源强</w:t>
      </w:r>
    </w:p>
    <w:p>
      <w:pPr>
        <w:spacing w:line="360" w:lineRule="auto"/>
        <w:ind w:firstLine="480" w:firstLineChars="200"/>
        <w:rPr>
          <w:rFonts w:ascii="Times New Roman" w:hAnsi="宋体" w:eastAsia="宋体" w:cs="Times New Roman"/>
          <w:sz w:val="24"/>
          <w:szCs w:val="28"/>
        </w:rPr>
      </w:pPr>
      <w:r>
        <w:rPr>
          <w:rFonts w:hint="eastAsia" w:ascii="Times New Roman" w:hAnsi="Times New Roman" w:eastAsia="宋体" w:cs="Times New Roman"/>
          <w:sz w:val="24"/>
        </w:rPr>
        <w:t>本项目产生的噪声源主要为</w:t>
      </w:r>
      <w:r>
        <w:rPr>
          <w:rFonts w:hint="eastAsia" w:ascii="Times New Roman" w:hAnsi="宋体" w:eastAsia="宋体" w:cs="Times New Roman"/>
          <w:sz w:val="24"/>
          <w:szCs w:val="28"/>
        </w:rPr>
        <w:t>造纸机、双盘磨机、立式精浆除砂机、水力碎浆机及其它浆泵设备等，本项目噪声声级范围80~100dB（A）。噪声源情况详见表3.2-8。</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2、噪声预测模式预测参数</w:t>
      </w:r>
    </w:p>
    <w:p>
      <w:pPr>
        <w:spacing w:line="360" w:lineRule="auto"/>
        <w:ind w:firstLine="480" w:firstLineChars="200"/>
        <w:rPr>
          <w:rFonts w:ascii="Times New Roman" w:hAnsi="宋体" w:eastAsia="宋体" w:cs="Times New Roman"/>
          <w:sz w:val="24"/>
          <w:szCs w:val="28"/>
        </w:rPr>
      </w:pPr>
      <w:r>
        <w:rPr>
          <w:rFonts w:hint="eastAsia" w:ascii="Times New Roman" w:hAnsi="宋体" w:eastAsia="宋体" w:cs="Times New Roman"/>
          <w:sz w:val="24"/>
          <w:szCs w:val="28"/>
        </w:rPr>
        <w:t>根据《环境影响评价技术导则  声环境》（HJ2.4-2009），无指向性点声源几何发散衰减按下列公式计算：</w:t>
      </w:r>
    </w:p>
    <w:p>
      <w:pPr>
        <w:spacing w:line="360" w:lineRule="auto"/>
        <w:ind w:firstLine="480" w:firstLineChars="200"/>
        <w:rPr>
          <w:rFonts w:ascii="Times New Roman" w:hAnsi="宋体" w:eastAsia="宋体" w:cs="Times New Roman"/>
          <w:sz w:val="24"/>
          <w:szCs w:val="28"/>
        </w:rPr>
      </w:pPr>
      <w:r>
        <w:rPr>
          <w:rFonts w:hint="eastAsia" w:ascii="Times New Roman" w:hAnsi="宋体" w:eastAsia="宋体" w:cs="Times New Roman"/>
          <w:sz w:val="24"/>
          <w:szCs w:val="28"/>
        </w:rPr>
        <w:t>点声源噪声距离衰减公式：</w:t>
      </w:r>
    </w:p>
    <w:p>
      <w:pPr>
        <w:spacing w:line="360" w:lineRule="auto"/>
        <w:ind w:firstLine="600" w:firstLineChars="200"/>
        <w:jc w:val="center"/>
        <w:rPr>
          <w:rFonts w:ascii="Times New Roman" w:hAnsi="Times New Roman" w:eastAsia="宋体" w:cs="Times New Roman"/>
          <w:sz w:val="30"/>
          <w:szCs w:val="30"/>
        </w:rPr>
      </w:pPr>
      <w:bookmarkStart w:id="273" w:name="_Toc17004"/>
      <w:r>
        <w:rPr>
          <w:rFonts w:hint="eastAsia" w:ascii="Times New Roman" w:hAnsi="宋体" w:eastAsia="宋体" w:cs="Times New Roman"/>
          <w:i/>
          <w:sz w:val="30"/>
          <w:szCs w:val="30"/>
        </w:rPr>
        <w:t>L</w:t>
      </w:r>
      <w:r>
        <w:rPr>
          <w:rFonts w:hint="eastAsia" w:ascii="Times New Roman" w:hAnsi="宋体" w:eastAsia="宋体" w:cs="Times New Roman"/>
          <w:i/>
          <w:sz w:val="30"/>
          <w:szCs w:val="30"/>
          <w:vertAlign w:val="subscript"/>
        </w:rPr>
        <w:t>p</w:t>
      </w:r>
      <w:r>
        <w:rPr>
          <w:rFonts w:hint="eastAsia" w:ascii="Times New Roman" w:hAnsi="宋体" w:eastAsia="宋体" w:cs="Times New Roman"/>
          <w:sz w:val="30"/>
          <w:szCs w:val="30"/>
        </w:rPr>
        <w:t>（</w:t>
      </w:r>
      <w:r>
        <w:rPr>
          <w:rFonts w:hint="eastAsia" w:ascii="Times New Roman" w:hAnsi="宋体" w:eastAsia="宋体" w:cs="Times New Roman"/>
          <w:i/>
          <w:sz w:val="30"/>
          <w:szCs w:val="30"/>
        </w:rPr>
        <w:t>r</w:t>
      </w:r>
      <w:r>
        <w:rPr>
          <w:rFonts w:hint="eastAsia" w:ascii="Times New Roman" w:hAnsi="宋体" w:eastAsia="宋体" w:cs="Times New Roman"/>
          <w:sz w:val="30"/>
          <w:szCs w:val="30"/>
        </w:rPr>
        <w:t>）=</w:t>
      </w:r>
      <w:r>
        <w:rPr>
          <w:rFonts w:hint="eastAsia" w:ascii="Times New Roman" w:hAnsi="宋体" w:eastAsia="宋体" w:cs="Times New Roman"/>
          <w:i/>
          <w:sz w:val="30"/>
          <w:szCs w:val="30"/>
        </w:rPr>
        <w:t>L</w:t>
      </w:r>
      <w:r>
        <w:rPr>
          <w:rFonts w:hint="eastAsia" w:ascii="Times New Roman" w:hAnsi="宋体" w:eastAsia="宋体" w:cs="Times New Roman"/>
          <w:i/>
          <w:sz w:val="30"/>
          <w:szCs w:val="30"/>
          <w:vertAlign w:val="subscript"/>
        </w:rPr>
        <w:t>p</w:t>
      </w:r>
      <w:r>
        <w:rPr>
          <w:rFonts w:hint="eastAsia" w:ascii="Times New Roman" w:hAnsi="宋体" w:eastAsia="宋体" w:cs="Times New Roman"/>
          <w:sz w:val="30"/>
          <w:szCs w:val="30"/>
        </w:rPr>
        <w:t>（</w:t>
      </w:r>
      <w:r>
        <w:rPr>
          <w:rFonts w:hint="eastAsia" w:ascii="Times New Roman" w:hAnsi="宋体" w:eastAsia="宋体" w:cs="Times New Roman"/>
          <w:i/>
          <w:sz w:val="30"/>
          <w:szCs w:val="30"/>
        </w:rPr>
        <w:t>r</w:t>
      </w:r>
      <w:r>
        <w:rPr>
          <w:rFonts w:hint="eastAsia" w:ascii="Times New Roman" w:hAnsi="宋体" w:eastAsia="宋体" w:cs="Times New Roman"/>
          <w:i/>
          <w:sz w:val="30"/>
          <w:szCs w:val="30"/>
          <w:vertAlign w:val="subscript"/>
        </w:rPr>
        <w:t>0</w:t>
      </w:r>
      <w:r>
        <w:rPr>
          <w:rFonts w:hint="eastAsia" w:ascii="Times New Roman" w:hAnsi="宋体" w:eastAsia="宋体" w:cs="Times New Roman"/>
          <w:sz w:val="30"/>
          <w:szCs w:val="30"/>
        </w:rPr>
        <w:t>）</w:t>
      </w:r>
      <w:r>
        <w:rPr>
          <w:rFonts w:hint="eastAsia" w:ascii="宋体" w:hAnsi="宋体" w:eastAsia="宋体" w:cs="Times New Roman"/>
          <w:sz w:val="30"/>
          <w:szCs w:val="30"/>
        </w:rPr>
        <w:t>–</w:t>
      </w:r>
      <w:r>
        <w:rPr>
          <w:rFonts w:hint="eastAsia" w:ascii="Times New Roman" w:hAnsi="宋体" w:eastAsia="宋体" w:cs="Times New Roman"/>
          <w:sz w:val="30"/>
          <w:szCs w:val="30"/>
        </w:rPr>
        <w:t>20lg（</w:t>
      </w:r>
      <w:r>
        <w:rPr>
          <w:rFonts w:hint="eastAsia" w:ascii="Times New Roman" w:hAnsi="宋体" w:eastAsia="宋体" w:cs="Times New Roman"/>
          <w:i/>
          <w:sz w:val="30"/>
          <w:szCs w:val="30"/>
        </w:rPr>
        <w:t>r/r</w:t>
      </w:r>
      <w:r>
        <w:rPr>
          <w:rFonts w:hint="eastAsia" w:ascii="Times New Roman" w:hAnsi="宋体" w:eastAsia="宋体" w:cs="Times New Roman"/>
          <w:i/>
          <w:sz w:val="30"/>
          <w:szCs w:val="30"/>
          <w:vertAlign w:val="subscript"/>
        </w:rPr>
        <w:t>0</w:t>
      </w:r>
      <w:r>
        <w:rPr>
          <w:rFonts w:hint="eastAsia" w:ascii="Times New Roman" w:hAnsi="宋体" w:eastAsia="宋体" w:cs="Times New Roman"/>
          <w:sz w:val="30"/>
          <w:szCs w:val="30"/>
        </w:rPr>
        <w:t>）</w:t>
      </w:r>
      <w:r>
        <w:rPr>
          <w:rFonts w:hint="eastAsia" w:ascii="宋体" w:hAnsi="宋体" w:eastAsia="宋体" w:cs="Times New Roman"/>
          <w:sz w:val="30"/>
          <w:szCs w:val="30"/>
        </w:rPr>
        <w:t>–</w:t>
      </w:r>
      <w:r>
        <w:rPr>
          <w:rFonts w:ascii="Times New Roman" w:hAnsi="Times New Roman" w:eastAsia="宋体" w:cs="Times New Roman"/>
          <w:sz w:val="30"/>
          <w:szCs w:val="30"/>
        </w:rPr>
        <w:t>Δ</w:t>
      </w:r>
      <w:r>
        <w:rPr>
          <w:rFonts w:hint="eastAsia" w:ascii="Times New Roman" w:hAnsi="Times New Roman" w:eastAsia="宋体" w:cs="Times New Roman"/>
          <w:sz w:val="30"/>
          <w:szCs w:val="30"/>
        </w:rPr>
        <w:t>L</w:t>
      </w:r>
      <w:bookmarkEnd w:id="273"/>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式中：</w:t>
      </w:r>
      <w:r>
        <w:rPr>
          <w:rFonts w:hint="eastAsia" w:ascii="Times New Roman" w:hAnsi="Times New Roman" w:eastAsia="宋体" w:cs="Times New Roman"/>
          <w:i/>
          <w:sz w:val="24"/>
          <w:szCs w:val="28"/>
        </w:rPr>
        <w:t>L</w:t>
      </w:r>
      <w:r>
        <w:rPr>
          <w:rFonts w:hint="eastAsia" w:ascii="Times New Roman" w:hAnsi="Times New Roman" w:eastAsia="宋体" w:cs="Times New Roman"/>
          <w:i/>
          <w:sz w:val="24"/>
          <w:szCs w:val="28"/>
          <w:vertAlign w:val="subscript"/>
        </w:rPr>
        <w:t>p</w:t>
      </w:r>
      <w:r>
        <w:rPr>
          <w:rFonts w:hint="eastAsia" w:ascii="Times New Roman" w:hAnsi="Times New Roman" w:eastAsia="宋体" w:cs="Times New Roman"/>
          <w:sz w:val="24"/>
          <w:szCs w:val="28"/>
        </w:rPr>
        <w:t>（</w:t>
      </w:r>
      <w:r>
        <w:rPr>
          <w:rFonts w:hint="eastAsia" w:ascii="Times New Roman" w:hAnsi="Times New Roman" w:eastAsia="宋体" w:cs="Times New Roman"/>
          <w:i/>
          <w:sz w:val="24"/>
          <w:szCs w:val="28"/>
        </w:rPr>
        <w:t>r</w:t>
      </w:r>
      <w:r>
        <w:rPr>
          <w:rFonts w:hint="eastAsia" w:ascii="Times New Roman" w:hAnsi="Times New Roman" w:eastAsia="宋体" w:cs="Times New Roman"/>
          <w:sz w:val="24"/>
          <w:szCs w:val="28"/>
        </w:rPr>
        <w:t>）</w:t>
      </w:r>
      <w:r>
        <w:rPr>
          <w:rFonts w:ascii="Times New Roman" w:hAnsi="Times New Roman" w:eastAsia="宋体" w:cs="Times New Roman"/>
          <w:sz w:val="24"/>
          <w:szCs w:val="28"/>
        </w:rPr>
        <w:t>——</w:t>
      </w:r>
      <w:r>
        <w:rPr>
          <w:rFonts w:hint="eastAsia" w:ascii="Times New Roman" w:hAnsi="Times New Roman" w:eastAsia="宋体" w:cs="Times New Roman"/>
          <w:sz w:val="24"/>
          <w:szCs w:val="28"/>
        </w:rPr>
        <w:t>预测点噪声值，dB；</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 xml:space="preserve">      </w:t>
      </w:r>
      <w:r>
        <w:rPr>
          <w:rFonts w:hint="eastAsia" w:ascii="Times New Roman" w:hAnsi="Times New Roman" w:eastAsia="宋体" w:cs="Times New Roman"/>
          <w:i/>
          <w:sz w:val="24"/>
          <w:szCs w:val="28"/>
        </w:rPr>
        <w:t>L</w:t>
      </w:r>
      <w:r>
        <w:rPr>
          <w:rFonts w:hint="eastAsia" w:ascii="Times New Roman" w:hAnsi="Times New Roman" w:eastAsia="宋体" w:cs="Times New Roman"/>
          <w:i/>
          <w:sz w:val="24"/>
          <w:szCs w:val="28"/>
          <w:vertAlign w:val="subscript"/>
        </w:rPr>
        <w:t>p</w:t>
      </w:r>
      <w:r>
        <w:rPr>
          <w:rFonts w:hint="eastAsia" w:ascii="Times New Roman" w:hAnsi="Times New Roman" w:eastAsia="宋体" w:cs="Times New Roman"/>
          <w:sz w:val="24"/>
          <w:szCs w:val="28"/>
        </w:rPr>
        <w:t>（</w:t>
      </w:r>
      <w:r>
        <w:rPr>
          <w:rFonts w:hint="eastAsia" w:ascii="Times New Roman" w:hAnsi="Times New Roman" w:eastAsia="宋体" w:cs="Times New Roman"/>
          <w:i/>
          <w:sz w:val="24"/>
          <w:szCs w:val="28"/>
        </w:rPr>
        <w:t>r</w:t>
      </w:r>
      <w:r>
        <w:rPr>
          <w:rFonts w:hint="eastAsia" w:ascii="Times New Roman" w:hAnsi="Times New Roman" w:eastAsia="宋体" w:cs="Times New Roman"/>
          <w:i/>
          <w:sz w:val="24"/>
          <w:szCs w:val="28"/>
          <w:vertAlign w:val="subscript"/>
        </w:rPr>
        <w:t>0</w:t>
      </w:r>
      <w:r>
        <w:rPr>
          <w:rFonts w:hint="eastAsia" w:ascii="Times New Roman" w:hAnsi="Times New Roman" w:eastAsia="宋体" w:cs="Times New Roman"/>
          <w:sz w:val="24"/>
          <w:szCs w:val="28"/>
        </w:rPr>
        <w:t>）</w:t>
      </w:r>
      <w:r>
        <w:rPr>
          <w:rFonts w:ascii="Times New Roman" w:hAnsi="Times New Roman" w:eastAsia="宋体" w:cs="Times New Roman"/>
          <w:sz w:val="24"/>
          <w:szCs w:val="28"/>
        </w:rPr>
        <w:t>——</w:t>
      </w:r>
      <w:r>
        <w:rPr>
          <w:rFonts w:hint="eastAsia" w:ascii="Times New Roman" w:hAnsi="Times New Roman" w:eastAsia="宋体" w:cs="Times New Roman"/>
          <w:sz w:val="24"/>
          <w:szCs w:val="28"/>
        </w:rPr>
        <w:t>参照点的噪声值，dB；</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 xml:space="preserve">      </w:t>
      </w:r>
      <w:bookmarkStart w:id="274" w:name="_Toc27845"/>
      <w:r>
        <w:rPr>
          <w:rFonts w:hint="eastAsia" w:ascii="Times New Roman" w:hAnsi="Times New Roman" w:eastAsia="宋体" w:cs="Times New Roman"/>
          <w:i/>
          <w:sz w:val="24"/>
          <w:szCs w:val="28"/>
        </w:rPr>
        <w:t>r、r</w:t>
      </w:r>
      <w:r>
        <w:rPr>
          <w:rFonts w:hint="eastAsia" w:ascii="Times New Roman" w:hAnsi="Times New Roman" w:eastAsia="宋体" w:cs="Times New Roman"/>
          <w:i/>
          <w:sz w:val="24"/>
          <w:szCs w:val="28"/>
          <w:vertAlign w:val="subscript"/>
        </w:rPr>
        <w:t>0</w:t>
      </w:r>
      <w:r>
        <w:rPr>
          <w:rFonts w:ascii="Times New Roman" w:hAnsi="Times New Roman" w:eastAsia="宋体" w:cs="Times New Roman"/>
          <w:sz w:val="24"/>
          <w:szCs w:val="28"/>
        </w:rPr>
        <w:t>——</w:t>
      </w:r>
      <w:r>
        <w:rPr>
          <w:rFonts w:hint="eastAsia" w:ascii="Times New Roman" w:hAnsi="Times New Roman" w:eastAsia="宋体" w:cs="Times New Roman"/>
          <w:sz w:val="24"/>
          <w:szCs w:val="28"/>
        </w:rPr>
        <w:t>预测点、参照点到噪声源处的距离，m；</w:t>
      </w:r>
      <w:bookmarkEnd w:id="274"/>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szCs w:val="28"/>
        </w:rPr>
        <w:t xml:space="preserve">    </w:t>
      </w:r>
      <w:r>
        <w:rPr>
          <w:rFonts w:ascii="Times New Roman" w:hAnsi="Times New Roman" w:eastAsia="宋体" w:cs="Times New Roman"/>
          <w:sz w:val="24"/>
          <w:szCs w:val="28"/>
        </w:rPr>
        <w:t xml:space="preserve">  Δ</w:t>
      </w:r>
      <w:r>
        <w:rPr>
          <w:rFonts w:hint="eastAsia" w:ascii="Times New Roman" w:hAnsi="Times New Roman" w:eastAsia="宋体" w:cs="Times New Roman"/>
          <w:sz w:val="24"/>
          <w:szCs w:val="28"/>
        </w:rPr>
        <w:t>L</w:t>
      </w:r>
      <w:r>
        <w:rPr>
          <w:rFonts w:ascii="Times New Roman" w:hAnsi="Times New Roman" w:eastAsia="宋体" w:cs="Times New Roman"/>
          <w:sz w:val="24"/>
          <w:szCs w:val="28"/>
        </w:rPr>
        <w:t>——</w:t>
      </w:r>
      <w:r>
        <w:rPr>
          <w:rFonts w:hint="eastAsia" w:ascii="Times New Roman" w:hAnsi="Times New Roman" w:eastAsia="宋体" w:cs="Times New Roman"/>
          <w:sz w:val="24"/>
          <w:szCs w:val="28"/>
        </w:rPr>
        <w:t>其他衰减因素，取15dB（A）。</w:t>
      </w:r>
    </w:p>
    <w:p>
      <w:pPr>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rPr>
        <w:tab/>
      </w:r>
      <w:r>
        <w:rPr>
          <w:rFonts w:hint="eastAsia" w:ascii="Times New Roman" w:hAnsi="Times New Roman" w:eastAsia="宋体" w:cs="Times New Roman"/>
          <w:sz w:val="24"/>
          <w:szCs w:val="28"/>
        </w:rPr>
        <w:t>预测点的A声级叠加公式：</w:t>
      </w:r>
    </w:p>
    <w:p>
      <w:pPr>
        <w:spacing w:line="360" w:lineRule="auto"/>
        <w:ind w:firstLine="600" w:firstLineChars="200"/>
        <w:jc w:val="center"/>
        <w:rPr>
          <w:rFonts w:ascii="Times New Roman" w:hAnsi="Times New Roman" w:eastAsia="宋体" w:cs="Times New Roman"/>
          <w:sz w:val="30"/>
          <w:szCs w:val="30"/>
        </w:rPr>
      </w:pPr>
      <w:r>
        <w:rPr>
          <w:rFonts w:hint="eastAsia" w:ascii="Times New Roman" w:hAnsi="Times New Roman" w:eastAsia="宋体" w:cs="Times New Roman"/>
          <w:i/>
          <w:sz w:val="30"/>
          <w:szCs w:val="30"/>
        </w:rPr>
        <w:t>L</w:t>
      </w:r>
      <w:r>
        <w:rPr>
          <w:rFonts w:hint="eastAsia" w:ascii="Times New Roman" w:hAnsi="Times New Roman" w:eastAsia="宋体" w:cs="Times New Roman"/>
          <w:i/>
          <w:sz w:val="30"/>
          <w:szCs w:val="30"/>
          <w:vertAlign w:val="subscript"/>
        </w:rPr>
        <w:t>eqs</w:t>
      </w:r>
      <w:r>
        <w:rPr>
          <w:rFonts w:hint="eastAsia" w:ascii="Times New Roman" w:hAnsi="Times New Roman" w:eastAsia="宋体" w:cs="Times New Roman"/>
          <w:sz w:val="30"/>
          <w:szCs w:val="30"/>
        </w:rPr>
        <w:t>=10lg（</w:t>
      </w:r>
      <w:r>
        <w:rPr>
          <w:rFonts w:hint="eastAsia" w:ascii="Times New Roman" w:hAnsi="Times New Roman" w:eastAsia="宋体" w:cs="Times New Roman"/>
          <w:sz w:val="30"/>
          <w:szCs w:val="30"/>
          <w:vertAlign w:val="superscript"/>
        </w:rPr>
        <w:t>0.1</w:t>
      </w:r>
      <w:r>
        <w:rPr>
          <w:rFonts w:hint="eastAsia" w:ascii="Times New Roman" w:hAnsi="Times New Roman" w:eastAsia="宋体" w:cs="Times New Roman"/>
          <w:i/>
          <w:sz w:val="30"/>
          <w:szCs w:val="30"/>
          <w:vertAlign w:val="superscript"/>
        </w:rPr>
        <w:t>Leqi</w:t>
      </w:r>
      <w:r>
        <w:rPr>
          <w:rFonts w:hint="eastAsia" w:ascii="Times New Roman" w:hAnsi="Times New Roman" w:eastAsia="宋体" w:cs="Times New Roman"/>
          <w:sz w:val="30"/>
          <w:szCs w:val="30"/>
        </w:rPr>
        <w:t>）</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式中：</w:t>
      </w:r>
      <w:r>
        <w:rPr>
          <w:rFonts w:hint="eastAsia" w:ascii="Times New Roman" w:hAnsi="Times New Roman" w:eastAsia="宋体" w:cs="Times New Roman"/>
          <w:i/>
          <w:sz w:val="24"/>
          <w:szCs w:val="28"/>
        </w:rPr>
        <w:t>L</w:t>
      </w:r>
      <w:r>
        <w:rPr>
          <w:rFonts w:hint="eastAsia" w:ascii="Times New Roman" w:hAnsi="Times New Roman" w:eastAsia="宋体" w:cs="Times New Roman"/>
          <w:i/>
          <w:sz w:val="24"/>
          <w:szCs w:val="28"/>
          <w:vertAlign w:val="subscript"/>
        </w:rPr>
        <w:t>eqs</w:t>
      </w:r>
      <w:r>
        <w:rPr>
          <w:rFonts w:ascii="Times New Roman" w:hAnsi="Times New Roman" w:eastAsia="宋体" w:cs="Times New Roman"/>
          <w:sz w:val="24"/>
          <w:szCs w:val="28"/>
        </w:rPr>
        <w:t>——</w:t>
      </w:r>
      <w:r>
        <w:rPr>
          <w:rFonts w:hint="eastAsia" w:ascii="Times New Roman" w:hAnsi="Times New Roman" w:eastAsia="宋体" w:cs="Times New Roman"/>
          <w:sz w:val="24"/>
          <w:szCs w:val="28"/>
        </w:rPr>
        <w:t>预测点处的等级声效，dB（A）；</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 xml:space="preserve">     </w:t>
      </w:r>
      <w:r>
        <w:rPr>
          <w:rFonts w:hint="eastAsia" w:ascii="Times New Roman" w:hAnsi="Times New Roman" w:eastAsia="宋体" w:cs="Times New Roman"/>
          <w:i/>
          <w:sz w:val="24"/>
          <w:szCs w:val="28"/>
        </w:rPr>
        <w:t xml:space="preserve"> L</w:t>
      </w:r>
      <w:r>
        <w:rPr>
          <w:rFonts w:hint="eastAsia" w:ascii="Times New Roman" w:hAnsi="Times New Roman" w:eastAsia="宋体" w:cs="Times New Roman"/>
          <w:i/>
          <w:sz w:val="24"/>
          <w:szCs w:val="28"/>
          <w:vertAlign w:val="subscript"/>
        </w:rPr>
        <w:t>eqi</w:t>
      </w:r>
      <w:r>
        <w:rPr>
          <w:rFonts w:ascii="Times New Roman" w:hAnsi="Times New Roman" w:eastAsia="宋体" w:cs="Times New Roman"/>
          <w:sz w:val="24"/>
          <w:szCs w:val="28"/>
        </w:rPr>
        <w:t>——</w:t>
      </w:r>
      <w:r>
        <w:rPr>
          <w:rFonts w:hint="eastAsia" w:ascii="Times New Roman" w:hAnsi="Times New Roman" w:eastAsia="宋体" w:cs="Times New Roman"/>
          <w:sz w:val="24"/>
          <w:szCs w:val="28"/>
        </w:rPr>
        <w:t>第</w:t>
      </w:r>
      <w:r>
        <w:rPr>
          <w:rFonts w:hint="eastAsia" w:ascii="Times New Roman" w:hAnsi="Times New Roman" w:eastAsia="宋体" w:cs="Times New Roman"/>
          <w:i/>
          <w:sz w:val="24"/>
          <w:szCs w:val="28"/>
        </w:rPr>
        <w:t>i</w:t>
      </w:r>
      <w:r>
        <w:rPr>
          <w:rFonts w:hint="eastAsia" w:ascii="Times New Roman" w:hAnsi="Times New Roman" w:eastAsia="宋体" w:cs="Times New Roman"/>
          <w:sz w:val="24"/>
          <w:szCs w:val="28"/>
        </w:rPr>
        <w:t>个点声源对预测点的等级声效，dB（A）。</w:t>
      </w:r>
    </w:p>
    <w:p>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3、预测结果与分析</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项目运营期噪声源主要集中在生产车间，少部分产生于锅炉房、配电室及泵房。项目运营期主要设备噪声值见表5.2-</w:t>
      </w:r>
      <w:r>
        <w:rPr>
          <w:rFonts w:ascii="Times New Roman" w:hAnsi="Times New Roman" w:eastAsia="宋体" w:cs="Times New Roman"/>
          <w:sz w:val="24"/>
          <w:szCs w:val="28"/>
        </w:rPr>
        <w:t>9</w:t>
      </w:r>
      <w:r>
        <w:rPr>
          <w:rFonts w:hint="eastAsia" w:ascii="Times New Roman" w:hAnsi="Times New Roman" w:eastAsia="宋体" w:cs="Times New Roman"/>
          <w:sz w:val="24"/>
          <w:szCs w:val="28"/>
        </w:rPr>
        <w:t>。</w:t>
      </w:r>
    </w:p>
    <w:p>
      <w:pPr>
        <w:spacing w:line="360" w:lineRule="auto"/>
        <w:ind w:firstLine="482" w:firstLineChars="200"/>
        <w:jc w:val="center"/>
        <w:rPr>
          <w:rFonts w:ascii="Times New Roman" w:hAnsi="Times New Roman" w:eastAsia="宋体" w:cs="Times New Roman"/>
          <w:b/>
          <w:sz w:val="24"/>
          <w:szCs w:val="28"/>
        </w:rPr>
      </w:pPr>
      <w:r>
        <w:rPr>
          <w:rFonts w:hint="eastAsia" w:ascii="Times New Roman" w:hAnsi="Times New Roman" w:eastAsia="宋体" w:cs="Times New Roman"/>
          <w:b/>
          <w:sz w:val="24"/>
          <w:szCs w:val="28"/>
        </w:rPr>
        <w:t>表5.2-</w:t>
      </w:r>
      <w:r>
        <w:rPr>
          <w:rFonts w:ascii="Times New Roman" w:hAnsi="Times New Roman" w:eastAsia="宋体" w:cs="Times New Roman"/>
          <w:b/>
          <w:sz w:val="24"/>
          <w:szCs w:val="28"/>
        </w:rPr>
        <w:t>9</w:t>
      </w:r>
      <w:r>
        <w:rPr>
          <w:rFonts w:hint="eastAsia" w:ascii="Times New Roman" w:hAnsi="Times New Roman" w:eastAsia="宋体" w:cs="Times New Roman"/>
          <w:b/>
          <w:sz w:val="24"/>
          <w:szCs w:val="28"/>
        </w:rPr>
        <w:t xml:space="preserve">   项目运营期主要设备噪声值一览表  单位dB（A）</w:t>
      </w:r>
    </w:p>
    <w:tbl>
      <w:tblPr>
        <w:tblStyle w:val="45"/>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2268"/>
        <w:gridCol w:w="1701"/>
        <w:gridCol w:w="30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声源位置</w:t>
            </w:r>
          </w:p>
        </w:tc>
        <w:tc>
          <w:tcPr>
            <w:tcW w:w="2268"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噪声源名称</w:t>
            </w:r>
          </w:p>
        </w:tc>
        <w:tc>
          <w:tcPr>
            <w:tcW w:w="1701"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强度dB（A）</w:t>
            </w:r>
          </w:p>
        </w:tc>
        <w:tc>
          <w:tcPr>
            <w:tcW w:w="3033"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降噪措施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生产车间</w:t>
            </w:r>
          </w:p>
        </w:tc>
        <w:tc>
          <w:tcPr>
            <w:tcW w:w="2268"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造纸机</w:t>
            </w:r>
          </w:p>
        </w:tc>
        <w:tc>
          <w:tcPr>
            <w:tcW w:w="17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76</w:t>
            </w:r>
          </w:p>
        </w:tc>
        <w:tc>
          <w:tcPr>
            <w:tcW w:w="3033"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减震、厂房隔音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Merge w:val="continue"/>
            <w:vAlign w:val="center"/>
          </w:tcPr>
          <w:p>
            <w:pPr>
              <w:spacing w:line="240" w:lineRule="atLeast"/>
              <w:jc w:val="center"/>
              <w:rPr>
                <w:rFonts w:ascii="Times New Roman" w:hAnsi="Times New Roman" w:eastAsia="宋体" w:cs="Times New Roman"/>
                <w:kern w:val="0"/>
                <w:szCs w:val="28"/>
              </w:rPr>
            </w:pPr>
          </w:p>
        </w:tc>
        <w:tc>
          <w:tcPr>
            <w:tcW w:w="2268"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双盘磨机</w:t>
            </w:r>
          </w:p>
        </w:tc>
        <w:tc>
          <w:tcPr>
            <w:tcW w:w="17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74</w:t>
            </w:r>
          </w:p>
        </w:tc>
        <w:tc>
          <w:tcPr>
            <w:tcW w:w="3033"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减震、厂房隔音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Merge w:val="continue"/>
            <w:vAlign w:val="center"/>
          </w:tcPr>
          <w:p>
            <w:pPr>
              <w:spacing w:line="240" w:lineRule="atLeast"/>
              <w:jc w:val="center"/>
              <w:rPr>
                <w:rFonts w:ascii="Times New Roman" w:hAnsi="Times New Roman" w:eastAsia="宋体" w:cs="Times New Roman"/>
                <w:kern w:val="0"/>
                <w:szCs w:val="28"/>
              </w:rPr>
            </w:pPr>
          </w:p>
        </w:tc>
        <w:tc>
          <w:tcPr>
            <w:tcW w:w="2268"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立式精浆除砂机</w:t>
            </w:r>
          </w:p>
        </w:tc>
        <w:tc>
          <w:tcPr>
            <w:tcW w:w="17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82</w:t>
            </w:r>
          </w:p>
        </w:tc>
        <w:tc>
          <w:tcPr>
            <w:tcW w:w="3033"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减震、厂房隔音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Merge w:val="continue"/>
            <w:vAlign w:val="center"/>
          </w:tcPr>
          <w:p>
            <w:pPr>
              <w:spacing w:line="240" w:lineRule="atLeast"/>
              <w:jc w:val="center"/>
              <w:rPr>
                <w:rFonts w:ascii="Times New Roman" w:hAnsi="Times New Roman" w:eastAsia="宋体" w:cs="Times New Roman"/>
                <w:kern w:val="0"/>
                <w:szCs w:val="28"/>
              </w:rPr>
            </w:pPr>
          </w:p>
        </w:tc>
        <w:tc>
          <w:tcPr>
            <w:tcW w:w="2268"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水力碎浆机</w:t>
            </w:r>
          </w:p>
        </w:tc>
        <w:tc>
          <w:tcPr>
            <w:tcW w:w="17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71</w:t>
            </w:r>
          </w:p>
        </w:tc>
        <w:tc>
          <w:tcPr>
            <w:tcW w:w="3033"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减震、厂房隔音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锅炉房</w:t>
            </w:r>
          </w:p>
        </w:tc>
        <w:tc>
          <w:tcPr>
            <w:tcW w:w="2268"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水膜除尘器</w:t>
            </w:r>
          </w:p>
        </w:tc>
        <w:tc>
          <w:tcPr>
            <w:tcW w:w="17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65</w:t>
            </w:r>
          </w:p>
        </w:tc>
        <w:tc>
          <w:tcPr>
            <w:tcW w:w="3033"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消音装置、减震、厂房隔音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Merge w:val="continue"/>
            <w:vAlign w:val="center"/>
          </w:tcPr>
          <w:p>
            <w:pPr>
              <w:spacing w:line="240" w:lineRule="atLeast"/>
              <w:jc w:val="center"/>
              <w:rPr>
                <w:rFonts w:ascii="Times New Roman" w:hAnsi="Times New Roman" w:eastAsia="宋体" w:cs="Times New Roman"/>
                <w:kern w:val="0"/>
                <w:szCs w:val="28"/>
              </w:rPr>
            </w:pPr>
          </w:p>
        </w:tc>
        <w:tc>
          <w:tcPr>
            <w:tcW w:w="2268"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风机</w:t>
            </w:r>
          </w:p>
        </w:tc>
        <w:tc>
          <w:tcPr>
            <w:tcW w:w="17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65</w:t>
            </w:r>
          </w:p>
        </w:tc>
        <w:tc>
          <w:tcPr>
            <w:tcW w:w="3033"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kern w:val="0"/>
                <w:szCs w:val="28"/>
              </w:rPr>
              <w:t>消音装置、减震、厂房隔音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泵房</w:t>
            </w:r>
          </w:p>
        </w:tc>
        <w:tc>
          <w:tcPr>
            <w:tcW w:w="2268"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水泵</w:t>
            </w:r>
          </w:p>
        </w:tc>
        <w:tc>
          <w:tcPr>
            <w:tcW w:w="17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71</w:t>
            </w:r>
          </w:p>
        </w:tc>
        <w:tc>
          <w:tcPr>
            <w:tcW w:w="3033"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消音装置、减震、厂房隔音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配电室</w:t>
            </w:r>
          </w:p>
        </w:tc>
        <w:tc>
          <w:tcPr>
            <w:tcW w:w="2268"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变压器</w:t>
            </w:r>
          </w:p>
        </w:tc>
        <w:tc>
          <w:tcPr>
            <w:tcW w:w="1701" w:type="dxa"/>
            <w:vAlign w:val="center"/>
          </w:tcPr>
          <w:p>
            <w:pPr>
              <w:spacing w:line="240" w:lineRule="atLeast"/>
              <w:jc w:val="center"/>
              <w:rPr>
                <w:rFonts w:ascii="Times New Roman" w:hAnsi="宋体" w:eastAsia="宋体" w:cs="Times New Roman"/>
                <w:kern w:val="0"/>
                <w:szCs w:val="28"/>
              </w:rPr>
            </w:pPr>
            <w:r>
              <w:rPr>
                <w:rFonts w:hint="eastAsia" w:ascii="Times New Roman" w:hAnsi="宋体" w:eastAsia="宋体" w:cs="Times New Roman"/>
                <w:kern w:val="0"/>
                <w:szCs w:val="28"/>
              </w:rPr>
              <w:t>65</w:t>
            </w:r>
          </w:p>
        </w:tc>
        <w:tc>
          <w:tcPr>
            <w:tcW w:w="3033"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减震、厂房隔音</w:t>
            </w:r>
          </w:p>
        </w:tc>
      </w:tr>
    </w:tbl>
    <w:p>
      <w:pPr>
        <w:spacing w:line="360" w:lineRule="auto"/>
        <w:ind w:firstLine="480" w:firstLineChars="200"/>
        <w:rPr>
          <w:rFonts w:cs="Times New Roman" w:asciiTheme="minorEastAsia" w:hAnsiTheme="minorEastAsia"/>
          <w:sz w:val="24"/>
          <w:szCs w:val="28"/>
        </w:rPr>
      </w:pPr>
      <w:r>
        <w:rPr>
          <w:rFonts w:hint="eastAsia" w:ascii="Times New Roman" w:hAnsi="Times New Roman" w:eastAsia="宋体" w:cs="Times New Roman"/>
          <w:sz w:val="24"/>
          <w:szCs w:val="28"/>
        </w:rPr>
        <w:t>由于本项目未建成，类比同类项目可以得出，项目建成后，运营期运行情况下厂界噪声值在40~52</w:t>
      </w:r>
      <w:r>
        <w:rPr>
          <w:rFonts w:ascii="Times New Roman" w:hAnsi="Times New Roman" w:eastAsia="宋体" w:cs="Times New Roman"/>
          <w:sz w:val="24"/>
          <w:szCs w:val="28"/>
        </w:rPr>
        <w:t>dB</w:t>
      </w:r>
      <w:r>
        <w:rPr>
          <w:rFonts w:hint="eastAsia" w:ascii="Times New Roman" w:hAnsi="Times New Roman" w:eastAsia="宋体" w:cs="Times New Roman"/>
          <w:sz w:val="24"/>
          <w:szCs w:val="28"/>
        </w:rPr>
        <w:t>（A）左右，满足《工业企业厂界环境噪声排放标准》（GB12348-2008）中的3类标准（昼间65dB（A），夜间55 dB（A））。项目厂界最近的敏感点为项目东侧422m处的小雷宰村，能达到《声环境质量标准》（GB3096-2008）2类标准（昼间</w:t>
      </w:r>
      <w:r>
        <w:rPr>
          <w:rFonts w:ascii="Times New Roman" w:hAnsi="Times New Roman" w:eastAsia="宋体" w:cs="Times New Roman"/>
          <w:sz w:val="24"/>
          <w:szCs w:val="28"/>
        </w:rPr>
        <w:t>≤60dB</w:t>
      </w:r>
      <w:r>
        <w:rPr>
          <w:rFonts w:ascii="Times New Roman" w:hAnsi="宋体" w:eastAsia="宋体" w:cs="Times New Roman"/>
          <w:sz w:val="24"/>
          <w:szCs w:val="28"/>
        </w:rPr>
        <w:t>（</w:t>
      </w:r>
      <w:r>
        <w:rPr>
          <w:rFonts w:ascii="Times New Roman" w:hAnsi="Times New Roman" w:eastAsia="宋体" w:cs="Times New Roman"/>
          <w:sz w:val="24"/>
          <w:szCs w:val="28"/>
        </w:rPr>
        <w:t>A</w:t>
      </w:r>
      <w:r>
        <w:rPr>
          <w:rFonts w:ascii="Times New Roman" w:hAnsi="宋体" w:eastAsia="宋体" w:cs="Times New Roman"/>
          <w:sz w:val="24"/>
          <w:szCs w:val="28"/>
        </w:rPr>
        <w:t>）</w:t>
      </w:r>
      <w:r>
        <w:rPr>
          <w:rFonts w:hint="eastAsia" w:ascii="宋体" w:hAnsi="宋体" w:eastAsia="宋体" w:cs="Times New Roman"/>
          <w:sz w:val="24"/>
          <w:szCs w:val="28"/>
        </w:rPr>
        <w:t>，夜间</w:t>
      </w:r>
      <w:r>
        <w:rPr>
          <w:rFonts w:ascii="Times New Roman" w:hAnsi="Times New Roman" w:eastAsia="宋体" w:cs="Times New Roman"/>
          <w:sz w:val="24"/>
          <w:szCs w:val="28"/>
        </w:rPr>
        <w:t>≤50dB(A）</w:t>
      </w:r>
      <w:r>
        <w:rPr>
          <w:rFonts w:hint="eastAsia" w:cs="Times New Roman" w:asciiTheme="minorEastAsia" w:hAnsiTheme="minorEastAsia"/>
          <w:sz w:val="24"/>
          <w:szCs w:val="28"/>
        </w:rPr>
        <w:t>)。</w:t>
      </w:r>
    </w:p>
    <w:p>
      <w:pPr>
        <w:spacing w:line="360" w:lineRule="auto"/>
        <w:ind w:firstLine="482" w:firstLineChars="200"/>
        <w:rPr>
          <w:rFonts w:cs="Times New Roman" w:asciiTheme="minorEastAsia" w:hAnsiTheme="minorEastAsia"/>
          <w:b/>
          <w:sz w:val="24"/>
          <w:szCs w:val="28"/>
        </w:rPr>
      </w:pPr>
      <w:r>
        <w:rPr>
          <w:rFonts w:ascii="Times New Roman" w:hAnsi="Times New Roman" w:cs="Times New Roman"/>
          <w:b/>
          <w:sz w:val="24"/>
          <w:szCs w:val="28"/>
        </w:rPr>
        <w:t>4</w:t>
      </w:r>
      <w:r>
        <w:rPr>
          <w:rFonts w:ascii="Times New Roman" w:cs="Times New Roman" w:hAnsiTheme="minorEastAsia"/>
          <w:b/>
          <w:sz w:val="24"/>
          <w:szCs w:val="28"/>
        </w:rPr>
        <w:t>、</w:t>
      </w:r>
      <w:r>
        <w:rPr>
          <w:rFonts w:hint="eastAsia" w:cs="Times New Roman" w:asciiTheme="minorEastAsia" w:hAnsiTheme="minorEastAsia"/>
          <w:b/>
          <w:sz w:val="24"/>
          <w:szCs w:val="28"/>
        </w:rPr>
        <w:t>运营期噪声防治措施</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本项目噪声主要为运输车辆噪声、生产设备及环保设备运行产生的噪声。为了减少项目运营期噪声对周围环境的影响，环评提出以下措施，建设单位需严格实施：</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（1）运输汽车噪声噪声源强较小，通过减少鸣笛的方式可以减少噪声的影响；</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（2）选用低噪声设备，对厂房门窗、墙体采取有效的隔声及吸声措施；</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（3）设备室内安装使用；</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（4）设备进行基础减震；</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（5）在厂界和厂区空旷地加强绿化，降低噪声对周围的影响；</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（6）加强对项目区的设备进行检修。</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5、运营期噪声影响分析小结</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项目区场地较大，项目通过采取设备置于室内、安装减震垫、距离衰减，绿化隔音等措施处理后，厂界噪声排放均满足《工业企业厂界环境噪声排放标准》（GB12348-2008）的3类昼间标准（昼间</w:t>
      </w:r>
      <w:r>
        <w:rPr>
          <w:rFonts w:ascii="Times New Roman" w:hAnsi="Times New Roman" w:eastAsia="宋体" w:cs="Times New Roman"/>
          <w:sz w:val="24"/>
          <w:szCs w:val="28"/>
        </w:rPr>
        <w:t>≤</w:t>
      </w:r>
      <w:r>
        <w:rPr>
          <w:rFonts w:hint="eastAsia" w:ascii="Times New Roman" w:hAnsi="Times New Roman" w:eastAsia="宋体" w:cs="Times New Roman"/>
          <w:sz w:val="24"/>
          <w:szCs w:val="28"/>
        </w:rPr>
        <w:t>65dB（A），夜间</w:t>
      </w:r>
      <w:r>
        <w:rPr>
          <w:rFonts w:ascii="Times New Roman" w:hAnsi="Times New Roman" w:eastAsia="宋体" w:cs="Times New Roman"/>
          <w:sz w:val="24"/>
          <w:szCs w:val="28"/>
        </w:rPr>
        <w:t>≤</w:t>
      </w:r>
      <w:r>
        <w:rPr>
          <w:rFonts w:hint="eastAsia" w:ascii="Times New Roman" w:hAnsi="Times New Roman" w:eastAsia="宋体" w:cs="Times New Roman"/>
          <w:sz w:val="24"/>
          <w:szCs w:val="28"/>
        </w:rPr>
        <w:t>55dB（A））。项目周边500m范围内距离项目最近的敏感目标为项目厂界东面直线距离422m的小雷宰村，通过工程分析，项目噪声对小雷宰村的预测值满足《声环境质量标准》（GB3096-2008）2类标准（昼间</w:t>
      </w:r>
      <w:r>
        <w:rPr>
          <w:rFonts w:ascii="Times New Roman" w:hAnsi="Times New Roman" w:eastAsia="宋体" w:cs="Times New Roman"/>
          <w:sz w:val="24"/>
          <w:szCs w:val="28"/>
        </w:rPr>
        <w:t>≤</w:t>
      </w:r>
      <w:r>
        <w:rPr>
          <w:rFonts w:hint="eastAsia" w:ascii="Times New Roman" w:hAnsi="Times New Roman" w:eastAsia="宋体" w:cs="Times New Roman"/>
          <w:sz w:val="24"/>
          <w:szCs w:val="28"/>
        </w:rPr>
        <w:t>60dB（A），夜间</w:t>
      </w:r>
      <w:r>
        <w:rPr>
          <w:rFonts w:ascii="Times New Roman" w:hAnsi="Times New Roman" w:eastAsia="宋体" w:cs="Times New Roman"/>
          <w:sz w:val="24"/>
          <w:szCs w:val="28"/>
        </w:rPr>
        <w:t>≤</w:t>
      </w:r>
      <w:r>
        <w:rPr>
          <w:rFonts w:hint="eastAsia" w:ascii="Times New Roman" w:hAnsi="Times New Roman" w:eastAsia="宋体" w:cs="Times New Roman"/>
          <w:sz w:val="24"/>
          <w:szCs w:val="28"/>
        </w:rPr>
        <w:t>50dB（A）），对小雷宰村影响小。</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275" w:name="_Toc23843370"/>
      <w:bookmarkStart w:id="276" w:name="_Toc1483"/>
      <w:r>
        <w:rPr>
          <w:rFonts w:hint="eastAsia" w:ascii="Times New Roman" w:hAnsi="Times New Roman" w:eastAsia="宋体" w:cs="Times New Roman"/>
          <w:b/>
          <w:bCs/>
          <w:sz w:val="24"/>
          <w:szCs w:val="32"/>
        </w:rPr>
        <w:t>5.2.5运营期固体废物环境影响分析</w:t>
      </w:r>
      <w:bookmarkEnd w:id="275"/>
      <w:bookmarkEnd w:id="276"/>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1、运营期固体废物环境影响分析</w:t>
      </w:r>
    </w:p>
    <w:p>
      <w:pPr>
        <w:spacing w:line="360" w:lineRule="auto"/>
        <w:ind w:firstLine="480"/>
        <w:rPr>
          <w:rFonts w:ascii="Times New Roman" w:hAnsi="宋体" w:eastAsia="宋体" w:cs="Times New Roman"/>
          <w:sz w:val="24"/>
          <w:szCs w:val="28"/>
        </w:rPr>
      </w:pPr>
      <w:r>
        <w:rPr>
          <w:rFonts w:hint="eastAsia" w:ascii="Times New Roman" w:hAnsi="宋体" w:eastAsia="宋体" w:cs="Times New Roman"/>
          <w:sz w:val="24"/>
          <w:szCs w:val="28"/>
        </w:rPr>
        <w:t>本项目运营期产生的固体废物主要有边角废料、锅炉炉渣、除尘废水循环沉淀池污泥、生活垃圾、化粪池及污水处理站污泥等。</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（1）边角废料</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根据工程分析，项目生产过程中在成品切割段产生少量的边角废料，其产生量约为100t/a，经收集后返回水力碎浆工序，对周边环境影响小。</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（2）锅炉炉渣</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根据工程分析，项目燃生物质锅炉运行将产生部分炉渣，锅炉炉渣产生量为750t/a，经收集暂存至灰尘暂存处（50m</w:t>
      </w:r>
      <w:r>
        <w:rPr>
          <w:rFonts w:hint="eastAsia" w:ascii="Times New Roman" w:hAnsi="Times New Roman" w:eastAsia="宋体" w:cs="Times New Roman"/>
          <w:sz w:val="24"/>
          <w:szCs w:val="28"/>
          <w:vertAlign w:val="superscript"/>
        </w:rPr>
        <w:t>2</w:t>
      </w:r>
      <w:r>
        <w:rPr>
          <w:rFonts w:hint="eastAsia" w:ascii="Times New Roman" w:hAnsi="Times New Roman" w:eastAsia="宋体" w:cs="Times New Roman"/>
          <w:sz w:val="24"/>
          <w:szCs w:val="28"/>
        </w:rPr>
        <w:t>），后用于周边</w:t>
      </w:r>
      <w:r>
        <w:rPr>
          <w:rFonts w:ascii="Times New Roman" w:hAnsi="Times New Roman" w:eastAsia="宋体" w:cs="Times New Roman"/>
          <w:sz w:val="24"/>
          <w:szCs w:val="28"/>
        </w:rPr>
        <w:t>农田还田处置</w:t>
      </w:r>
      <w:r>
        <w:rPr>
          <w:rFonts w:hint="eastAsia" w:ascii="Times New Roman" w:hAnsi="Times New Roman" w:eastAsia="宋体" w:cs="Times New Roman"/>
          <w:sz w:val="24"/>
          <w:szCs w:val="28"/>
        </w:rPr>
        <w:t>，对周边环境影响小。</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（3）除尘器除尘废水循环沉淀池污泥</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根据工程分析，项目锅炉烟尘产生量为</w:t>
      </w:r>
      <w:r>
        <w:rPr>
          <w:rFonts w:ascii="Times New Roman" w:hAnsi="Times New Roman" w:eastAsia="宋体" w:cs="Times New Roman"/>
          <w:sz w:val="24"/>
          <w:szCs w:val="28"/>
        </w:rPr>
        <w:t>2.5t</w:t>
      </w:r>
      <w:r>
        <w:rPr>
          <w:rFonts w:hint="eastAsia" w:ascii="Times New Roman" w:hAnsi="Times New Roman" w:eastAsia="宋体" w:cs="Times New Roman"/>
          <w:sz w:val="24"/>
          <w:szCs w:val="28"/>
        </w:rPr>
        <w:t>/a，经水膜除尘器处理后通过排气筒排出的有</w:t>
      </w:r>
      <w:r>
        <w:rPr>
          <w:rFonts w:ascii="Times New Roman" w:hAnsi="Times New Roman" w:eastAsia="宋体" w:cs="Times New Roman"/>
          <w:sz w:val="24"/>
          <w:szCs w:val="28"/>
        </w:rPr>
        <w:t>325kg</w:t>
      </w:r>
      <w:r>
        <w:rPr>
          <w:rFonts w:hint="eastAsia" w:ascii="Times New Roman" w:hAnsi="Times New Roman" w:eastAsia="宋体" w:cs="Times New Roman"/>
          <w:sz w:val="24"/>
          <w:szCs w:val="28"/>
        </w:rPr>
        <w:t>/a，剩余</w:t>
      </w:r>
      <w:r>
        <w:rPr>
          <w:rFonts w:ascii="Times New Roman" w:hAnsi="Times New Roman" w:eastAsia="宋体" w:cs="Times New Roman"/>
          <w:sz w:val="24"/>
          <w:szCs w:val="28"/>
        </w:rPr>
        <w:t>2.175</w:t>
      </w:r>
      <w:r>
        <w:rPr>
          <w:rFonts w:hint="eastAsia" w:ascii="Times New Roman" w:hAnsi="Times New Roman" w:eastAsia="宋体" w:cs="Times New Roman"/>
          <w:sz w:val="24"/>
          <w:szCs w:val="28"/>
        </w:rPr>
        <w:t>t/a的除尘废水循环沉淀池污泥定期清理后</w:t>
      </w:r>
      <w:r>
        <w:rPr>
          <w:rFonts w:ascii="Times New Roman" w:hAnsi="Times New Roman" w:eastAsia="宋体" w:cs="Times New Roman"/>
          <w:sz w:val="24"/>
          <w:szCs w:val="28"/>
        </w:rPr>
        <w:t>还田</w:t>
      </w:r>
      <w:r>
        <w:rPr>
          <w:rFonts w:hint="eastAsia" w:ascii="Times New Roman" w:hAnsi="Times New Roman" w:eastAsia="宋体" w:cs="Times New Roman"/>
          <w:sz w:val="24"/>
          <w:szCs w:val="28"/>
        </w:rPr>
        <w:t>处置，对周边环境影响小。</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（4）生活垃圾</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根据工程分析，项目区生活垃圾产生量为9t/a。生活垃圾经垃圾桶收集后，清运至环卫部门指定地点，由环卫部门统一清运处置。</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（5）化粪池、污水处理站污泥</w:t>
      </w:r>
    </w:p>
    <w:p>
      <w:pPr>
        <w:spacing w:line="360" w:lineRule="auto"/>
        <w:ind w:firstLine="480" w:firstLineChars="200"/>
        <w:rPr>
          <w:rFonts w:hint="eastAsia" w:ascii="Times New Roman" w:hAnsi="Times New Roman" w:eastAsia="宋体" w:cs="Times New Roman"/>
          <w:sz w:val="24"/>
          <w:szCs w:val="28"/>
        </w:rPr>
      </w:pPr>
      <w:r>
        <w:rPr>
          <w:rFonts w:hint="eastAsia" w:ascii="Times New Roman" w:hAnsi="Times New Roman" w:eastAsia="宋体" w:cs="Times New Roman"/>
          <w:sz w:val="24"/>
          <w:szCs w:val="28"/>
        </w:rPr>
        <w:t>根据工程分析，项目化粪池、污水处理站污泥产生量为4.8kg/d，1.44t/a，委托环卫部门定期清掏。</w:t>
      </w:r>
    </w:p>
    <w:p>
      <w:pPr>
        <w:spacing w:line="360" w:lineRule="auto"/>
        <w:ind w:firstLine="482" w:firstLineChars="200"/>
        <w:rPr>
          <w:rFonts w:hint="eastAsia" w:ascii="Times New Roman" w:hAnsi="Times New Roman" w:eastAsia="宋体" w:cs="Times New Roman"/>
          <w:b/>
          <w:sz w:val="24"/>
          <w:szCs w:val="28"/>
          <w:lang w:eastAsia="zh-CN"/>
        </w:rPr>
      </w:pPr>
      <w:r>
        <w:rPr>
          <w:rFonts w:hint="eastAsia" w:ascii="Times New Roman" w:hAnsi="Times New Roman" w:eastAsia="宋体" w:cs="Times New Roman"/>
          <w:b/>
          <w:sz w:val="24"/>
          <w:szCs w:val="28"/>
        </w:rPr>
        <w:t>（</w:t>
      </w:r>
      <w:r>
        <w:rPr>
          <w:rFonts w:hint="eastAsia" w:ascii="Times New Roman" w:hAnsi="Times New Roman" w:eastAsia="宋体" w:cs="Times New Roman"/>
          <w:b/>
          <w:sz w:val="24"/>
          <w:szCs w:val="28"/>
          <w:lang w:val="en-US" w:eastAsia="zh-CN"/>
        </w:rPr>
        <w:t>6</w:t>
      </w:r>
      <w:r>
        <w:rPr>
          <w:rFonts w:hint="eastAsia" w:ascii="Times New Roman" w:hAnsi="Times New Roman" w:eastAsia="宋体" w:cs="Times New Roman"/>
          <w:b/>
          <w:sz w:val="24"/>
          <w:szCs w:val="28"/>
        </w:rPr>
        <w:t>）</w:t>
      </w:r>
      <w:r>
        <w:rPr>
          <w:rFonts w:hint="eastAsia" w:ascii="Times New Roman" w:hAnsi="Times New Roman" w:eastAsia="宋体" w:cs="Times New Roman"/>
          <w:b/>
          <w:sz w:val="24"/>
          <w:szCs w:val="28"/>
          <w:lang w:eastAsia="zh-CN"/>
        </w:rPr>
        <w:t>废树脂</w:t>
      </w:r>
    </w:p>
    <w:p>
      <w:pPr>
        <w:spacing w:line="360" w:lineRule="auto"/>
        <w:ind w:firstLine="480" w:firstLineChars="200"/>
      </w:pPr>
      <w:r>
        <w:rPr>
          <w:rFonts w:hint="eastAsia" w:ascii="Times New Roman" w:hAnsi="Times New Roman" w:eastAsia="宋体" w:cs="Times New Roman"/>
          <w:sz w:val="24"/>
          <w:szCs w:val="28"/>
        </w:rPr>
        <w:t>根据工程分析，项目</w:t>
      </w:r>
      <w:r>
        <w:rPr>
          <w:rFonts w:hint="eastAsia" w:ascii="Times New Roman" w:hAnsi="Times New Roman" w:cs="Times New Roman"/>
          <w:sz w:val="24"/>
          <w:szCs w:val="28"/>
          <w:lang w:eastAsia="zh-CN"/>
        </w:rPr>
        <w:t>软水制备系统产生废树脂</w:t>
      </w:r>
      <w:r>
        <w:rPr>
          <w:rFonts w:hint="eastAsia" w:ascii="Times New Roman" w:hAnsi="Times New Roman" w:cs="Times New Roman"/>
          <w:sz w:val="24"/>
          <w:szCs w:val="28"/>
          <w:lang w:val="en-US" w:eastAsia="zh-CN"/>
        </w:rPr>
        <w:t>0.8</w:t>
      </w:r>
      <w:r>
        <w:rPr>
          <w:rFonts w:hint="eastAsia" w:ascii="Times New Roman" w:hAnsi="Times New Roman" w:eastAsia="宋体" w:cs="Times New Roman"/>
          <w:sz w:val="24"/>
          <w:szCs w:val="28"/>
        </w:rPr>
        <w:t>t/a，</w:t>
      </w:r>
      <w:r>
        <w:rPr>
          <w:rFonts w:hint="eastAsia" w:ascii="Times New Roman" w:hAnsi="Times New Roman"/>
          <w:color w:val="000000"/>
          <w:sz w:val="24"/>
          <w:szCs w:val="24"/>
        </w:rPr>
        <w:t>废树脂由更换单位处理，不在项目区收集储存。</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2、运营期固体废物影响分析小结</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项目生产过程中在成品切割段过程中，边角废料产生量为100t/a，经收集后返回水力碎浆工序，对周边环境影响小；项目燃生物质锅炉运行产生的锅炉炉渣量为750t/a，产生的烟尘经水膜除尘器处理后，剩余</w:t>
      </w:r>
      <w:r>
        <w:rPr>
          <w:rFonts w:ascii="Times New Roman" w:hAnsi="Times New Roman" w:eastAsia="宋体" w:cs="Times New Roman"/>
          <w:sz w:val="24"/>
          <w:szCs w:val="28"/>
        </w:rPr>
        <w:t>2.175</w:t>
      </w:r>
      <w:r>
        <w:rPr>
          <w:rFonts w:hint="eastAsia" w:ascii="Times New Roman" w:hAnsi="Times New Roman" w:eastAsia="宋体" w:cs="Times New Roman"/>
          <w:sz w:val="24"/>
          <w:szCs w:val="28"/>
        </w:rPr>
        <w:t>t/a的除尘废水循环沉淀池污泥定期清理，经收集后与锅炉炉渣一同暂存于灰尘暂存处，达到一定量后用于周边</w:t>
      </w:r>
      <w:r>
        <w:rPr>
          <w:rFonts w:ascii="Times New Roman" w:hAnsi="Times New Roman" w:eastAsia="宋体" w:cs="Times New Roman"/>
          <w:sz w:val="24"/>
          <w:szCs w:val="28"/>
        </w:rPr>
        <w:t>农田还田使用</w:t>
      </w:r>
      <w:r>
        <w:rPr>
          <w:rFonts w:hint="eastAsia" w:ascii="Times New Roman" w:hAnsi="Times New Roman" w:eastAsia="宋体" w:cs="Times New Roman"/>
          <w:sz w:val="24"/>
          <w:szCs w:val="28"/>
        </w:rPr>
        <w:t>，对周边环境影响小；项目区生活垃圾产生量为9t/a，经垃圾收集桶收集后，清运至环卫部门指定地点，由环卫部门统一清运处置，对周边环境影响小；项目化粪池、污水处理站污泥产生量为4.8kg/d，1.44t/a，委托环卫部门定期清掏处置，对周边环境影响小。</w:t>
      </w:r>
    </w:p>
    <w:p>
      <w:pPr>
        <w:spacing w:line="360" w:lineRule="auto"/>
        <w:ind w:firstLine="480" w:firstLineChars="200"/>
        <w:rPr>
          <w:rFonts w:ascii="宋体" w:hAnsi="宋体" w:eastAsia="宋体" w:cs="宋体"/>
          <w:color w:val="000000"/>
          <w:sz w:val="24"/>
          <w:szCs w:val="24"/>
        </w:rPr>
      </w:pPr>
      <w:r>
        <w:rPr>
          <w:rFonts w:hint="eastAsia" w:ascii="Times New Roman" w:hAnsi="Times New Roman" w:eastAsia="宋体" w:cs="Times New Roman"/>
          <w:sz w:val="24"/>
          <w:szCs w:val="28"/>
        </w:rPr>
        <w:t>综上所述，项目产生的固体废物处置率为100%，对周边环境影响较小。</w:t>
      </w:r>
    </w:p>
    <w:p>
      <w:pPr>
        <w:pStyle w:val="51"/>
        <w:spacing w:line="360" w:lineRule="auto"/>
        <w:rPr>
          <w:szCs w:val="24"/>
        </w:rPr>
      </w:pPr>
      <w:bookmarkStart w:id="277" w:name="_Toc1261"/>
      <w:bookmarkStart w:id="278" w:name="_Toc17704144"/>
      <w:bookmarkStart w:id="279" w:name="_Toc23843371"/>
      <w:r>
        <w:rPr>
          <w:rFonts w:hint="eastAsia"/>
          <w:szCs w:val="24"/>
        </w:rPr>
        <w:t>5.2.6 土壤环境影响预测和评价</w:t>
      </w:r>
      <w:bookmarkEnd w:id="277"/>
      <w:bookmarkEnd w:id="278"/>
    </w:p>
    <w:p>
      <w:pPr>
        <w:keepNext/>
        <w:keepLines/>
        <w:spacing w:before="280" w:after="290" w:line="376" w:lineRule="auto"/>
        <w:outlineLvl w:val="3"/>
        <w:rPr>
          <w:b/>
          <w:bCs/>
          <w:color w:val="000000"/>
          <w:sz w:val="24"/>
          <w:szCs w:val="24"/>
        </w:rPr>
      </w:pPr>
      <w:r>
        <w:rPr>
          <w:b/>
          <w:bCs/>
          <w:color w:val="000000"/>
          <w:sz w:val="24"/>
          <w:szCs w:val="24"/>
        </w:rPr>
        <w:t>5.</w:t>
      </w:r>
      <w:r>
        <w:rPr>
          <w:rFonts w:hint="eastAsia"/>
          <w:b/>
          <w:bCs/>
          <w:color w:val="000000"/>
          <w:sz w:val="24"/>
          <w:szCs w:val="24"/>
        </w:rPr>
        <w:t>2</w:t>
      </w:r>
      <w:r>
        <w:rPr>
          <w:b/>
          <w:bCs/>
          <w:color w:val="000000"/>
          <w:sz w:val="24"/>
          <w:szCs w:val="24"/>
        </w:rPr>
        <w:t>.</w:t>
      </w:r>
      <w:r>
        <w:rPr>
          <w:rFonts w:hint="eastAsia"/>
          <w:b/>
          <w:bCs/>
          <w:color w:val="000000"/>
          <w:sz w:val="24"/>
          <w:szCs w:val="24"/>
        </w:rPr>
        <w:t>6.</w:t>
      </w:r>
      <w:r>
        <w:rPr>
          <w:b/>
          <w:bCs/>
          <w:color w:val="000000"/>
          <w:sz w:val="24"/>
          <w:szCs w:val="24"/>
        </w:rPr>
        <w:t>1 土壤环境影响评价因子</w:t>
      </w:r>
    </w:p>
    <w:p>
      <w:pPr>
        <w:spacing w:line="360" w:lineRule="auto"/>
        <w:ind w:firstLine="480" w:firstLineChars="200"/>
        <w:rPr>
          <w:color w:val="000000"/>
          <w:kern w:val="1"/>
          <w:sz w:val="24"/>
          <w:szCs w:val="24"/>
        </w:rPr>
      </w:pPr>
      <w:r>
        <w:rPr>
          <w:rFonts w:hint="eastAsia"/>
          <w:color w:val="000000"/>
          <w:kern w:val="1"/>
          <w:sz w:val="24"/>
          <w:szCs w:val="24"/>
        </w:rPr>
        <w:t>1）拟建项目运行过程存在的污染因子</w:t>
      </w:r>
    </w:p>
    <w:p>
      <w:pPr>
        <w:spacing w:line="360" w:lineRule="auto"/>
        <w:ind w:firstLine="480" w:firstLineChars="200"/>
        <w:rPr>
          <w:color w:val="000000"/>
          <w:kern w:val="1"/>
          <w:sz w:val="24"/>
          <w:szCs w:val="24"/>
        </w:rPr>
      </w:pPr>
      <w:r>
        <w:rPr>
          <w:color w:val="000000"/>
          <w:kern w:val="1"/>
          <w:sz w:val="24"/>
          <w:szCs w:val="24"/>
        </w:rPr>
        <w:t>根据工程分析，</w:t>
      </w:r>
      <w:r>
        <w:rPr>
          <w:rFonts w:hint="eastAsia"/>
          <w:color w:val="000000"/>
          <w:kern w:val="1"/>
          <w:sz w:val="24"/>
          <w:szCs w:val="24"/>
        </w:rPr>
        <w:t>拟建</w:t>
      </w:r>
      <w:r>
        <w:rPr>
          <w:color w:val="000000"/>
          <w:kern w:val="1"/>
          <w:sz w:val="24"/>
          <w:szCs w:val="24"/>
        </w:rPr>
        <w:t>项目运行过程中</w:t>
      </w:r>
      <w:r>
        <w:rPr>
          <w:rFonts w:hint="eastAsia"/>
          <w:color w:val="000000"/>
          <w:kern w:val="1"/>
          <w:sz w:val="24"/>
          <w:szCs w:val="24"/>
        </w:rPr>
        <w:t>：</w:t>
      </w:r>
    </w:p>
    <w:p>
      <w:pPr>
        <w:spacing w:line="360" w:lineRule="auto"/>
        <w:ind w:firstLine="480" w:firstLineChars="200"/>
        <w:rPr>
          <w:color w:val="000000"/>
          <w:kern w:val="1"/>
          <w:sz w:val="24"/>
          <w:szCs w:val="24"/>
        </w:rPr>
      </w:pPr>
      <w:r>
        <w:rPr>
          <w:rFonts w:hint="eastAsia"/>
          <w:color w:val="000000"/>
          <w:kern w:val="1"/>
          <w:sz w:val="24"/>
          <w:szCs w:val="24"/>
        </w:rPr>
        <w:t>（1）</w:t>
      </w:r>
      <w:r>
        <w:rPr>
          <w:color w:val="000000"/>
          <w:kern w:val="1"/>
          <w:sz w:val="24"/>
          <w:szCs w:val="24"/>
        </w:rPr>
        <w:t>废气污染因子主要是颗粒物、</w:t>
      </w:r>
      <w:r>
        <w:rPr>
          <w:rFonts w:hint="eastAsia"/>
          <w:color w:val="000000"/>
          <w:kern w:val="1"/>
          <w:sz w:val="24"/>
          <w:szCs w:val="24"/>
        </w:rPr>
        <w:t>NOx</w:t>
      </w:r>
      <w:r>
        <w:rPr>
          <w:color w:val="000000"/>
          <w:kern w:val="1"/>
          <w:sz w:val="24"/>
          <w:szCs w:val="24"/>
        </w:rPr>
        <w:t>、</w:t>
      </w:r>
      <w:r>
        <w:rPr>
          <w:rFonts w:hint="eastAsia"/>
          <w:color w:val="000000"/>
          <w:kern w:val="1"/>
          <w:sz w:val="24"/>
          <w:szCs w:val="24"/>
        </w:rPr>
        <w:t>SO</w:t>
      </w:r>
      <w:r>
        <w:rPr>
          <w:rFonts w:hint="eastAsia"/>
          <w:color w:val="000000"/>
          <w:kern w:val="1"/>
          <w:sz w:val="24"/>
          <w:szCs w:val="24"/>
          <w:vertAlign w:val="subscript"/>
        </w:rPr>
        <w:t>2</w:t>
      </w:r>
      <w:r>
        <w:rPr>
          <w:rFonts w:hint="eastAsia"/>
          <w:color w:val="000000"/>
          <w:kern w:val="1"/>
          <w:sz w:val="24"/>
          <w:szCs w:val="24"/>
        </w:rPr>
        <w:t>、污水处理站及回用水池的恶臭气体的H</w:t>
      </w:r>
      <w:r>
        <w:rPr>
          <w:rFonts w:hint="eastAsia"/>
          <w:color w:val="000000"/>
          <w:kern w:val="1"/>
          <w:sz w:val="24"/>
          <w:szCs w:val="24"/>
          <w:vertAlign w:val="subscript"/>
        </w:rPr>
        <w:t>2</w:t>
      </w:r>
      <w:r>
        <w:rPr>
          <w:rFonts w:hint="eastAsia"/>
          <w:color w:val="000000"/>
          <w:kern w:val="1"/>
          <w:sz w:val="24"/>
          <w:szCs w:val="24"/>
        </w:rPr>
        <w:t>S、NH</w:t>
      </w:r>
      <w:r>
        <w:rPr>
          <w:rFonts w:hint="eastAsia"/>
          <w:color w:val="000000"/>
          <w:kern w:val="1"/>
          <w:sz w:val="24"/>
          <w:szCs w:val="24"/>
          <w:vertAlign w:val="subscript"/>
        </w:rPr>
        <w:t>3</w:t>
      </w:r>
      <w:r>
        <w:rPr>
          <w:color w:val="000000"/>
          <w:kern w:val="1"/>
          <w:sz w:val="24"/>
          <w:szCs w:val="24"/>
        </w:rPr>
        <w:t>；</w:t>
      </w:r>
    </w:p>
    <w:p>
      <w:pPr>
        <w:spacing w:line="360" w:lineRule="auto"/>
        <w:ind w:firstLine="480" w:firstLineChars="200"/>
        <w:rPr>
          <w:color w:val="000000"/>
          <w:kern w:val="1"/>
          <w:sz w:val="24"/>
          <w:szCs w:val="24"/>
        </w:rPr>
      </w:pPr>
      <w:r>
        <w:rPr>
          <w:rFonts w:hint="eastAsia"/>
          <w:color w:val="000000"/>
          <w:kern w:val="1"/>
          <w:sz w:val="24"/>
          <w:szCs w:val="24"/>
        </w:rPr>
        <w:t>（2）</w:t>
      </w:r>
      <w:r>
        <w:rPr>
          <w:color w:val="000000"/>
          <w:kern w:val="1"/>
          <w:sz w:val="24"/>
          <w:szCs w:val="24"/>
        </w:rPr>
        <w:t>废水中污染因子主要是废气处理过程进入水中的</w:t>
      </w:r>
      <w:r>
        <w:rPr>
          <w:rFonts w:hint="eastAsia"/>
          <w:color w:val="000000"/>
          <w:kern w:val="1"/>
          <w:sz w:val="24"/>
          <w:szCs w:val="24"/>
        </w:rPr>
        <w:t>COD、BOD、SS、TN、NH</w:t>
      </w:r>
      <w:r>
        <w:rPr>
          <w:rFonts w:hint="eastAsia"/>
          <w:color w:val="000000"/>
          <w:kern w:val="1"/>
          <w:sz w:val="24"/>
          <w:szCs w:val="24"/>
          <w:vertAlign w:val="subscript"/>
        </w:rPr>
        <w:t>3</w:t>
      </w:r>
      <w:r>
        <w:rPr>
          <w:rFonts w:hint="eastAsia"/>
          <w:color w:val="000000"/>
          <w:kern w:val="1"/>
          <w:sz w:val="24"/>
          <w:szCs w:val="24"/>
        </w:rPr>
        <w:t>-N、TP</w:t>
      </w:r>
      <w:r>
        <w:rPr>
          <w:color w:val="000000"/>
          <w:kern w:val="1"/>
          <w:sz w:val="24"/>
          <w:szCs w:val="24"/>
        </w:rPr>
        <w:t>等；</w:t>
      </w:r>
    </w:p>
    <w:p>
      <w:pPr>
        <w:spacing w:line="360" w:lineRule="auto"/>
        <w:ind w:firstLine="480" w:firstLineChars="200"/>
        <w:rPr>
          <w:color w:val="000000"/>
          <w:kern w:val="1"/>
          <w:sz w:val="24"/>
          <w:szCs w:val="24"/>
        </w:rPr>
      </w:pPr>
      <w:r>
        <w:rPr>
          <w:rFonts w:hint="eastAsia"/>
          <w:color w:val="000000"/>
          <w:kern w:val="1"/>
          <w:sz w:val="24"/>
          <w:szCs w:val="24"/>
        </w:rPr>
        <w:t>（3）</w:t>
      </w:r>
      <w:r>
        <w:rPr>
          <w:color w:val="000000"/>
          <w:kern w:val="1"/>
          <w:sz w:val="24"/>
          <w:szCs w:val="24"/>
        </w:rPr>
        <w:t>固废的污染物主要是</w:t>
      </w:r>
      <w:r>
        <w:rPr>
          <w:rFonts w:hint="eastAsia" w:ascii="Times New Roman" w:hAnsi="宋体" w:eastAsia="宋体" w:cs="Times New Roman"/>
          <w:sz w:val="24"/>
          <w:szCs w:val="28"/>
        </w:rPr>
        <w:t>边角废料、锅炉炉渣、除尘废水循环沉淀池污泥、生活垃圾、化粪池及污水处理站污泥</w:t>
      </w:r>
      <w:r>
        <w:rPr>
          <w:color w:val="000000"/>
          <w:kern w:val="1"/>
          <w:sz w:val="24"/>
          <w:szCs w:val="24"/>
        </w:rPr>
        <w:t>等。</w:t>
      </w:r>
    </w:p>
    <w:p>
      <w:pPr>
        <w:spacing w:line="360" w:lineRule="auto"/>
        <w:ind w:firstLine="480" w:firstLineChars="200"/>
        <w:rPr>
          <w:color w:val="000000"/>
          <w:kern w:val="1"/>
          <w:sz w:val="24"/>
          <w:szCs w:val="24"/>
        </w:rPr>
      </w:pPr>
      <w:r>
        <w:rPr>
          <w:rFonts w:hint="eastAsia"/>
          <w:color w:val="000000"/>
          <w:kern w:val="1"/>
          <w:sz w:val="24"/>
          <w:szCs w:val="24"/>
        </w:rPr>
        <w:t>2）土壤环境评价因子的选取</w:t>
      </w:r>
    </w:p>
    <w:p>
      <w:pPr>
        <w:spacing w:line="360" w:lineRule="auto"/>
        <w:ind w:firstLine="480" w:firstLineChars="200"/>
        <w:rPr>
          <w:color w:val="000000"/>
          <w:kern w:val="1"/>
          <w:sz w:val="24"/>
          <w:szCs w:val="24"/>
        </w:rPr>
      </w:pPr>
      <w:r>
        <w:rPr>
          <w:color w:val="000000"/>
          <w:kern w:val="1"/>
          <w:sz w:val="24"/>
          <w:szCs w:val="24"/>
        </w:rPr>
        <w:t>综合考虑以上污染因子的特性，</w:t>
      </w:r>
      <w:r>
        <w:rPr>
          <w:rFonts w:hint="eastAsia"/>
          <w:color w:val="000000"/>
          <w:kern w:val="1"/>
          <w:sz w:val="24"/>
          <w:szCs w:val="24"/>
        </w:rPr>
        <w:t>拟建项目不涉及</w:t>
      </w:r>
      <w:r>
        <w:rPr>
          <w:color w:val="000000"/>
          <w:kern w:val="1"/>
          <w:sz w:val="24"/>
          <w:szCs w:val="24"/>
        </w:rPr>
        <w:t>《土壤环境质量  建设用地土壤污染风险管控标准（试行）》（GB36600-2018）中</w:t>
      </w:r>
      <w:r>
        <w:rPr>
          <w:rFonts w:hint="eastAsia"/>
          <w:color w:val="000000"/>
          <w:kern w:val="1"/>
          <w:sz w:val="24"/>
          <w:szCs w:val="24"/>
        </w:rPr>
        <w:t>“</w:t>
      </w:r>
      <w:r>
        <w:rPr>
          <w:color w:val="000000"/>
          <w:kern w:val="1"/>
          <w:sz w:val="24"/>
          <w:szCs w:val="24"/>
        </w:rPr>
        <w:t>5 建设用地土壤污染风险筛选值和管控制</w:t>
      </w:r>
      <w:r>
        <w:rPr>
          <w:rFonts w:hint="eastAsia"/>
          <w:color w:val="000000"/>
          <w:kern w:val="1"/>
          <w:sz w:val="24"/>
          <w:szCs w:val="24"/>
        </w:rPr>
        <w:t>”</w:t>
      </w:r>
      <w:r>
        <w:rPr>
          <w:color w:val="000000"/>
          <w:kern w:val="1"/>
          <w:sz w:val="24"/>
          <w:szCs w:val="24"/>
        </w:rPr>
        <w:t>的表1中的</w:t>
      </w:r>
      <w:r>
        <w:rPr>
          <w:rFonts w:hint="eastAsia"/>
          <w:color w:val="000000"/>
          <w:kern w:val="1"/>
          <w:sz w:val="24"/>
          <w:szCs w:val="24"/>
        </w:rPr>
        <w:t>基本</w:t>
      </w:r>
      <w:r>
        <w:rPr>
          <w:color w:val="000000"/>
          <w:kern w:val="1"/>
          <w:sz w:val="24"/>
          <w:szCs w:val="24"/>
        </w:rPr>
        <w:t>污染物项目。</w:t>
      </w:r>
    </w:p>
    <w:p>
      <w:pPr>
        <w:spacing w:line="360" w:lineRule="auto"/>
        <w:ind w:firstLine="480" w:firstLineChars="200"/>
        <w:rPr>
          <w:color w:val="000000"/>
          <w:kern w:val="1"/>
          <w:sz w:val="24"/>
          <w:szCs w:val="24"/>
        </w:rPr>
      </w:pPr>
      <w:r>
        <w:rPr>
          <w:rFonts w:hint="eastAsia"/>
          <w:color w:val="000000"/>
          <w:kern w:val="1"/>
          <w:sz w:val="24"/>
          <w:szCs w:val="24"/>
        </w:rPr>
        <w:t>结合锅炉废气中的SO</w:t>
      </w:r>
      <w:r>
        <w:rPr>
          <w:rFonts w:hint="eastAsia"/>
          <w:color w:val="000000"/>
          <w:kern w:val="1"/>
          <w:sz w:val="24"/>
          <w:szCs w:val="24"/>
          <w:vertAlign w:val="subscript"/>
        </w:rPr>
        <w:t>2</w:t>
      </w:r>
      <w:r>
        <w:rPr>
          <w:rFonts w:hint="eastAsia"/>
          <w:color w:val="000000"/>
          <w:kern w:val="1"/>
          <w:sz w:val="24"/>
          <w:szCs w:val="24"/>
        </w:rPr>
        <w:t>排放，</w:t>
      </w:r>
      <w:r>
        <w:rPr>
          <w:color w:val="000000"/>
          <w:kern w:val="1"/>
          <w:sz w:val="24"/>
          <w:szCs w:val="24"/>
        </w:rPr>
        <w:t>选择</w:t>
      </w:r>
      <w:r>
        <w:rPr>
          <w:rFonts w:hint="eastAsia"/>
          <w:color w:val="000000"/>
          <w:kern w:val="1"/>
          <w:sz w:val="24"/>
          <w:szCs w:val="24"/>
        </w:rPr>
        <w:t>硫化物</w:t>
      </w:r>
      <w:r>
        <w:rPr>
          <w:color w:val="000000"/>
          <w:kern w:val="1"/>
          <w:sz w:val="24"/>
          <w:szCs w:val="24"/>
        </w:rPr>
        <w:t>为土壤影响评价因子。</w:t>
      </w:r>
    </w:p>
    <w:p>
      <w:pPr>
        <w:keepNext/>
        <w:keepLines/>
        <w:spacing w:before="280" w:after="290" w:line="376" w:lineRule="auto"/>
        <w:outlineLvl w:val="3"/>
        <w:rPr>
          <w:b/>
          <w:bCs/>
          <w:color w:val="000000"/>
          <w:sz w:val="24"/>
          <w:szCs w:val="24"/>
        </w:rPr>
      </w:pPr>
      <w:r>
        <w:rPr>
          <w:b/>
          <w:bCs/>
          <w:color w:val="000000"/>
          <w:sz w:val="24"/>
          <w:szCs w:val="24"/>
        </w:rPr>
        <w:t>5.</w:t>
      </w:r>
      <w:r>
        <w:rPr>
          <w:rFonts w:hint="eastAsia"/>
          <w:b/>
          <w:bCs/>
          <w:color w:val="000000"/>
          <w:sz w:val="24"/>
          <w:szCs w:val="24"/>
        </w:rPr>
        <w:t>2.6.2</w:t>
      </w:r>
      <w:r>
        <w:rPr>
          <w:b/>
          <w:bCs/>
          <w:color w:val="000000"/>
          <w:sz w:val="24"/>
          <w:szCs w:val="24"/>
        </w:rPr>
        <w:t xml:space="preserve"> 建设项目土壤环境现状调查</w:t>
      </w:r>
    </w:p>
    <w:p>
      <w:pPr>
        <w:spacing w:line="360" w:lineRule="auto"/>
        <w:ind w:firstLine="480" w:firstLineChars="200"/>
        <w:rPr>
          <w:color w:val="000000"/>
          <w:kern w:val="1"/>
          <w:sz w:val="24"/>
          <w:szCs w:val="24"/>
        </w:rPr>
      </w:pPr>
      <w:r>
        <w:rPr>
          <w:rFonts w:hint="eastAsia"/>
          <w:color w:val="000000"/>
          <w:kern w:val="1"/>
          <w:sz w:val="24"/>
          <w:szCs w:val="24"/>
        </w:rPr>
        <w:t>1）土壤环境现状调查的方案</w:t>
      </w:r>
    </w:p>
    <w:p>
      <w:pPr>
        <w:spacing w:line="360" w:lineRule="auto"/>
        <w:ind w:firstLine="480" w:firstLineChars="200"/>
        <w:rPr>
          <w:color w:val="000000"/>
          <w:kern w:val="1"/>
          <w:sz w:val="24"/>
          <w:szCs w:val="24"/>
        </w:rPr>
      </w:pPr>
      <w:r>
        <w:rPr>
          <w:color w:val="000000"/>
          <w:kern w:val="1"/>
          <w:sz w:val="24"/>
          <w:szCs w:val="24"/>
        </w:rPr>
        <w:t>根据《环境影响评价技术导则  土壤环境（试行）》（HJ964-2018）中7 现状调查评价的7.1基本原则和要求</w:t>
      </w:r>
      <w:r>
        <w:rPr>
          <w:rFonts w:hint="eastAsia"/>
          <w:color w:val="000000"/>
          <w:kern w:val="1"/>
          <w:sz w:val="24"/>
          <w:szCs w:val="24"/>
        </w:rPr>
        <w:t>：</w:t>
      </w:r>
    </w:p>
    <w:p>
      <w:pPr>
        <w:spacing w:line="360" w:lineRule="auto"/>
        <w:ind w:firstLine="480" w:firstLineChars="200"/>
        <w:rPr>
          <w:color w:val="000000"/>
          <w:kern w:val="1"/>
          <w:sz w:val="24"/>
          <w:szCs w:val="24"/>
        </w:rPr>
      </w:pPr>
      <w:r>
        <w:rPr>
          <w:color w:val="000000"/>
          <w:kern w:val="1"/>
          <w:sz w:val="24"/>
          <w:szCs w:val="24"/>
        </w:rPr>
        <w:t>7.1.2土壤环境现状调查与评级工作的深度应满足相应的工作级别要求，当现有资料不能满足要求时，应通过组织现场调查、监测等方法获取。</w:t>
      </w:r>
    </w:p>
    <w:p>
      <w:pPr>
        <w:spacing w:line="360" w:lineRule="auto"/>
        <w:ind w:firstLine="480" w:firstLineChars="200"/>
        <w:rPr>
          <w:color w:val="000000"/>
          <w:kern w:val="1"/>
          <w:sz w:val="24"/>
          <w:szCs w:val="24"/>
        </w:rPr>
      </w:pPr>
      <w:r>
        <w:rPr>
          <w:color w:val="000000"/>
          <w:kern w:val="1"/>
          <w:sz w:val="24"/>
          <w:szCs w:val="24"/>
        </w:rPr>
        <w:t>7.1.4工业园区内的建设项目，应重点在建设项目占地范围内开展现状调查工作，并兼顾其可能影响的园区外围土壤环境敏感目标。</w:t>
      </w:r>
    </w:p>
    <w:p>
      <w:pPr>
        <w:spacing w:line="360" w:lineRule="auto"/>
        <w:ind w:firstLine="480" w:firstLineChars="200"/>
        <w:rPr>
          <w:color w:val="000000"/>
          <w:kern w:val="1"/>
          <w:sz w:val="24"/>
          <w:szCs w:val="24"/>
        </w:rPr>
      </w:pPr>
      <w:r>
        <w:rPr>
          <w:rFonts w:hint="eastAsia"/>
          <w:color w:val="000000"/>
          <w:kern w:val="1"/>
          <w:sz w:val="24"/>
          <w:szCs w:val="24"/>
        </w:rPr>
        <w:t>拟建</w:t>
      </w:r>
      <w:r>
        <w:rPr>
          <w:color w:val="000000"/>
          <w:kern w:val="1"/>
          <w:sz w:val="24"/>
          <w:szCs w:val="24"/>
        </w:rPr>
        <w:t>项目的土壤环境评价等级为</w:t>
      </w:r>
      <w:r>
        <w:rPr>
          <w:rFonts w:hint="eastAsia"/>
          <w:color w:val="000000"/>
          <w:kern w:val="1"/>
          <w:sz w:val="24"/>
          <w:szCs w:val="24"/>
        </w:rPr>
        <w:t>三级</w:t>
      </w:r>
      <w:r>
        <w:rPr>
          <w:color w:val="000000"/>
          <w:kern w:val="1"/>
          <w:sz w:val="24"/>
          <w:szCs w:val="24"/>
        </w:rPr>
        <w:t>评价工作。所以对建设项目占地范围</w:t>
      </w:r>
      <w:r>
        <w:rPr>
          <w:rFonts w:hint="eastAsia"/>
          <w:color w:val="000000"/>
          <w:kern w:val="1"/>
          <w:sz w:val="24"/>
          <w:szCs w:val="24"/>
        </w:rPr>
        <w:t>内</w:t>
      </w:r>
      <w:r>
        <w:rPr>
          <w:color w:val="000000"/>
          <w:kern w:val="1"/>
          <w:sz w:val="24"/>
          <w:szCs w:val="24"/>
        </w:rPr>
        <w:t>的土壤环境中的</w:t>
      </w:r>
      <w:r>
        <w:rPr>
          <w:rFonts w:hint="eastAsia"/>
          <w:color w:val="000000"/>
          <w:kern w:val="1"/>
          <w:sz w:val="24"/>
          <w:szCs w:val="24"/>
        </w:rPr>
        <w:t>45项基本因子</w:t>
      </w:r>
      <w:r>
        <w:rPr>
          <w:color w:val="000000"/>
          <w:kern w:val="1"/>
          <w:sz w:val="24"/>
          <w:szCs w:val="24"/>
        </w:rPr>
        <w:t>进行监测，共设置</w:t>
      </w:r>
      <w:r>
        <w:rPr>
          <w:rFonts w:hint="eastAsia"/>
          <w:color w:val="000000"/>
          <w:kern w:val="1"/>
          <w:sz w:val="24"/>
          <w:szCs w:val="24"/>
        </w:rPr>
        <w:t>3个</w:t>
      </w:r>
      <w:r>
        <w:rPr>
          <w:color w:val="000000"/>
          <w:kern w:val="1"/>
          <w:sz w:val="24"/>
          <w:szCs w:val="24"/>
        </w:rPr>
        <w:t>监测点位。</w:t>
      </w:r>
    </w:p>
    <w:p>
      <w:pPr>
        <w:spacing w:line="360" w:lineRule="auto"/>
        <w:ind w:firstLine="480" w:firstLineChars="200"/>
        <w:rPr>
          <w:color w:val="000000"/>
          <w:kern w:val="1"/>
          <w:sz w:val="24"/>
          <w:szCs w:val="24"/>
        </w:rPr>
      </w:pPr>
      <w:r>
        <w:rPr>
          <w:rFonts w:hint="eastAsia"/>
          <w:color w:val="000000"/>
          <w:kern w:val="1"/>
          <w:sz w:val="24"/>
          <w:szCs w:val="24"/>
        </w:rPr>
        <w:t>2）土壤环境现场调查和监测结果</w:t>
      </w:r>
    </w:p>
    <w:p>
      <w:pPr>
        <w:spacing w:line="360" w:lineRule="auto"/>
        <w:ind w:firstLine="480" w:firstLineChars="200"/>
        <w:rPr>
          <w:color w:val="000000"/>
          <w:kern w:val="1"/>
          <w:sz w:val="24"/>
          <w:szCs w:val="24"/>
        </w:rPr>
      </w:pPr>
      <w:r>
        <w:rPr>
          <w:rFonts w:hint="eastAsia"/>
          <w:color w:val="000000"/>
          <w:kern w:val="1"/>
          <w:sz w:val="24"/>
          <w:szCs w:val="24"/>
        </w:rPr>
        <w:t>（1）</w:t>
      </w:r>
      <w:r>
        <w:rPr>
          <w:color w:val="000000"/>
          <w:kern w:val="1"/>
          <w:sz w:val="24"/>
          <w:szCs w:val="24"/>
        </w:rPr>
        <w:t>监测结果见表4.</w:t>
      </w:r>
      <w:r>
        <w:rPr>
          <w:rFonts w:hint="eastAsia"/>
          <w:color w:val="000000"/>
          <w:kern w:val="1"/>
          <w:sz w:val="24"/>
          <w:szCs w:val="24"/>
        </w:rPr>
        <w:t>3-8</w:t>
      </w:r>
      <w:r>
        <w:rPr>
          <w:color w:val="000000"/>
          <w:kern w:val="1"/>
          <w:sz w:val="24"/>
          <w:szCs w:val="24"/>
        </w:rPr>
        <w:t>。</w:t>
      </w:r>
    </w:p>
    <w:p>
      <w:pPr>
        <w:spacing w:line="360" w:lineRule="auto"/>
        <w:ind w:firstLine="480" w:firstLineChars="200"/>
        <w:rPr>
          <w:color w:val="000000"/>
          <w:kern w:val="1"/>
          <w:sz w:val="24"/>
          <w:szCs w:val="24"/>
        </w:rPr>
      </w:pPr>
      <w:r>
        <w:rPr>
          <w:rFonts w:hint="eastAsia"/>
          <w:color w:val="000000"/>
          <w:kern w:val="1"/>
          <w:sz w:val="24"/>
          <w:szCs w:val="24"/>
        </w:rPr>
        <w:t>（2）</w:t>
      </w:r>
      <w:r>
        <w:rPr>
          <w:color w:val="000000"/>
          <w:kern w:val="1"/>
          <w:sz w:val="24"/>
          <w:szCs w:val="24"/>
        </w:rPr>
        <w:t>根据</w:t>
      </w:r>
      <w:r>
        <w:rPr>
          <w:rFonts w:hint="eastAsia"/>
          <w:color w:val="000000"/>
          <w:kern w:val="1"/>
          <w:sz w:val="24"/>
          <w:szCs w:val="24"/>
        </w:rPr>
        <w:t>现场调查</w:t>
      </w:r>
      <w:r>
        <w:rPr>
          <w:color w:val="000000"/>
          <w:kern w:val="1"/>
          <w:sz w:val="24"/>
          <w:szCs w:val="24"/>
        </w:rPr>
        <w:t>，</w:t>
      </w:r>
      <w:r>
        <w:rPr>
          <w:rFonts w:hint="eastAsia"/>
          <w:color w:val="000000"/>
          <w:kern w:val="1"/>
          <w:sz w:val="24"/>
          <w:szCs w:val="24"/>
        </w:rPr>
        <w:t>拟建项目评价范围的土壤理化性质见表。</w:t>
      </w:r>
    </w:p>
    <w:p>
      <w:pPr>
        <w:spacing w:line="360" w:lineRule="auto"/>
        <w:ind w:firstLine="480" w:firstLineChars="200"/>
        <w:rPr>
          <w:color w:val="000000"/>
          <w:kern w:val="1"/>
          <w:sz w:val="24"/>
          <w:szCs w:val="24"/>
        </w:rPr>
      </w:pPr>
      <w:r>
        <w:rPr>
          <w:rFonts w:hint="eastAsia"/>
          <w:color w:val="000000"/>
          <w:kern w:val="1"/>
          <w:sz w:val="24"/>
          <w:szCs w:val="24"/>
        </w:rPr>
        <w:t>（3）</w:t>
      </w:r>
      <w:r>
        <w:rPr>
          <w:color w:val="000000"/>
          <w:kern w:val="1"/>
          <w:sz w:val="24"/>
          <w:szCs w:val="24"/>
        </w:rPr>
        <w:t>项目拟建场址</w:t>
      </w:r>
      <w:r>
        <w:rPr>
          <w:rFonts w:hint="eastAsia"/>
          <w:color w:val="000000"/>
          <w:kern w:val="1"/>
          <w:sz w:val="24"/>
          <w:szCs w:val="24"/>
        </w:rPr>
        <w:t>内3个</w:t>
      </w:r>
      <w:r>
        <w:rPr>
          <w:color w:val="000000"/>
          <w:kern w:val="1"/>
          <w:sz w:val="24"/>
          <w:szCs w:val="24"/>
        </w:rPr>
        <w:t>监测点位的</w:t>
      </w:r>
      <w:r>
        <w:rPr>
          <w:rFonts w:hint="eastAsia"/>
          <w:color w:val="000000"/>
          <w:kern w:val="1"/>
          <w:sz w:val="24"/>
          <w:szCs w:val="24"/>
        </w:rPr>
        <w:t>45项基本因子</w:t>
      </w:r>
      <w:r>
        <w:rPr>
          <w:color w:val="000000"/>
          <w:kern w:val="1"/>
          <w:sz w:val="24"/>
          <w:szCs w:val="24"/>
        </w:rPr>
        <w:t>监测值在监测期间满足《土壤质量标准 建设用地土壤污染管控标准》（GB36600-2018）表1中第二类用地筛选值的要求。</w:t>
      </w:r>
    </w:p>
    <w:p>
      <w:pPr>
        <w:keepNext/>
        <w:keepLines/>
        <w:spacing w:before="280" w:after="290" w:line="376" w:lineRule="auto"/>
        <w:outlineLvl w:val="3"/>
        <w:rPr>
          <w:b/>
          <w:bCs/>
          <w:color w:val="000000"/>
          <w:sz w:val="24"/>
          <w:szCs w:val="24"/>
        </w:rPr>
      </w:pPr>
      <w:r>
        <w:rPr>
          <w:b/>
          <w:bCs/>
          <w:color w:val="000000"/>
          <w:sz w:val="24"/>
          <w:szCs w:val="24"/>
        </w:rPr>
        <w:t>5.</w:t>
      </w:r>
      <w:r>
        <w:rPr>
          <w:rFonts w:hint="eastAsia"/>
          <w:b/>
          <w:bCs/>
          <w:color w:val="000000"/>
          <w:sz w:val="24"/>
          <w:szCs w:val="24"/>
        </w:rPr>
        <w:t>2.6.3</w:t>
      </w:r>
      <w:r>
        <w:rPr>
          <w:b/>
          <w:bCs/>
          <w:color w:val="000000"/>
          <w:sz w:val="24"/>
          <w:szCs w:val="24"/>
        </w:rPr>
        <w:t xml:space="preserve"> 建设项目土壤环境影响预测和评价</w:t>
      </w:r>
    </w:p>
    <w:p>
      <w:pPr>
        <w:spacing w:line="360" w:lineRule="auto"/>
        <w:ind w:firstLine="480" w:firstLineChars="200"/>
        <w:rPr>
          <w:color w:val="000000"/>
          <w:kern w:val="1"/>
          <w:sz w:val="24"/>
          <w:szCs w:val="24"/>
        </w:rPr>
      </w:pPr>
      <w:r>
        <w:rPr>
          <w:color w:val="000000"/>
          <w:kern w:val="1"/>
          <w:sz w:val="24"/>
          <w:szCs w:val="24"/>
        </w:rPr>
        <w:t>根据建设项目土壤环境评价工作等级为</w:t>
      </w:r>
      <w:r>
        <w:rPr>
          <w:rFonts w:hint="eastAsia"/>
          <w:color w:val="000000"/>
          <w:kern w:val="1"/>
          <w:sz w:val="24"/>
          <w:szCs w:val="24"/>
        </w:rPr>
        <w:t>三级</w:t>
      </w:r>
      <w:r>
        <w:rPr>
          <w:color w:val="000000"/>
          <w:kern w:val="1"/>
          <w:sz w:val="24"/>
          <w:szCs w:val="24"/>
        </w:rPr>
        <w:t>评价，所以在此对建设项目土壤环境进行</w:t>
      </w:r>
      <w:r>
        <w:rPr>
          <w:rFonts w:hint="eastAsia"/>
          <w:color w:val="000000"/>
          <w:kern w:val="1"/>
          <w:sz w:val="24"/>
          <w:szCs w:val="24"/>
        </w:rPr>
        <w:t>影响预测和评价</w:t>
      </w:r>
      <w:r>
        <w:rPr>
          <w:color w:val="000000"/>
          <w:kern w:val="1"/>
          <w:sz w:val="24"/>
          <w:szCs w:val="24"/>
        </w:rPr>
        <w:t>分析。</w:t>
      </w:r>
    </w:p>
    <w:p>
      <w:pPr>
        <w:spacing w:line="360" w:lineRule="auto"/>
        <w:ind w:firstLine="480"/>
        <w:rPr>
          <w:color w:val="000000"/>
          <w:kern w:val="1"/>
          <w:sz w:val="24"/>
          <w:szCs w:val="24"/>
        </w:rPr>
      </w:pPr>
      <w:r>
        <w:rPr>
          <w:color w:val="000000"/>
          <w:kern w:val="1"/>
          <w:sz w:val="24"/>
          <w:szCs w:val="24"/>
        </w:rPr>
        <w:t>1）评价因子</w:t>
      </w:r>
    </w:p>
    <w:p>
      <w:pPr>
        <w:spacing w:line="360" w:lineRule="auto"/>
        <w:ind w:firstLine="480" w:firstLineChars="200"/>
        <w:rPr>
          <w:color w:val="000000"/>
          <w:kern w:val="1"/>
          <w:sz w:val="24"/>
          <w:szCs w:val="24"/>
        </w:rPr>
      </w:pPr>
      <w:r>
        <w:rPr>
          <w:color w:val="000000"/>
          <w:kern w:val="1"/>
          <w:sz w:val="24"/>
          <w:szCs w:val="24"/>
        </w:rPr>
        <w:t>综合考虑以上污染因子的特性，根据《土壤环境质量  建设用地土壤污染风险管控标准（试行）》（GB36600-2018）中</w:t>
      </w:r>
      <w:r>
        <w:rPr>
          <w:rFonts w:hint="eastAsia"/>
          <w:color w:val="000000"/>
          <w:kern w:val="1"/>
          <w:sz w:val="24"/>
          <w:szCs w:val="24"/>
        </w:rPr>
        <w:t>“</w:t>
      </w:r>
      <w:r>
        <w:rPr>
          <w:color w:val="000000"/>
          <w:kern w:val="1"/>
          <w:sz w:val="24"/>
          <w:szCs w:val="24"/>
        </w:rPr>
        <w:t>5 建设用地土壤污染风险筛选值和管控制</w:t>
      </w:r>
      <w:r>
        <w:rPr>
          <w:rFonts w:hint="eastAsia"/>
          <w:color w:val="000000"/>
          <w:kern w:val="1"/>
          <w:sz w:val="24"/>
          <w:szCs w:val="24"/>
        </w:rPr>
        <w:t>”</w:t>
      </w:r>
      <w:r>
        <w:rPr>
          <w:color w:val="000000"/>
          <w:kern w:val="1"/>
          <w:sz w:val="24"/>
          <w:szCs w:val="24"/>
        </w:rPr>
        <w:t>的表1中的污染物项目</w:t>
      </w:r>
      <w:r>
        <w:rPr>
          <w:rFonts w:hint="eastAsia"/>
          <w:color w:val="000000"/>
          <w:kern w:val="1"/>
          <w:sz w:val="24"/>
          <w:szCs w:val="24"/>
        </w:rPr>
        <w:t>（基本项目）</w:t>
      </w:r>
      <w:r>
        <w:rPr>
          <w:color w:val="000000"/>
          <w:kern w:val="1"/>
          <w:sz w:val="24"/>
          <w:szCs w:val="24"/>
        </w:rPr>
        <w:t>。</w:t>
      </w:r>
    </w:p>
    <w:p>
      <w:pPr>
        <w:spacing w:line="360" w:lineRule="auto"/>
        <w:ind w:firstLine="480"/>
        <w:rPr>
          <w:color w:val="000000"/>
          <w:kern w:val="1"/>
          <w:sz w:val="24"/>
          <w:szCs w:val="24"/>
        </w:rPr>
      </w:pPr>
      <w:r>
        <w:rPr>
          <w:color w:val="000000"/>
          <w:kern w:val="1"/>
          <w:sz w:val="24"/>
          <w:szCs w:val="24"/>
        </w:rPr>
        <w:t>2）评价范围</w:t>
      </w:r>
    </w:p>
    <w:p>
      <w:pPr>
        <w:spacing w:line="360" w:lineRule="auto"/>
        <w:ind w:firstLine="480"/>
        <w:rPr>
          <w:color w:val="000000"/>
          <w:kern w:val="1"/>
          <w:sz w:val="24"/>
          <w:szCs w:val="24"/>
        </w:rPr>
      </w:pPr>
      <w:r>
        <w:rPr>
          <w:color w:val="000000"/>
          <w:kern w:val="1"/>
          <w:sz w:val="24"/>
          <w:szCs w:val="24"/>
        </w:rPr>
        <w:t>项目拟建场址及周围</w:t>
      </w:r>
      <w:r>
        <w:rPr>
          <w:rFonts w:hint="eastAsia"/>
          <w:color w:val="000000"/>
          <w:kern w:val="1"/>
          <w:sz w:val="24"/>
          <w:szCs w:val="24"/>
        </w:rPr>
        <w:t>5</w:t>
      </w:r>
      <w:r>
        <w:rPr>
          <w:color w:val="000000"/>
          <w:kern w:val="1"/>
          <w:sz w:val="24"/>
          <w:szCs w:val="24"/>
        </w:rPr>
        <w:t>0m范围。</w:t>
      </w:r>
    </w:p>
    <w:p>
      <w:pPr>
        <w:spacing w:line="360" w:lineRule="auto"/>
        <w:ind w:firstLine="480"/>
        <w:rPr>
          <w:color w:val="000000"/>
          <w:kern w:val="1"/>
          <w:sz w:val="24"/>
          <w:szCs w:val="24"/>
        </w:rPr>
      </w:pPr>
      <w:r>
        <w:rPr>
          <w:color w:val="000000"/>
          <w:kern w:val="1"/>
          <w:sz w:val="24"/>
          <w:szCs w:val="24"/>
        </w:rPr>
        <w:t>3）评价时段</w:t>
      </w:r>
    </w:p>
    <w:p>
      <w:pPr>
        <w:spacing w:line="360" w:lineRule="auto"/>
        <w:ind w:firstLine="480"/>
        <w:rPr>
          <w:color w:val="000000"/>
          <w:kern w:val="1"/>
          <w:sz w:val="24"/>
          <w:szCs w:val="24"/>
        </w:rPr>
      </w:pPr>
      <w:r>
        <w:rPr>
          <w:color w:val="000000"/>
          <w:kern w:val="1"/>
          <w:sz w:val="24"/>
          <w:szCs w:val="24"/>
        </w:rPr>
        <w:t>项目运行期。</w:t>
      </w:r>
    </w:p>
    <w:p>
      <w:pPr>
        <w:spacing w:line="360" w:lineRule="auto"/>
        <w:ind w:firstLine="480"/>
        <w:rPr>
          <w:color w:val="000000"/>
          <w:kern w:val="1"/>
          <w:sz w:val="24"/>
          <w:szCs w:val="24"/>
        </w:rPr>
      </w:pPr>
      <w:r>
        <w:rPr>
          <w:color w:val="000000"/>
          <w:kern w:val="1"/>
          <w:sz w:val="24"/>
          <w:szCs w:val="24"/>
        </w:rPr>
        <w:t>4）建设项目污染因子对土壤的影响途径</w:t>
      </w:r>
    </w:p>
    <w:p>
      <w:pPr>
        <w:spacing w:line="360" w:lineRule="auto"/>
        <w:ind w:firstLine="480"/>
        <w:rPr>
          <w:color w:val="000000"/>
          <w:kern w:val="1"/>
          <w:sz w:val="24"/>
          <w:szCs w:val="24"/>
        </w:rPr>
      </w:pPr>
      <w:r>
        <w:rPr>
          <w:color w:val="000000"/>
          <w:kern w:val="1"/>
          <w:sz w:val="24"/>
          <w:szCs w:val="24"/>
        </w:rPr>
        <w:t>根据项目工程分析，项目特征污染因子</w:t>
      </w:r>
      <w:r>
        <w:rPr>
          <w:rFonts w:hint="eastAsia"/>
          <w:color w:val="000000"/>
          <w:kern w:val="1"/>
          <w:sz w:val="24"/>
          <w:szCs w:val="24"/>
        </w:rPr>
        <w:t>硫化物：</w:t>
      </w:r>
      <w:r>
        <w:rPr>
          <w:color w:val="000000"/>
          <w:kern w:val="1"/>
          <w:sz w:val="24"/>
          <w:szCs w:val="24"/>
        </w:rPr>
        <w:t>主要</w:t>
      </w:r>
      <w:r>
        <w:rPr>
          <w:rFonts w:hint="eastAsia"/>
          <w:color w:val="000000"/>
          <w:kern w:val="1"/>
          <w:sz w:val="24"/>
          <w:szCs w:val="24"/>
        </w:rPr>
        <w:t>来源</w:t>
      </w:r>
      <w:r>
        <w:rPr>
          <w:color w:val="000000"/>
          <w:kern w:val="1"/>
          <w:sz w:val="24"/>
          <w:szCs w:val="24"/>
        </w:rPr>
        <w:t>于</w:t>
      </w:r>
      <w:r>
        <w:rPr>
          <w:rFonts w:hint="eastAsia"/>
          <w:color w:val="000000"/>
          <w:kern w:val="1"/>
          <w:sz w:val="24"/>
          <w:szCs w:val="24"/>
        </w:rPr>
        <w:t>锅炉</w:t>
      </w:r>
      <w:r>
        <w:rPr>
          <w:color w:val="000000"/>
          <w:kern w:val="1"/>
          <w:sz w:val="24"/>
          <w:szCs w:val="24"/>
        </w:rPr>
        <w:t>排放废气中</w:t>
      </w:r>
      <w:r>
        <w:rPr>
          <w:rFonts w:hint="eastAsia"/>
          <w:color w:val="000000"/>
          <w:kern w:val="1"/>
          <w:sz w:val="24"/>
          <w:szCs w:val="24"/>
        </w:rPr>
        <w:t>的SO</w:t>
      </w:r>
      <w:r>
        <w:rPr>
          <w:rFonts w:hint="eastAsia"/>
          <w:color w:val="000000"/>
          <w:kern w:val="1"/>
          <w:sz w:val="24"/>
          <w:szCs w:val="24"/>
          <w:vertAlign w:val="subscript"/>
        </w:rPr>
        <w:t>2</w:t>
      </w:r>
      <w:r>
        <w:rPr>
          <w:color w:val="000000"/>
          <w:kern w:val="1"/>
          <w:sz w:val="24"/>
          <w:szCs w:val="24"/>
        </w:rPr>
        <w:t>，所以对土壤环境的影响途径主要是废气</w:t>
      </w:r>
      <w:r>
        <w:rPr>
          <w:rFonts w:hint="eastAsia"/>
          <w:color w:val="000000"/>
          <w:kern w:val="1"/>
          <w:sz w:val="24"/>
          <w:szCs w:val="24"/>
        </w:rPr>
        <w:t>沉降影响途径</w:t>
      </w:r>
      <w:r>
        <w:rPr>
          <w:color w:val="000000"/>
          <w:kern w:val="1"/>
          <w:sz w:val="24"/>
          <w:szCs w:val="24"/>
        </w:rPr>
        <w:t>。</w:t>
      </w:r>
    </w:p>
    <w:p>
      <w:pPr>
        <w:spacing w:line="360" w:lineRule="auto"/>
        <w:ind w:firstLine="480"/>
        <w:rPr>
          <w:color w:val="000000"/>
          <w:kern w:val="1"/>
          <w:sz w:val="24"/>
          <w:szCs w:val="24"/>
        </w:rPr>
      </w:pPr>
      <w:r>
        <w:rPr>
          <w:rFonts w:hint="eastAsia"/>
          <w:color w:val="000000"/>
          <w:kern w:val="1"/>
          <w:sz w:val="24"/>
          <w:szCs w:val="24"/>
        </w:rPr>
        <w:t>同时也考虑项目生产</w:t>
      </w:r>
      <w:r>
        <w:rPr>
          <w:color w:val="000000"/>
          <w:kern w:val="1"/>
          <w:sz w:val="24"/>
          <w:szCs w:val="24"/>
        </w:rPr>
        <w:t>废水</w:t>
      </w:r>
      <w:r>
        <w:rPr>
          <w:rFonts w:hint="eastAsia"/>
          <w:color w:val="000000"/>
          <w:kern w:val="1"/>
          <w:sz w:val="24"/>
          <w:szCs w:val="24"/>
        </w:rPr>
        <w:t>非正常情况外溢的因防雨不当引起的地面漫流对周围土壤的影响。</w:t>
      </w:r>
    </w:p>
    <w:p>
      <w:pPr>
        <w:numPr>
          <w:ilvl w:val="0"/>
          <w:numId w:val="7"/>
        </w:numPr>
        <w:spacing w:line="360" w:lineRule="auto"/>
        <w:rPr>
          <w:color w:val="000000"/>
          <w:kern w:val="1"/>
          <w:sz w:val="24"/>
          <w:szCs w:val="24"/>
        </w:rPr>
      </w:pPr>
      <w:r>
        <w:rPr>
          <w:color w:val="000000"/>
          <w:kern w:val="1"/>
          <w:sz w:val="24"/>
          <w:szCs w:val="24"/>
        </w:rPr>
        <w:t>正常情况对土壤的影响途径</w:t>
      </w:r>
    </w:p>
    <w:p>
      <w:pPr>
        <w:spacing w:line="360" w:lineRule="auto"/>
        <w:rPr>
          <w:color w:val="000000"/>
          <w:kern w:val="1"/>
          <w:sz w:val="24"/>
          <w:szCs w:val="24"/>
        </w:rPr>
      </w:pPr>
      <w:r>
        <w:rPr>
          <w:color w:val="000000"/>
          <w:kern w:val="1"/>
          <w:sz w:val="24"/>
          <w:szCs w:val="24"/>
        </w:rPr>
        <w:t xml:space="preserve"> </w:t>
      </w:r>
      <w:r>
        <w:rPr>
          <w:rFonts w:hint="eastAsia"/>
          <w:color w:val="000000"/>
          <w:kern w:val="1"/>
          <w:sz w:val="24"/>
          <w:szCs w:val="24"/>
        </w:rPr>
        <w:t xml:space="preserve">   </w:t>
      </w:r>
      <w:r>
        <w:rPr>
          <w:color w:val="000000"/>
          <w:kern w:val="1"/>
          <w:sz w:val="24"/>
          <w:szCs w:val="24"/>
        </w:rPr>
        <w:t>主要是</w:t>
      </w:r>
      <w:r>
        <w:rPr>
          <w:rFonts w:hint="eastAsia"/>
          <w:color w:val="000000"/>
          <w:kern w:val="1"/>
          <w:sz w:val="24"/>
          <w:szCs w:val="24"/>
        </w:rPr>
        <w:t>锅炉</w:t>
      </w:r>
      <w:r>
        <w:rPr>
          <w:color w:val="000000"/>
          <w:kern w:val="1"/>
          <w:sz w:val="24"/>
          <w:szCs w:val="24"/>
        </w:rPr>
        <w:t>废气排放的污染因子</w:t>
      </w:r>
      <w:r>
        <w:rPr>
          <w:rFonts w:hint="eastAsia"/>
          <w:color w:val="000000"/>
          <w:kern w:val="1"/>
          <w:sz w:val="24"/>
          <w:szCs w:val="24"/>
        </w:rPr>
        <w:t>SO</w:t>
      </w:r>
      <w:r>
        <w:rPr>
          <w:rFonts w:hint="eastAsia"/>
          <w:color w:val="000000"/>
          <w:kern w:val="1"/>
          <w:sz w:val="24"/>
          <w:szCs w:val="24"/>
          <w:vertAlign w:val="subscript"/>
        </w:rPr>
        <w:t>2</w:t>
      </w:r>
      <w:r>
        <w:rPr>
          <w:rFonts w:hint="eastAsia"/>
          <w:color w:val="000000"/>
          <w:kern w:val="1"/>
          <w:sz w:val="24"/>
          <w:szCs w:val="24"/>
        </w:rPr>
        <w:t>通过废气沉降影响途径</w:t>
      </w:r>
      <w:r>
        <w:rPr>
          <w:color w:val="000000"/>
          <w:kern w:val="1"/>
          <w:sz w:val="24"/>
          <w:szCs w:val="24"/>
        </w:rPr>
        <w:t>进入土壤中，通过</w:t>
      </w:r>
      <w:r>
        <w:rPr>
          <w:rFonts w:hint="eastAsia"/>
          <w:color w:val="000000"/>
          <w:kern w:val="1"/>
          <w:sz w:val="24"/>
          <w:szCs w:val="24"/>
        </w:rPr>
        <w:t>沉降再</w:t>
      </w:r>
      <w:r>
        <w:rPr>
          <w:color w:val="000000"/>
          <w:kern w:val="1"/>
          <w:sz w:val="24"/>
          <w:szCs w:val="24"/>
        </w:rPr>
        <w:t>下渗进入土壤。</w:t>
      </w:r>
    </w:p>
    <w:p>
      <w:pPr>
        <w:numPr>
          <w:ilvl w:val="0"/>
          <w:numId w:val="7"/>
        </w:numPr>
        <w:spacing w:line="360" w:lineRule="auto"/>
        <w:rPr>
          <w:color w:val="000000"/>
          <w:kern w:val="1"/>
          <w:sz w:val="24"/>
          <w:szCs w:val="24"/>
        </w:rPr>
      </w:pPr>
      <w:r>
        <w:rPr>
          <w:color w:val="000000"/>
          <w:kern w:val="1"/>
          <w:sz w:val="24"/>
          <w:szCs w:val="24"/>
        </w:rPr>
        <w:t>非正常情况</w:t>
      </w:r>
    </w:p>
    <w:p>
      <w:pPr>
        <w:spacing w:line="360" w:lineRule="auto"/>
        <w:ind w:firstLine="480" w:firstLineChars="200"/>
        <w:rPr>
          <w:color w:val="000000"/>
          <w:kern w:val="1"/>
          <w:sz w:val="24"/>
          <w:szCs w:val="24"/>
        </w:rPr>
      </w:pPr>
      <w:r>
        <w:rPr>
          <w:rFonts w:hint="eastAsia"/>
          <w:color w:val="000000"/>
          <w:kern w:val="1"/>
          <w:sz w:val="24"/>
          <w:szCs w:val="24"/>
        </w:rPr>
        <w:t>考虑生产废水非正常情况外溢的因防雨不当引起的地面漫流，污水中的COD、BOD、SS对周围土壤的影响</w:t>
      </w:r>
      <w:r>
        <w:rPr>
          <w:color w:val="000000"/>
          <w:kern w:val="1"/>
          <w:sz w:val="24"/>
          <w:szCs w:val="24"/>
        </w:rPr>
        <w:t>。</w:t>
      </w:r>
    </w:p>
    <w:p>
      <w:pPr>
        <w:spacing w:line="360" w:lineRule="auto"/>
        <w:ind w:left="480"/>
        <w:rPr>
          <w:color w:val="000000"/>
          <w:kern w:val="1"/>
          <w:sz w:val="24"/>
          <w:szCs w:val="24"/>
        </w:rPr>
      </w:pPr>
      <w:r>
        <w:rPr>
          <w:color w:val="000000"/>
          <w:kern w:val="1"/>
          <w:sz w:val="24"/>
          <w:szCs w:val="24"/>
        </w:rPr>
        <w:t>5）影响预测</w:t>
      </w:r>
    </w:p>
    <w:p>
      <w:pPr>
        <w:spacing w:line="360" w:lineRule="auto"/>
        <w:ind w:firstLine="480" w:firstLineChars="200"/>
        <w:rPr>
          <w:color w:val="000000"/>
          <w:kern w:val="1"/>
          <w:sz w:val="24"/>
          <w:szCs w:val="24"/>
        </w:rPr>
      </w:pPr>
      <w:r>
        <w:rPr>
          <w:rFonts w:hint="eastAsia"/>
          <w:color w:val="000000"/>
          <w:kern w:val="1"/>
          <w:sz w:val="24"/>
          <w:szCs w:val="24"/>
        </w:rPr>
        <w:t>（1）根据工程分析，拟建项目时用生物质锅炉，锅炉废气中的SO</w:t>
      </w:r>
      <w:r>
        <w:rPr>
          <w:rFonts w:hint="eastAsia"/>
          <w:color w:val="000000"/>
          <w:kern w:val="1"/>
          <w:sz w:val="24"/>
          <w:szCs w:val="24"/>
          <w:vertAlign w:val="subscript"/>
        </w:rPr>
        <w:t>2</w:t>
      </w:r>
      <w:r>
        <w:rPr>
          <w:rFonts w:hint="eastAsia"/>
          <w:color w:val="000000"/>
          <w:kern w:val="1"/>
          <w:sz w:val="24"/>
          <w:szCs w:val="24"/>
        </w:rPr>
        <w:t>年排放量为2.55t/a。</w:t>
      </w:r>
    </w:p>
    <w:p>
      <w:pPr>
        <w:spacing w:line="360" w:lineRule="auto"/>
        <w:ind w:firstLine="480" w:firstLineChars="200"/>
        <w:rPr>
          <w:color w:val="000000"/>
          <w:kern w:val="1"/>
          <w:sz w:val="24"/>
          <w:szCs w:val="24"/>
        </w:rPr>
      </w:pPr>
      <w:r>
        <w:rPr>
          <w:rFonts w:hint="eastAsia"/>
          <w:color w:val="000000"/>
          <w:kern w:val="1"/>
          <w:sz w:val="24"/>
          <w:szCs w:val="24"/>
        </w:rPr>
        <w:t>根据估算模式估算结果，正常情况下项目锅炉有组织排放的SO</w:t>
      </w:r>
      <w:r>
        <w:rPr>
          <w:rFonts w:hint="eastAsia"/>
          <w:color w:val="000000"/>
          <w:kern w:val="1"/>
          <w:sz w:val="24"/>
          <w:szCs w:val="24"/>
          <w:vertAlign w:val="subscript"/>
        </w:rPr>
        <w:t>2</w:t>
      </w:r>
      <w:r>
        <w:rPr>
          <w:rFonts w:hint="eastAsia"/>
          <w:color w:val="000000"/>
          <w:kern w:val="1"/>
          <w:sz w:val="24"/>
          <w:szCs w:val="24"/>
        </w:rPr>
        <w:t>最大地面落地浓度为20.868ug/m</w:t>
      </w:r>
      <w:r>
        <w:rPr>
          <w:rFonts w:hint="eastAsia"/>
          <w:color w:val="000000"/>
          <w:kern w:val="1"/>
          <w:sz w:val="24"/>
          <w:szCs w:val="24"/>
          <w:vertAlign w:val="superscript"/>
        </w:rPr>
        <w:t>3</w:t>
      </w:r>
      <w:r>
        <w:rPr>
          <w:rFonts w:hint="eastAsia"/>
          <w:color w:val="000000"/>
          <w:kern w:val="1"/>
          <w:sz w:val="24"/>
          <w:szCs w:val="24"/>
        </w:rPr>
        <w:t>，对应的距离为1575m处，最大占标率为0.0961%。满足《锅炉大气污染物排放标准》（GB13271-2014）表2中燃气锅炉标准；拟建项目锅炉有组织排放的SO</w:t>
      </w:r>
      <w:r>
        <w:rPr>
          <w:rFonts w:hint="eastAsia"/>
          <w:color w:val="000000"/>
          <w:kern w:val="1"/>
          <w:sz w:val="24"/>
          <w:szCs w:val="24"/>
          <w:vertAlign w:val="subscript"/>
        </w:rPr>
        <w:t>2</w:t>
      </w:r>
      <w:r>
        <w:rPr>
          <w:rFonts w:hint="eastAsia"/>
          <w:color w:val="000000"/>
          <w:kern w:val="1"/>
          <w:sz w:val="24"/>
          <w:szCs w:val="24"/>
        </w:rPr>
        <w:t>的最大落地浓度分别满足《环境空气质量标准》（GB3095-2012）的二级标准。</w:t>
      </w:r>
    </w:p>
    <w:p>
      <w:pPr>
        <w:spacing w:line="360" w:lineRule="auto"/>
        <w:ind w:firstLine="480" w:firstLineChars="200"/>
        <w:rPr>
          <w:color w:val="000000"/>
          <w:kern w:val="1"/>
          <w:sz w:val="24"/>
          <w:szCs w:val="24"/>
        </w:rPr>
      </w:pPr>
      <w:r>
        <w:rPr>
          <w:rFonts w:hint="eastAsia"/>
          <w:color w:val="000000"/>
          <w:kern w:val="1"/>
          <w:sz w:val="24"/>
          <w:szCs w:val="24"/>
        </w:rPr>
        <w:t>所以拟建项目锅炉排放的废气中的SO</w:t>
      </w:r>
      <w:r>
        <w:rPr>
          <w:rFonts w:hint="eastAsia"/>
          <w:color w:val="000000"/>
          <w:kern w:val="1"/>
          <w:sz w:val="24"/>
          <w:szCs w:val="24"/>
          <w:vertAlign w:val="subscript"/>
        </w:rPr>
        <w:t>2</w:t>
      </w:r>
      <w:r>
        <w:rPr>
          <w:rFonts w:hint="eastAsia"/>
          <w:color w:val="000000"/>
          <w:kern w:val="1"/>
          <w:sz w:val="24"/>
          <w:szCs w:val="24"/>
        </w:rPr>
        <w:t>对周围土壤环境影响较小，同时对园区外的农作物的影响较小。</w:t>
      </w:r>
    </w:p>
    <w:p>
      <w:pPr>
        <w:spacing w:line="360" w:lineRule="auto"/>
        <w:ind w:firstLine="480" w:firstLineChars="200"/>
        <w:rPr>
          <w:color w:val="000000"/>
          <w:kern w:val="1"/>
          <w:sz w:val="24"/>
          <w:szCs w:val="24"/>
        </w:rPr>
      </w:pPr>
      <w:r>
        <w:rPr>
          <w:rFonts w:hint="eastAsia"/>
          <w:color w:val="000000"/>
          <w:kern w:val="1"/>
          <w:sz w:val="24"/>
          <w:szCs w:val="24"/>
        </w:rPr>
        <w:t>（2</w:t>
      </w:r>
      <w:r>
        <w:rPr>
          <w:rFonts w:hint="eastAsia"/>
          <w:color w:val="FF0000"/>
          <w:kern w:val="1"/>
          <w:sz w:val="24"/>
          <w:szCs w:val="24"/>
        </w:rPr>
        <w:t>）拟建项目污水处理站各个池子均采用一般防渗，且设置了900m</w:t>
      </w:r>
      <w:r>
        <w:rPr>
          <w:rFonts w:hint="eastAsia"/>
          <w:color w:val="FF0000"/>
          <w:kern w:val="1"/>
          <w:sz w:val="24"/>
          <w:szCs w:val="24"/>
          <w:vertAlign w:val="superscript"/>
        </w:rPr>
        <w:t>3</w:t>
      </w:r>
      <w:r>
        <w:rPr>
          <w:rFonts w:hint="eastAsia"/>
          <w:color w:val="FF0000"/>
          <w:kern w:val="1"/>
          <w:sz w:val="24"/>
          <w:szCs w:val="24"/>
        </w:rPr>
        <w:t>的事故池、200m</w:t>
      </w:r>
      <w:r>
        <w:rPr>
          <w:rFonts w:hint="eastAsia"/>
          <w:color w:val="FF0000"/>
          <w:kern w:val="1"/>
          <w:sz w:val="24"/>
          <w:szCs w:val="24"/>
          <w:vertAlign w:val="superscript"/>
        </w:rPr>
        <w:t>3</w:t>
      </w:r>
      <w:r>
        <w:rPr>
          <w:rFonts w:hint="eastAsia"/>
          <w:color w:val="FF0000"/>
          <w:kern w:val="1"/>
          <w:sz w:val="24"/>
          <w:szCs w:val="24"/>
        </w:rPr>
        <w:t>的生产废水收集池和150m</w:t>
      </w:r>
      <w:r>
        <w:rPr>
          <w:rFonts w:hint="eastAsia"/>
          <w:color w:val="FF0000"/>
          <w:kern w:val="1"/>
          <w:sz w:val="24"/>
          <w:szCs w:val="24"/>
          <w:vertAlign w:val="superscript"/>
        </w:rPr>
        <w:t>3</w:t>
      </w:r>
      <w:r>
        <w:rPr>
          <w:rFonts w:hint="eastAsia"/>
          <w:color w:val="FF0000"/>
          <w:kern w:val="1"/>
          <w:sz w:val="24"/>
          <w:szCs w:val="24"/>
        </w:rPr>
        <w:t>脱硫废水收集池，能够避免发生废水外溢和渗漏的情况。</w:t>
      </w:r>
    </w:p>
    <w:p>
      <w:pPr>
        <w:spacing w:line="360" w:lineRule="auto"/>
        <w:ind w:firstLine="480" w:firstLineChars="200"/>
        <w:rPr>
          <w:color w:val="000000"/>
          <w:kern w:val="1"/>
          <w:sz w:val="24"/>
          <w:szCs w:val="24"/>
        </w:rPr>
      </w:pPr>
      <w:r>
        <w:rPr>
          <w:rFonts w:hint="eastAsia"/>
          <w:color w:val="000000"/>
          <w:kern w:val="1"/>
          <w:sz w:val="24"/>
          <w:szCs w:val="24"/>
        </w:rPr>
        <w:t>（3）原料堆场采用上设顶棚，仅在南侧设进出口，其他均采用2m高</w:t>
      </w:r>
      <w:r>
        <w:rPr>
          <w:color w:val="000000"/>
          <w:kern w:val="1"/>
          <w:sz w:val="24"/>
          <w:szCs w:val="24"/>
        </w:rPr>
        <w:t>的围墙，有效避免发生雨淋发生外溢的情况。</w:t>
      </w:r>
    </w:p>
    <w:p>
      <w:pPr>
        <w:spacing w:line="360" w:lineRule="auto"/>
        <w:ind w:firstLine="480" w:firstLineChars="200"/>
        <w:rPr>
          <w:color w:val="000000"/>
          <w:kern w:val="1"/>
          <w:sz w:val="24"/>
          <w:szCs w:val="24"/>
        </w:rPr>
      </w:pPr>
      <w:r>
        <w:rPr>
          <w:color w:val="000000"/>
          <w:kern w:val="1"/>
          <w:sz w:val="24"/>
          <w:szCs w:val="24"/>
        </w:rPr>
        <w:t>（4）同时根据现场土壤理化性质调查结果：</w:t>
      </w:r>
    </w:p>
    <w:p>
      <w:pPr>
        <w:spacing w:line="360" w:lineRule="auto"/>
        <w:ind w:firstLine="600" w:firstLineChars="250"/>
        <w:rPr>
          <w:color w:val="000000"/>
          <w:kern w:val="1"/>
          <w:sz w:val="24"/>
          <w:szCs w:val="24"/>
        </w:rPr>
      </w:pPr>
      <w:r>
        <w:rPr>
          <w:rFonts w:hint="eastAsia" w:ascii="宋体" w:hAnsi="宋体"/>
          <w:color w:val="000000"/>
          <w:kern w:val="1"/>
          <w:sz w:val="24"/>
          <w:szCs w:val="24"/>
        </w:rPr>
        <w:t>①</w:t>
      </w:r>
      <w:r>
        <w:rPr>
          <w:rFonts w:hint="eastAsia"/>
          <w:color w:val="000000"/>
          <w:kern w:val="1"/>
          <w:sz w:val="24"/>
          <w:szCs w:val="24"/>
        </w:rPr>
        <w:t>场区内土壤厚度分布较为均匀，表层一般为砂壤土和砂土。</w:t>
      </w:r>
    </w:p>
    <w:p>
      <w:pPr>
        <w:spacing w:line="360" w:lineRule="auto"/>
        <w:ind w:firstLine="600" w:firstLineChars="250"/>
        <w:rPr>
          <w:color w:val="000000"/>
          <w:kern w:val="1"/>
          <w:sz w:val="24"/>
          <w:szCs w:val="24"/>
        </w:rPr>
      </w:pPr>
      <w:r>
        <w:rPr>
          <w:rFonts w:hint="eastAsia" w:ascii="宋体" w:hAnsi="宋体"/>
          <w:color w:val="000000"/>
          <w:kern w:val="1"/>
          <w:sz w:val="24"/>
          <w:szCs w:val="24"/>
        </w:rPr>
        <w:t>②</w:t>
      </w:r>
      <w:r>
        <w:rPr>
          <w:rFonts w:hint="eastAsia"/>
          <w:color w:val="000000"/>
          <w:kern w:val="1"/>
          <w:sz w:val="24"/>
          <w:szCs w:val="24"/>
        </w:rPr>
        <w:t>占地范围内地面漫流影响区土壤中砂砾石随含量较高，但阳离子交换量总体较大，但pH值会有降低趋势，可能会造成氧化还原电位变化。</w:t>
      </w:r>
    </w:p>
    <w:p>
      <w:pPr>
        <w:spacing w:line="360" w:lineRule="auto"/>
        <w:ind w:firstLine="480" w:firstLineChars="200"/>
        <w:rPr>
          <w:color w:val="000000"/>
          <w:kern w:val="1"/>
          <w:sz w:val="24"/>
          <w:szCs w:val="24"/>
        </w:rPr>
      </w:pPr>
      <w:r>
        <w:rPr>
          <w:rFonts w:hint="eastAsia"/>
          <w:color w:val="000000"/>
          <w:kern w:val="1"/>
          <w:sz w:val="24"/>
          <w:szCs w:val="24"/>
        </w:rPr>
        <w:t>综上所述，</w:t>
      </w:r>
      <w:r>
        <w:rPr>
          <w:color w:val="000000"/>
          <w:kern w:val="1"/>
          <w:sz w:val="24"/>
          <w:szCs w:val="24"/>
        </w:rPr>
        <w:t>拟建项目在做好</w:t>
      </w:r>
      <w:r>
        <w:rPr>
          <w:rFonts w:hint="eastAsia"/>
          <w:color w:val="000000"/>
          <w:kern w:val="1"/>
          <w:sz w:val="24"/>
          <w:szCs w:val="24"/>
        </w:rPr>
        <w:t>锅炉</w:t>
      </w:r>
      <w:r>
        <w:rPr>
          <w:color w:val="000000"/>
          <w:kern w:val="1"/>
          <w:sz w:val="24"/>
          <w:szCs w:val="24"/>
        </w:rPr>
        <w:t>废气达标排放，废水</w:t>
      </w:r>
      <w:r>
        <w:rPr>
          <w:rFonts w:hint="eastAsia"/>
          <w:color w:val="000000"/>
          <w:kern w:val="1"/>
          <w:sz w:val="24"/>
          <w:szCs w:val="24"/>
        </w:rPr>
        <w:t>处理系统</w:t>
      </w:r>
      <w:r>
        <w:rPr>
          <w:color w:val="000000"/>
          <w:kern w:val="1"/>
          <w:sz w:val="24"/>
          <w:szCs w:val="24"/>
        </w:rPr>
        <w:t>做好防渗</w:t>
      </w:r>
      <w:r>
        <w:rPr>
          <w:rFonts w:hint="eastAsia"/>
          <w:color w:val="000000"/>
          <w:kern w:val="1"/>
          <w:sz w:val="24"/>
          <w:szCs w:val="24"/>
        </w:rPr>
        <w:t>、防溢流</w:t>
      </w:r>
      <w:r>
        <w:rPr>
          <w:color w:val="000000"/>
          <w:kern w:val="1"/>
          <w:sz w:val="24"/>
          <w:szCs w:val="24"/>
        </w:rPr>
        <w:t>措施</w:t>
      </w:r>
      <w:r>
        <w:rPr>
          <w:rFonts w:hint="eastAsia"/>
          <w:color w:val="000000"/>
          <w:kern w:val="1"/>
          <w:sz w:val="24"/>
          <w:szCs w:val="24"/>
        </w:rPr>
        <w:t>，原料堆场做好防渗、防雨淋措施</w:t>
      </w:r>
      <w:r>
        <w:rPr>
          <w:color w:val="000000"/>
          <w:kern w:val="1"/>
          <w:sz w:val="24"/>
          <w:szCs w:val="24"/>
        </w:rPr>
        <w:t>的情况，对拟建项目周围土壤</w:t>
      </w:r>
      <w:r>
        <w:rPr>
          <w:rFonts w:hint="eastAsia"/>
          <w:color w:val="000000"/>
          <w:kern w:val="1"/>
          <w:sz w:val="24"/>
          <w:szCs w:val="24"/>
        </w:rPr>
        <w:t>环境</w:t>
      </w:r>
      <w:r>
        <w:rPr>
          <w:color w:val="000000"/>
          <w:kern w:val="1"/>
          <w:sz w:val="24"/>
          <w:szCs w:val="24"/>
        </w:rPr>
        <w:t>的影响较小。</w:t>
      </w:r>
    </w:p>
    <w:p>
      <w:pPr>
        <w:keepNext/>
        <w:keepLines/>
        <w:spacing w:before="280" w:after="290" w:line="376" w:lineRule="auto"/>
        <w:outlineLvl w:val="3"/>
        <w:rPr>
          <w:b/>
          <w:bCs/>
          <w:color w:val="000000"/>
          <w:sz w:val="24"/>
          <w:szCs w:val="24"/>
        </w:rPr>
      </w:pPr>
      <w:r>
        <w:rPr>
          <w:b/>
          <w:bCs/>
          <w:color w:val="000000"/>
          <w:sz w:val="24"/>
          <w:szCs w:val="24"/>
        </w:rPr>
        <w:t>5.</w:t>
      </w:r>
      <w:r>
        <w:rPr>
          <w:rFonts w:hint="eastAsia"/>
          <w:b/>
          <w:bCs/>
          <w:color w:val="000000"/>
          <w:sz w:val="24"/>
          <w:szCs w:val="24"/>
        </w:rPr>
        <w:t>2.6.4</w:t>
      </w:r>
      <w:r>
        <w:rPr>
          <w:b/>
          <w:bCs/>
          <w:color w:val="000000"/>
          <w:sz w:val="24"/>
          <w:szCs w:val="24"/>
        </w:rPr>
        <w:t xml:space="preserve"> 建设项目土壤环境影响防治措施及跟踪监测措施</w:t>
      </w:r>
    </w:p>
    <w:p>
      <w:pPr>
        <w:spacing w:line="360" w:lineRule="auto"/>
        <w:ind w:firstLine="480" w:firstLineChars="200"/>
        <w:rPr>
          <w:color w:val="000000"/>
          <w:kern w:val="1"/>
          <w:sz w:val="24"/>
          <w:szCs w:val="24"/>
        </w:rPr>
      </w:pPr>
      <w:r>
        <w:rPr>
          <w:color w:val="000000"/>
          <w:kern w:val="1"/>
          <w:sz w:val="24"/>
          <w:szCs w:val="24"/>
        </w:rPr>
        <w:t>1）</w:t>
      </w:r>
      <w:r>
        <w:rPr>
          <w:rFonts w:hint="eastAsia"/>
          <w:color w:val="000000"/>
          <w:kern w:val="1"/>
          <w:sz w:val="24"/>
          <w:szCs w:val="24"/>
        </w:rPr>
        <w:t>对废气中污染物对土壤环境的影响采取的防治措施</w:t>
      </w:r>
    </w:p>
    <w:p>
      <w:pPr>
        <w:spacing w:line="360" w:lineRule="auto"/>
        <w:ind w:firstLine="480" w:firstLineChars="200"/>
        <w:rPr>
          <w:color w:val="000000"/>
          <w:kern w:val="1"/>
          <w:sz w:val="24"/>
          <w:szCs w:val="24"/>
        </w:rPr>
      </w:pPr>
      <w:r>
        <w:rPr>
          <w:rFonts w:hint="eastAsia"/>
          <w:color w:val="000000"/>
          <w:kern w:val="1"/>
          <w:sz w:val="24"/>
          <w:szCs w:val="24"/>
        </w:rPr>
        <w:t>（1）</w:t>
      </w:r>
      <w:r>
        <w:rPr>
          <w:color w:val="000000"/>
          <w:kern w:val="1"/>
          <w:sz w:val="24"/>
          <w:szCs w:val="24"/>
        </w:rPr>
        <w:t>从源头</w:t>
      </w:r>
      <w:r>
        <w:rPr>
          <w:rFonts w:hint="eastAsia"/>
          <w:color w:val="000000"/>
          <w:kern w:val="1"/>
          <w:sz w:val="24"/>
          <w:szCs w:val="24"/>
        </w:rPr>
        <w:t>控制措施</w:t>
      </w:r>
      <w:r>
        <w:rPr>
          <w:color w:val="000000"/>
          <w:kern w:val="1"/>
          <w:sz w:val="24"/>
          <w:szCs w:val="24"/>
        </w:rPr>
        <w:t>上，采取</w:t>
      </w:r>
      <w:r>
        <w:rPr>
          <w:rFonts w:hint="eastAsia"/>
          <w:color w:val="000000"/>
          <w:kern w:val="1"/>
          <w:sz w:val="24"/>
          <w:szCs w:val="24"/>
        </w:rPr>
        <w:t>生物质替代燃煤</w:t>
      </w:r>
      <w:r>
        <w:rPr>
          <w:color w:val="000000"/>
          <w:kern w:val="1"/>
          <w:sz w:val="24"/>
          <w:szCs w:val="24"/>
        </w:rPr>
        <w:t>，减少废气中污染物</w:t>
      </w:r>
      <w:r>
        <w:rPr>
          <w:rFonts w:hint="eastAsia"/>
          <w:color w:val="000000"/>
          <w:kern w:val="1"/>
          <w:sz w:val="24"/>
          <w:szCs w:val="24"/>
        </w:rPr>
        <w:t>（SO</w:t>
      </w:r>
      <w:r>
        <w:rPr>
          <w:rFonts w:hint="eastAsia"/>
          <w:color w:val="000000"/>
          <w:kern w:val="1"/>
          <w:sz w:val="24"/>
          <w:szCs w:val="24"/>
          <w:vertAlign w:val="subscript"/>
        </w:rPr>
        <w:t>2</w:t>
      </w:r>
      <w:r>
        <w:rPr>
          <w:rFonts w:hint="eastAsia"/>
          <w:color w:val="000000"/>
          <w:kern w:val="1"/>
          <w:sz w:val="24"/>
          <w:szCs w:val="24"/>
        </w:rPr>
        <w:t>、NOx、颗粒物）</w:t>
      </w:r>
      <w:r>
        <w:rPr>
          <w:color w:val="000000"/>
          <w:kern w:val="1"/>
          <w:sz w:val="24"/>
          <w:szCs w:val="24"/>
        </w:rPr>
        <w:t>的产生。</w:t>
      </w:r>
    </w:p>
    <w:p>
      <w:pPr>
        <w:spacing w:line="360" w:lineRule="auto"/>
        <w:ind w:firstLine="480" w:firstLineChars="200"/>
        <w:rPr>
          <w:color w:val="000000"/>
          <w:kern w:val="1"/>
          <w:sz w:val="24"/>
          <w:szCs w:val="24"/>
        </w:rPr>
      </w:pPr>
      <w:r>
        <w:rPr>
          <w:rFonts w:hint="eastAsia"/>
          <w:color w:val="000000"/>
          <w:kern w:val="1"/>
          <w:sz w:val="24"/>
          <w:szCs w:val="24"/>
        </w:rPr>
        <w:t>（2）</w:t>
      </w:r>
      <w:r>
        <w:rPr>
          <w:color w:val="000000"/>
          <w:kern w:val="1"/>
          <w:sz w:val="24"/>
          <w:szCs w:val="24"/>
        </w:rPr>
        <w:t>影响过程防控措施</w:t>
      </w:r>
    </w:p>
    <w:p>
      <w:pPr>
        <w:spacing w:line="360" w:lineRule="auto"/>
        <w:ind w:firstLine="480" w:firstLineChars="200"/>
        <w:rPr>
          <w:color w:val="000000"/>
          <w:kern w:val="1"/>
          <w:sz w:val="24"/>
          <w:szCs w:val="24"/>
        </w:rPr>
      </w:pPr>
      <w:r>
        <w:rPr>
          <w:color w:val="000000"/>
          <w:kern w:val="1"/>
          <w:sz w:val="24"/>
          <w:szCs w:val="24"/>
        </w:rPr>
        <w:t>对拟建项目占地范围内能够硬化的地方尽量采取硬化，不能硬化的地方采取绿化措施，减少废气沉降污染物对土壤环境的影响</w:t>
      </w:r>
      <w:r>
        <w:rPr>
          <w:rFonts w:hint="eastAsia"/>
          <w:color w:val="000000"/>
          <w:kern w:val="1"/>
          <w:sz w:val="24"/>
          <w:szCs w:val="24"/>
        </w:rPr>
        <w:t>。</w:t>
      </w:r>
    </w:p>
    <w:p>
      <w:pPr>
        <w:spacing w:line="360" w:lineRule="auto"/>
        <w:ind w:firstLine="480" w:firstLineChars="200"/>
        <w:rPr>
          <w:color w:val="000000"/>
          <w:kern w:val="1"/>
          <w:sz w:val="24"/>
          <w:szCs w:val="24"/>
        </w:rPr>
      </w:pPr>
      <w:r>
        <w:rPr>
          <w:rFonts w:hint="eastAsia"/>
          <w:color w:val="000000"/>
          <w:kern w:val="1"/>
          <w:sz w:val="24"/>
          <w:szCs w:val="24"/>
        </w:rPr>
        <w:t>2）对废水的非正常情况下对土壤环境的防治措施</w:t>
      </w:r>
    </w:p>
    <w:p>
      <w:pPr>
        <w:spacing w:line="360" w:lineRule="auto"/>
        <w:ind w:firstLine="480" w:firstLineChars="200"/>
        <w:rPr>
          <w:color w:val="000000"/>
          <w:kern w:val="1"/>
          <w:sz w:val="24"/>
          <w:szCs w:val="24"/>
        </w:rPr>
      </w:pPr>
      <w:r>
        <w:rPr>
          <w:rFonts w:hint="eastAsia"/>
          <w:color w:val="000000"/>
          <w:kern w:val="1"/>
          <w:sz w:val="24"/>
          <w:szCs w:val="24"/>
        </w:rPr>
        <w:t>（1）项目区设置900m</w:t>
      </w:r>
      <w:r>
        <w:rPr>
          <w:rFonts w:hint="eastAsia"/>
          <w:color w:val="000000"/>
          <w:kern w:val="1"/>
          <w:sz w:val="24"/>
          <w:szCs w:val="24"/>
          <w:vertAlign w:val="superscript"/>
        </w:rPr>
        <w:t>3</w:t>
      </w:r>
      <w:r>
        <w:rPr>
          <w:rFonts w:hint="eastAsia"/>
          <w:color w:val="000000"/>
          <w:kern w:val="1"/>
          <w:sz w:val="24"/>
          <w:szCs w:val="24"/>
        </w:rPr>
        <w:t>事故池，保证废水在污水处理站检修和故障时废水不会发生外溢情况。</w:t>
      </w:r>
    </w:p>
    <w:p>
      <w:pPr>
        <w:spacing w:line="360" w:lineRule="auto"/>
        <w:ind w:firstLine="480" w:firstLineChars="200"/>
        <w:rPr>
          <w:color w:val="000000"/>
          <w:kern w:val="1"/>
          <w:sz w:val="24"/>
          <w:szCs w:val="24"/>
        </w:rPr>
      </w:pPr>
      <w:r>
        <w:rPr>
          <w:rFonts w:hint="eastAsia"/>
          <w:color w:val="000000"/>
          <w:kern w:val="1"/>
          <w:sz w:val="24"/>
          <w:szCs w:val="24"/>
        </w:rPr>
        <w:t>（2）污水处理站的各个池子均采用了混凝土浇筑，并采取了重点防渗措施。</w:t>
      </w:r>
    </w:p>
    <w:p>
      <w:pPr>
        <w:spacing w:line="360" w:lineRule="auto"/>
        <w:ind w:firstLine="480" w:firstLineChars="200"/>
        <w:rPr>
          <w:color w:val="000000"/>
          <w:kern w:val="1"/>
          <w:sz w:val="24"/>
          <w:szCs w:val="24"/>
        </w:rPr>
      </w:pPr>
      <w:r>
        <w:rPr>
          <w:rFonts w:hint="eastAsia"/>
          <w:color w:val="000000"/>
          <w:kern w:val="1"/>
          <w:sz w:val="24"/>
          <w:szCs w:val="24"/>
        </w:rPr>
        <w:t>（3）原料场采用上设顶棚，仅在南侧设进出口，其他均采用2m高的围墙，保证不会发生雨淋的情况；</w:t>
      </w:r>
    </w:p>
    <w:p>
      <w:pPr>
        <w:spacing w:line="360" w:lineRule="auto"/>
        <w:ind w:firstLine="480" w:firstLineChars="200"/>
        <w:rPr>
          <w:color w:val="000000"/>
          <w:kern w:val="1"/>
          <w:sz w:val="24"/>
          <w:szCs w:val="24"/>
        </w:rPr>
      </w:pPr>
      <w:r>
        <w:rPr>
          <w:rFonts w:hint="eastAsia"/>
          <w:color w:val="000000"/>
          <w:kern w:val="1"/>
          <w:sz w:val="24"/>
          <w:szCs w:val="24"/>
        </w:rPr>
        <w:t>采取以上措施后，能够有效避免项目生产堆土壤的影响。</w:t>
      </w:r>
    </w:p>
    <w:p>
      <w:pPr>
        <w:spacing w:line="360" w:lineRule="auto"/>
        <w:ind w:firstLine="480" w:firstLineChars="200"/>
        <w:rPr>
          <w:color w:val="000000"/>
          <w:kern w:val="1"/>
          <w:sz w:val="24"/>
          <w:szCs w:val="24"/>
        </w:rPr>
      </w:pPr>
      <w:r>
        <w:rPr>
          <w:color w:val="000000"/>
          <w:kern w:val="1"/>
          <w:sz w:val="24"/>
          <w:szCs w:val="24"/>
        </w:rPr>
        <w:t>3）跟踪监测措施</w:t>
      </w:r>
    </w:p>
    <w:p>
      <w:pPr>
        <w:spacing w:line="360" w:lineRule="auto"/>
        <w:ind w:firstLine="480" w:firstLineChars="200"/>
        <w:rPr>
          <w:color w:val="000000"/>
          <w:kern w:val="1"/>
          <w:sz w:val="24"/>
          <w:szCs w:val="24"/>
        </w:rPr>
      </w:pPr>
      <w:r>
        <w:rPr>
          <w:color w:val="000000"/>
          <w:kern w:val="1"/>
          <w:sz w:val="24"/>
          <w:szCs w:val="24"/>
        </w:rPr>
        <w:t>《土壤环境质量 建设用地土壤污染风险管控标准（试行）》（GB36600-2018）</w:t>
      </w:r>
    </w:p>
    <w:p>
      <w:pPr>
        <w:spacing w:line="360" w:lineRule="auto"/>
        <w:rPr>
          <w:color w:val="000000"/>
          <w:kern w:val="1"/>
          <w:sz w:val="24"/>
          <w:szCs w:val="24"/>
        </w:rPr>
      </w:pPr>
      <w:r>
        <w:rPr>
          <w:color w:val="000000"/>
          <w:kern w:val="1"/>
          <w:sz w:val="24"/>
          <w:szCs w:val="24"/>
        </w:rPr>
        <w:t>中9.1.3 土壤环境跟踪监测措施包括制定监测计划，建立跟踪监测制度，以便及时发现问题，采取措施。</w:t>
      </w:r>
    </w:p>
    <w:p>
      <w:pPr>
        <w:spacing w:line="360" w:lineRule="auto"/>
        <w:ind w:firstLine="480" w:firstLineChars="200"/>
        <w:rPr>
          <w:color w:val="000000"/>
          <w:kern w:val="1"/>
          <w:sz w:val="24"/>
          <w:szCs w:val="24"/>
        </w:rPr>
      </w:pPr>
      <w:r>
        <w:rPr>
          <w:color w:val="000000"/>
          <w:kern w:val="1"/>
          <w:sz w:val="24"/>
          <w:szCs w:val="24"/>
        </w:rPr>
        <w:t>同时《环境影响评价技术导则  土壤环境（试行）》（HJ964-2018）中9.1.4</w:t>
      </w:r>
      <w:r>
        <w:rPr>
          <w:rFonts w:hint="eastAsia"/>
          <w:color w:val="000000"/>
          <w:kern w:val="1"/>
          <w:sz w:val="24"/>
          <w:szCs w:val="24"/>
        </w:rPr>
        <w:t>：</w:t>
      </w:r>
    </w:p>
    <w:p>
      <w:pPr>
        <w:spacing w:line="360" w:lineRule="auto"/>
        <w:ind w:firstLine="480" w:firstLineChars="200"/>
        <w:rPr>
          <w:color w:val="000000"/>
          <w:kern w:val="1"/>
          <w:sz w:val="24"/>
          <w:szCs w:val="24"/>
        </w:rPr>
      </w:pPr>
      <w:r>
        <w:rPr>
          <w:rFonts w:hint="eastAsia"/>
          <w:color w:val="000000"/>
          <w:kern w:val="1"/>
          <w:sz w:val="24"/>
          <w:szCs w:val="24"/>
        </w:rPr>
        <w:t>a）监测点位应布设在重点影响区和土壤敏感目标附近；</w:t>
      </w:r>
    </w:p>
    <w:p>
      <w:pPr>
        <w:spacing w:line="360" w:lineRule="auto"/>
        <w:ind w:firstLine="480" w:firstLineChars="200"/>
        <w:rPr>
          <w:color w:val="000000"/>
          <w:kern w:val="1"/>
          <w:sz w:val="24"/>
          <w:szCs w:val="24"/>
        </w:rPr>
      </w:pPr>
      <w:r>
        <w:rPr>
          <w:color w:val="000000"/>
          <w:kern w:val="1"/>
          <w:sz w:val="24"/>
          <w:szCs w:val="24"/>
        </w:rPr>
        <w:t>c）评价工作为一级的建设项目一般每3年开展一次监测工作，二级的每5年开展一次监测工作，三级的必要时开展跟踪监测工作。</w:t>
      </w:r>
    </w:p>
    <w:p>
      <w:pPr>
        <w:spacing w:line="360" w:lineRule="auto"/>
        <w:ind w:firstLine="480" w:firstLineChars="200"/>
        <w:rPr>
          <w:color w:val="000000"/>
          <w:kern w:val="1"/>
          <w:sz w:val="24"/>
          <w:szCs w:val="24"/>
        </w:rPr>
      </w:pPr>
      <w:r>
        <w:rPr>
          <w:rFonts w:hint="eastAsia"/>
          <w:color w:val="000000"/>
          <w:kern w:val="1"/>
          <w:sz w:val="24"/>
          <w:szCs w:val="24"/>
        </w:rPr>
        <w:t>由于项目影响区土壤发育程度高，对挥发性和半挥发性物质的吸附能力较强，作为二类建设项目用地土壤环境质量对人体健康造成影响的潜在风险总体较高。应加强大气和地表漫流污染控制控制。但由于土壤天然防渗性能较好，污染物入渗影响深度总体较小，建议在0</w:t>
      </w:r>
      <w:r>
        <w:rPr>
          <w:rFonts w:hint="eastAsia" w:ascii="宋体" w:hAnsi="宋体"/>
          <w:color w:val="000000"/>
          <w:kern w:val="1"/>
          <w:sz w:val="24"/>
          <w:szCs w:val="24"/>
        </w:rPr>
        <w:t>～</w:t>
      </w:r>
      <w:r>
        <w:rPr>
          <w:rFonts w:hint="eastAsia"/>
          <w:color w:val="000000"/>
          <w:kern w:val="1"/>
          <w:sz w:val="24"/>
          <w:szCs w:val="24"/>
        </w:rPr>
        <w:t>0.5m深度设置柱状样监测点。</w:t>
      </w:r>
    </w:p>
    <w:p>
      <w:pPr>
        <w:spacing w:line="360" w:lineRule="auto"/>
        <w:ind w:firstLine="480" w:firstLineChars="200"/>
        <w:rPr>
          <w:color w:val="000000"/>
          <w:kern w:val="1"/>
          <w:sz w:val="24"/>
          <w:szCs w:val="24"/>
        </w:rPr>
      </w:pPr>
      <w:r>
        <w:rPr>
          <w:color w:val="000000"/>
          <w:kern w:val="1"/>
          <w:sz w:val="24"/>
          <w:szCs w:val="24"/>
        </w:rPr>
        <w:t>所以</w:t>
      </w:r>
      <w:r>
        <w:rPr>
          <w:rFonts w:hint="eastAsia"/>
          <w:color w:val="000000"/>
          <w:sz w:val="24"/>
          <w:szCs w:val="24"/>
        </w:rPr>
        <w:t>拟建</w:t>
      </w:r>
      <w:r>
        <w:rPr>
          <w:color w:val="000000"/>
          <w:kern w:val="1"/>
          <w:sz w:val="24"/>
          <w:szCs w:val="24"/>
        </w:rPr>
        <w:t>项目根据</w:t>
      </w:r>
      <w:r>
        <w:rPr>
          <w:rFonts w:hint="eastAsia"/>
          <w:color w:val="000000"/>
          <w:kern w:val="1"/>
          <w:sz w:val="24"/>
          <w:szCs w:val="24"/>
        </w:rPr>
        <w:t>涉及的产品和污染物特征</w:t>
      </w:r>
      <w:r>
        <w:rPr>
          <w:color w:val="000000"/>
          <w:kern w:val="1"/>
          <w:sz w:val="24"/>
          <w:szCs w:val="24"/>
        </w:rPr>
        <w:t>，</w:t>
      </w:r>
      <w:r>
        <w:rPr>
          <w:rFonts w:hint="eastAsia"/>
          <w:color w:val="000000"/>
          <w:kern w:val="1"/>
          <w:sz w:val="24"/>
          <w:szCs w:val="24"/>
        </w:rPr>
        <w:t>跟踪监测点位（0～0.5m深度）应设置在拟建项目的东北角（锅炉房的东北侧的厂界内），</w:t>
      </w:r>
      <w:r>
        <w:rPr>
          <w:color w:val="000000"/>
          <w:kern w:val="1"/>
          <w:sz w:val="24"/>
          <w:szCs w:val="24"/>
        </w:rPr>
        <w:t>必要时开展跟踪监测工作。并向环境主管部门报送监测结果。</w:t>
      </w:r>
    </w:p>
    <w:p>
      <w:pPr>
        <w:keepNext/>
        <w:keepLines/>
        <w:spacing w:before="280" w:after="290" w:line="376" w:lineRule="auto"/>
        <w:outlineLvl w:val="3"/>
        <w:rPr>
          <w:b/>
          <w:bCs/>
          <w:color w:val="000000"/>
          <w:sz w:val="24"/>
          <w:szCs w:val="24"/>
        </w:rPr>
      </w:pPr>
      <w:r>
        <w:rPr>
          <w:b/>
          <w:bCs/>
          <w:color w:val="000000"/>
          <w:sz w:val="24"/>
          <w:szCs w:val="24"/>
        </w:rPr>
        <w:t>5.</w:t>
      </w:r>
      <w:r>
        <w:rPr>
          <w:rFonts w:hint="eastAsia"/>
          <w:b/>
          <w:bCs/>
          <w:color w:val="000000"/>
          <w:sz w:val="24"/>
          <w:szCs w:val="24"/>
        </w:rPr>
        <w:t>2.6.5</w:t>
      </w:r>
      <w:r>
        <w:rPr>
          <w:b/>
          <w:bCs/>
          <w:color w:val="000000"/>
          <w:sz w:val="24"/>
          <w:szCs w:val="24"/>
        </w:rPr>
        <w:t xml:space="preserve"> 建设项目土壤环境影响评价结论</w:t>
      </w:r>
    </w:p>
    <w:p>
      <w:pPr>
        <w:spacing w:line="360" w:lineRule="auto"/>
        <w:ind w:firstLine="480" w:firstLineChars="200"/>
        <w:rPr>
          <w:color w:val="000000"/>
          <w:kern w:val="1"/>
          <w:sz w:val="24"/>
          <w:szCs w:val="24"/>
        </w:rPr>
      </w:pPr>
      <w:r>
        <w:rPr>
          <w:color w:val="000000"/>
          <w:kern w:val="1"/>
          <w:sz w:val="24"/>
          <w:szCs w:val="24"/>
        </w:rPr>
        <w:t>建设项目场址</w:t>
      </w:r>
      <w:r>
        <w:rPr>
          <w:rFonts w:hint="eastAsia"/>
          <w:color w:val="000000"/>
          <w:kern w:val="1"/>
          <w:sz w:val="24"/>
          <w:szCs w:val="24"/>
        </w:rPr>
        <w:t>内</w:t>
      </w:r>
      <w:r>
        <w:rPr>
          <w:color w:val="000000"/>
          <w:kern w:val="1"/>
          <w:sz w:val="24"/>
          <w:szCs w:val="24"/>
        </w:rPr>
        <w:t>土壤环境</w:t>
      </w:r>
      <w:r>
        <w:rPr>
          <w:rFonts w:hint="eastAsia"/>
          <w:color w:val="000000"/>
          <w:kern w:val="1"/>
          <w:sz w:val="24"/>
          <w:szCs w:val="24"/>
        </w:rPr>
        <w:t>监测点的45项基本因子监测值</w:t>
      </w:r>
      <w:r>
        <w:rPr>
          <w:color w:val="000000"/>
          <w:kern w:val="1"/>
          <w:sz w:val="24"/>
          <w:szCs w:val="24"/>
        </w:rPr>
        <w:t>能够满足《土壤质量标准 建设用地土壤污染管控标准》（GB36600-2018）表1中第二类用地筛选值的要求</w:t>
      </w:r>
      <w:r>
        <w:rPr>
          <w:rFonts w:hint="eastAsia"/>
          <w:color w:val="000000"/>
          <w:kern w:val="1"/>
          <w:sz w:val="24"/>
          <w:szCs w:val="24"/>
        </w:rPr>
        <w:t>。</w:t>
      </w:r>
    </w:p>
    <w:p>
      <w:pPr>
        <w:spacing w:line="360" w:lineRule="auto"/>
        <w:ind w:firstLine="480" w:firstLineChars="200"/>
        <w:rPr>
          <w:color w:val="000000"/>
          <w:kern w:val="1"/>
          <w:sz w:val="24"/>
          <w:szCs w:val="24"/>
        </w:rPr>
      </w:pPr>
      <w:r>
        <w:rPr>
          <w:color w:val="000000"/>
          <w:kern w:val="1"/>
          <w:sz w:val="24"/>
          <w:szCs w:val="24"/>
        </w:rPr>
        <w:t>项目运行过程产生的污染物在采取源头防控，过程防控的措施后，对周围土壤环境影响较小，</w:t>
      </w:r>
      <w:r>
        <w:rPr>
          <w:rFonts w:hint="eastAsia"/>
          <w:color w:val="000000"/>
          <w:kern w:val="1"/>
          <w:sz w:val="24"/>
          <w:szCs w:val="24"/>
        </w:rPr>
        <w:t>拟建项目对周围土壤环境的影响是可以接受的。</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280" w:name="_Toc5312"/>
      <w:r>
        <w:rPr>
          <w:rFonts w:hint="eastAsia" w:ascii="Times New Roman" w:hAnsi="Times New Roman" w:eastAsia="宋体" w:cs="Times New Roman"/>
          <w:b/>
          <w:bCs/>
          <w:sz w:val="24"/>
          <w:szCs w:val="32"/>
        </w:rPr>
        <w:t>5.2.7运营期生态影响分析</w:t>
      </w:r>
      <w:bookmarkEnd w:id="279"/>
      <w:bookmarkEnd w:id="280"/>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项目用地类型为工业用地，厂区内植被主要为荒草，项目周围土地类型为工业用地及林地，主要植被为针叶林、灌木林等树种。项目建成后，项目将建成混凝土地面，并在空地和场界四周加强绿化，绿化以树、灌、草等相结合的形式，场界主要种植高大乔木，铺以灌木，场内以灌木草坪为主。因此本项目的实施可以提高土地利用率和生产力，且绿化种植一方面可以起到降噪降恶臭的环境功能，另一方面更利于对地表径流水的吸收，有利于水土保持，减少土壤侵蚀。</w:t>
      </w:r>
    </w:p>
    <w:p>
      <w:pPr>
        <w:widowControl/>
        <w:jc w:val="left"/>
        <w:rPr>
          <w:rFonts w:ascii="Times New Roman" w:hAnsi="Times New Roman" w:eastAsia="宋体" w:cs="Times New Roman"/>
          <w:sz w:val="24"/>
          <w:szCs w:val="28"/>
        </w:rPr>
      </w:pPr>
      <w:r>
        <w:rPr>
          <w:rFonts w:ascii="Times New Roman" w:hAnsi="Times New Roman" w:eastAsia="宋体" w:cs="Times New Roman"/>
          <w:sz w:val="24"/>
          <w:szCs w:val="28"/>
        </w:rPr>
        <w:br w:type="page"/>
      </w:r>
    </w:p>
    <w:p>
      <w:pPr>
        <w:pStyle w:val="4"/>
        <w:ind w:firstLine="602"/>
      </w:pPr>
      <w:bookmarkStart w:id="281" w:name="_Toc23843372"/>
      <w:bookmarkStart w:id="282" w:name="_Toc8254"/>
      <w:bookmarkStart w:id="283" w:name="_Toc18959"/>
      <w:r>
        <w:t>6</w:t>
      </w:r>
      <w:r>
        <w:rPr>
          <w:rFonts w:hint="eastAsia"/>
        </w:rPr>
        <w:t>环境风险影响分析</w:t>
      </w:r>
      <w:bookmarkEnd w:id="281"/>
      <w:bookmarkEnd w:id="282"/>
      <w:bookmarkEnd w:id="283"/>
    </w:p>
    <w:p>
      <w:pPr>
        <w:pStyle w:val="5"/>
        <w:ind w:firstLine="562"/>
        <w:rPr>
          <w:rFonts w:hAnsi="Times New Roman"/>
        </w:rPr>
      </w:pPr>
      <w:bookmarkStart w:id="284" w:name="_Toc18936"/>
      <w:bookmarkStart w:id="285" w:name="_Toc5758"/>
      <w:r>
        <w:rPr>
          <w:rFonts w:hAnsi="Times New Roman"/>
        </w:rPr>
        <w:t>6.1 评价依据</w:t>
      </w:r>
      <w:bookmarkEnd w:id="284"/>
      <w:bookmarkEnd w:id="285"/>
    </w:p>
    <w:p>
      <w:pPr>
        <w:spacing w:line="360" w:lineRule="auto"/>
        <w:ind w:firstLine="484" w:firstLineChars="20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环境风险评价就是评估与项目联系在一起突发性灾难事故发生的概率以及在不同概率下事故后果的严重性，并制定适宜采取的对策。</w:t>
      </w:r>
    </w:p>
    <w:p>
      <w:pPr>
        <w:pStyle w:val="5"/>
        <w:ind w:firstLine="562"/>
        <w:rPr>
          <w:rFonts w:hAnsi="Times New Roman"/>
        </w:rPr>
      </w:pPr>
      <w:bookmarkStart w:id="286" w:name="_Toc11591"/>
      <w:bookmarkStart w:id="287" w:name="_Toc23566"/>
      <w:r>
        <w:rPr>
          <w:rFonts w:hAnsi="Times New Roman"/>
        </w:rPr>
        <w:t>6.2 评价的一般性原则</w:t>
      </w:r>
      <w:bookmarkEnd w:id="286"/>
      <w:bookmarkEnd w:id="287"/>
    </w:p>
    <w:p>
      <w:pPr>
        <w:spacing w:line="360" w:lineRule="auto"/>
        <w:ind w:firstLine="484" w:firstLineChars="202"/>
        <w:rPr>
          <w:rFonts w:ascii="Times New Roman" w:hAnsi="Times New Roman"/>
          <w:color w:val="000000"/>
          <w:sz w:val="24"/>
          <w:szCs w:val="24"/>
        </w:rPr>
      </w:pPr>
      <w:r>
        <w:rPr>
          <w:rFonts w:ascii="Times New Roman" w:hAnsi="Times New Roman"/>
          <w:color w:val="000000"/>
          <w:sz w:val="24"/>
          <w:szCs w:val="24"/>
        </w:rPr>
        <w:t>本评价依据《建设项目环境风险评价技术导则》（HJ/T169-2018）4.1条的规定，确定风险评价的一般性原则如下：环境风险评价应以突发性事故导致的危险物质环境进行损害防控为目标，对建设项目的环境风险进行分析、预测和评估，提出环境风险预防、控制、减缓措施，明确环境风险监控及应急建议要求，为建设向环境风险防控提供科学依据。</w:t>
      </w:r>
    </w:p>
    <w:p>
      <w:pPr>
        <w:pStyle w:val="5"/>
        <w:ind w:firstLine="562"/>
        <w:rPr>
          <w:rFonts w:hAnsi="Times New Roman"/>
        </w:rPr>
      </w:pPr>
      <w:bookmarkStart w:id="288" w:name="_Toc6933"/>
      <w:bookmarkStart w:id="289" w:name="_Toc31477"/>
      <w:r>
        <w:rPr>
          <w:rFonts w:hAnsi="Times New Roman"/>
        </w:rPr>
        <w:t>6.3 风险调查</w:t>
      </w:r>
      <w:bookmarkEnd w:id="288"/>
      <w:bookmarkEnd w:id="289"/>
      <w:r>
        <w:rPr>
          <w:rFonts w:hAnsi="Times New Roman"/>
        </w:rPr>
        <w:t xml:space="preserve"> </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290" w:name="_Toc7914"/>
      <w:bookmarkStart w:id="291" w:name="_Toc16112"/>
      <w:r>
        <w:rPr>
          <w:rFonts w:ascii="Times New Roman" w:hAnsi="Times New Roman" w:eastAsia="宋体" w:cs="Times New Roman"/>
          <w:b/>
          <w:bCs/>
          <w:sz w:val="24"/>
          <w:szCs w:val="32"/>
        </w:rPr>
        <w:t>6.3.1 项目涉及的危险物质的理化性质和危险特性</w:t>
      </w:r>
      <w:bookmarkEnd w:id="290"/>
      <w:bookmarkEnd w:id="291"/>
    </w:p>
    <w:p>
      <w:pPr>
        <w:spacing w:line="360" w:lineRule="auto"/>
        <w:ind w:firstLine="484" w:firstLineChars="202"/>
        <w:rPr>
          <w:rFonts w:ascii="Times New Roman" w:hAnsi="Times New Roman"/>
          <w:color w:val="000000"/>
          <w:sz w:val="24"/>
          <w:szCs w:val="24"/>
        </w:rPr>
      </w:pPr>
      <w:r>
        <w:rPr>
          <w:rFonts w:ascii="Times New Roman" w:hAnsi="Times New Roman"/>
          <w:color w:val="000000"/>
          <w:sz w:val="24"/>
          <w:szCs w:val="24"/>
        </w:rPr>
        <w:t>1）主要涉及的危险物质理化和危险特性</w:t>
      </w:r>
    </w:p>
    <w:p>
      <w:pPr>
        <w:spacing w:line="360" w:lineRule="auto"/>
        <w:ind w:firstLine="484" w:firstLineChars="202"/>
        <w:rPr>
          <w:rFonts w:ascii="Times New Roman" w:hAnsi="Times New Roman"/>
          <w:color w:val="000000"/>
          <w:sz w:val="24"/>
          <w:szCs w:val="24"/>
        </w:rPr>
      </w:pPr>
      <w:r>
        <w:rPr>
          <w:rFonts w:ascii="Times New Roman" w:hAnsi="Times New Roman"/>
          <w:color w:val="000000"/>
          <w:sz w:val="24"/>
          <w:szCs w:val="24"/>
        </w:rPr>
        <w:t>拟建项目生产过程中产品、原料、辅料不涉及到的化学品中有毒有害物质，但属于易燃物质。</w:t>
      </w:r>
    </w:p>
    <w:p>
      <w:pPr>
        <w:jc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表6.3-1  危险事件严重性等级</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1603"/>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等级</w:t>
            </w:r>
          </w:p>
        </w:tc>
        <w:tc>
          <w:tcPr>
            <w:tcW w:w="160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等级说明</w:t>
            </w:r>
          </w:p>
        </w:tc>
        <w:tc>
          <w:tcPr>
            <w:tcW w:w="4678"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事故后果说明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8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I</w:t>
            </w:r>
          </w:p>
        </w:tc>
        <w:tc>
          <w:tcPr>
            <w:tcW w:w="160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轻微的</w:t>
            </w:r>
          </w:p>
        </w:tc>
        <w:tc>
          <w:tcPr>
            <w:tcW w:w="4678"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人员受伤和系统损坏轻于II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II</w:t>
            </w:r>
          </w:p>
        </w:tc>
        <w:tc>
          <w:tcPr>
            <w:tcW w:w="160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轻度的</w:t>
            </w:r>
          </w:p>
        </w:tc>
        <w:tc>
          <w:tcPr>
            <w:tcW w:w="4678"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人员轻度受伤、轻度职业病或系统轻度损坏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8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III</w:t>
            </w:r>
          </w:p>
        </w:tc>
        <w:tc>
          <w:tcPr>
            <w:tcW w:w="160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严重的</w:t>
            </w:r>
          </w:p>
        </w:tc>
        <w:tc>
          <w:tcPr>
            <w:tcW w:w="4678"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人员严重受伤、严重职业病或系统严重损坏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8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IV</w:t>
            </w:r>
          </w:p>
        </w:tc>
        <w:tc>
          <w:tcPr>
            <w:tcW w:w="1603"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灾难性的</w:t>
            </w:r>
          </w:p>
        </w:tc>
        <w:tc>
          <w:tcPr>
            <w:tcW w:w="4678"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人员死亡或系统报废</w:t>
            </w:r>
          </w:p>
        </w:tc>
      </w:tr>
    </w:tbl>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2）项目生产过程的潜在危险性分析结果见下表。</w:t>
      </w:r>
    </w:p>
    <w:p>
      <w:pPr>
        <w:jc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表6.3-2  项目生产过程的潜在危险性分析结果表</w:t>
      </w:r>
    </w:p>
    <w:tbl>
      <w:tblPr>
        <w:tblStyle w:val="19"/>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93"/>
        <w:gridCol w:w="1856"/>
        <w:gridCol w:w="1393"/>
        <w:gridCol w:w="2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序号</w:t>
            </w:r>
          </w:p>
        </w:tc>
        <w:tc>
          <w:tcPr>
            <w:tcW w:w="139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位置</w:t>
            </w:r>
          </w:p>
        </w:tc>
        <w:tc>
          <w:tcPr>
            <w:tcW w:w="18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主要危险物质</w:t>
            </w:r>
          </w:p>
        </w:tc>
        <w:tc>
          <w:tcPr>
            <w:tcW w:w="139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事故种类</w:t>
            </w:r>
          </w:p>
        </w:tc>
        <w:tc>
          <w:tcPr>
            <w:tcW w:w="295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主要危害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139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原料仓库</w:t>
            </w:r>
          </w:p>
        </w:tc>
        <w:tc>
          <w:tcPr>
            <w:tcW w:w="18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废纸</w:t>
            </w:r>
          </w:p>
        </w:tc>
        <w:tc>
          <w:tcPr>
            <w:tcW w:w="1393" w:type="dxa"/>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火灾</w:t>
            </w:r>
          </w:p>
        </w:tc>
        <w:tc>
          <w:tcPr>
            <w:tcW w:w="2950" w:type="dxa"/>
            <w:tcBorders>
              <w:top w:val="nil"/>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人员伤亡、财产损失、环境污染等</w:t>
            </w:r>
          </w:p>
        </w:tc>
      </w:tr>
    </w:tbl>
    <w:p>
      <w:pPr>
        <w:spacing w:line="360" w:lineRule="auto"/>
        <w:ind w:firstLine="480" w:firstLineChars="200"/>
        <w:jc w:val="left"/>
        <w:rPr>
          <w:rFonts w:ascii="Times New Roman" w:hAnsi="Times New Roman" w:eastAsia="宋体" w:cs="Times New Roman"/>
          <w:color w:val="000000"/>
          <w:sz w:val="24"/>
          <w:szCs w:val="21"/>
        </w:rPr>
      </w:pPr>
      <w:r>
        <w:rPr>
          <w:rFonts w:ascii="Times New Roman" w:hAnsi="Times New Roman" w:eastAsia="宋体" w:cs="Times New Roman"/>
          <w:color w:val="000000"/>
          <w:sz w:val="24"/>
          <w:szCs w:val="21"/>
        </w:rPr>
        <w:t>2）生产系统危险性识别</w:t>
      </w:r>
    </w:p>
    <w:p>
      <w:pPr>
        <w:spacing w:line="360" w:lineRule="auto"/>
        <w:ind w:firstLine="484" w:firstLineChars="20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根据项目所属行业及生产工艺特点，按照《建设项目环境风险评价技术导则》（HJ/T169-2018）中表C.1评估生产工艺情况。</w:t>
      </w:r>
    </w:p>
    <w:p>
      <w:pPr>
        <w:spacing w:line="360" w:lineRule="auto"/>
        <w:ind w:firstLine="484" w:firstLineChars="20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项目为</w:t>
      </w:r>
      <w:r>
        <w:rPr>
          <w:rFonts w:hint="eastAsia" w:ascii="Times New Roman" w:hAnsi="Times New Roman" w:eastAsia="宋体" w:cs="Times New Roman"/>
          <w:color w:val="000000"/>
          <w:kern w:val="0"/>
          <w:sz w:val="24"/>
          <w:szCs w:val="24"/>
        </w:rPr>
        <w:t>废纸造纸</w:t>
      </w:r>
      <w:r>
        <w:rPr>
          <w:rFonts w:ascii="Times New Roman" w:hAnsi="Times New Roman" w:eastAsia="宋体" w:cs="Times New Roman"/>
          <w:color w:val="000000"/>
          <w:kern w:val="0"/>
          <w:sz w:val="24"/>
          <w:szCs w:val="24"/>
        </w:rPr>
        <w:t>类项目，不涉及高温高压设施。</w:t>
      </w:r>
    </w:p>
    <w:p>
      <w:pPr>
        <w:spacing w:line="360" w:lineRule="auto"/>
        <w:ind w:firstLine="484" w:firstLineChars="202"/>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所以项目仅涉及易燃物质的使用和贮存。</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292" w:name="_Toc11865"/>
      <w:bookmarkStart w:id="293" w:name="_Toc669"/>
      <w:r>
        <w:rPr>
          <w:rFonts w:ascii="Times New Roman" w:hAnsi="Times New Roman" w:eastAsia="宋体" w:cs="Times New Roman"/>
          <w:b/>
          <w:bCs/>
          <w:sz w:val="24"/>
          <w:szCs w:val="32"/>
        </w:rPr>
        <w:t>6.3.2 危险物质及生产系统危险性（P）分级</w:t>
      </w:r>
      <w:bookmarkEnd w:id="292"/>
      <w:bookmarkEnd w:id="293"/>
    </w:p>
    <w:p>
      <w:pPr>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1）危险物质数量与临界量比值（Q）</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（1）Q值计算方法</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计算所涉及的每种危险物质在场界内的最大存在总量与其在《建设项目环境风险评价技术导则》（HJ/T169-2018）中附录B中对应的临界量的比值Q</w:t>
      </w:r>
    </w:p>
    <w:p>
      <w:pPr>
        <w:spacing w:line="360" w:lineRule="auto"/>
        <w:ind w:firstLine="484" w:firstLineChars="202"/>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Q=</w:t>
      </w:r>
      <w:r>
        <w:rPr>
          <w:rFonts w:ascii="Times New Roman" w:hAnsi="Times New Roman" w:eastAsia="宋体" w:cs="Times New Roman"/>
          <w:color w:val="000000"/>
          <w:szCs w:val="21"/>
        </w:rPr>
        <w:drawing>
          <wp:inline distT="0" distB="0" distL="0" distR="0">
            <wp:extent cx="1362075" cy="447675"/>
            <wp:effectExtent l="0" t="0" r="0" b="9525"/>
            <wp:docPr id="309" name="图片 309" descr="C:\Users\fc\AppData\Local\Temp\ksohtml640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C:\Users\fc\AppData\Local\Temp\ksohtml6400\wp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62075" cy="447675"/>
                    </a:xfrm>
                    <a:prstGeom prst="rect">
                      <a:avLst/>
                    </a:prstGeom>
                    <a:noFill/>
                    <a:ln>
                      <a:noFill/>
                    </a:ln>
                  </pic:spPr>
                </pic:pic>
              </a:graphicData>
            </a:graphic>
          </wp:inline>
        </w:drawing>
      </w:r>
      <w:r>
        <w:rPr>
          <w:rFonts w:ascii="Times New Roman" w:hAnsi="Times New Roman" w:eastAsia="宋体" w:cs="Times New Roman"/>
          <w:color w:val="000000"/>
          <w:sz w:val="24"/>
          <w:szCs w:val="24"/>
        </w:rPr>
        <w:t xml:space="preserve">         （6-1）</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式中：</w:t>
      </w:r>
      <w:r>
        <w:rPr>
          <w:rFonts w:ascii="Times New Roman" w:hAnsi="Times New Roman" w:eastAsia="宋体" w:cs="Times New Roman"/>
          <w:color w:val="000000"/>
          <w:szCs w:val="21"/>
        </w:rPr>
        <w:drawing>
          <wp:inline distT="0" distB="0" distL="0" distR="0">
            <wp:extent cx="152400" cy="219075"/>
            <wp:effectExtent l="0" t="0" r="0" b="9525"/>
            <wp:docPr id="286" name="图片 286" descr="C:\Users\fc\AppData\Local\Temp\ksohtml640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C:\Users\fc\AppData\Local\Temp\ksohtml6400\wps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2400" cy="219075"/>
                    </a:xfrm>
                    <a:prstGeom prst="rect">
                      <a:avLst/>
                    </a:prstGeom>
                    <a:noFill/>
                    <a:ln>
                      <a:noFill/>
                    </a:ln>
                  </pic:spPr>
                </pic:pic>
              </a:graphicData>
            </a:graphic>
          </wp:inline>
        </w:drawing>
      </w:r>
      <w:r>
        <w:rPr>
          <w:rFonts w:ascii="Times New Roman" w:hAnsi="Times New Roman" w:eastAsia="宋体" w:cs="Times New Roman"/>
          <w:color w:val="000000"/>
          <w:sz w:val="24"/>
          <w:szCs w:val="24"/>
        </w:rPr>
        <w:t>、</w:t>
      </w:r>
      <w:r>
        <w:rPr>
          <w:rFonts w:ascii="Times New Roman" w:hAnsi="Times New Roman" w:eastAsia="宋体" w:cs="Times New Roman"/>
          <w:color w:val="000000"/>
          <w:szCs w:val="21"/>
        </w:rPr>
        <w:drawing>
          <wp:inline distT="0" distB="0" distL="0" distR="0">
            <wp:extent cx="180975" cy="219075"/>
            <wp:effectExtent l="0" t="0" r="9525" b="9525"/>
            <wp:docPr id="272" name="图片 272" descr="C:\Users\fc\AppData\Local\Temp\ksohtml640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fc\AppData\Local\Temp\ksohtml6400\wps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0975" cy="219075"/>
                    </a:xfrm>
                    <a:prstGeom prst="rect">
                      <a:avLst/>
                    </a:prstGeom>
                    <a:noFill/>
                    <a:ln>
                      <a:noFill/>
                    </a:ln>
                  </pic:spPr>
                </pic:pic>
              </a:graphicData>
            </a:graphic>
          </wp:inline>
        </w:drawing>
      </w:r>
      <w:r>
        <w:rPr>
          <w:rFonts w:ascii="Times New Roman" w:hAnsi="Times New Roman" w:eastAsia="宋体" w:cs="Times New Roman"/>
          <w:color w:val="000000"/>
          <w:sz w:val="24"/>
          <w:szCs w:val="24"/>
        </w:rPr>
        <w:t>…</w:t>
      </w:r>
      <w:r>
        <w:rPr>
          <w:rFonts w:ascii="Times New Roman" w:hAnsi="Times New Roman" w:eastAsia="宋体" w:cs="Times New Roman"/>
          <w:color w:val="000000"/>
          <w:szCs w:val="21"/>
        </w:rPr>
        <w:drawing>
          <wp:inline distT="0" distB="0" distL="0" distR="0">
            <wp:extent cx="180975" cy="228600"/>
            <wp:effectExtent l="0" t="0" r="9525" b="0"/>
            <wp:docPr id="263" name="图片 263" descr="C:\Users\fc\AppData\Local\Temp\ksohtml640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C:\Users\fc\AppData\Local\Temp\ksohtml6400\wps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975" cy="228600"/>
                    </a:xfrm>
                    <a:prstGeom prst="rect">
                      <a:avLst/>
                    </a:prstGeom>
                    <a:noFill/>
                    <a:ln>
                      <a:noFill/>
                    </a:ln>
                  </pic:spPr>
                </pic:pic>
              </a:graphicData>
            </a:graphic>
          </wp:inline>
        </w:drawing>
      </w:r>
      <w:r>
        <w:rPr>
          <w:rFonts w:ascii="Times New Roman" w:hAnsi="Times New Roman" w:eastAsia="宋体" w:cs="Times New Roman"/>
          <w:color w:val="000000"/>
          <w:sz w:val="24"/>
          <w:szCs w:val="24"/>
        </w:rPr>
        <w:t>——每种危险物质实际存在量（t）；</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r>
        <w:rPr>
          <w:rFonts w:ascii="Times New Roman" w:hAnsi="Times New Roman" w:eastAsia="宋体" w:cs="Times New Roman"/>
          <w:color w:val="000000"/>
          <w:szCs w:val="21"/>
        </w:rPr>
        <w:drawing>
          <wp:inline distT="0" distB="0" distL="0" distR="0">
            <wp:extent cx="180975" cy="219075"/>
            <wp:effectExtent l="0" t="0" r="9525" b="9525"/>
            <wp:docPr id="260" name="图片 260" descr="C:\Users\fc\AppData\Local\Temp\ksohtml640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C:\Users\fc\AppData\Local\Temp\ksohtml6400\wps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80975" cy="219075"/>
                    </a:xfrm>
                    <a:prstGeom prst="rect">
                      <a:avLst/>
                    </a:prstGeom>
                    <a:noFill/>
                    <a:ln>
                      <a:noFill/>
                    </a:ln>
                  </pic:spPr>
                </pic:pic>
              </a:graphicData>
            </a:graphic>
          </wp:inline>
        </w:drawing>
      </w:r>
      <w:r>
        <w:rPr>
          <w:rFonts w:ascii="Times New Roman" w:hAnsi="Times New Roman" w:eastAsia="宋体" w:cs="Times New Roman"/>
          <w:color w:val="000000"/>
          <w:sz w:val="24"/>
          <w:szCs w:val="24"/>
        </w:rPr>
        <w:t>、</w:t>
      </w:r>
      <w:r>
        <w:rPr>
          <w:rFonts w:ascii="Times New Roman" w:hAnsi="Times New Roman" w:eastAsia="宋体" w:cs="Times New Roman"/>
          <w:color w:val="000000"/>
          <w:szCs w:val="21"/>
        </w:rPr>
        <w:drawing>
          <wp:inline distT="0" distB="0" distL="0" distR="0">
            <wp:extent cx="209550" cy="219075"/>
            <wp:effectExtent l="0" t="0" r="0" b="9525"/>
            <wp:docPr id="3" name="图片 3" descr="C:\Users\fc\AppData\Local\Temp\ksohtml640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fc\AppData\Local\Temp\ksohtml6400\wps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9550" cy="219075"/>
                    </a:xfrm>
                    <a:prstGeom prst="rect">
                      <a:avLst/>
                    </a:prstGeom>
                    <a:noFill/>
                    <a:ln>
                      <a:noFill/>
                    </a:ln>
                  </pic:spPr>
                </pic:pic>
              </a:graphicData>
            </a:graphic>
          </wp:inline>
        </w:drawing>
      </w:r>
      <w:r>
        <w:rPr>
          <w:rFonts w:ascii="Times New Roman" w:hAnsi="Times New Roman" w:eastAsia="宋体" w:cs="Times New Roman"/>
          <w:color w:val="000000"/>
          <w:sz w:val="24"/>
          <w:szCs w:val="24"/>
        </w:rPr>
        <w:t>…</w:t>
      </w:r>
      <w:r>
        <w:rPr>
          <w:rFonts w:ascii="Times New Roman" w:hAnsi="Times New Roman" w:eastAsia="宋体" w:cs="Times New Roman"/>
          <w:color w:val="000000"/>
          <w:szCs w:val="21"/>
        </w:rPr>
        <w:drawing>
          <wp:inline distT="0" distB="0" distL="0" distR="0">
            <wp:extent cx="209550" cy="228600"/>
            <wp:effectExtent l="0" t="0" r="0" b="0"/>
            <wp:docPr id="1" name="图片 1" descr="C:\Users\fc\AppData\Local\Temp\ksohtml640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fc\AppData\Local\Temp\ksohtml6400\wps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9550" cy="228600"/>
                    </a:xfrm>
                    <a:prstGeom prst="rect">
                      <a:avLst/>
                    </a:prstGeom>
                    <a:noFill/>
                    <a:ln>
                      <a:noFill/>
                    </a:ln>
                  </pic:spPr>
                </pic:pic>
              </a:graphicData>
            </a:graphic>
          </wp:inline>
        </w:drawing>
      </w:r>
      <w:r>
        <w:rPr>
          <w:rFonts w:ascii="Times New Roman" w:hAnsi="Times New Roman" w:eastAsia="宋体" w:cs="Times New Roman"/>
          <w:color w:val="000000"/>
          <w:sz w:val="24"/>
          <w:szCs w:val="24"/>
        </w:rPr>
        <w:t>——与各危险物质相对应的生产场所或贮存区的临界量（t）。</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当Q＜1时，该项目环境风险潜势为</w:t>
      </w:r>
      <w:r>
        <w:rPr>
          <w:rFonts w:ascii="宋体" w:hAnsi="宋体" w:eastAsia="宋体" w:cs="宋体"/>
          <w:color w:val="000000"/>
          <w:sz w:val="24"/>
          <w:szCs w:val="24"/>
        </w:rPr>
        <w:t>Ⅰ</w:t>
      </w:r>
      <w:r>
        <w:rPr>
          <w:rFonts w:ascii="Times New Roman" w:hAnsi="Times New Roman" w:eastAsia="宋体" w:cs="Times New Roman"/>
          <w:color w:val="000000"/>
          <w:sz w:val="24"/>
          <w:szCs w:val="24"/>
        </w:rPr>
        <w:t>。</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当Q≥1时，将Q值划分为：</w:t>
      </w:r>
      <w:r>
        <w:rPr>
          <w:rFonts w:ascii="宋体" w:hAnsi="宋体" w:eastAsia="宋体" w:cs="宋体"/>
          <w:color w:val="000000"/>
          <w:sz w:val="24"/>
          <w:szCs w:val="24"/>
        </w:rPr>
        <w:t>①</w:t>
      </w:r>
      <w:r>
        <w:rPr>
          <w:rFonts w:ascii="Times New Roman" w:hAnsi="Times New Roman" w:eastAsia="宋体" w:cs="Times New Roman"/>
          <w:color w:val="000000"/>
          <w:sz w:val="24"/>
          <w:szCs w:val="24"/>
        </w:rPr>
        <w:t>1≤Q＜10；</w:t>
      </w:r>
      <w:r>
        <w:rPr>
          <w:rFonts w:ascii="宋体" w:hAnsi="宋体" w:eastAsia="宋体" w:cs="宋体"/>
          <w:color w:val="000000"/>
          <w:sz w:val="24"/>
          <w:szCs w:val="24"/>
        </w:rPr>
        <w:t>②</w:t>
      </w:r>
      <w:r>
        <w:rPr>
          <w:rFonts w:ascii="Times New Roman" w:hAnsi="Times New Roman" w:eastAsia="宋体" w:cs="Times New Roman"/>
          <w:color w:val="000000"/>
          <w:sz w:val="24"/>
          <w:szCs w:val="24"/>
        </w:rPr>
        <w:t>10≤Q＜100；</w:t>
      </w:r>
      <w:r>
        <w:rPr>
          <w:rFonts w:ascii="宋体" w:hAnsi="宋体" w:eastAsia="宋体" w:cs="宋体"/>
          <w:color w:val="000000"/>
          <w:sz w:val="24"/>
          <w:szCs w:val="24"/>
        </w:rPr>
        <w:t>③</w:t>
      </w:r>
      <w:r>
        <w:rPr>
          <w:rFonts w:ascii="Times New Roman" w:hAnsi="Times New Roman" w:eastAsia="宋体" w:cs="Times New Roman"/>
          <w:color w:val="000000"/>
          <w:sz w:val="24"/>
          <w:szCs w:val="24"/>
        </w:rPr>
        <w:t>Q≥100。</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（2）各危险物质的临界量</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项目原料</w:t>
      </w:r>
      <w:r>
        <w:rPr>
          <w:rFonts w:hint="eastAsia" w:ascii="Times New Roman" w:hAnsi="Times New Roman" w:eastAsia="宋体" w:cs="Times New Roman"/>
          <w:color w:val="000000"/>
          <w:sz w:val="24"/>
          <w:szCs w:val="24"/>
        </w:rPr>
        <w:t>主要</w:t>
      </w:r>
      <w:r>
        <w:rPr>
          <w:rFonts w:ascii="Times New Roman" w:hAnsi="Times New Roman" w:eastAsia="宋体" w:cs="Times New Roman"/>
          <w:color w:val="000000"/>
          <w:sz w:val="24"/>
          <w:szCs w:val="24"/>
        </w:rPr>
        <w:t>为石粉，少量为废纸，项目只涉及易燃物质，因此不存在临界值。</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根据以上分析，项目环境风险潜势为</w:t>
      </w:r>
      <w:r>
        <w:rPr>
          <w:rFonts w:ascii="宋体" w:hAnsi="宋体" w:eastAsia="宋体" w:cs="宋体"/>
          <w:color w:val="000000"/>
          <w:sz w:val="24"/>
          <w:szCs w:val="24"/>
        </w:rPr>
        <w:t>Ⅰ</w:t>
      </w:r>
      <w:r>
        <w:rPr>
          <w:rFonts w:ascii="Times New Roman" w:hAnsi="Times New Roman" w:eastAsia="宋体" w:cs="Times New Roman"/>
          <w:color w:val="000000"/>
          <w:sz w:val="24"/>
          <w:szCs w:val="24"/>
        </w:rPr>
        <w:t>。</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294" w:name="_Toc26422"/>
      <w:bookmarkStart w:id="295" w:name="_Toc29612"/>
      <w:r>
        <w:rPr>
          <w:rFonts w:ascii="Times New Roman" w:hAnsi="Times New Roman" w:eastAsia="宋体" w:cs="Times New Roman"/>
          <w:b/>
          <w:bCs/>
          <w:sz w:val="24"/>
          <w:szCs w:val="32"/>
        </w:rPr>
        <w:t>6.3.3 评价等级</w:t>
      </w:r>
      <w:bookmarkEnd w:id="294"/>
      <w:bookmarkEnd w:id="295"/>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根据《建设项目环境风险评价技术导则》（HJ/T169-2018）表1划分标准（详见表6.3-3），拟建项目环境风险潜势为</w:t>
      </w:r>
      <w:r>
        <w:rPr>
          <w:rFonts w:ascii="宋体" w:hAnsi="宋体" w:eastAsia="宋体" w:cs="宋体"/>
          <w:color w:val="000000"/>
          <w:sz w:val="24"/>
          <w:szCs w:val="24"/>
        </w:rPr>
        <w:t>Ⅰ</w:t>
      </w:r>
      <w:r>
        <w:rPr>
          <w:rFonts w:ascii="Times New Roman" w:hAnsi="Times New Roman" w:eastAsia="宋体" w:cs="Times New Roman"/>
          <w:color w:val="000000"/>
          <w:sz w:val="24"/>
          <w:szCs w:val="24"/>
        </w:rPr>
        <w:t>，因此，环境风险评价工作等级为简单分析。</w:t>
      </w:r>
    </w:p>
    <w:p>
      <w:pPr>
        <w:jc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表6.3-3  评价工作级别</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551"/>
        <w:gridCol w:w="1831"/>
        <w:gridCol w:w="2064"/>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5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环境风险潜势</w:t>
            </w:r>
          </w:p>
        </w:tc>
        <w:tc>
          <w:tcPr>
            <w:tcW w:w="155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pacing w:val="-12"/>
                <w:kern w:val="0"/>
                <w:szCs w:val="21"/>
                <w:vertAlign w:val="superscript"/>
              </w:rPr>
            </w:pPr>
            <w:r>
              <w:rPr>
                <w:rFonts w:ascii="宋体" w:hAnsi="宋体" w:eastAsia="宋体" w:cs="宋体"/>
                <w:b/>
                <w:bCs/>
                <w:color w:val="000000"/>
                <w:spacing w:val="-12"/>
                <w:kern w:val="0"/>
                <w:szCs w:val="21"/>
              </w:rPr>
              <w:t>Ⅳ</w:t>
            </w:r>
            <w:r>
              <w:rPr>
                <w:rFonts w:ascii="Times New Roman" w:hAnsi="Times New Roman" w:eastAsia="宋体" w:cs="Times New Roman"/>
                <w:b/>
                <w:bCs/>
                <w:color w:val="000000"/>
                <w:spacing w:val="-12"/>
                <w:kern w:val="0"/>
                <w:szCs w:val="21"/>
              </w:rPr>
              <w:t>，</w:t>
            </w:r>
            <w:r>
              <w:rPr>
                <w:rFonts w:ascii="宋体" w:hAnsi="宋体" w:eastAsia="宋体" w:cs="宋体"/>
                <w:b/>
                <w:bCs/>
                <w:color w:val="000000"/>
                <w:spacing w:val="-12"/>
                <w:kern w:val="0"/>
                <w:szCs w:val="21"/>
              </w:rPr>
              <w:t>Ⅳ</w:t>
            </w:r>
            <w:r>
              <w:rPr>
                <w:rFonts w:ascii="Times New Roman" w:hAnsi="Times New Roman" w:eastAsia="宋体" w:cs="Times New Roman"/>
                <w:b/>
                <w:bCs/>
                <w:color w:val="000000"/>
                <w:spacing w:val="-12"/>
                <w:kern w:val="0"/>
                <w:szCs w:val="21"/>
                <w:vertAlign w:val="superscript"/>
              </w:rPr>
              <w:t>+</w:t>
            </w:r>
          </w:p>
        </w:tc>
        <w:tc>
          <w:tcPr>
            <w:tcW w:w="183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pacing w:val="-12"/>
                <w:kern w:val="0"/>
                <w:szCs w:val="21"/>
              </w:rPr>
            </w:pPr>
            <w:r>
              <w:rPr>
                <w:rFonts w:ascii="宋体" w:hAnsi="宋体" w:eastAsia="宋体" w:cs="宋体"/>
                <w:b/>
                <w:bCs/>
                <w:color w:val="000000"/>
                <w:spacing w:val="-12"/>
                <w:kern w:val="0"/>
                <w:szCs w:val="21"/>
              </w:rPr>
              <w:t>Ⅲ</w:t>
            </w:r>
          </w:p>
        </w:tc>
        <w:tc>
          <w:tcPr>
            <w:tcW w:w="206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pacing w:val="-12"/>
                <w:kern w:val="0"/>
                <w:szCs w:val="21"/>
              </w:rPr>
            </w:pPr>
            <w:r>
              <w:rPr>
                <w:rFonts w:ascii="宋体" w:hAnsi="宋体" w:eastAsia="宋体" w:cs="宋体"/>
                <w:b/>
                <w:bCs/>
                <w:color w:val="000000"/>
                <w:spacing w:val="-12"/>
                <w:kern w:val="0"/>
                <w:szCs w:val="21"/>
              </w:rPr>
              <w:t>Ⅱ</w:t>
            </w:r>
          </w:p>
        </w:tc>
        <w:tc>
          <w:tcPr>
            <w:tcW w:w="15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000000"/>
                <w:spacing w:val="-12"/>
                <w:kern w:val="0"/>
                <w:szCs w:val="21"/>
              </w:rPr>
            </w:pPr>
            <w:r>
              <w:rPr>
                <w:rFonts w:ascii="宋体" w:hAnsi="宋体" w:eastAsia="宋体" w:cs="宋体"/>
                <w:b/>
                <w:bCs/>
                <w:color w:val="000000"/>
                <w:spacing w:val="-12"/>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5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评价工作等级</w:t>
            </w:r>
          </w:p>
        </w:tc>
        <w:tc>
          <w:tcPr>
            <w:tcW w:w="155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一</w:t>
            </w:r>
          </w:p>
        </w:tc>
        <w:tc>
          <w:tcPr>
            <w:tcW w:w="183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二</w:t>
            </w:r>
          </w:p>
        </w:tc>
        <w:tc>
          <w:tcPr>
            <w:tcW w:w="206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三</w:t>
            </w:r>
          </w:p>
        </w:tc>
        <w:tc>
          <w:tcPr>
            <w:tcW w:w="15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color w:val="000000"/>
                <w:szCs w:val="21"/>
              </w:rPr>
            </w:pPr>
            <w:r>
              <w:rPr>
                <w:rFonts w:ascii="Times New Roman" w:hAnsi="Times New Roman" w:eastAsia="宋体" w:cs="Times New Roman"/>
                <w:color w:val="000000"/>
                <w:szCs w:val="21"/>
              </w:rPr>
              <w:t>简单分析：是相对于详细评价工作内容而言，在描述危险物质、环境影响途径、环境危害后果、风险防范措施等方面给出定型的说明。</w:t>
            </w:r>
          </w:p>
        </w:tc>
      </w:tr>
    </w:tbl>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296" w:name="_Toc8020"/>
      <w:bookmarkStart w:id="297" w:name="_Toc27501"/>
      <w:r>
        <w:rPr>
          <w:rFonts w:ascii="Times New Roman" w:hAnsi="Times New Roman" w:eastAsia="宋体" w:cs="Times New Roman"/>
          <w:b/>
          <w:bCs/>
          <w:sz w:val="24"/>
          <w:szCs w:val="32"/>
        </w:rPr>
        <w:t>6.3.4 环境敏感目标分布概况</w:t>
      </w:r>
      <w:bookmarkEnd w:id="296"/>
      <w:bookmarkEnd w:id="297"/>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1）建设项目环境敏感特性表</w:t>
      </w:r>
    </w:p>
    <w:p>
      <w:pPr>
        <w:jc w:val="cente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表6.3-4  建设项目环境敏感特性表</w:t>
      </w:r>
    </w:p>
    <w:tbl>
      <w:tblPr>
        <w:tblStyle w:val="1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1701"/>
        <w:gridCol w:w="284"/>
        <w:gridCol w:w="285"/>
        <w:gridCol w:w="990"/>
        <w:gridCol w:w="228"/>
        <w:gridCol w:w="906"/>
        <w:gridCol w:w="312"/>
        <w:gridCol w:w="255"/>
        <w:gridCol w:w="964"/>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类别</w:t>
            </w:r>
          </w:p>
        </w:tc>
        <w:tc>
          <w:tcPr>
            <w:tcW w:w="7853" w:type="dxa"/>
            <w:gridSpan w:val="11"/>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大气环境</w:t>
            </w:r>
          </w:p>
        </w:tc>
        <w:tc>
          <w:tcPr>
            <w:tcW w:w="7853" w:type="dxa"/>
            <w:gridSpan w:val="11"/>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厂址周边5km范围内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敏感目标名称</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相对方位</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距离/m</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属性</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小雷宰村</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东偏南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422</w:t>
            </w:r>
            <w:r>
              <w:rPr>
                <w:rFonts w:ascii="Times New Roman" w:hAnsi="Times New Roman" w:eastAsia="宋体" w:cs="Times New Roman"/>
                <w:color w:val="FF0000"/>
                <w:szCs w:val="21"/>
              </w:rPr>
              <w:t>m</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居住区</w:t>
            </w:r>
          </w:p>
        </w:tc>
        <w:tc>
          <w:tcPr>
            <w:tcW w:w="1219"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32</w:t>
            </w: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海洛村</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szCs w:val="21"/>
              </w:rPr>
              <w:t>东偏南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4865</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居住区</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957人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金雷村</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szCs w:val="21"/>
              </w:rPr>
              <w:t>东南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2911</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居住区</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2739人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湾保</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szCs w:val="21"/>
              </w:rPr>
              <w:t>西南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2460</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居住区</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414人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物贸乡</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szCs w:val="21"/>
              </w:rPr>
              <w:t>西偏北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3597</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居住区</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800人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6</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那化村</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西偏北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1038</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居住区</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301人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7</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苴那村</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szCs w:val="21"/>
              </w:rPr>
              <w:t>西北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2359</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居住区</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1360人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黑泥坡</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szCs w:val="21"/>
              </w:rPr>
              <w:t>东北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4452</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居住区</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128人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9</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丙大浪</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szCs w:val="21"/>
              </w:rPr>
              <w:t>东北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4535</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居住区</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10</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大那别</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szCs w:val="21"/>
              </w:rPr>
              <w:t>东偏北</w:t>
            </w:r>
          </w:p>
        </w:tc>
        <w:tc>
          <w:tcPr>
            <w:tcW w:w="121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3912</w:t>
            </w:r>
          </w:p>
        </w:tc>
        <w:tc>
          <w:tcPr>
            <w:tcW w:w="121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居住区</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6634" w:type="dxa"/>
            <w:gridSpan w:val="10"/>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厂址周边500m范围内人口小计</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32</w:t>
            </w: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6634" w:type="dxa"/>
            <w:gridSpan w:val="10"/>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厂址周边5000m范围内人口小计</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7615</w:t>
            </w:r>
            <w:r>
              <w:rPr>
                <w:rFonts w:ascii="Times New Roman" w:hAnsi="Times New Roman" w:eastAsia="宋体" w:cs="Times New Roman"/>
                <w:color w:val="FF0000"/>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6634" w:type="dxa"/>
            <w:gridSpan w:val="10"/>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大气环境敏感程度E值</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地表水</w:t>
            </w:r>
          </w:p>
        </w:tc>
        <w:tc>
          <w:tcPr>
            <w:tcW w:w="7853" w:type="dxa"/>
            <w:gridSpan w:val="11"/>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受纳水体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受纳水体名称</w:t>
            </w:r>
          </w:p>
        </w:tc>
        <w:tc>
          <w:tcPr>
            <w:tcW w:w="2436" w:type="dxa"/>
            <w:gridSpan w:val="4"/>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排放点水体功能</w:t>
            </w:r>
          </w:p>
        </w:tc>
        <w:tc>
          <w:tcPr>
            <w:tcW w:w="2438"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24小时流经范围km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227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蜻蛉河</w:t>
            </w:r>
          </w:p>
        </w:tc>
        <w:tc>
          <w:tcPr>
            <w:tcW w:w="2436" w:type="dxa"/>
            <w:gridSpan w:val="4"/>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工业用水、农业用水</w:t>
            </w:r>
          </w:p>
        </w:tc>
        <w:tc>
          <w:tcPr>
            <w:tcW w:w="2438"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853" w:type="dxa"/>
            <w:gridSpan w:val="11"/>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内陆排放点下游10km的敏感目标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1985"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环境敏感目标名称</w:t>
            </w:r>
          </w:p>
        </w:tc>
        <w:tc>
          <w:tcPr>
            <w:tcW w:w="1503"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环境敏感特征</w:t>
            </w:r>
          </w:p>
        </w:tc>
        <w:tc>
          <w:tcPr>
            <w:tcW w:w="1473"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水质目标</w:t>
            </w:r>
          </w:p>
        </w:tc>
        <w:tc>
          <w:tcPr>
            <w:tcW w:w="2183"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与排放点距离/m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1985"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蜻蛉河</w:t>
            </w:r>
          </w:p>
        </w:tc>
        <w:tc>
          <w:tcPr>
            <w:tcW w:w="1503"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S3</w:t>
            </w:r>
          </w:p>
        </w:tc>
        <w:tc>
          <w:tcPr>
            <w:tcW w:w="1473"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宋体" w:hAnsi="宋体" w:eastAsia="宋体" w:cs="宋体"/>
                <w:color w:val="000000"/>
                <w:szCs w:val="21"/>
              </w:rPr>
              <w:t>Ⅳ</w:t>
            </w:r>
            <w:r>
              <w:rPr>
                <w:rFonts w:ascii="Times New Roman" w:hAnsi="Times New Roman" w:eastAsia="宋体" w:cs="Times New Roman"/>
                <w:color w:val="000000"/>
                <w:szCs w:val="21"/>
              </w:rPr>
              <w:t>类</w:t>
            </w:r>
          </w:p>
        </w:tc>
        <w:tc>
          <w:tcPr>
            <w:tcW w:w="2183"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6634" w:type="dxa"/>
            <w:gridSpan w:val="10"/>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地表水环境敏感程度E值</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地下水</w:t>
            </w: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170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环境敏感区名称</w:t>
            </w:r>
          </w:p>
        </w:tc>
        <w:tc>
          <w:tcPr>
            <w:tcW w:w="1559"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环境敏感特征</w:t>
            </w:r>
          </w:p>
        </w:tc>
        <w:tc>
          <w:tcPr>
            <w:tcW w:w="1134"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水质目标</w:t>
            </w:r>
          </w:p>
        </w:tc>
        <w:tc>
          <w:tcPr>
            <w:tcW w:w="1531"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包气带防污性能</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与下游厂界距离/m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170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w:t>
            </w:r>
          </w:p>
        </w:tc>
        <w:tc>
          <w:tcPr>
            <w:tcW w:w="1559"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G3</w:t>
            </w:r>
          </w:p>
        </w:tc>
        <w:tc>
          <w:tcPr>
            <w:tcW w:w="1134"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p>
        </w:tc>
        <w:tc>
          <w:tcPr>
            <w:tcW w:w="1531"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D3</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Cs w:val="21"/>
              </w:rPr>
            </w:pPr>
          </w:p>
        </w:tc>
        <w:tc>
          <w:tcPr>
            <w:tcW w:w="6634" w:type="dxa"/>
            <w:gridSpan w:val="10"/>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地下水环境敏感程度E值</w:t>
            </w:r>
          </w:p>
        </w:tc>
        <w:tc>
          <w:tcPr>
            <w:tcW w:w="121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E3</w:t>
            </w:r>
          </w:p>
        </w:tc>
      </w:tr>
    </w:tbl>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2）环境敏感目标分布概况</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（1）大气环境敏感目标分布情况</w:t>
      </w:r>
    </w:p>
    <w:p>
      <w:pPr>
        <w:spacing w:line="360" w:lineRule="auto"/>
        <w:ind w:firstLine="484" w:firstLineChars="202"/>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大气环境敏感目标5km范围内主要为小雷宰村</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海洛村</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金雷村</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湾保</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物贸乡</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那化村</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苴那村</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黑泥坡</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丙大浪和大那别，人口约为</w:t>
      </w:r>
      <w:r>
        <w:rPr>
          <w:rFonts w:hint="eastAsia" w:ascii="Times New Roman" w:hAnsi="Times New Roman" w:eastAsia="宋体" w:cs="Times New Roman"/>
          <w:color w:val="FF0000"/>
          <w:sz w:val="24"/>
          <w:szCs w:val="24"/>
        </w:rPr>
        <w:t>7615</w:t>
      </w:r>
      <w:r>
        <w:rPr>
          <w:rFonts w:ascii="Times New Roman" w:hAnsi="Times New Roman" w:eastAsia="宋体" w:cs="Times New Roman"/>
          <w:color w:val="FF0000"/>
          <w:sz w:val="24"/>
          <w:szCs w:val="24"/>
        </w:rPr>
        <w:t>人；既小雷宰村</w:t>
      </w:r>
      <w:r>
        <w:rPr>
          <w:rFonts w:hint="eastAsia" w:ascii="Times New Roman" w:hAnsi="Times New Roman" w:eastAsia="宋体" w:cs="Times New Roman"/>
          <w:color w:val="FF0000"/>
          <w:sz w:val="24"/>
          <w:szCs w:val="24"/>
        </w:rPr>
        <w:t>320人、海洛村957人、金雷村2739人、湾保414人、物贸乡800人、那化村301人、苴那村1360人、黑泥坡128人、丙大浪260人和大那别336人</w:t>
      </w:r>
      <w:r>
        <w:rPr>
          <w:rFonts w:ascii="Times New Roman" w:hAnsi="Times New Roman" w:eastAsia="宋体" w:cs="Times New Roman"/>
          <w:color w:val="FF0000"/>
          <w:sz w:val="24"/>
          <w:szCs w:val="24"/>
        </w:rPr>
        <w:t>。500m范围内主要是项目东南面360m处是小雷宰村。</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对应《建设项目环境风险评价技术导则》（HJ/T169-2018）表D.1，项目区域大气环境敏感程度为E3。</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（2）地表水环境敏感目标分布情况</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蜻蛉河地表水环境功能为</w:t>
      </w:r>
      <w:r>
        <w:rPr>
          <w:rFonts w:ascii="宋体" w:hAnsi="宋体" w:eastAsia="宋体" w:cs="宋体"/>
          <w:color w:val="000000"/>
          <w:sz w:val="24"/>
          <w:szCs w:val="24"/>
        </w:rPr>
        <w:t>IV</w:t>
      </w:r>
      <w:r>
        <w:rPr>
          <w:rFonts w:ascii="Times New Roman" w:hAnsi="Times New Roman" w:eastAsia="宋体" w:cs="Times New Roman"/>
          <w:color w:val="000000"/>
          <w:sz w:val="24"/>
          <w:szCs w:val="24"/>
        </w:rPr>
        <w:t>类，对应《建设项目环境风险评价技术导则》（HJ/T169-2018）表D.3，项目区域地表水属于低敏F3。</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发生事故时，项目事故废水排入蜻蛉河</w:t>
      </w:r>
      <w:r>
        <w:rPr>
          <w:rFonts w:ascii="宋体" w:hAnsi="宋体" w:eastAsia="宋体" w:cs="宋体"/>
          <w:color w:val="000000"/>
          <w:sz w:val="24"/>
          <w:szCs w:val="24"/>
        </w:rPr>
        <w:t>IV</w:t>
      </w:r>
      <w:r>
        <w:rPr>
          <w:rFonts w:ascii="Times New Roman" w:hAnsi="Times New Roman" w:eastAsia="宋体" w:cs="Times New Roman"/>
          <w:color w:val="000000"/>
          <w:sz w:val="24"/>
          <w:szCs w:val="24"/>
        </w:rPr>
        <w:t>类水体，对应《建设项目环境风险评价技术导则》（HJ/T169-2018）表D.4，项目区域环境敏感目标属于S3。</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对应《建设项目环境风险评价技术导则》（HJ/T169-2018）表D.2，项目区域地表水环境敏感程度为E3。</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（3）地下水敏感目标分布情况</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拟建项目地下水评价范围内无集中式饮用水水源地（包括已建成的在用、备用、应急水源，在建和规划的饮用水源地）准保护区；除集中式饮用水水源地以外的国家或地方政府设定的与地下水环境相关的其它保护区，如热水、矿泉水、温泉等特殊地下水资源保护区以及集中式饮用水水源地（包括已建成的在用、备用、应急水源，在建和规划的饮用水源地）准保护区以外的补给径流区；特殊地下水资源（如矿泉水、温泉等）保护区以外的分布区以及分散式居民饮用水水源等其它未列入上述敏感分级的环境敏感区。地下水功能敏感性分区为“不敏感G3”</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项目区域包气带防污性能分级为D3。</w:t>
      </w:r>
    </w:p>
    <w:p>
      <w:pPr>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对应《建设项目环境风险评价技术导则》（HJ/T169-2018）表D.5，项目区域地下水敏感程度为E3。</w:t>
      </w:r>
    </w:p>
    <w:p>
      <w:pPr>
        <w:pStyle w:val="5"/>
        <w:ind w:firstLine="562"/>
        <w:rPr>
          <w:rFonts w:hAnsi="Times New Roman"/>
        </w:rPr>
      </w:pPr>
      <w:bookmarkStart w:id="298" w:name="_Toc415683389"/>
      <w:bookmarkStart w:id="299" w:name="_Toc17989"/>
      <w:bookmarkStart w:id="300" w:name="_Toc416699761"/>
      <w:bookmarkStart w:id="301" w:name="_Toc529463333"/>
      <w:bookmarkStart w:id="302" w:name="_Toc5031"/>
      <w:bookmarkStart w:id="303" w:name="_Toc485220955"/>
      <w:bookmarkStart w:id="304" w:name="_Toc12178"/>
      <w:bookmarkStart w:id="305" w:name="_Toc421541549"/>
      <w:bookmarkStart w:id="306" w:name="_Toc26063"/>
      <w:r>
        <w:rPr>
          <w:rFonts w:hAnsi="Times New Roman"/>
        </w:rPr>
        <w:t>6.4 风险识别</w:t>
      </w:r>
      <w:bookmarkEnd w:id="298"/>
      <w:bookmarkEnd w:id="299"/>
      <w:bookmarkEnd w:id="300"/>
      <w:bookmarkEnd w:id="301"/>
      <w:bookmarkEnd w:id="302"/>
      <w:bookmarkEnd w:id="303"/>
      <w:bookmarkEnd w:id="304"/>
      <w:bookmarkEnd w:id="305"/>
      <w:bookmarkEnd w:id="306"/>
    </w:p>
    <w:p>
      <w:pPr>
        <w:spacing w:line="360" w:lineRule="auto"/>
        <w:ind w:firstLine="480" w:firstLineChars="200"/>
        <w:rPr>
          <w:rFonts w:ascii="Times New Roman" w:hAnsi="Times New Roman" w:eastAsia="宋体" w:cs="Times New Roman"/>
          <w:color w:val="000000"/>
          <w:szCs w:val="21"/>
        </w:rPr>
      </w:pPr>
      <w:r>
        <w:rPr>
          <w:rFonts w:ascii="Times New Roman" w:hAnsi="Times New Roman" w:eastAsia="宋体" w:cs="Times New Roman"/>
          <w:color w:val="000000"/>
          <w:sz w:val="24"/>
          <w:szCs w:val="24"/>
        </w:rPr>
        <w:t>环境风险识别范围包括：</w:t>
      </w:r>
      <w:r>
        <w:rPr>
          <w:rFonts w:ascii="宋体" w:hAnsi="宋体" w:eastAsia="宋体" w:cs="宋体"/>
          <w:color w:val="000000"/>
          <w:sz w:val="24"/>
          <w:szCs w:val="24"/>
        </w:rPr>
        <w:t>①</w:t>
      </w:r>
      <w:r>
        <w:rPr>
          <w:rFonts w:ascii="Times New Roman" w:hAnsi="Times New Roman" w:eastAsia="宋体" w:cs="Times New Roman"/>
          <w:color w:val="000000"/>
          <w:sz w:val="24"/>
          <w:szCs w:val="24"/>
        </w:rPr>
        <w:t>生产设施风险识别；</w:t>
      </w:r>
      <w:r>
        <w:rPr>
          <w:rFonts w:ascii="宋体" w:hAnsi="宋体" w:eastAsia="宋体" w:cs="宋体"/>
          <w:color w:val="000000"/>
          <w:sz w:val="24"/>
          <w:szCs w:val="24"/>
        </w:rPr>
        <w:t>②</w:t>
      </w:r>
      <w:r>
        <w:rPr>
          <w:rFonts w:ascii="Times New Roman" w:hAnsi="Times New Roman" w:eastAsia="宋体" w:cs="Times New Roman"/>
          <w:color w:val="000000"/>
          <w:sz w:val="24"/>
          <w:szCs w:val="24"/>
        </w:rPr>
        <w:t>物质风险识别范围包括：主要原材料及辅助材料、中间产品、最终产品以及生产过程排放的“三废”污染物等。项目最大的风险就是火灾。</w:t>
      </w:r>
    </w:p>
    <w:p>
      <w:pPr>
        <w:pStyle w:val="5"/>
        <w:ind w:firstLine="562"/>
        <w:rPr>
          <w:rFonts w:hAnsi="Times New Roman"/>
        </w:rPr>
      </w:pPr>
      <w:bookmarkStart w:id="307" w:name="_Toc193879940"/>
      <w:bookmarkStart w:id="308" w:name="_Toc186989006"/>
      <w:bookmarkStart w:id="309" w:name="_Toc192469191"/>
      <w:bookmarkStart w:id="310" w:name="_Toc15684"/>
      <w:bookmarkStart w:id="311" w:name="_Toc27531"/>
      <w:bookmarkStart w:id="312" w:name="_Toc485220962"/>
      <w:bookmarkStart w:id="313" w:name="_Toc415683392"/>
      <w:bookmarkStart w:id="314" w:name="_Toc416699768"/>
      <w:bookmarkStart w:id="315" w:name="_Toc23229"/>
      <w:bookmarkStart w:id="316" w:name="_Toc421541556"/>
      <w:bookmarkStart w:id="317" w:name="_Toc529463337"/>
      <w:bookmarkStart w:id="318" w:name="_Toc19046"/>
      <w:r>
        <w:rPr>
          <w:rFonts w:hAnsi="Times New Roman"/>
        </w:rPr>
        <w:t>6.5 发生火灾事故的防范</w:t>
      </w:r>
      <w:bookmarkEnd w:id="307"/>
      <w:bookmarkEnd w:id="308"/>
      <w:bookmarkEnd w:id="309"/>
      <w:r>
        <w:rPr>
          <w:rFonts w:hAnsi="Times New Roman"/>
        </w:rPr>
        <w:t>措施</w:t>
      </w:r>
      <w:bookmarkEnd w:id="310"/>
      <w:bookmarkEnd w:id="311"/>
      <w:bookmarkEnd w:id="312"/>
      <w:bookmarkEnd w:id="313"/>
      <w:bookmarkEnd w:id="314"/>
      <w:bookmarkEnd w:id="315"/>
      <w:bookmarkEnd w:id="316"/>
      <w:bookmarkEnd w:id="317"/>
      <w:bookmarkEnd w:id="318"/>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根据项目特点，对储存及使用过程存在的风险进行管理，具体措施有：</w:t>
      </w:r>
    </w:p>
    <w:p>
      <w:pPr>
        <w:spacing w:line="360" w:lineRule="auto"/>
        <w:ind w:firstLine="480" w:firstLineChars="200"/>
        <w:rPr>
          <w:rFonts w:ascii="Times New Roman" w:hAnsi="Times New Roman" w:eastAsia="宋体" w:cs="Times New Roman"/>
          <w:color w:val="000000"/>
          <w:sz w:val="24"/>
          <w:szCs w:val="24"/>
        </w:rPr>
      </w:pPr>
      <w:bookmarkStart w:id="319" w:name="_Toc18375"/>
      <w:r>
        <w:rPr>
          <w:rFonts w:ascii="Times New Roman" w:hAnsi="Times New Roman" w:eastAsia="宋体" w:cs="Times New Roman"/>
          <w:color w:val="000000"/>
          <w:sz w:val="24"/>
          <w:szCs w:val="24"/>
        </w:rPr>
        <w:t>1）储存过程的环境风险防范</w:t>
      </w:r>
      <w:bookmarkEnd w:id="319"/>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储存过程的环境风险防范具体包括：</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（1）仓库储存物贮放设置明显的标志。分区存放，按生产计划合理进料。</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（2）对各类火种、火源和有散发火花危险的机械设备、作业活动，以及可燃、易燃物品等实行严格管理，禁止人员带火种进入存储场，对存储场作业动火实行全过程安全监督制。</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（3）对各类安全设施、消防器材，进行定期检查，并将发现的问题责任到人落实整改。</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color w:val="FF0000"/>
          <w:sz w:val="24"/>
          <w:szCs w:val="24"/>
        </w:rPr>
        <w:t>设一座容积</w:t>
      </w:r>
      <w:r>
        <w:rPr>
          <w:rFonts w:hint="eastAsia" w:ascii="Times New Roman" w:hAnsi="Times New Roman" w:eastAsia="宋体" w:cs="Times New Roman"/>
          <w:color w:val="FF0000"/>
          <w:sz w:val="24"/>
          <w:szCs w:val="24"/>
        </w:rPr>
        <w:t>900</w:t>
      </w:r>
      <w:r>
        <w:rPr>
          <w:rFonts w:ascii="Times New Roman" w:hAnsi="Times New Roman" w:eastAsia="宋体" w:cs="Times New Roman"/>
          <w:color w:val="FF0000"/>
          <w:sz w:val="24"/>
          <w:szCs w:val="24"/>
        </w:rPr>
        <w:t>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的</w:t>
      </w:r>
      <w:r>
        <w:rPr>
          <w:rFonts w:hint="eastAsia" w:ascii="Times New Roman" w:hAnsi="Times New Roman" w:eastAsia="宋体" w:cs="Times New Roman"/>
          <w:color w:val="FF0000"/>
          <w:sz w:val="24"/>
          <w:szCs w:val="24"/>
          <w:lang w:eastAsia="zh-CN"/>
        </w:rPr>
        <w:t>事故应急池</w:t>
      </w:r>
      <w:r>
        <w:rPr>
          <w:rFonts w:ascii="Times New Roman" w:hAnsi="Times New Roman" w:eastAsia="宋体" w:cs="Times New Roman"/>
          <w:color w:val="FF0000"/>
          <w:sz w:val="24"/>
          <w:szCs w:val="24"/>
        </w:rPr>
        <w:t>池，对消防废水进行收集。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（5）贮存场所，实行安全责任制。</w:t>
      </w:r>
    </w:p>
    <w:p>
      <w:pPr>
        <w:spacing w:line="360" w:lineRule="auto"/>
        <w:ind w:firstLine="480" w:firstLineChars="200"/>
        <w:rPr>
          <w:rFonts w:ascii="Times New Roman" w:hAnsi="Times New Roman" w:eastAsia="宋体" w:cs="Times New Roman"/>
          <w:color w:val="000000"/>
          <w:sz w:val="24"/>
          <w:szCs w:val="24"/>
        </w:rPr>
      </w:pPr>
      <w:bookmarkStart w:id="320" w:name="_Toc237"/>
      <w:r>
        <w:rPr>
          <w:rFonts w:ascii="Times New Roman" w:hAnsi="Times New Roman" w:eastAsia="宋体" w:cs="Times New Roman"/>
          <w:color w:val="000000"/>
          <w:sz w:val="24"/>
          <w:szCs w:val="24"/>
        </w:rPr>
        <w:t>2）其他风险管理</w:t>
      </w:r>
      <w:bookmarkEnd w:id="320"/>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（1）根据仓库的使用性质按规范要求落实消防水源和室内外消防给水系统，重点规划布置库区的防火间距、消防车道、消防水源、堆垛大小等。 </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仓库应采用防爆电器和照明，电气线路必须按照防爆的要求进行敷设，仓库内不得设置移动照明，配电线路与货垛之间应按规范的要求保持足够的防火间距，不得在堆垛上方架设临时线路，不得设置移动照明和配电板等。对生产区和仓储区及其他需要配置的地方，安装事故应急照明和疏散指示标志。</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（3）加强消防设施的维护与保养使其保持在良好的性能状态。减少机械伤害的发生。</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（4）加强安全教育，强化安全意识。 </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（5）要落实消防安全责任制，严格各项规章制度。</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（6）要求企业制定风险事故应急预案，一旦发生事故，要根据具体情况采取应急措施，切断泄漏源、火源，控制事故扩大，同时应立即报警，并采取遏制泄漏物进入环境的紧急措施，紧急疏散和救护居民。</w:t>
      </w:r>
      <w:bookmarkStart w:id="321" w:name="_Toc186989007"/>
      <w:bookmarkStart w:id="322" w:name="_Toc192469192"/>
      <w:bookmarkStart w:id="323" w:name="_Toc193879941"/>
      <w:bookmarkStart w:id="324" w:name="_Toc31052"/>
      <w:bookmarkStart w:id="325" w:name="_Toc28458"/>
    </w:p>
    <w:bookmarkEnd w:id="321"/>
    <w:bookmarkEnd w:id="322"/>
    <w:bookmarkEnd w:id="323"/>
    <w:bookmarkEnd w:id="324"/>
    <w:bookmarkEnd w:id="325"/>
    <w:p>
      <w:pPr>
        <w:pStyle w:val="5"/>
        <w:spacing w:before="0" w:after="0"/>
        <w:ind w:firstLine="562"/>
        <w:rPr>
          <w:rFonts w:hAnsi="Times New Roman"/>
        </w:rPr>
      </w:pPr>
      <w:bookmarkStart w:id="326" w:name="_Toc415683393"/>
      <w:bookmarkStart w:id="327" w:name="_Toc416699771"/>
      <w:bookmarkStart w:id="328" w:name="_Toc421541559"/>
      <w:bookmarkStart w:id="329" w:name="_Toc485220965"/>
      <w:bookmarkStart w:id="330" w:name="_Toc529463338"/>
      <w:bookmarkStart w:id="331" w:name="_Toc5596"/>
      <w:bookmarkStart w:id="332" w:name="_Toc30555"/>
      <w:r>
        <w:rPr>
          <w:rFonts w:hAnsi="Times New Roman"/>
        </w:rPr>
        <w:t>6.</w:t>
      </w:r>
      <w:bookmarkEnd w:id="326"/>
      <w:bookmarkEnd w:id="327"/>
      <w:bookmarkEnd w:id="328"/>
      <w:bookmarkEnd w:id="329"/>
      <w:bookmarkStart w:id="333" w:name="_Toc277829916"/>
      <w:bookmarkStart w:id="334" w:name="_Toc8412"/>
      <w:bookmarkStart w:id="335" w:name="_Toc20748"/>
      <w:bookmarkStart w:id="336" w:name="_Toc415683394"/>
      <w:bookmarkStart w:id="337" w:name="_Toc416699772"/>
      <w:bookmarkStart w:id="338" w:name="_Toc421541560"/>
      <w:bookmarkStart w:id="339" w:name="_Toc485220966"/>
      <w:r>
        <w:rPr>
          <w:rFonts w:hAnsi="Times New Roman"/>
        </w:rPr>
        <w:t>6 环境风险评价结论</w:t>
      </w:r>
      <w:bookmarkEnd w:id="330"/>
      <w:bookmarkEnd w:id="331"/>
      <w:bookmarkEnd w:id="332"/>
      <w:bookmarkEnd w:id="333"/>
      <w:bookmarkEnd w:id="334"/>
      <w:bookmarkEnd w:id="335"/>
      <w:bookmarkEnd w:id="336"/>
      <w:bookmarkEnd w:id="337"/>
      <w:bookmarkEnd w:id="338"/>
      <w:bookmarkEnd w:id="339"/>
    </w:p>
    <w:p>
      <w:pPr>
        <w:spacing w:line="360" w:lineRule="auto"/>
        <w:ind w:firstLine="600" w:firstLineChars="250"/>
        <w:jc w:val="left"/>
        <w:rPr>
          <w:rFonts w:ascii="Times New Roman" w:hAnsi="Times New Roman" w:eastAsia="宋体" w:cs="Times New Roman"/>
          <w:bCs/>
          <w:color w:val="000000"/>
          <w:sz w:val="24"/>
          <w:szCs w:val="24"/>
        </w:rPr>
        <w:sectPr>
          <w:pgSz w:w="11906" w:h="16838"/>
          <w:pgMar w:top="1440" w:right="1797" w:bottom="1440" w:left="1797" w:header="851" w:footer="992" w:gutter="0"/>
          <w:cols w:space="720" w:num="1"/>
          <w:docGrid w:type="lines" w:linePitch="312" w:charSpace="0"/>
        </w:sectPr>
      </w:pPr>
      <w:r>
        <w:rPr>
          <w:rFonts w:ascii="Times New Roman" w:hAnsi="Times New Roman" w:eastAsia="宋体" w:cs="Times New Roman"/>
          <w:color w:val="000000"/>
          <w:sz w:val="24"/>
          <w:szCs w:val="24"/>
        </w:rPr>
        <w:t>由于项目具有潜在的火灾隐患、生产废水事故外排隐患，一旦发生火灾事故和生产废水事故排放，对周围环境有一定的影响。企业必须编制突发环境应急预案，同时企业必须重视平时环境安全管理，严格遵守有关规章制度，加强岗位责任制，严格执行事故风险防范措施，避免失误操作。项目采取以上措施后，项目环境风险可以达到可以接受范围内。</w:t>
      </w:r>
    </w:p>
    <w:p>
      <w:pPr>
        <w:keepNext/>
        <w:keepLines/>
        <w:spacing w:before="340" w:after="330" w:line="360" w:lineRule="auto"/>
        <w:ind w:firstLine="602" w:firstLineChars="200"/>
        <w:jc w:val="center"/>
        <w:outlineLvl w:val="0"/>
        <w:rPr>
          <w:rFonts w:ascii="Times New Roman" w:hAnsi="Times New Roman" w:eastAsia="宋体" w:cs="Times New Roman"/>
          <w:b/>
          <w:bCs/>
          <w:kern w:val="44"/>
          <w:sz w:val="30"/>
          <w:szCs w:val="44"/>
        </w:rPr>
      </w:pPr>
      <w:bookmarkStart w:id="340" w:name="_Toc23843379"/>
      <w:bookmarkStart w:id="341" w:name="_Toc30366"/>
      <w:bookmarkStart w:id="342" w:name="_Toc7807"/>
      <w:r>
        <w:rPr>
          <w:rFonts w:ascii="Times New Roman" w:hAnsi="Times New Roman" w:eastAsia="宋体" w:cs="Times New Roman"/>
          <w:b/>
          <w:bCs/>
          <w:kern w:val="44"/>
          <w:sz w:val="30"/>
          <w:szCs w:val="44"/>
        </w:rPr>
        <w:t>7</w:t>
      </w:r>
      <w:r>
        <w:rPr>
          <w:rFonts w:hint="eastAsia" w:ascii="Times New Roman" w:hAnsi="Times New Roman" w:eastAsia="宋体" w:cs="Times New Roman"/>
          <w:b/>
          <w:bCs/>
          <w:kern w:val="44"/>
          <w:sz w:val="30"/>
          <w:szCs w:val="44"/>
        </w:rPr>
        <w:t>环境保护措施及可行性分析</w:t>
      </w:r>
      <w:bookmarkEnd w:id="340"/>
      <w:bookmarkEnd w:id="341"/>
      <w:bookmarkEnd w:id="342"/>
    </w:p>
    <w:p>
      <w:pPr>
        <w:keepNext/>
        <w:keepLines/>
        <w:spacing w:before="260" w:after="260" w:line="360" w:lineRule="auto"/>
        <w:ind w:firstLine="562"/>
        <w:outlineLvl w:val="0"/>
        <w:rPr>
          <w:rFonts w:ascii="Times New Roman" w:hAnsi="Times New Roman" w:eastAsia="宋体" w:cs="Times New Roman"/>
          <w:b/>
          <w:bCs/>
          <w:sz w:val="28"/>
          <w:szCs w:val="32"/>
        </w:rPr>
      </w:pPr>
      <w:bookmarkStart w:id="343" w:name="_Toc23843380"/>
      <w:bookmarkStart w:id="344" w:name="_Toc5018"/>
      <w:bookmarkStart w:id="345" w:name="_Toc9340"/>
      <w:r>
        <w:rPr>
          <w:rFonts w:ascii="Times New Roman" w:hAnsi="Times New Roman" w:eastAsia="宋体" w:cs="Times New Roman"/>
          <w:b/>
          <w:bCs/>
          <w:sz w:val="28"/>
          <w:szCs w:val="32"/>
        </w:rPr>
        <w:t>7</w:t>
      </w:r>
      <w:r>
        <w:rPr>
          <w:rFonts w:hint="eastAsia" w:ascii="Times New Roman" w:hAnsi="Times New Roman" w:eastAsia="宋体" w:cs="Times New Roman"/>
          <w:b/>
          <w:bCs/>
          <w:sz w:val="28"/>
          <w:szCs w:val="32"/>
        </w:rPr>
        <w:t>.1施工期环境保护措施及可行性</w:t>
      </w:r>
      <w:bookmarkEnd w:id="343"/>
      <w:bookmarkEnd w:id="344"/>
      <w:bookmarkEnd w:id="345"/>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根据项目建设情况及施工期污染因素分析，本项目施工期对环境的影响主要是施工扬尘影响；施工废水、生活污水、地表雨水径流影响；施工区机械设备产生的噪声影响；施工产生的建筑垃圾、土石方以及生活垃圾影响等。</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346" w:name="_Toc23843381"/>
      <w:bookmarkStart w:id="347" w:name="_Toc25866"/>
      <w:bookmarkStart w:id="348" w:name="_Toc20475"/>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.1.1施工期废气污染防治措施及其可行性分析</w:t>
      </w:r>
      <w:bookmarkEnd w:id="346"/>
      <w:bookmarkEnd w:id="347"/>
      <w:bookmarkEnd w:id="348"/>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工程土建施工期间，由于开挖的土方通常裸露堆放在施工现场，如果遇到干燥大风天气，将会产生一定量的扬尘，对周围环境产生一定的影响。对于施工期土石开挖造成的植被破坏，评价建议建设单位加强管理，工程完成后，及时回填、绿化，减少对环境造成的扬尘影响，并防止水土流失，减小施工期大气污染物对环境的影响。本环境影响报告书提出的具体措施如下：</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1、对施工现场进行科学管理，砂石料应统一堆放，水泥应设专门库房堆放，减少搬运环节，搬运时轻举轻放，防止包装袋破裂。</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2、开挖时，对作业面适当喷水，使其保持一定的湿度，以减少扬尘量。而且，建筑材料和建筑垃圾应及时运走。</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3、施工场地、施工道路的扬尘可用洒水和清扫措施予以抑止。如果只洒水清扫，可使扬尘量减少70~80%，如洒水清扫后再洒水，抑尘效率能达90%以上。有关试验表明，在施工场地每天洒水抑尘作业4</w:t>
      </w:r>
      <w:r>
        <w:rPr>
          <w:rFonts w:ascii="Times New Roman" w:hAnsi="Times New Roman" w:eastAsia="宋体" w:cs="Times New Roman"/>
          <w:sz w:val="24"/>
          <w:szCs w:val="28"/>
        </w:rPr>
        <w:t>～</w:t>
      </w:r>
      <w:r>
        <w:rPr>
          <w:rFonts w:hint="eastAsia" w:ascii="Times New Roman" w:hAnsi="Times New Roman" w:eastAsia="宋体" w:cs="Times New Roman"/>
          <w:sz w:val="24"/>
          <w:szCs w:val="28"/>
        </w:rPr>
        <w:t>5次，其扬尘造成的颗粒物污染距离可缩小到20～50m范围。</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4、谨防运输车辆装载过满，并采取遮盖、密闭措施， 减少其沿途抛洒，并及时清扫散落在路面的泥土和灰尘，冲洗轮胎，定时洒水压尘，减少运输过程中的扬尘。</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5、风速过大时应停止施工作业，并对堆放的砂石等建筑材料、临时表土堆场进行遮盖处理。</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施工期大气污染源主要为施工扬尘，主要污染物为颗粒物。对施工扬尘采取的主要控制措施为晴天对施工起尘面进行洒水降尘。洒水降尘为国内各施工工地最常用的扬尘控制措施之一，降尘效果较好，技术难度小，便于操作。从技术角度分析，该项目施工期大气污染防治措施可行。</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349" w:name="_Toc23843382"/>
      <w:bookmarkStart w:id="350" w:name="_Toc1277"/>
      <w:bookmarkStart w:id="351" w:name="_Toc17929"/>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.1.2施工期废水污染防治措施及其可行性分析</w:t>
      </w:r>
      <w:bookmarkEnd w:id="349"/>
      <w:bookmarkEnd w:id="350"/>
      <w:bookmarkEnd w:id="351"/>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为了减少项目施工期间施工废水对环境造成的不利影响，本环评提出的具体措施如下：</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施工废水主要为建筑养护排水、施工工具及施工机械车辆清洗清洗及进出车辆冲洗水等， 本项目施工废水产生量约1.</w:t>
      </w:r>
      <w:r>
        <w:rPr>
          <w:rFonts w:ascii="Times New Roman" w:hAnsi="Times New Roman" w:eastAsia="宋体" w:cs="Times New Roman"/>
          <w:sz w:val="24"/>
          <w:szCs w:val="28"/>
        </w:rPr>
        <w:t>8</w:t>
      </w:r>
      <w:r>
        <w:rPr>
          <w:rFonts w:hint="eastAsia" w:ascii="Times New Roman" w:hAnsi="Times New Roman" w:eastAsia="宋体" w:cs="Times New Roman"/>
          <w:sz w:val="24"/>
          <w:szCs w:val="28"/>
        </w:rPr>
        <w:t>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/d，在厂区设置容积为250m</w:t>
      </w:r>
      <w:r>
        <w:rPr>
          <w:rFonts w:hint="eastAsia" w:ascii="Times New Roman" w:hAnsi="Times New Roman" w:eastAsia="宋体" w:cs="Times New Roman"/>
          <w:sz w:val="24"/>
          <w:szCs w:val="28"/>
          <w:vertAlign w:val="superscript"/>
        </w:rPr>
        <w:t xml:space="preserve">3 </w:t>
      </w:r>
      <w:r>
        <w:rPr>
          <w:rFonts w:hint="eastAsia" w:ascii="Times New Roman" w:hAnsi="Times New Roman" w:eastAsia="宋体" w:cs="Times New Roman"/>
          <w:sz w:val="24"/>
          <w:szCs w:val="28"/>
        </w:rPr>
        <w:t>的临时沉淀池，施工废水经沉淀池回用于施工过程和场地洒水抑尘，不外排；</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施工过程中，废水产生时间和量均存在不确定因素，施工期废水不含有毒物质，主要是泥沙悬浮物含量较大。项目施工期间施工人员产生生活污水</w:t>
      </w:r>
      <w:r>
        <w:rPr>
          <w:rFonts w:ascii="Times New Roman" w:hAnsi="Times New Roman" w:eastAsia="宋体" w:cs="Times New Roman"/>
          <w:sz w:val="24"/>
          <w:szCs w:val="28"/>
        </w:rPr>
        <w:t>1.92</w:t>
      </w:r>
      <w:r>
        <w:rPr>
          <w:rFonts w:hint="eastAsia" w:ascii="Times New Roman" w:hAnsi="Times New Roman" w:eastAsia="宋体" w:cs="Times New Roman"/>
          <w:sz w:val="24"/>
          <w:szCs w:val="28"/>
        </w:rPr>
        <w:t>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/d，其中厨房废水产生量为</w:t>
      </w:r>
      <w:r>
        <w:rPr>
          <w:rFonts w:ascii="Times New Roman" w:hAnsi="Times New Roman" w:eastAsia="宋体" w:cs="Times New Roman"/>
          <w:sz w:val="24"/>
          <w:szCs w:val="28"/>
        </w:rPr>
        <w:t>0.576</w:t>
      </w:r>
      <w:r>
        <w:rPr>
          <w:rFonts w:hint="eastAsia" w:ascii="Times New Roman" w:hAnsi="Times New Roman" w:eastAsia="宋体" w:cs="Times New Roman"/>
          <w:sz w:val="24"/>
          <w:szCs w:val="28"/>
        </w:rPr>
        <w:t>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/d，经泔水桶收集后委托</w:t>
      </w:r>
      <w:r>
        <w:rPr>
          <w:rFonts w:ascii="Times New Roman" w:hAnsi="Times New Roman" w:eastAsia="宋体" w:cs="Times New Roman"/>
          <w:sz w:val="24"/>
          <w:szCs w:val="28"/>
        </w:rPr>
        <w:t>有资质单位清运处置</w:t>
      </w:r>
      <w:r>
        <w:rPr>
          <w:rFonts w:hint="eastAsia" w:ascii="Times New Roman" w:hAnsi="Times New Roman" w:eastAsia="宋体" w:cs="Times New Roman"/>
          <w:sz w:val="24"/>
          <w:szCs w:val="28"/>
        </w:rPr>
        <w:t>，其他生活污水经临时沉淀池（250m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）收集沉淀，用于项目区洒水降尘，生活污水中的污染物主要为BOD</w:t>
      </w:r>
      <w:r>
        <w:rPr>
          <w:rFonts w:hint="eastAsia" w:ascii="Times New Roman" w:hAnsi="Times New Roman" w:eastAsia="宋体" w:cs="Times New Roman"/>
          <w:sz w:val="24"/>
          <w:szCs w:val="28"/>
          <w:vertAlign w:val="subscript"/>
        </w:rPr>
        <w:t>5</w:t>
      </w:r>
      <w:r>
        <w:rPr>
          <w:rFonts w:hint="eastAsia" w:ascii="Times New Roman" w:hAnsi="Times New Roman" w:eastAsia="宋体" w:cs="Times New Roman"/>
          <w:sz w:val="24"/>
          <w:szCs w:val="28"/>
        </w:rPr>
        <w:t>、COD、SS等。在施工场地将设置1个旱厕作为施工人员如厕使用，旱厕废液、粪便定期清掏至表土堆场覆土腐熟、后期用作绿化施肥，施工结束后进行回填；</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施工期间的地表径流量为11457.66m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/a（31.82m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/d），施工方设置截排水沟渠于四周，部分地表径流经过沉淀后，回用于洒水抑尘，回用不完的排入周边雨水管网内。</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1、临时施工人员住房设置泔水桶收集厨房废水，达到一定量时</w:t>
      </w:r>
      <w:r>
        <w:rPr>
          <w:rFonts w:ascii="Times New Roman" w:hAnsi="Times New Roman" w:eastAsia="宋体" w:cs="Times New Roman"/>
          <w:sz w:val="24"/>
          <w:szCs w:val="28"/>
        </w:rPr>
        <w:t>委托有资质单位清运处置</w:t>
      </w:r>
      <w:r>
        <w:rPr>
          <w:rFonts w:hint="eastAsia" w:ascii="Times New Roman" w:hAnsi="Times New Roman" w:eastAsia="宋体" w:cs="Times New Roman"/>
          <w:sz w:val="24"/>
          <w:szCs w:val="28"/>
        </w:rPr>
        <w:t>；</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2、施工时设置临时沉淀池，收集项目施工过程中产生的施工废水及施工人员的清洗污水，沉淀池设置于施工场地的低洼处。容积为250m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 沉淀后施工废水中的SS可降低80%，施工废水经沉淀处理后回用于施工及场地洒水降尘，不外排；</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3、施工方设置截排水沟渠于四周，部分地表径流经过沉淀后，回用于洒水抑尘，回用不完的排入周边雨水管网内；</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4、在施工场地将设置1个旱厕作为施工人员如厕使用，旱厕废液、粪便定期清掏至表土堆场覆土腐熟、后期用作绿化施肥，施工结束后进行回填；</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该项目施工废水主要污染物为SS，通过沉淀处理后回用于洒水降尘，不外排。根据工程进度安排，一般于晴天进行施工，施工废水可有效回用于洒水降尘。由于施工及场地洒水降尘对水质要求不高，施工废水经沉淀处理后回用于施工及场地洒水降尘技术上可行的。施工期沉淀池有效容积为250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可对施工废水进行有效处理，沉淀池投资约3.4万元，能为企业所接受。施工废水经沉淀处理后回用于施工和降尘能降低新鲜水的使用量，降低施工扬尘对环境的影响，同时可改善施工场地工作环境，处理措施可行。</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该项目区距离周边村庄较远，需临时建设一个10m</w:t>
      </w:r>
      <w:r>
        <w:rPr>
          <w:rFonts w:hint="eastAsia" w:ascii="Times New Roman" w:hAnsi="Times New Roman" w:eastAsia="宋体" w:cs="Times New Roman"/>
          <w:sz w:val="24"/>
          <w:szCs w:val="28"/>
          <w:vertAlign w:val="superscript"/>
        </w:rPr>
        <w:t>2</w:t>
      </w:r>
      <w:r>
        <w:rPr>
          <w:rFonts w:hint="eastAsia" w:ascii="Times New Roman" w:hAnsi="Times New Roman" w:eastAsia="宋体" w:cs="Times New Roman"/>
          <w:sz w:val="24"/>
          <w:szCs w:val="28"/>
        </w:rPr>
        <w:t>旱厕对施工人员的粪尿进行收集，施工人员定期将粪便进行定期清掏至表土堆场覆土腐熟、后期用作绿化施肥，施工结束后进行回填。</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从技术角度分析，该项目对施工人员生活污水处理措施可行。施工期设置旱厕占地10m</w:t>
      </w:r>
      <w:r>
        <w:rPr>
          <w:rFonts w:hint="eastAsia" w:ascii="Times New Roman" w:hAnsi="Times New Roman" w:eastAsia="宋体" w:cs="Times New Roman"/>
          <w:sz w:val="24"/>
          <w:szCs w:val="28"/>
          <w:vertAlign w:val="superscript"/>
        </w:rPr>
        <w:t>2</w:t>
      </w:r>
      <w:r>
        <w:rPr>
          <w:rFonts w:hint="eastAsia" w:ascii="Times New Roman" w:hAnsi="Times New Roman" w:eastAsia="宋体" w:cs="Times New Roman"/>
          <w:sz w:val="24"/>
          <w:szCs w:val="28"/>
        </w:rPr>
        <w:t>，旱厕只是进行简单的搭建，投资费用约2万元，能为企业所接受，从经济角度分析，该项目施工人员生活污水处理措施可行。</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352" w:name="_Toc10099"/>
      <w:bookmarkStart w:id="353" w:name="_Toc15"/>
      <w:bookmarkStart w:id="354" w:name="_Toc23843383"/>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.1.3施工期地下水影响防治措施</w:t>
      </w:r>
      <w:bookmarkEnd w:id="352"/>
      <w:bookmarkEnd w:id="353"/>
      <w:bookmarkEnd w:id="354"/>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地表径流污染物质，设置截排水沟渠于四周，部分地表径流经过临时设置的沉淀池处理后，部分回用于洒水抑尘，另外一部分经过沉淀后周边雨水沟渠排入周边雨水管网内。</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以上措施是国内常用措施，从技术、经济角度分析，措施可行。</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355" w:name="_Toc23843384"/>
      <w:bookmarkStart w:id="356" w:name="_Toc30475"/>
      <w:bookmarkStart w:id="357" w:name="_Toc28906"/>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.1.4施工期噪声污染防治措施</w:t>
      </w:r>
      <w:bookmarkEnd w:id="355"/>
      <w:bookmarkEnd w:id="356"/>
      <w:bookmarkEnd w:id="357"/>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针对建设施工期间各种施工机械噪声，采取以下措施进行控制：</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1、在符合施工需要的前提下，尽可能选取噪声低、振动小、能耗小的先进设备。加强对施工机械的维护保养，避免由于设备性能差而使机械噪声增大的现象发生；</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2、加快施工进度，合理安排施工时间。施工期间精心组织施工，避免对居民休息造成不利影响。禁止在12时至14时、22时至次日6时进行施工作业；</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3、加强对施工人员的环境宣传和教育，使他们认真落实各项降噪措施，做到文明施工；</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4、建议建设单位和施工方与施工场地周围村民建立良好的关系，及时让居民了解施工进度及采取的降噪措施，并取得施工场地附近村民的共同理解。施工期噪声影响是暂时性的，在采取上述相应的控制、管理措施，做到文明施工后可使其影响减至最低。当施工期结束后其影响也随之消失。经采取上述措施后，施工期噪声对关心点的影响可接受。</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358" w:name="_Toc23843385"/>
      <w:bookmarkStart w:id="359" w:name="_Toc11948"/>
      <w:bookmarkStart w:id="360" w:name="_Toc25107"/>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.1.5施工期固废污染防治措施</w:t>
      </w:r>
      <w:bookmarkEnd w:id="358"/>
      <w:bookmarkEnd w:id="359"/>
      <w:bookmarkEnd w:id="360"/>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1、工程施工期间产生的废弃土石方用于项目区回填、绿化；</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2、建筑垃圾分类收集，分类处理，可以回收利用的回收利用，可回收部分将用作项目建设场地填平及进厂道路铺设，不可利用的由施工方清运至主管部门指定地点倾倒；</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3、施工人员生活垃圾采用垃圾桶统一收集后委托环卫部门统一清运处置，同时加强对施工人员的环保教育，杜绝乱丢乱弃现象；经采取上述措施后，该项目施工期固体废物能够全部妥善处置。</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361" w:name="_Toc23843386"/>
      <w:bookmarkStart w:id="362" w:name="_Toc29305"/>
      <w:bookmarkStart w:id="363" w:name="_Toc8670"/>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.1.6生态影响治理措施</w:t>
      </w:r>
      <w:bookmarkEnd w:id="361"/>
      <w:bookmarkEnd w:id="362"/>
      <w:bookmarkEnd w:id="363"/>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（1）强化生态环境保护意识</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1）建设单位应按当地生态环境建设规划和水土保持规划，结合工程施工期占地、植被破坏情况，认真做好工程施工期的水土保持及生态环境建设工作。</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2）完善施工的环境管理，设立环境管理机构，明确其职能，落实生态影响防护与恢复的监督管理措施。</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（2）土壤侵蚀的防治对策</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1）施工中不得将废弃土石任意裸露弃置，以免遇强降雨引起严重的水土流失。</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2）在地面施工过程中对于施工破坏区，施工完毕，要及时平整土地，并种植适宜的植物，以防止发生新的土壤侵蚀。</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（3）水土保持</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项目在施工过程中可能会发生水土流失，轻微扰动地表，故项目必须采取严格的水土保持措施，减少水土流失量。同时在施工中做好外围截排水措施，减少径流对基坑开挖面冲刷，对开挖土石方及时用于厂区整平填垫中，若需临时集中堆放，做好土料转存、集中堆放期间的水土保持工作；主体施工将绿化工程安排到末期，设置临时拦挡、排水沟、覆盖等措施，以减少项目建设过程中的水土流失。本项目开挖面积较小，在落实以上措施后水土流失可得到有效控制，水土流失对环境影响是轻微的，可以接受的。</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以上生态防治措施是国内常用措施，从技术、经济角度分析，措施可行。</w:t>
      </w:r>
    </w:p>
    <w:p>
      <w:pPr>
        <w:keepNext/>
        <w:keepLines/>
        <w:spacing w:before="260" w:after="260" w:line="360" w:lineRule="auto"/>
        <w:ind w:firstLine="562"/>
        <w:outlineLvl w:val="0"/>
        <w:rPr>
          <w:rFonts w:ascii="Times New Roman" w:hAnsi="Times New Roman" w:eastAsia="宋体" w:cs="Times New Roman"/>
          <w:b/>
          <w:bCs/>
          <w:sz w:val="28"/>
          <w:szCs w:val="32"/>
        </w:rPr>
      </w:pPr>
      <w:bookmarkStart w:id="364" w:name="_Toc23843387"/>
      <w:bookmarkStart w:id="365" w:name="_Toc26036"/>
      <w:bookmarkStart w:id="366" w:name="_Toc29916"/>
      <w:r>
        <w:rPr>
          <w:rFonts w:ascii="Times New Roman" w:hAnsi="Times New Roman" w:eastAsia="宋体" w:cs="Times New Roman"/>
          <w:b/>
          <w:bCs/>
          <w:sz w:val="28"/>
          <w:szCs w:val="32"/>
        </w:rPr>
        <w:t>7</w:t>
      </w:r>
      <w:r>
        <w:rPr>
          <w:rFonts w:hint="eastAsia" w:ascii="Times New Roman" w:hAnsi="Times New Roman" w:eastAsia="宋体" w:cs="Times New Roman"/>
          <w:b/>
          <w:bCs/>
          <w:sz w:val="28"/>
          <w:szCs w:val="32"/>
        </w:rPr>
        <w:t>.2运营期环境保护措施及其可行性论证</w:t>
      </w:r>
      <w:bookmarkEnd w:id="364"/>
      <w:bookmarkEnd w:id="365"/>
      <w:bookmarkEnd w:id="366"/>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367" w:name="_Toc23843388"/>
      <w:bookmarkStart w:id="368" w:name="_Toc8243"/>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.2.1运营期废气治理措施及其可行性分析</w:t>
      </w:r>
      <w:bookmarkEnd w:id="367"/>
      <w:bookmarkEnd w:id="368"/>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运营期废气治理措施</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（1）厂区加强通风、加强绿化，厂区道路两旁种植乔、灌木及松柏等，厂界边缘种植高大树种，建设5-10m的绿化隔离带，使厂区绿化形成多层隔离，尽量降低废污染的影响程度；</w:t>
      </w:r>
    </w:p>
    <w:p>
      <w:pPr>
        <w:spacing w:line="360" w:lineRule="auto"/>
        <w:ind w:firstLine="480" w:firstLineChars="200"/>
        <w:rPr>
          <w:rFonts w:ascii="Times New Roman" w:hAnsi="Times New Roman" w:eastAsia="宋体" w:cs="Times New Roman"/>
          <w:color w:val="FF0000"/>
          <w:sz w:val="24"/>
          <w:szCs w:val="28"/>
        </w:rPr>
      </w:pPr>
      <w:r>
        <w:rPr>
          <w:rFonts w:hint="eastAsia" w:ascii="Times New Roman" w:hAnsi="Times New Roman" w:eastAsia="宋体" w:cs="Times New Roman"/>
          <w:color w:val="FF0000"/>
          <w:sz w:val="24"/>
          <w:szCs w:val="28"/>
        </w:rPr>
        <w:t>（2）锅炉烟气水膜收尘后由40m高的烟囱排出。</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（3）食堂油烟</w:t>
      </w:r>
      <w:r>
        <w:rPr>
          <w:rFonts w:ascii="Times New Roman" w:hAnsi="Times New Roman" w:eastAsia="宋体" w:cs="Times New Roman"/>
          <w:sz w:val="24"/>
          <w:szCs w:val="28"/>
        </w:rPr>
        <w:t>经净化效率为</w:t>
      </w:r>
      <w:r>
        <w:rPr>
          <w:rFonts w:hint="eastAsia" w:ascii="Times New Roman" w:hAnsi="Times New Roman" w:eastAsia="宋体" w:cs="Times New Roman"/>
          <w:sz w:val="24"/>
          <w:szCs w:val="28"/>
        </w:rPr>
        <w:t>9</w:t>
      </w:r>
      <w:r>
        <w:rPr>
          <w:rFonts w:ascii="Times New Roman" w:hAnsi="Times New Roman" w:eastAsia="宋体" w:cs="Times New Roman"/>
          <w:sz w:val="24"/>
          <w:szCs w:val="28"/>
        </w:rPr>
        <w:t>0%的油烟净化器处理后通过烟囱排放。</w:t>
      </w:r>
    </w:p>
    <w:p>
      <w:pPr>
        <w:spacing w:line="360" w:lineRule="auto"/>
        <w:ind w:firstLine="480" w:firstLineChars="200"/>
        <w:rPr>
          <w:rFonts w:ascii="Times New Roman" w:hAnsi="Times New Roman" w:eastAsia="宋体" w:cs="Times New Roman"/>
          <w:color w:val="FF0000"/>
          <w:sz w:val="24"/>
          <w:szCs w:val="28"/>
        </w:rPr>
      </w:pPr>
      <w:r>
        <w:rPr>
          <w:rFonts w:hint="eastAsia" w:ascii="Times New Roman" w:hAnsi="Times New Roman" w:eastAsia="宋体" w:cs="Times New Roman"/>
          <w:sz w:val="24"/>
          <w:szCs w:val="28"/>
        </w:rPr>
        <w:t>对厂区、道路等进行硬化处理，厂区道路两旁种植乔、灌木及松柏等，厂界边缘种植高大树种，</w:t>
      </w:r>
      <w:r>
        <w:rPr>
          <w:rFonts w:hint="eastAsia" w:ascii="Times New Roman" w:hAnsi="Times New Roman" w:eastAsia="宋体" w:cs="Times New Roman"/>
          <w:color w:val="FF0000"/>
          <w:sz w:val="24"/>
          <w:szCs w:val="28"/>
        </w:rPr>
        <w:t>从技术方面，措施可行，投资费用为19.5万元，能为企业所接受；项目锅炉烟气经水膜收尘后经高度为4</w:t>
      </w:r>
      <w:r>
        <w:rPr>
          <w:rFonts w:ascii="Times New Roman" w:hAnsi="Times New Roman" w:eastAsia="宋体" w:cs="Times New Roman"/>
          <w:color w:val="FF0000"/>
          <w:sz w:val="24"/>
          <w:szCs w:val="28"/>
        </w:rPr>
        <w:t>0</w:t>
      </w:r>
      <w:r>
        <w:rPr>
          <w:rFonts w:hint="eastAsia" w:ascii="Times New Roman" w:hAnsi="Times New Roman" w:eastAsia="宋体" w:cs="Times New Roman"/>
          <w:color w:val="FF0000"/>
          <w:sz w:val="24"/>
          <w:szCs w:val="28"/>
        </w:rPr>
        <w:t>m的排气筒排放，预计投资</w:t>
      </w:r>
      <w:r>
        <w:rPr>
          <w:rFonts w:ascii="Times New Roman" w:hAnsi="Times New Roman" w:eastAsia="宋体" w:cs="Times New Roman"/>
          <w:color w:val="FF0000"/>
          <w:sz w:val="24"/>
          <w:szCs w:val="28"/>
        </w:rPr>
        <w:t>34</w:t>
      </w:r>
      <w:r>
        <w:rPr>
          <w:rFonts w:hint="eastAsia" w:ascii="Times New Roman" w:hAnsi="Times New Roman" w:eastAsia="宋体" w:cs="Times New Roman"/>
          <w:color w:val="FF0000"/>
          <w:sz w:val="24"/>
          <w:szCs w:val="28"/>
        </w:rPr>
        <w:t>万元（其中除尘器投资20万元，烟囱建设10万元），食堂</w:t>
      </w:r>
      <w:r>
        <w:rPr>
          <w:rFonts w:ascii="Times New Roman" w:hAnsi="Times New Roman" w:eastAsia="宋体" w:cs="Times New Roman"/>
          <w:color w:val="FF0000"/>
          <w:sz w:val="24"/>
          <w:szCs w:val="28"/>
        </w:rPr>
        <w:t>油烟净化器投资</w:t>
      </w:r>
      <w:r>
        <w:rPr>
          <w:rFonts w:hint="eastAsia" w:ascii="Times New Roman" w:hAnsi="Times New Roman" w:eastAsia="宋体" w:cs="Times New Roman"/>
          <w:color w:val="FF0000"/>
          <w:sz w:val="24"/>
          <w:szCs w:val="28"/>
        </w:rPr>
        <w:t>4万元</w:t>
      </w:r>
      <w:r>
        <w:rPr>
          <w:rFonts w:ascii="Times New Roman" w:hAnsi="Times New Roman" w:eastAsia="宋体" w:cs="Times New Roman"/>
          <w:color w:val="FF0000"/>
          <w:sz w:val="24"/>
          <w:szCs w:val="28"/>
        </w:rPr>
        <w:t>。</w:t>
      </w:r>
      <w:r>
        <w:rPr>
          <w:rFonts w:hint="eastAsia" w:ascii="Times New Roman" w:hAnsi="Times New Roman" w:eastAsia="宋体" w:cs="Times New Roman"/>
          <w:color w:val="FF0000"/>
          <w:sz w:val="24"/>
          <w:szCs w:val="28"/>
        </w:rPr>
        <w:t>从经济角度分析，能为企业所接受。</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369" w:name="_Toc23843389"/>
      <w:bookmarkStart w:id="370" w:name="_Toc24303"/>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.2.2运营期废水治理措施及其可行性分析</w:t>
      </w:r>
      <w:bookmarkEnd w:id="369"/>
      <w:bookmarkEnd w:id="370"/>
    </w:p>
    <w:p>
      <w:pPr>
        <w:spacing w:line="360" w:lineRule="auto"/>
        <w:ind w:firstLine="482" w:firstLineChars="200"/>
        <w:rPr>
          <w:rFonts w:ascii="Times New Roman" w:hAnsi="宋体" w:eastAsia="宋体" w:cs="Times New Roman"/>
          <w:b/>
          <w:sz w:val="24"/>
          <w:szCs w:val="28"/>
        </w:rPr>
      </w:pPr>
      <w:r>
        <w:rPr>
          <w:rFonts w:hint="eastAsia" w:ascii="Times New Roman" w:hAnsi="宋体" w:eastAsia="宋体" w:cs="Times New Roman"/>
          <w:b/>
          <w:sz w:val="24"/>
          <w:szCs w:val="28"/>
        </w:rPr>
        <w:t>1、项目水污染源</w:t>
      </w:r>
    </w:p>
    <w:p>
      <w:pPr>
        <w:spacing w:line="360" w:lineRule="auto"/>
        <w:ind w:firstLine="480" w:firstLineChars="200"/>
        <w:rPr>
          <w:rFonts w:ascii="Times New Roman" w:hAnsi="宋体" w:eastAsia="宋体" w:cs="Times New Roman"/>
          <w:sz w:val="24"/>
          <w:szCs w:val="28"/>
        </w:rPr>
      </w:pPr>
      <w:r>
        <w:rPr>
          <w:rFonts w:hint="eastAsia" w:ascii="Times New Roman" w:hAnsi="宋体" w:eastAsia="宋体" w:cs="Times New Roman"/>
          <w:sz w:val="24"/>
          <w:szCs w:val="28"/>
        </w:rPr>
        <w:t>本项目环</w:t>
      </w:r>
      <w:r>
        <w:rPr>
          <w:rFonts w:hint="eastAsia" w:ascii="宋体" w:hAnsi="宋体" w:eastAsia="宋体" w:cs="Times New Roman"/>
          <w:sz w:val="24"/>
        </w:rPr>
        <w:t>保新材料石粉复合果蔬包装生产过程中，</w:t>
      </w:r>
      <w:r>
        <w:rPr>
          <w:rFonts w:hint="eastAsia" w:ascii="Times New Roman" w:hAnsi="宋体" w:eastAsia="宋体" w:cs="Times New Roman"/>
          <w:sz w:val="24"/>
          <w:szCs w:val="28"/>
        </w:rPr>
        <w:t>生产循环用水用量为</w:t>
      </w:r>
      <w:r>
        <w:rPr>
          <w:rFonts w:ascii="Times New Roman" w:hAnsi="宋体" w:eastAsia="宋体" w:cs="Times New Roman"/>
          <w:sz w:val="24"/>
          <w:szCs w:val="28"/>
        </w:rPr>
        <w:t>43440</w:t>
      </w:r>
      <w:r>
        <w:rPr>
          <w:rFonts w:hint="eastAsia" w:ascii="Times New Roman" w:hAnsi="宋体" w:eastAsia="宋体" w:cs="Times New Roman"/>
          <w:sz w:val="24"/>
          <w:szCs w:val="28"/>
        </w:rPr>
        <w:t>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/a，由于蒸发减少水分，新鲜水补充水量为108</w:t>
      </w:r>
      <w:r>
        <w:rPr>
          <w:rFonts w:ascii="Times New Roman" w:hAnsi="宋体" w:eastAsia="宋体" w:cs="Times New Roman"/>
          <w:sz w:val="24"/>
          <w:szCs w:val="28"/>
        </w:rPr>
        <w:t>6</w:t>
      </w:r>
      <w:r>
        <w:rPr>
          <w:rFonts w:hint="eastAsia" w:ascii="Times New Roman" w:hAnsi="宋体" w:eastAsia="宋体" w:cs="Times New Roman"/>
          <w:sz w:val="24"/>
          <w:szCs w:val="28"/>
        </w:rPr>
        <w:t>0m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/a，生产用水循环使用不外排，对周边环境影响小；制备</w:t>
      </w:r>
      <w:r>
        <w:rPr>
          <w:rFonts w:ascii="Times New Roman" w:hAnsi="宋体" w:eastAsia="宋体" w:cs="Times New Roman"/>
          <w:sz w:val="24"/>
          <w:szCs w:val="28"/>
        </w:rPr>
        <w:t>锅炉用水水量为22160</w:t>
      </w:r>
      <w:r>
        <w:rPr>
          <w:rFonts w:hint="eastAsia" w:ascii="Times New Roman" w:hAnsi="宋体" w:eastAsia="宋体" w:cs="Times New Roman"/>
          <w:sz w:val="24"/>
          <w:szCs w:val="28"/>
        </w:rPr>
        <w:t>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/a，</w:t>
      </w:r>
      <w:r>
        <w:rPr>
          <w:rFonts w:ascii="Times New Roman" w:hAnsi="宋体" w:eastAsia="宋体" w:cs="Times New Roman"/>
          <w:sz w:val="24"/>
          <w:szCs w:val="28"/>
        </w:rPr>
        <w:t>其中产生</w:t>
      </w:r>
      <w:r>
        <w:rPr>
          <w:rFonts w:hint="eastAsia" w:ascii="Times New Roman" w:hAnsi="宋体" w:eastAsia="宋体" w:cs="Times New Roman"/>
          <w:sz w:val="24"/>
          <w:szCs w:val="28"/>
        </w:rPr>
        <w:t>反冲洗废水</w:t>
      </w:r>
      <w:r>
        <w:rPr>
          <w:rFonts w:ascii="Times New Roman" w:hAnsi="宋体" w:eastAsia="宋体" w:cs="Times New Roman"/>
          <w:sz w:val="24"/>
          <w:szCs w:val="28"/>
        </w:rPr>
        <w:t>水量为905.6</w:t>
      </w:r>
      <w:r>
        <w:rPr>
          <w:rFonts w:hint="eastAsia" w:ascii="Times New Roman" w:hAnsi="宋体" w:eastAsia="宋体" w:cs="Times New Roman"/>
          <w:sz w:val="24"/>
          <w:szCs w:val="28"/>
        </w:rPr>
        <w:t>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/a，反冲洗废水</w:t>
      </w:r>
      <w:r>
        <w:rPr>
          <w:rFonts w:ascii="Times New Roman" w:hAnsi="Times New Roman" w:eastAsia="宋体" w:cs="Times New Roman"/>
          <w:sz w:val="24"/>
          <w:szCs w:val="24"/>
        </w:rPr>
        <w:t>主要为</w:t>
      </w:r>
      <w:r>
        <w:rPr>
          <w:rFonts w:hint="eastAsia" w:ascii="Times New Roman" w:hAnsi="Times New Roman" w:eastAsia="宋体" w:cs="Times New Roman"/>
          <w:sz w:val="24"/>
          <w:szCs w:val="24"/>
        </w:rPr>
        <w:t>钙离子</w:t>
      </w:r>
      <w:r>
        <w:rPr>
          <w:rFonts w:ascii="Times New Roman" w:hAnsi="Times New Roman" w:eastAsia="宋体" w:cs="Times New Roman"/>
          <w:sz w:val="24"/>
          <w:szCs w:val="24"/>
        </w:rPr>
        <w:t>和镁离子，不含其它污染物，可直接通过雨水管网排出厂外</w:t>
      </w:r>
      <w:r>
        <w:rPr>
          <w:rFonts w:hint="eastAsia" w:ascii="Times New Roman" w:hAnsi="Times New Roman" w:eastAsia="宋体" w:cs="Times New Roman"/>
          <w:sz w:val="24"/>
          <w:szCs w:val="24"/>
        </w:rPr>
        <w:t>；</w:t>
      </w:r>
      <w:r>
        <w:rPr>
          <w:rFonts w:hint="eastAsia" w:ascii="Times New Roman" w:hAnsi="宋体" w:eastAsia="宋体" w:cs="Times New Roman"/>
          <w:sz w:val="24"/>
          <w:szCs w:val="28"/>
        </w:rPr>
        <w:t>生活污水产生量为</w:t>
      </w:r>
      <w:r>
        <w:rPr>
          <w:rFonts w:hint="eastAsia" w:ascii="Times New Roman" w:hAnsi="Times New Roman" w:eastAsia="宋体" w:cs="Times New Roman"/>
          <w:sz w:val="24"/>
        </w:rPr>
        <w:t>4.8m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/d，1440m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/a，生活区的食堂废水</w:t>
      </w:r>
      <w:r>
        <w:rPr>
          <w:rFonts w:hint="eastAsia" w:ascii="Times New Roman" w:hAnsi="宋体" w:eastAsia="宋体" w:cs="Times New Roman"/>
          <w:sz w:val="24"/>
          <w:szCs w:val="28"/>
        </w:rPr>
        <w:t>经隔油池（2m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）处理后同其他生活污水进入化粪池（5m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）处理后，通过自建的污水处理设施（处理规模为6m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/d）处理达标后晴天回用于绿化，雨天回用于生产；绿化用水经土地吸收渗滤、植物吸收和蒸发后，无废水外排。</w:t>
      </w:r>
    </w:p>
    <w:p>
      <w:pPr>
        <w:spacing w:line="360" w:lineRule="auto"/>
        <w:ind w:firstLine="480" w:firstLineChars="200"/>
        <w:rPr>
          <w:rFonts w:ascii="Times New Roman" w:hAnsi="Times New Roman" w:eastAsia="宋体" w:cs="Times New Roman"/>
          <w:sz w:val="24"/>
          <w:szCs w:val="28"/>
        </w:rPr>
      </w:pPr>
      <w:r>
        <w:rPr>
          <w:rFonts w:hint="eastAsia" w:ascii="Times New Roman" w:hAnsi="宋体" w:eastAsia="宋体" w:cs="Times New Roman"/>
          <w:sz w:val="24"/>
          <w:szCs w:val="28"/>
        </w:rPr>
        <w:t>生活污水主要污染物为COD、BOD</w:t>
      </w:r>
      <w:r>
        <w:rPr>
          <w:rFonts w:hint="eastAsia" w:ascii="Times New Roman" w:hAnsi="宋体" w:eastAsia="宋体" w:cs="Times New Roman"/>
          <w:sz w:val="24"/>
          <w:szCs w:val="28"/>
          <w:vertAlign w:val="subscript"/>
        </w:rPr>
        <w:t>5</w:t>
      </w:r>
      <w:r>
        <w:rPr>
          <w:rFonts w:hint="eastAsia" w:ascii="Times New Roman" w:hAnsi="宋体" w:eastAsia="宋体" w:cs="Times New Roman"/>
          <w:sz w:val="24"/>
          <w:szCs w:val="28"/>
        </w:rPr>
        <w:t>、SS、氨氮等。考虑1.2的富荣系数。污水处理设施每天处理污水能力不低于5.76m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，因此建议项目污水处理设施处理规模为6m</w:t>
      </w:r>
      <w:r>
        <w:rPr>
          <w:rFonts w:hint="eastAsia" w:ascii="Times New Roman" w:hAnsi="宋体" w:eastAsia="宋体" w:cs="Times New Roman"/>
          <w:sz w:val="24"/>
          <w:szCs w:val="28"/>
          <w:vertAlign w:val="superscript"/>
        </w:rPr>
        <w:t>3</w:t>
      </w:r>
      <w:r>
        <w:rPr>
          <w:rFonts w:hint="eastAsia" w:ascii="Times New Roman" w:hAnsi="宋体" w:eastAsia="宋体" w:cs="Times New Roman"/>
          <w:sz w:val="24"/>
          <w:szCs w:val="28"/>
        </w:rPr>
        <w:t>/d，项目设1个</w:t>
      </w:r>
      <w:r>
        <w:rPr>
          <w:rFonts w:ascii="Times New Roman" w:hAnsi="Times New Roman" w:eastAsia="宋体" w:cs="Times New Roman"/>
          <w:sz w:val="24"/>
          <w:szCs w:val="28"/>
        </w:rPr>
        <w:t>90</w:t>
      </w:r>
      <w:r>
        <w:rPr>
          <w:rFonts w:hint="eastAsia" w:ascii="Times New Roman" w:hAnsi="Times New Roman" w:eastAsia="宋体" w:cs="Times New Roman"/>
          <w:sz w:val="24"/>
          <w:szCs w:val="28"/>
        </w:rPr>
        <w:t>0m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 xml:space="preserve"> 的事故应急池，应急事故池用于非正常状况暂存生活废水和消防废水。</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2、水污染防治措施</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本环评提出治理措施如下：</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（1）2m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的隔油池处理食堂废水；</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（2）5m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的化粪池处理生活污水；</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（3）处理规模为6m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/d的污水处理设施处理生活污水；</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（4）水膜除尘废水沉淀循环水池，</w:t>
      </w:r>
      <w:r>
        <w:rPr>
          <w:rFonts w:hint="eastAsia" w:ascii="Times New Roman" w:hAnsi="Times New Roman" w:eastAsia="宋体" w:cs="Times New Roman"/>
          <w:color w:val="FF0000"/>
          <w:sz w:val="24"/>
          <w:szCs w:val="28"/>
        </w:rPr>
        <w:t>容积为150m</w:t>
      </w:r>
      <w:r>
        <w:rPr>
          <w:rFonts w:hint="eastAsia" w:ascii="Times New Roman" w:hAnsi="Times New Roman" w:eastAsia="宋体" w:cs="Times New Roman"/>
          <w:color w:val="FF0000"/>
          <w:sz w:val="24"/>
          <w:szCs w:val="28"/>
          <w:vertAlign w:val="superscript"/>
        </w:rPr>
        <w:t>3</w:t>
      </w:r>
      <w:r>
        <w:rPr>
          <w:rFonts w:hint="eastAsia" w:ascii="Times New Roman" w:hAnsi="Times New Roman" w:eastAsia="宋体" w:cs="Times New Roman"/>
          <w:sz w:val="24"/>
          <w:szCs w:val="28"/>
        </w:rPr>
        <w:t>；</w:t>
      </w:r>
    </w:p>
    <w:p>
      <w:pPr>
        <w:spacing w:line="360" w:lineRule="auto"/>
        <w:ind w:firstLine="480" w:firstLineChars="200"/>
        <w:rPr>
          <w:rFonts w:ascii="Times New Roman" w:hAnsi="Times New Roman" w:eastAsia="宋体" w:cs="Times New Roman"/>
          <w:color w:val="FF0000"/>
          <w:sz w:val="24"/>
          <w:szCs w:val="28"/>
        </w:rPr>
      </w:pPr>
      <w:r>
        <w:rPr>
          <w:rFonts w:hint="eastAsia" w:ascii="Times New Roman" w:hAnsi="Times New Roman" w:eastAsia="宋体" w:cs="Times New Roman"/>
          <w:color w:val="FF0000"/>
          <w:sz w:val="24"/>
          <w:szCs w:val="28"/>
        </w:rPr>
        <w:t>（5）生产废水循环水池1个，容积为200m</w:t>
      </w:r>
      <w:r>
        <w:rPr>
          <w:rFonts w:hint="eastAsia" w:ascii="Times New Roman" w:hAnsi="Times New Roman" w:eastAsia="宋体" w:cs="Times New Roman"/>
          <w:color w:val="FF0000"/>
          <w:sz w:val="24"/>
          <w:szCs w:val="28"/>
          <w:vertAlign w:val="superscript"/>
        </w:rPr>
        <w:t>3</w:t>
      </w:r>
      <w:r>
        <w:rPr>
          <w:rFonts w:hint="eastAsia" w:ascii="Times New Roman" w:hAnsi="Times New Roman" w:eastAsia="宋体" w:cs="Times New Roman"/>
          <w:color w:val="FF0000"/>
          <w:sz w:val="24"/>
          <w:szCs w:val="28"/>
        </w:rPr>
        <w:t>；</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（6）1个</w:t>
      </w:r>
      <w:r>
        <w:rPr>
          <w:rFonts w:ascii="Times New Roman" w:hAnsi="Times New Roman" w:eastAsia="宋体" w:cs="Times New Roman"/>
          <w:sz w:val="24"/>
          <w:szCs w:val="28"/>
        </w:rPr>
        <w:t>90</w:t>
      </w:r>
      <w:r>
        <w:rPr>
          <w:rFonts w:hint="eastAsia" w:ascii="Times New Roman" w:hAnsi="Times New Roman" w:eastAsia="宋体" w:cs="Times New Roman"/>
          <w:sz w:val="24"/>
          <w:szCs w:val="28"/>
        </w:rPr>
        <w:t>0m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应急事故池，用于暂存非正常排放的生活废水和消防废水；</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3、水污染处理设施可行性</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项目区建设一个处理规模为6m</w:t>
      </w:r>
      <w:r>
        <w:rPr>
          <w:rFonts w:hint="eastAsia" w:ascii="Times New Roman" w:hAnsi="Times New Roman" w:eastAsia="宋体" w:cs="Times New Roman"/>
          <w:sz w:val="24"/>
          <w:szCs w:val="28"/>
          <w:vertAlign w:val="superscript"/>
        </w:rPr>
        <w:t>3</w:t>
      </w:r>
      <w:r>
        <w:rPr>
          <w:rFonts w:hint="eastAsia" w:ascii="Times New Roman" w:hAnsi="Times New Roman" w:eastAsia="宋体" w:cs="Times New Roman"/>
          <w:sz w:val="24"/>
          <w:szCs w:val="28"/>
        </w:rPr>
        <w:t>/d的污水处理设施处理项目区产生的生活污水。</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项目建设污水处理设施是利用膜生物反应器进行污水处理及回用的一体化设备，其</w:t>
      </w:r>
      <w:r>
        <w:rPr>
          <w:rFonts w:hint="eastAsia" w:ascii="Times New Roman" w:hAnsi="Times New Roman" w:eastAsia="宋体" w:cs="Times New Roman"/>
          <w:sz w:val="24"/>
          <w:szCs w:val="28"/>
          <w:lang w:eastAsia="zh-CN"/>
        </w:rPr>
        <w:t>属于</w:t>
      </w:r>
      <w:r>
        <w:rPr>
          <w:rFonts w:hint="eastAsia" w:ascii="Times New Roman" w:hAnsi="Times New Roman" w:eastAsia="宋体" w:cs="Times New Roman"/>
          <w:sz w:val="24"/>
          <w:szCs w:val="28"/>
        </w:rPr>
        <w:t>膜生物反应器的所有优点：出水水质好，运行成本低、系统抗冲击性强、污泥量少，自动化程度高，占地面积小等优点。适宜住宅小区，办公楼、商场、宾馆、饭店、机关、学校、部队、工厂等生活污水和与之类似的工业有机废水，如纺织、啤酒、造纸、制革、食品、化工等行业的有机污水处理。</w:t>
      </w:r>
    </w:p>
    <w:p>
      <w:pPr>
        <w:spacing w:line="360" w:lineRule="auto"/>
        <w:ind w:firstLine="482" w:firstLineChars="200"/>
        <w:jc w:val="center"/>
        <w:rPr>
          <w:rFonts w:ascii="Times New Roman" w:hAnsi="Times New Roman" w:eastAsia="宋体" w:cs="Times New Roman"/>
          <w:b/>
          <w:sz w:val="24"/>
          <w:szCs w:val="28"/>
        </w:rPr>
      </w:pPr>
      <w:r>
        <w:rPr>
          <w:rFonts w:hint="eastAsia" w:ascii="Times New Roman" w:hAnsi="Times New Roman" w:eastAsia="宋体" w:cs="Times New Roman"/>
          <w:b/>
          <w:sz w:val="24"/>
          <w:szCs w:val="28"/>
        </w:rPr>
        <w:t>表</w:t>
      </w:r>
      <w:r>
        <w:rPr>
          <w:rFonts w:ascii="Times New Roman" w:hAnsi="Times New Roman" w:eastAsia="宋体" w:cs="Times New Roman"/>
          <w:b/>
          <w:sz w:val="24"/>
          <w:szCs w:val="28"/>
        </w:rPr>
        <w:t>7</w:t>
      </w:r>
      <w:r>
        <w:rPr>
          <w:rFonts w:hint="eastAsia" w:ascii="Times New Roman" w:hAnsi="Times New Roman" w:eastAsia="宋体" w:cs="Times New Roman"/>
          <w:b/>
          <w:sz w:val="24"/>
          <w:szCs w:val="28"/>
        </w:rPr>
        <w:t>.2-1   污水处理设施进出水水质  单位：mg/L</w:t>
      </w:r>
    </w:p>
    <w:tbl>
      <w:tblPr>
        <w:tblStyle w:val="20"/>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1276"/>
        <w:gridCol w:w="1276"/>
        <w:gridCol w:w="1134"/>
        <w:gridCol w:w="1134"/>
        <w:gridCol w:w="964"/>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项目</w:t>
            </w:r>
          </w:p>
        </w:tc>
        <w:tc>
          <w:tcPr>
            <w:tcW w:w="127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SS</w:t>
            </w:r>
          </w:p>
        </w:tc>
        <w:tc>
          <w:tcPr>
            <w:tcW w:w="127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COD</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BOD</w:t>
            </w:r>
            <w:r>
              <w:rPr>
                <w:rFonts w:hint="eastAsia" w:ascii="Times New Roman" w:hAnsi="Times New Roman" w:eastAsia="宋体" w:cs="Times New Roman"/>
                <w:kern w:val="0"/>
                <w:szCs w:val="28"/>
                <w:vertAlign w:val="subscript"/>
              </w:rPr>
              <w:t>5</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氨氮</w:t>
            </w:r>
          </w:p>
        </w:tc>
        <w:tc>
          <w:tcPr>
            <w:tcW w:w="96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TP</w:t>
            </w:r>
          </w:p>
        </w:tc>
        <w:tc>
          <w:tcPr>
            <w:tcW w:w="121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动植物油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设计进水水质</w:t>
            </w:r>
          </w:p>
        </w:tc>
        <w:tc>
          <w:tcPr>
            <w:tcW w:w="127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150~350</w:t>
            </w:r>
          </w:p>
        </w:tc>
        <w:tc>
          <w:tcPr>
            <w:tcW w:w="127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200~450</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100~250</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10~75</w:t>
            </w:r>
          </w:p>
        </w:tc>
        <w:tc>
          <w:tcPr>
            <w:tcW w:w="96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4~8</w:t>
            </w:r>
          </w:p>
        </w:tc>
        <w:tc>
          <w:tcPr>
            <w:tcW w:w="121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100~250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设计出水水质</w:t>
            </w:r>
          </w:p>
        </w:tc>
        <w:tc>
          <w:tcPr>
            <w:tcW w:w="1276" w:type="dxa"/>
            <w:vAlign w:val="center"/>
          </w:tcPr>
          <w:p>
            <w:pPr>
              <w:spacing w:line="240" w:lineRule="atLeast"/>
              <w:jc w:val="center"/>
              <w:rPr>
                <w:rFonts w:ascii="Times New Roman" w:hAnsi="Times New Roman" w:eastAsia="宋体" w:cs="Times New Roman"/>
                <w:kern w:val="0"/>
                <w:szCs w:val="28"/>
              </w:rPr>
            </w:pPr>
            <w:r>
              <w:rPr>
                <w:rFonts w:ascii="Times New Roman" w:hAnsi="Times New Roman" w:eastAsia="宋体" w:cs="Times New Roman"/>
                <w:kern w:val="0"/>
                <w:szCs w:val="28"/>
              </w:rPr>
              <w:t>＜</w:t>
            </w:r>
            <w:r>
              <w:rPr>
                <w:rFonts w:hint="eastAsia" w:ascii="Times New Roman" w:hAnsi="Times New Roman" w:eastAsia="宋体" w:cs="Times New Roman"/>
                <w:kern w:val="0"/>
                <w:szCs w:val="28"/>
              </w:rPr>
              <w:t>10</w:t>
            </w:r>
          </w:p>
        </w:tc>
        <w:tc>
          <w:tcPr>
            <w:tcW w:w="127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＜50</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w:t>
            </w:r>
          </w:p>
        </w:tc>
        <w:tc>
          <w:tcPr>
            <w:tcW w:w="96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w:t>
            </w:r>
          </w:p>
        </w:tc>
        <w:tc>
          <w:tcPr>
            <w:tcW w:w="121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＜8</w:t>
            </w:r>
          </w:p>
        </w:tc>
      </w:tr>
    </w:tbl>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综上所述，本项目各特征污染物指标进水浓度在设备允许进水浓度范围内，生活污水经污水处理设施处理后，</w:t>
      </w:r>
      <w:r>
        <w:rPr>
          <w:rFonts w:ascii="Times New Roman" w:hAnsi="Times New Roman"/>
          <w:color w:val="000000"/>
          <w:sz w:val="24"/>
          <w:szCs w:val="24"/>
        </w:rPr>
        <w:t>达到《</w:t>
      </w:r>
      <w:r>
        <w:rPr>
          <w:rFonts w:hint="eastAsia" w:ascii="Times New Roman" w:hAnsi="Times New Roman"/>
          <w:color w:val="000000"/>
          <w:sz w:val="24"/>
          <w:szCs w:val="24"/>
        </w:rPr>
        <w:t>城市</w:t>
      </w:r>
      <w:r>
        <w:rPr>
          <w:rFonts w:ascii="Times New Roman" w:hAnsi="Times New Roman"/>
          <w:color w:val="000000"/>
          <w:sz w:val="24"/>
          <w:szCs w:val="24"/>
        </w:rPr>
        <w:t>污水再生利用</w:t>
      </w:r>
      <w:r>
        <w:rPr>
          <w:rFonts w:hint="eastAsia" w:ascii="Times New Roman" w:hAnsi="Times New Roman"/>
          <w:color w:val="000000"/>
          <w:sz w:val="24"/>
          <w:szCs w:val="24"/>
        </w:rPr>
        <w:t xml:space="preserve"> </w:t>
      </w:r>
      <w:r>
        <w:rPr>
          <w:rFonts w:ascii="Times New Roman" w:hAnsi="Times New Roman"/>
          <w:color w:val="000000"/>
          <w:sz w:val="24"/>
          <w:szCs w:val="24"/>
        </w:rPr>
        <w:t>城市杂</w:t>
      </w:r>
      <w:r>
        <w:rPr>
          <w:rFonts w:hint="eastAsia" w:ascii="Times New Roman" w:hAnsi="Times New Roman"/>
          <w:color w:val="000000"/>
          <w:sz w:val="24"/>
          <w:szCs w:val="24"/>
        </w:rPr>
        <w:t>用</w:t>
      </w:r>
      <w:r>
        <w:rPr>
          <w:rFonts w:ascii="Times New Roman" w:hAnsi="Times New Roman"/>
          <w:color w:val="000000"/>
          <w:sz w:val="24"/>
          <w:szCs w:val="24"/>
        </w:rPr>
        <w:t>水水质》</w:t>
      </w:r>
      <w:r>
        <w:rPr>
          <w:rFonts w:hint="eastAsia" w:ascii="Times New Roman" w:hAnsi="Times New Roman"/>
          <w:color w:val="000000"/>
          <w:sz w:val="24"/>
          <w:szCs w:val="24"/>
        </w:rPr>
        <w:t>（GB/T18920-2002）中</w:t>
      </w:r>
      <w:r>
        <w:rPr>
          <w:rFonts w:ascii="Times New Roman" w:hAnsi="Times New Roman"/>
          <w:color w:val="000000"/>
          <w:sz w:val="24"/>
          <w:szCs w:val="24"/>
        </w:rPr>
        <w:t>绿化</w:t>
      </w:r>
      <w:r>
        <w:rPr>
          <w:rFonts w:hint="eastAsia" w:ascii="Times New Roman" w:hAnsi="Times New Roman"/>
          <w:color w:val="000000"/>
          <w:sz w:val="24"/>
          <w:szCs w:val="24"/>
        </w:rPr>
        <w:t>、</w:t>
      </w:r>
      <w:r>
        <w:rPr>
          <w:rFonts w:ascii="Times New Roman" w:hAnsi="Times New Roman"/>
          <w:color w:val="000000"/>
          <w:sz w:val="24"/>
          <w:szCs w:val="24"/>
        </w:rPr>
        <w:t>道路清扫</w:t>
      </w:r>
      <w:r>
        <w:rPr>
          <w:rFonts w:hint="eastAsia" w:ascii="Times New Roman" w:hAnsi="Times New Roman"/>
          <w:color w:val="000000"/>
          <w:sz w:val="24"/>
          <w:szCs w:val="24"/>
        </w:rPr>
        <w:t>和</w:t>
      </w:r>
      <w:r>
        <w:rPr>
          <w:rFonts w:ascii="Times New Roman" w:hAnsi="Times New Roman"/>
          <w:color w:val="000000"/>
          <w:sz w:val="24"/>
          <w:szCs w:val="24"/>
        </w:rPr>
        <w:t>《</w:t>
      </w:r>
      <w:r>
        <w:rPr>
          <w:rFonts w:hint="eastAsia" w:ascii="Times New Roman" w:hAnsi="Times New Roman"/>
          <w:color w:val="000000"/>
          <w:sz w:val="24"/>
          <w:szCs w:val="24"/>
        </w:rPr>
        <w:t>城市</w:t>
      </w:r>
      <w:r>
        <w:rPr>
          <w:rFonts w:ascii="Times New Roman" w:hAnsi="Times New Roman"/>
          <w:color w:val="000000"/>
          <w:sz w:val="24"/>
          <w:szCs w:val="24"/>
        </w:rPr>
        <w:t>污水再生利用</w:t>
      </w:r>
      <w:r>
        <w:rPr>
          <w:rFonts w:hint="eastAsia" w:ascii="Times New Roman" w:hAnsi="Times New Roman"/>
          <w:color w:val="000000"/>
          <w:sz w:val="24"/>
          <w:szCs w:val="24"/>
        </w:rPr>
        <w:t xml:space="preserve"> 工业用</w:t>
      </w:r>
      <w:r>
        <w:rPr>
          <w:rFonts w:ascii="Times New Roman" w:hAnsi="Times New Roman"/>
          <w:color w:val="000000"/>
          <w:sz w:val="24"/>
          <w:szCs w:val="24"/>
        </w:rPr>
        <w:t>水水质》</w:t>
      </w:r>
      <w:r>
        <w:rPr>
          <w:rFonts w:hint="eastAsia" w:ascii="Times New Roman" w:hAnsi="Times New Roman"/>
          <w:color w:val="000000"/>
          <w:sz w:val="24"/>
          <w:szCs w:val="24"/>
        </w:rPr>
        <w:t>（GB/T19923-2005）中工艺与产品用水</w:t>
      </w:r>
      <w:r>
        <w:rPr>
          <w:rFonts w:hint="eastAsia" w:ascii="Times New Roman" w:hAnsi="Times New Roman"/>
          <w:color w:val="000000"/>
          <w:sz w:val="24"/>
          <w:szCs w:val="24"/>
          <w:lang w:eastAsia="zh-CN"/>
        </w:rPr>
        <w:t>中最高标准后晴天回用于绿化，雨天回用于生产</w:t>
      </w:r>
      <w:r>
        <w:rPr>
          <w:rFonts w:hint="eastAsia" w:ascii="Times New Roman" w:hAnsi="Times New Roman" w:eastAsia="宋体" w:cs="Times New Roman"/>
          <w:sz w:val="24"/>
          <w:szCs w:val="28"/>
        </w:rPr>
        <w:t>。</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经估算，项目污水处理设施建设投资为2</w:t>
      </w:r>
      <w:bookmarkStart w:id="611" w:name="_GoBack"/>
      <w:bookmarkEnd w:id="611"/>
      <w:r>
        <w:rPr>
          <w:rFonts w:hint="eastAsia" w:ascii="Times New Roman" w:hAnsi="Times New Roman" w:eastAsia="宋体" w:cs="Times New Roman"/>
          <w:sz w:val="24"/>
          <w:szCs w:val="28"/>
        </w:rPr>
        <w:t>4万元。投资适中，每吨水处理费用较低，在经济方面是可行的。能为建设方所接受。</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371" w:name="_Toc5991"/>
      <w:bookmarkStart w:id="372" w:name="_Toc23843390"/>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.2.3运气噪声治理措施</w:t>
      </w:r>
      <w:bookmarkEnd w:id="371"/>
      <w:bookmarkEnd w:id="372"/>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本项目噪声主要为运输车辆噪声、生产设备及环保设备产生的噪声。为了减少项目运营期噪声对周围环境的影响，环评提出以下措施：</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（1）运输汽车噪声噪声源强较小，通过减少鸣笛的方式可以减少噪声的影响；</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（3）选用低噪声设备，对厂房门窗、墙体采取有效的隔声及吸声措施；</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（4）设备室内安装使用；</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（5）设备进行基础减震；</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（6）在厂界和厂区空旷地加强绿化，降低噪声对周围的影响；</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（7）加强对项目区的设备进行检修。</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373" w:name="_Toc11048"/>
      <w:bookmarkStart w:id="374" w:name="_Toc23843391"/>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.2.4运营期固体废物处置措施及其可行性分析</w:t>
      </w:r>
      <w:bookmarkEnd w:id="373"/>
      <w:bookmarkEnd w:id="374"/>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1、运营期固体废物处置措施</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（1）项目生产过程中，边角废料经收集后返回到破碎工序；</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（2）项目燃生物质锅炉运行产生锅炉炉渣经收集暂存至</w:t>
      </w:r>
      <w:r>
        <w:rPr>
          <w:rFonts w:hint="eastAsia" w:ascii="Times New Roman" w:hAnsi="Times New Roman" w:eastAsia="宋体" w:cs="Times New Roman"/>
          <w:sz w:val="24"/>
          <w:szCs w:val="28"/>
          <w:lang w:eastAsia="zh-CN"/>
        </w:rPr>
        <w:t>炉渣暂存间</w:t>
      </w:r>
      <w:r>
        <w:rPr>
          <w:rFonts w:hint="eastAsia" w:ascii="Times New Roman" w:hAnsi="Times New Roman" w:eastAsia="宋体" w:cs="Times New Roman"/>
          <w:sz w:val="24"/>
          <w:szCs w:val="28"/>
        </w:rPr>
        <w:t>（50m</w:t>
      </w:r>
      <w:r>
        <w:rPr>
          <w:rFonts w:hint="eastAsia" w:ascii="Times New Roman" w:hAnsi="Times New Roman" w:eastAsia="宋体" w:cs="Times New Roman"/>
          <w:sz w:val="24"/>
          <w:szCs w:val="28"/>
          <w:vertAlign w:val="superscript"/>
        </w:rPr>
        <w:t>2</w:t>
      </w:r>
      <w:r>
        <w:rPr>
          <w:rFonts w:hint="eastAsia" w:ascii="Times New Roman" w:hAnsi="Times New Roman" w:eastAsia="宋体" w:cs="Times New Roman"/>
          <w:sz w:val="24"/>
          <w:szCs w:val="28"/>
        </w:rPr>
        <w:t>），达到一定</w:t>
      </w:r>
      <w:r>
        <w:rPr>
          <w:rFonts w:ascii="Times New Roman" w:hAnsi="Times New Roman" w:eastAsia="宋体" w:cs="Times New Roman"/>
          <w:sz w:val="24"/>
          <w:szCs w:val="28"/>
        </w:rPr>
        <w:t>量时用于周边农田还田</w:t>
      </w:r>
      <w:r>
        <w:rPr>
          <w:rFonts w:hint="eastAsia" w:ascii="Times New Roman" w:hAnsi="Times New Roman" w:eastAsia="宋体" w:cs="Times New Roman"/>
          <w:sz w:val="24"/>
          <w:szCs w:val="28"/>
        </w:rPr>
        <w:t>处置；</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（3）</w:t>
      </w:r>
      <w:r>
        <w:rPr>
          <w:rFonts w:hint="eastAsia" w:ascii="Times New Roman" w:hAnsi="Times New Roman" w:eastAsia="宋体" w:cs="Times New Roman"/>
          <w:color w:val="FF0000"/>
          <w:sz w:val="24"/>
          <w:szCs w:val="28"/>
        </w:rPr>
        <w:t>经水膜除尘</w:t>
      </w:r>
      <w:r>
        <w:rPr>
          <w:rFonts w:hint="eastAsia" w:ascii="Times New Roman" w:hAnsi="Times New Roman" w:eastAsia="宋体" w:cs="Times New Roman"/>
          <w:sz w:val="24"/>
          <w:szCs w:val="28"/>
        </w:rPr>
        <w:t>处理产生的除尘废水循环沉淀池污泥定期清理，经收集后暂存于灰尘暂存处（50m</w:t>
      </w:r>
      <w:r>
        <w:rPr>
          <w:rFonts w:hint="eastAsia" w:ascii="Times New Roman" w:hAnsi="Times New Roman" w:eastAsia="宋体" w:cs="Times New Roman"/>
          <w:sz w:val="24"/>
          <w:szCs w:val="28"/>
          <w:vertAlign w:val="superscript"/>
        </w:rPr>
        <w:t>2</w:t>
      </w:r>
      <w:r>
        <w:rPr>
          <w:rFonts w:hint="eastAsia" w:ascii="Times New Roman" w:hAnsi="Times New Roman" w:eastAsia="宋体" w:cs="Times New Roman"/>
          <w:sz w:val="24"/>
          <w:szCs w:val="28"/>
        </w:rPr>
        <w:t>），达到一定量时用于周边</w:t>
      </w:r>
      <w:r>
        <w:rPr>
          <w:rFonts w:ascii="Times New Roman" w:hAnsi="Times New Roman" w:eastAsia="宋体" w:cs="Times New Roman"/>
          <w:sz w:val="24"/>
          <w:szCs w:val="28"/>
        </w:rPr>
        <w:t>农田还田</w:t>
      </w:r>
      <w:r>
        <w:rPr>
          <w:rFonts w:hint="eastAsia" w:ascii="Times New Roman" w:hAnsi="Times New Roman" w:eastAsia="宋体" w:cs="Times New Roman"/>
          <w:sz w:val="24"/>
          <w:szCs w:val="28"/>
        </w:rPr>
        <w:t>处置；</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（4）生活垃圾经垃圾收集桶收集后，清运至环卫部门指定地点，由环卫部门统一清运处置；</w:t>
      </w:r>
    </w:p>
    <w:p>
      <w:pPr>
        <w:spacing w:line="360" w:lineRule="auto"/>
        <w:ind w:firstLine="480" w:firstLineChars="200"/>
        <w:rPr>
          <w:rFonts w:hint="eastAsia" w:ascii="Times New Roman" w:hAnsi="Times New Roman" w:eastAsia="宋体" w:cs="Times New Roman"/>
          <w:sz w:val="24"/>
          <w:szCs w:val="28"/>
        </w:rPr>
      </w:pPr>
      <w:r>
        <w:rPr>
          <w:rFonts w:hint="eastAsia" w:ascii="Times New Roman" w:hAnsi="Times New Roman" w:eastAsia="宋体" w:cs="Times New Roman"/>
          <w:sz w:val="24"/>
          <w:szCs w:val="28"/>
        </w:rPr>
        <w:t>（5）项目化粪池、污水处理站污泥委托环卫部门定期清掏处置；</w:t>
      </w:r>
    </w:p>
    <w:p>
      <w:pPr>
        <w:spacing w:line="360" w:lineRule="auto"/>
        <w:ind w:firstLine="480" w:firstLineChars="200"/>
      </w:pPr>
      <w:r>
        <w:rPr>
          <w:rFonts w:hint="eastAsia" w:ascii="Times New Roman" w:hAnsi="Times New Roman" w:cs="Times New Roman"/>
          <w:sz w:val="24"/>
          <w:szCs w:val="28"/>
          <w:lang w:eastAsia="zh-CN"/>
        </w:rPr>
        <w:t>（</w:t>
      </w:r>
      <w:r>
        <w:rPr>
          <w:rFonts w:hint="eastAsia" w:ascii="Times New Roman" w:hAnsi="Times New Roman" w:cs="Times New Roman"/>
          <w:sz w:val="24"/>
          <w:szCs w:val="28"/>
          <w:lang w:val="en-US" w:eastAsia="zh-CN"/>
        </w:rPr>
        <w:t>6</w:t>
      </w:r>
      <w:r>
        <w:rPr>
          <w:rFonts w:hint="eastAsia" w:ascii="Times New Roman" w:hAnsi="Times New Roman" w:cs="Times New Roman"/>
          <w:sz w:val="24"/>
          <w:szCs w:val="28"/>
          <w:lang w:eastAsia="zh-CN"/>
        </w:rPr>
        <w:t>）</w:t>
      </w:r>
      <w:r>
        <w:rPr>
          <w:rFonts w:hint="eastAsia" w:ascii="Times New Roman" w:hAnsi="Times New Roman" w:eastAsia="宋体" w:cs="Times New Roman"/>
          <w:sz w:val="24"/>
          <w:szCs w:val="28"/>
        </w:rPr>
        <w:t>项目</w:t>
      </w:r>
      <w:r>
        <w:rPr>
          <w:rFonts w:hint="eastAsia" w:ascii="Times New Roman" w:hAnsi="Times New Roman" w:cs="Times New Roman"/>
          <w:sz w:val="24"/>
          <w:szCs w:val="28"/>
          <w:lang w:eastAsia="zh-CN"/>
        </w:rPr>
        <w:t>软水制备系统产生废树脂</w:t>
      </w:r>
      <w:r>
        <w:rPr>
          <w:rFonts w:hint="eastAsia" w:ascii="Times New Roman" w:hAnsi="Times New Roman"/>
          <w:color w:val="000000"/>
          <w:sz w:val="24"/>
          <w:szCs w:val="24"/>
        </w:rPr>
        <w:t>由更换单位处理，不在项目区收集储存。</w:t>
      </w:r>
    </w:p>
    <w:p>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2、运营期固体废物处置可行性分析</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通过采取上述措施后，可确保该项目固体废物处置率达到100%；建设单位应及时清运堆放于厂区的固体废物，尽量减少在厂区的堆放量，并加强对厂区内暂存处的管理，做好地面硬化工作。对固体废物处置实行专人管理，固体废物在产生和处置过程中应进行登记，按《一般工业固体废物贮存、处置场污染控制标准》（GB18599-2001及2013年36号公告要求）进行安全处置。固体废物转运过程中应采用篷布封盖运输，运输途中不得散落。职工生活垃圾集中收集至厂区内的垃圾收集设施内，统一交给环卫部门清运处置。</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由以上分析可见，项目产生的固体废物均得到综合处置，项目固体废物对环境的影响不大。 从经济、技术角度分析，处置措施可行、投资相对较小，在业主可接受范围内。</w:t>
      </w:r>
    </w:p>
    <w:p>
      <w:pPr>
        <w:keepNext/>
        <w:keepLines/>
        <w:spacing w:before="260" w:after="260" w:line="360" w:lineRule="auto"/>
        <w:outlineLvl w:val="2"/>
        <w:rPr>
          <w:b/>
          <w:color w:val="000000"/>
          <w:sz w:val="24"/>
        </w:rPr>
      </w:pPr>
      <w:bookmarkStart w:id="375" w:name="_Toc17704184"/>
      <w:bookmarkStart w:id="376" w:name="_Toc9947"/>
      <w:bookmarkStart w:id="377" w:name="_Toc23843392"/>
      <w:r>
        <w:rPr>
          <w:b/>
          <w:color w:val="000000"/>
          <w:sz w:val="24"/>
        </w:rPr>
        <w:t>7</w:t>
      </w:r>
      <w:r>
        <w:rPr>
          <w:rFonts w:hint="eastAsia"/>
          <w:b/>
          <w:color w:val="000000"/>
          <w:sz w:val="24"/>
        </w:rPr>
        <w:t>.2.5</w:t>
      </w:r>
      <w:r>
        <w:rPr>
          <w:b/>
          <w:color w:val="000000"/>
          <w:sz w:val="24"/>
        </w:rPr>
        <w:t>土壤治理措施可行性分析</w:t>
      </w:r>
      <w:bookmarkEnd w:id="375"/>
      <w:bookmarkEnd w:id="376"/>
    </w:p>
    <w:p>
      <w:pPr>
        <w:spacing w:line="360" w:lineRule="auto"/>
        <w:ind w:firstLine="480" w:firstLineChars="200"/>
        <w:rPr>
          <w:color w:val="000000"/>
          <w:kern w:val="1"/>
          <w:sz w:val="24"/>
          <w:szCs w:val="24"/>
        </w:rPr>
      </w:pPr>
      <w:r>
        <w:rPr>
          <w:color w:val="000000"/>
          <w:kern w:val="1"/>
          <w:sz w:val="24"/>
          <w:szCs w:val="24"/>
        </w:rPr>
        <w:t>1）从源头上的废气防治措施可行性分析</w:t>
      </w:r>
    </w:p>
    <w:p>
      <w:pPr>
        <w:spacing w:line="360" w:lineRule="auto"/>
        <w:ind w:firstLine="480" w:firstLineChars="200"/>
        <w:rPr>
          <w:color w:val="000000"/>
          <w:kern w:val="1"/>
          <w:sz w:val="24"/>
          <w:szCs w:val="24"/>
        </w:rPr>
      </w:pPr>
      <w:r>
        <w:rPr>
          <w:color w:val="000000"/>
          <w:kern w:val="1"/>
          <w:sz w:val="24"/>
          <w:szCs w:val="24"/>
        </w:rPr>
        <w:t>在7.</w:t>
      </w:r>
      <w:r>
        <w:rPr>
          <w:rFonts w:hint="eastAsia"/>
          <w:color w:val="000000"/>
          <w:kern w:val="1"/>
          <w:sz w:val="24"/>
          <w:szCs w:val="24"/>
        </w:rPr>
        <w:t>2.1</w:t>
      </w:r>
      <w:r>
        <w:rPr>
          <w:color w:val="000000"/>
          <w:kern w:val="1"/>
          <w:sz w:val="24"/>
          <w:szCs w:val="24"/>
        </w:rPr>
        <w:t>章节中已经对</w:t>
      </w:r>
      <w:r>
        <w:rPr>
          <w:rFonts w:hint="eastAsia"/>
          <w:color w:val="000000"/>
          <w:kern w:val="1"/>
          <w:sz w:val="24"/>
          <w:szCs w:val="24"/>
        </w:rPr>
        <w:t>锅炉</w:t>
      </w:r>
      <w:r>
        <w:rPr>
          <w:color w:val="000000"/>
          <w:kern w:val="1"/>
          <w:sz w:val="24"/>
          <w:szCs w:val="24"/>
        </w:rPr>
        <w:t>废气治理措施进行经济和技术可行性分析：项目产生的</w:t>
      </w:r>
      <w:r>
        <w:rPr>
          <w:rFonts w:hint="eastAsia"/>
          <w:color w:val="000000"/>
          <w:kern w:val="1"/>
          <w:sz w:val="24"/>
          <w:szCs w:val="24"/>
        </w:rPr>
        <w:t>锅炉</w:t>
      </w:r>
      <w:r>
        <w:rPr>
          <w:color w:val="000000"/>
          <w:kern w:val="1"/>
          <w:sz w:val="24"/>
          <w:szCs w:val="24"/>
        </w:rPr>
        <w:t>废气可做到达标排放，治理费用企业可以承担，从技术、经济角度论证，拟采用的废气处理措施可行。</w:t>
      </w:r>
    </w:p>
    <w:p>
      <w:pPr>
        <w:spacing w:line="360" w:lineRule="auto"/>
        <w:ind w:firstLine="480" w:firstLineChars="200"/>
        <w:rPr>
          <w:color w:val="000000"/>
          <w:kern w:val="1"/>
          <w:sz w:val="24"/>
          <w:szCs w:val="24"/>
        </w:rPr>
      </w:pPr>
      <w:r>
        <w:rPr>
          <w:color w:val="000000"/>
          <w:kern w:val="1"/>
          <w:sz w:val="24"/>
          <w:szCs w:val="24"/>
        </w:rPr>
        <w:t>2）从影响过程防控措施可行性分析</w:t>
      </w:r>
    </w:p>
    <w:p>
      <w:pPr>
        <w:spacing w:line="360" w:lineRule="auto"/>
        <w:ind w:firstLine="480" w:firstLineChars="200"/>
        <w:rPr>
          <w:color w:val="000000"/>
          <w:kern w:val="1"/>
          <w:sz w:val="24"/>
          <w:szCs w:val="24"/>
        </w:rPr>
      </w:pPr>
      <w:r>
        <w:rPr>
          <w:color w:val="000000"/>
          <w:kern w:val="1"/>
          <w:sz w:val="24"/>
          <w:szCs w:val="24"/>
        </w:rPr>
        <w:t>（1）对拟建场地范围采取硬化和绿化措施，从技术是减少废气中污染因子降落直接进入土壤；绿化在一定程度上可以吸附部分污染物，同时可以美化环境；从经济上来说，项目拟建场地已经进行硬化和绿化，在</w:t>
      </w:r>
      <w:r>
        <w:rPr>
          <w:rFonts w:hint="eastAsia"/>
          <w:color w:val="000000"/>
          <w:kern w:val="1"/>
          <w:sz w:val="24"/>
          <w:szCs w:val="24"/>
        </w:rPr>
        <w:t>拟建</w:t>
      </w:r>
      <w:r>
        <w:rPr>
          <w:color w:val="000000"/>
          <w:kern w:val="1"/>
          <w:sz w:val="24"/>
          <w:szCs w:val="24"/>
        </w:rPr>
        <w:t>项目的硬化和绿化投资相对较小。从技术和经济上是可行的。</w:t>
      </w:r>
    </w:p>
    <w:p>
      <w:pPr>
        <w:spacing w:line="360" w:lineRule="auto"/>
        <w:ind w:firstLine="480" w:firstLineChars="200"/>
        <w:rPr>
          <w:color w:val="000000"/>
          <w:kern w:val="1"/>
          <w:sz w:val="24"/>
          <w:szCs w:val="24"/>
        </w:rPr>
      </w:pPr>
      <w:r>
        <w:rPr>
          <w:color w:val="000000"/>
          <w:kern w:val="1"/>
          <w:sz w:val="24"/>
          <w:szCs w:val="24"/>
        </w:rPr>
        <w:t>（2）对</w:t>
      </w:r>
      <w:r>
        <w:rPr>
          <w:rFonts w:hint="eastAsia"/>
          <w:color w:val="000000"/>
          <w:kern w:val="1"/>
          <w:sz w:val="24"/>
          <w:szCs w:val="24"/>
        </w:rPr>
        <w:t>污水处理设施的各个池子已经</w:t>
      </w:r>
      <w:r>
        <w:rPr>
          <w:color w:val="000000"/>
          <w:kern w:val="1"/>
          <w:sz w:val="24"/>
          <w:szCs w:val="24"/>
        </w:rPr>
        <w:t>采取重点防渗、设置</w:t>
      </w:r>
      <w:r>
        <w:rPr>
          <w:rFonts w:hint="eastAsia"/>
          <w:color w:val="000000"/>
          <w:kern w:val="1"/>
          <w:sz w:val="24"/>
          <w:szCs w:val="24"/>
        </w:rPr>
        <w:t>事故池和中水收集池</w:t>
      </w:r>
      <w:r>
        <w:rPr>
          <w:color w:val="000000"/>
          <w:kern w:val="1"/>
          <w:sz w:val="24"/>
          <w:szCs w:val="24"/>
        </w:rPr>
        <w:t>，从技术是能够减少</w:t>
      </w:r>
      <w:r>
        <w:rPr>
          <w:rFonts w:hint="eastAsia"/>
          <w:color w:val="000000"/>
          <w:kern w:val="1"/>
          <w:sz w:val="24"/>
          <w:szCs w:val="24"/>
        </w:rPr>
        <w:t>废水</w:t>
      </w:r>
      <w:r>
        <w:rPr>
          <w:color w:val="000000"/>
          <w:kern w:val="1"/>
          <w:sz w:val="24"/>
          <w:szCs w:val="24"/>
        </w:rPr>
        <w:t>中污染物下渗进入土壤污染土壤的；从经济上来说，</w:t>
      </w:r>
      <w:r>
        <w:rPr>
          <w:rFonts w:hint="eastAsia"/>
          <w:color w:val="000000"/>
          <w:kern w:val="1"/>
          <w:sz w:val="24"/>
          <w:szCs w:val="24"/>
        </w:rPr>
        <w:t>污水处理站的各个池子</w:t>
      </w:r>
      <w:r>
        <w:rPr>
          <w:color w:val="000000"/>
          <w:kern w:val="1"/>
          <w:sz w:val="24"/>
          <w:szCs w:val="24"/>
        </w:rPr>
        <w:t>重点防渗采用防渗材料是比较便捷的，同时</w:t>
      </w:r>
      <w:r>
        <w:rPr>
          <w:rFonts w:hint="eastAsia"/>
          <w:color w:val="000000"/>
          <w:kern w:val="1"/>
          <w:sz w:val="24"/>
          <w:szCs w:val="24"/>
        </w:rPr>
        <w:t>事故池</w:t>
      </w:r>
      <w:r>
        <w:rPr>
          <w:color w:val="000000"/>
          <w:kern w:val="1"/>
          <w:sz w:val="24"/>
          <w:szCs w:val="24"/>
        </w:rPr>
        <w:t>有利于</w:t>
      </w:r>
      <w:r>
        <w:rPr>
          <w:rFonts w:hint="eastAsia"/>
          <w:color w:val="000000"/>
          <w:kern w:val="1"/>
          <w:sz w:val="24"/>
          <w:szCs w:val="24"/>
        </w:rPr>
        <w:t>污水处理站故障和检修的废水</w:t>
      </w:r>
      <w:r>
        <w:rPr>
          <w:color w:val="000000"/>
          <w:kern w:val="1"/>
          <w:sz w:val="24"/>
          <w:szCs w:val="24"/>
        </w:rPr>
        <w:t>收集。所以从技术和经济上在</w:t>
      </w:r>
      <w:r>
        <w:rPr>
          <w:rFonts w:hint="eastAsia"/>
          <w:color w:val="000000"/>
          <w:kern w:val="1"/>
          <w:sz w:val="24"/>
          <w:szCs w:val="24"/>
        </w:rPr>
        <w:t>污水处理站各个池子</w:t>
      </w:r>
      <w:r>
        <w:rPr>
          <w:color w:val="000000"/>
          <w:kern w:val="1"/>
          <w:sz w:val="24"/>
          <w:szCs w:val="24"/>
        </w:rPr>
        <w:t>采取重点防渗、设置</w:t>
      </w:r>
      <w:r>
        <w:rPr>
          <w:rFonts w:hint="eastAsia"/>
          <w:color w:val="000000"/>
          <w:kern w:val="1"/>
          <w:sz w:val="24"/>
          <w:szCs w:val="24"/>
        </w:rPr>
        <w:t>事故池和中水收集池</w:t>
      </w:r>
      <w:r>
        <w:rPr>
          <w:color w:val="000000"/>
          <w:kern w:val="1"/>
          <w:sz w:val="24"/>
          <w:szCs w:val="24"/>
        </w:rPr>
        <w:t>是可行的。</w:t>
      </w:r>
    </w:p>
    <w:p>
      <w:pPr>
        <w:spacing w:line="360" w:lineRule="auto"/>
        <w:ind w:firstLine="480"/>
        <w:rPr>
          <w:color w:val="000000"/>
          <w:kern w:val="1"/>
          <w:sz w:val="24"/>
          <w:szCs w:val="24"/>
        </w:rPr>
      </w:pPr>
      <w:r>
        <w:rPr>
          <w:color w:val="000000"/>
          <w:kern w:val="1"/>
          <w:sz w:val="24"/>
          <w:szCs w:val="24"/>
        </w:rPr>
        <w:t>（3）对</w:t>
      </w:r>
      <w:r>
        <w:rPr>
          <w:rFonts w:hint="eastAsia"/>
          <w:color w:val="000000"/>
          <w:kern w:val="1"/>
          <w:sz w:val="24"/>
          <w:szCs w:val="24"/>
        </w:rPr>
        <w:t>原料堆场</w:t>
      </w:r>
      <w:r>
        <w:rPr>
          <w:color w:val="000000"/>
          <w:kern w:val="1"/>
          <w:sz w:val="24"/>
          <w:szCs w:val="24"/>
        </w:rPr>
        <w:t>进行</w:t>
      </w:r>
      <w:r>
        <w:rPr>
          <w:rFonts w:hint="eastAsia"/>
          <w:color w:val="000000"/>
          <w:kern w:val="1"/>
          <w:sz w:val="24"/>
          <w:szCs w:val="24"/>
        </w:rPr>
        <w:t>防雨、地面</w:t>
      </w:r>
      <w:r>
        <w:rPr>
          <w:color w:val="000000"/>
          <w:kern w:val="1"/>
          <w:sz w:val="24"/>
          <w:szCs w:val="24"/>
        </w:rPr>
        <w:t>重点防渗</w:t>
      </w:r>
    </w:p>
    <w:p>
      <w:pPr>
        <w:spacing w:line="360" w:lineRule="auto"/>
        <w:ind w:firstLine="480"/>
        <w:rPr>
          <w:color w:val="000000"/>
          <w:kern w:val="1"/>
          <w:sz w:val="24"/>
          <w:szCs w:val="24"/>
        </w:rPr>
      </w:pPr>
      <w:r>
        <w:rPr>
          <w:color w:val="000000"/>
          <w:kern w:val="1"/>
          <w:sz w:val="24"/>
          <w:szCs w:val="24"/>
        </w:rPr>
        <w:t>对</w:t>
      </w:r>
      <w:r>
        <w:rPr>
          <w:rFonts w:hint="eastAsia"/>
          <w:color w:val="000000"/>
          <w:kern w:val="1"/>
          <w:sz w:val="24"/>
          <w:szCs w:val="24"/>
        </w:rPr>
        <w:t>原料堆场</w:t>
      </w:r>
      <w:r>
        <w:rPr>
          <w:color w:val="000000"/>
          <w:kern w:val="1"/>
          <w:sz w:val="24"/>
          <w:szCs w:val="24"/>
        </w:rPr>
        <w:t>采取</w:t>
      </w:r>
      <w:r>
        <w:rPr>
          <w:rFonts w:hint="eastAsia"/>
          <w:color w:val="000000"/>
          <w:kern w:val="1"/>
          <w:sz w:val="24"/>
          <w:szCs w:val="24"/>
        </w:rPr>
        <w:t>上设顶棚、南面设进出口、其他设2m高围墙，地面已经采用重点</w:t>
      </w:r>
      <w:r>
        <w:rPr>
          <w:color w:val="000000"/>
          <w:kern w:val="1"/>
          <w:sz w:val="24"/>
          <w:szCs w:val="24"/>
        </w:rPr>
        <w:t>防渗措施</w:t>
      </w:r>
      <w:r>
        <w:rPr>
          <w:rFonts w:hint="eastAsia"/>
          <w:color w:val="000000"/>
          <w:kern w:val="1"/>
          <w:sz w:val="24"/>
          <w:szCs w:val="24"/>
        </w:rPr>
        <w:t>。</w:t>
      </w:r>
    </w:p>
    <w:p>
      <w:pPr>
        <w:spacing w:line="360" w:lineRule="auto"/>
        <w:ind w:firstLine="480"/>
        <w:rPr>
          <w:color w:val="000000"/>
          <w:kern w:val="1"/>
          <w:sz w:val="24"/>
          <w:szCs w:val="24"/>
        </w:rPr>
      </w:pPr>
      <w:r>
        <w:rPr>
          <w:color w:val="000000"/>
          <w:kern w:val="1"/>
          <w:sz w:val="24"/>
          <w:szCs w:val="24"/>
        </w:rPr>
        <w:t>从技术上可以采用采用混凝土浇筑后，在底部采用防渗材料进行防渗；从经济上来说，</w:t>
      </w:r>
      <w:r>
        <w:rPr>
          <w:rFonts w:hint="eastAsia"/>
          <w:color w:val="000000"/>
          <w:kern w:val="1"/>
          <w:sz w:val="24"/>
          <w:szCs w:val="24"/>
        </w:rPr>
        <w:t>设置防雨棚、围墙</w:t>
      </w:r>
      <w:r>
        <w:rPr>
          <w:color w:val="000000"/>
          <w:kern w:val="1"/>
          <w:sz w:val="24"/>
          <w:szCs w:val="24"/>
        </w:rPr>
        <w:t>费用为</w:t>
      </w:r>
      <w:r>
        <w:rPr>
          <w:rFonts w:hint="eastAsia"/>
          <w:color w:val="000000"/>
          <w:kern w:val="1"/>
          <w:sz w:val="24"/>
          <w:szCs w:val="24"/>
        </w:rPr>
        <w:t>2000</w:t>
      </w:r>
      <w:r>
        <w:rPr>
          <w:color w:val="000000"/>
          <w:kern w:val="1"/>
          <w:sz w:val="24"/>
          <w:szCs w:val="24"/>
        </w:rPr>
        <w:t>00元，相对项目整个环保投资</w:t>
      </w:r>
      <w:r>
        <w:rPr>
          <w:rFonts w:hint="eastAsia"/>
          <w:color w:val="000000"/>
          <w:kern w:val="1"/>
          <w:sz w:val="24"/>
          <w:szCs w:val="24"/>
        </w:rPr>
        <w:t>，</w:t>
      </w:r>
      <w:r>
        <w:rPr>
          <w:color w:val="000000"/>
          <w:kern w:val="1"/>
          <w:sz w:val="24"/>
          <w:szCs w:val="24"/>
        </w:rPr>
        <w:t>此项费用是可以接受的。所以从技术和经济上</w:t>
      </w:r>
      <w:r>
        <w:rPr>
          <w:rFonts w:hint="eastAsia"/>
          <w:color w:val="000000"/>
          <w:kern w:val="1"/>
          <w:sz w:val="24"/>
          <w:szCs w:val="24"/>
        </w:rPr>
        <w:t>提取渣暂存场防渗、防雨</w:t>
      </w:r>
      <w:r>
        <w:rPr>
          <w:color w:val="000000"/>
          <w:kern w:val="1"/>
          <w:sz w:val="24"/>
          <w:szCs w:val="24"/>
        </w:rPr>
        <w:t>是可行性的。</w:t>
      </w:r>
    </w:p>
    <w:p>
      <w:pPr>
        <w:keepNext/>
        <w:keepLines/>
        <w:spacing w:before="260" w:after="260" w:line="360" w:lineRule="auto"/>
        <w:ind w:firstLine="482" w:firstLineChars="200"/>
        <w:outlineLvl w:val="2"/>
        <w:rPr>
          <w:rFonts w:ascii="Times New Roman" w:hAnsi="Times New Roman" w:eastAsia="宋体" w:cs="Times New Roman"/>
          <w:b/>
          <w:bCs/>
          <w:sz w:val="24"/>
          <w:szCs w:val="32"/>
        </w:rPr>
      </w:pPr>
      <w:bookmarkStart w:id="378" w:name="_Toc912"/>
      <w:r>
        <w:rPr>
          <w:rFonts w:ascii="Times New Roman" w:hAnsi="Times New Roman" w:eastAsia="宋体" w:cs="Times New Roman"/>
          <w:b/>
          <w:bCs/>
          <w:sz w:val="24"/>
          <w:szCs w:val="32"/>
        </w:rPr>
        <w:t>7</w:t>
      </w:r>
      <w:r>
        <w:rPr>
          <w:rFonts w:hint="eastAsia" w:ascii="Times New Roman" w:hAnsi="Times New Roman" w:eastAsia="宋体" w:cs="Times New Roman"/>
          <w:b/>
          <w:bCs/>
          <w:sz w:val="24"/>
          <w:szCs w:val="32"/>
        </w:rPr>
        <w:t>.2.6建议</w:t>
      </w:r>
      <w:bookmarkEnd w:id="377"/>
      <w:bookmarkEnd w:id="378"/>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（1）保证各项治理设施正常运行环保，定期检查和维修环保治理设施，及时发现问题及时解决，使事故发生率降至最低；</w:t>
      </w:r>
    </w:p>
    <w:p>
      <w:pPr>
        <w:spacing w:line="360" w:lineRule="auto"/>
        <w:ind w:firstLine="480" w:firstLineChars="200"/>
        <w:rPr>
          <w:rFonts w:ascii="Times New Roman" w:hAnsi="Times New Roman" w:eastAsia="宋体" w:cs="Times New Roman"/>
          <w:sz w:val="24"/>
          <w:szCs w:val="28"/>
        </w:rPr>
      </w:pPr>
      <w:r>
        <w:rPr>
          <w:rFonts w:hint="eastAsia" w:ascii="Times New Roman" w:hAnsi="Times New Roman" w:eastAsia="宋体" w:cs="Times New Roman"/>
          <w:sz w:val="24"/>
          <w:szCs w:val="28"/>
        </w:rPr>
        <w:t>（2）尽可能多的吸收厂区周围农民为本项目工作人员，并对其进行技术培训，对项目施工人员、管理人员和职工进行必要的环保知识培训，增强环保意识。</w:t>
      </w:r>
    </w:p>
    <w:p>
      <w:pPr>
        <w:widowControl/>
        <w:jc w:val="left"/>
        <w:rPr>
          <w:rFonts w:ascii="Times New Roman" w:hAnsi="Times New Roman" w:eastAsia="宋体" w:cs="Times New Roman"/>
          <w:sz w:val="24"/>
          <w:szCs w:val="28"/>
        </w:rPr>
      </w:pPr>
      <w:r>
        <w:rPr>
          <w:rFonts w:ascii="Times New Roman" w:hAnsi="Times New Roman" w:eastAsia="宋体" w:cs="Times New Roman"/>
          <w:sz w:val="24"/>
          <w:szCs w:val="28"/>
        </w:rPr>
        <w:br w:type="page"/>
      </w:r>
    </w:p>
    <w:p>
      <w:pPr>
        <w:pStyle w:val="4"/>
        <w:ind w:firstLine="602"/>
      </w:pPr>
      <w:bookmarkStart w:id="379" w:name="_Toc416699796"/>
      <w:bookmarkStart w:id="380" w:name="_Toc421541590"/>
      <w:bookmarkStart w:id="381" w:name="_Toc529463345"/>
      <w:bookmarkStart w:id="382" w:name="_Toc485220989"/>
      <w:bookmarkStart w:id="383" w:name="_Toc5137"/>
      <w:bookmarkStart w:id="384" w:name="_Toc24564"/>
      <w:r>
        <w:t>8环境经济损益分析</w:t>
      </w:r>
      <w:bookmarkEnd w:id="379"/>
      <w:bookmarkEnd w:id="380"/>
      <w:bookmarkEnd w:id="381"/>
      <w:bookmarkEnd w:id="382"/>
      <w:bookmarkEnd w:id="383"/>
      <w:bookmarkEnd w:id="384"/>
    </w:p>
    <w:p>
      <w:pPr>
        <w:pStyle w:val="5"/>
        <w:ind w:firstLine="562"/>
        <w:rPr>
          <w:rFonts w:hAnsi="Times New Roman"/>
        </w:rPr>
      </w:pPr>
      <w:bookmarkStart w:id="385" w:name="_Toc477525469"/>
      <w:bookmarkStart w:id="386" w:name="_Toc481509609"/>
      <w:bookmarkStart w:id="387" w:name="_Toc485220990"/>
      <w:bookmarkStart w:id="388" w:name="_Toc529463346"/>
      <w:bookmarkStart w:id="389" w:name="_Toc25851"/>
      <w:bookmarkStart w:id="390" w:name="_Toc3445"/>
      <w:r>
        <w:rPr>
          <w:rFonts w:hAnsi="Times New Roman"/>
        </w:rPr>
        <w:t>8.1</w:t>
      </w:r>
      <w:bookmarkStart w:id="391" w:name="_Toc239060862"/>
      <w:bookmarkStart w:id="392" w:name="_Toc238739073"/>
      <w:bookmarkStart w:id="393" w:name="_Toc280300698"/>
      <w:bookmarkStart w:id="394" w:name="_Toc352094702"/>
      <w:bookmarkStart w:id="395" w:name="_Toc30928"/>
      <w:r>
        <w:rPr>
          <w:rFonts w:hAnsi="Times New Roman"/>
        </w:rPr>
        <w:t xml:space="preserve"> 分析的内容和方法</w:t>
      </w:r>
      <w:bookmarkEnd w:id="385"/>
      <w:bookmarkEnd w:id="386"/>
      <w:bookmarkEnd w:id="387"/>
      <w:bookmarkEnd w:id="388"/>
      <w:bookmarkEnd w:id="389"/>
      <w:bookmarkEnd w:id="390"/>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396" w:name="_Toc477525470"/>
      <w:bookmarkStart w:id="397" w:name="_Toc485220991"/>
      <w:bookmarkStart w:id="398" w:name="_Toc529463347"/>
      <w:bookmarkStart w:id="399" w:name="_Toc16808"/>
      <w:bookmarkStart w:id="400" w:name="_Toc15143"/>
      <w:r>
        <w:rPr>
          <w:rFonts w:ascii="Times New Roman" w:hAnsi="Times New Roman" w:eastAsia="宋体" w:cs="Times New Roman"/>
          <w:b/>
          <w:bCs/>
          <w:sz w:val="24"/>
          <w:szCs w:val="32"/>
        </w:rPr>
        <w:t>8.</w:t>
      </w:r>
      <w:bookmarkEnd w:id="391"/>
      <w:bookmarkEnd w:id="392"/>
      <w:bookmarkEnd w:id="393"/>
      <w:bookmarkEnd w:id="394"/>
      <w:bookmarkEnd w:id="395"/>
      <w:r>
        <w:rPr>
          <w:rFonts w:ascii="Times New Roman" w:hAnsi="Times New Roman" w:eastAsia="宋体" w:cs="Times New Roman"/>
          <w:b/>
          <w:bCs/>
          <w:sz w:val="24"/>
          <w:szCs w:val="32"/>
        </w:rPr>
        <w:t>1</w:t>
      </w:r>
      <w:bookmarkStart w:id="401" w:name="_Toc280300699"/>
      <w:bookmarkStart w:id="402" w:name="_Toc12612"/>
      <w:bookmarkStart w:id="403" w:name="_Toc352094703"/>
      <w:r>
        <w:rPr>
          <w:rFonts w:ascii="Times New Roman" w:hAnsi="Times New Roman" w:eastAsia="宋体" w:cs="Times New Roman"/>
          <w:b/>
          <w:bCs/>
          <w:sz w:val="24"/>
          <w:szCs w:val="32"/>
        </w:rPr>
        <w:t>.1 分析内容</w:t>
      </w:r>
      <w:bookmarkEnd w:id="396"/>
      <w:bookmarkEnd w:id="397"/>
      <w:bookmarkEnd w:id="398"/>
      <w:bookmarkEnd w:id="399"/>
      <w:bookmarkEnd w:id="400"/>
    </w:p>
    <w:bookmarkEnd w:id="401"/>
    <w:bookmarkEnd w:id="402"/>
    <w:bookmarkEnd w:id="403"/>
    <w:p>
      <w:p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环境经济损益分析主要是衡量项目的环保投资所能收到的环境效益，项目环</w:t>
      </w:r>
    </w:p>
    <w:p>
      <w:pPr>
        <w:keepNext/>
        <w:keepLines/>
        <w:spacing w:before="260" w:after="260" w:line="360" w:lineRule="auto"/>
        <w:ind w:firstLine="482" w:firstLineChars="200"/>
        <w:outlineLvl w:val="1"/>
        <w:rPr>
          <w:rFonts w:ascii="Times New Roman" w:hAnsi="Times New Roman" w:eastAsia="宋体" w:cs="Times New Roman"/>
          <w:b/>
          <w:bCs/>
          <w:sz w:val="24"/>
          <w:szCs w:val="32"/>
        </w:rPr>
      </w:pPr>
      <w:bookmarkStart w:id="404" w:name="_Toc485220992"/>
      <w:bookmarkStart w:id="405" w:name="_Toc477525471"/>
      <w:bookmarkStart w:id="406" w:name="_Toc529463348"/>
      <w:bookmarkStart w:id="407" w:name="_Toc21268"/>
      <w:bookmarkStart w:id="408" w:name="_Toc17214"/>
      <w:r>
        <w:rPr>
          <w:rFonts w:ascii="Times New Roman" w:hAnsi="Times New Roman" w:eastAsia="宋体" w:cs="Times New Roman"/>
          <w:b/>
          <w:bCs/>
          <w:sz w:val="24"/>
          <w:szCs w:val="32"/>
        </w:rPr>
        <w:t>8.1.2 分析方法</w:t>
      </w:r>
      <w:bookmarkEnd w:id="404"/>
      <w:bookmarkEnd w:id="405"/>
      <w:bookmarkEnd w:id="406"/>
      <w:bookmarkEnd w:id="407"/>
      <w:bookmarkEnd w:id="408"/>
    </w:p>
    <w:p>
      <w:pPr>
        <w:spacing w:line="360" w:lineRule="auto"/>
        <w:ind w:firstLine="480"/>
        <w:rPr>
          <w:rFonts w:ascii="Times New Roman" w:hAnsi="Times New Roman" w:eastAsia="宋体" w:cs="Times New Roman"/>
          <w:b/>
          <w:bCs/>
          <w:color w:val="000000"/>
          <w:sz w:val="24"/>
          <w:szCs w:val="32"/>
        </w:rPr>
      </w:pPr>
      <w:r>
        <w:rPr>
          <w:rFonts w:ascii="Times New Roman" w:hAnsi="Times New Roman" w:eastAsia="宋体" w:cs="Times New Roman"/>
          <w:color w:val="000000"/>
          <w:sz w:val="24"/>
          <w:szCs w:val="24"/>
        </w:rPr>
        <w:t>环境经济损益分析采用—效益分析法对该项目环保设施投资效益进行分析。</w:t>
      </w:r>
      <w:bookmarkStart w:id="409" w:name="_Toc352094704"/>
      <w:bookmarkStart w:id="410" w:name="_Toc2669"/>
      <w:bookmarkStart w:id="411" w:name="_Toc280300700"/>
    </w:p>
    <w:bookmarkEnd w:id="409"/>
    <w:bookmarkEnd w:id="410"/>
    <w:bookmarkEnd w:id="411"/>
    <w:p>
      <w:p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施工期及建成投入使用后，将产生的大气污染物、水污染物、噪声和固体废物等环境影响因素，将给项目拟建厂址所在区域的环境质量带来一定的影响。采用《中华人民共和国环境保护税法》中相应的计算方法，计算项目采取相应的环保措施能够节省的税费，从而直观的得到项目环境保护措施的经济效益。</w:t>
      </w:r>
    </w:p>
    <w:p>
      <w:pPr>
        <w:pStyle w:val="5"/>
        <w:ind w:firstLine="562"/>
        <w:rPr>
          <w:rFonts w:hAnsi="Times New Roman"/>
        </w:rPr>
      </w:pPr>
      <w:bookmarkStart w:id="412" w:name="_Toc481509610"/>
      <w:bookmarkStart w:id="413" w:name="_Toc485220993"/>
      <w:bookmarkStart w:id="414" w:name="_Toc529463349"/>
      <w:bookmarkStart w:id="415" w:name="_Toc10086"/>
      <w:bookmarkStart w:id="416" w:name="_Toc26790"/>
      <w:r>
        <w:rPr>
          <w:rFonts w:hAnsi="Times New Roman"/>
        </w:rPr>
        <w:t>8.2 环保投资估算</w:t>
      </w:r>
      <w:bookmarkEnd w:id="412"/>
      <w:bookmarkEnd w:id="413"/>
      <w:bookmarkEnd w:id="414"/>
      <w:bookmarkEnd w:id="415"/>
      <w:bookmarkEnd w:id="416"/>
      <w:r>
        <w:rPr>
          <w:rFonts w:hAnsi="Times New Roman"/>
        </w:rPr>
        <w:t xml:space="preserve"> </w:t>
      </w:r>
    </w:p>
    <w:p>
      <w:pPr>
        <w:spacing w:line="360" w:lineRule="auto"/>
        <w:ind w:firstLine="480" w:firstLineChars="200"/>
        <w:rPr>
          <w:rFonts w:ascii="Times New Roman" w:hAnsi="Times New Roman" w:eastAsia="宋体" w:cs="Times New Roman"/>
          <w:color w:val="000000"/>
          <w:sz w:val="30"/>
          <w:szCs w:val="30"/>
        </w:rPr>
      </w:pPr>
      <w:r>
        <w:rPr>
          <w:rFonts w:ascii="Times New Roman" w:hAnsi="Times New Roman" w:eastAsia="宋体" w:cs="Times New Roman"/>
          <w:color w:val="000000"/>
          <w:sz w:val="24"/>
          <w:szCs w:val="24"/>
        </w:rPr>
        <w:t>项目环保投资估算见表 8.2-1所示。</w:t>
      </w:r>
    </w:p>
    <w:p>
      <w:pPr>
        <w:spacing w:line="360" w:lineRule="auto"/>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 8.2-1  环保投资估算一览表 （单位：万元）</w:t>
      </w:r>
    </w:p>
    <w:tbl>
      <w:tblPr>
        <w:tblStyle w:val="20"/>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675"/>
        <w:gridCol w:w="1417"/>
        <w:gridCol w:w="3686"/>
        <w:gridCol w:w="1134"/>
        <w:gridCol w:w="11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时段</w:t>
            </w:r>
          </w:p>
        </w:tc>
        <w:tc>
          <w:tcPr>
            <w:tcW w:w="67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类别</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环保措施</w:t>
            </w:r>
          </w:p>
        </w:tc>
        <w:tc>
          <w:tcPr>
            <w:tcW w:w="368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具体内容</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投资金额（万元）</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施工期</w:t>
            </w:r>
          </w:p>
        </w:tc>
        <w:tc>
          <w:tcPr>
            <w:tcW w:w="67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废气</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扬尘防治</w:t>
            </w:r>
          </w:p>
        </w:tc>
        <w:tc>
          <w:tcPr>
            <w:tcW w:w="368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定期清扫、洒水降尘</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2.5</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环评提出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废水</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施工期临时沉淀池</w:t>
            </w:r>
          </w:p>
        </w:tc>
        <w:tc>
          <w:tcPr>
            <w:tcW w:w="368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1个，容积为250m</w:t>
            </w:r>
            <w:r>
              <w:rPr>
                <w:rFonts w:hint="eastAsia" w:ascii="Times New Roman" w:hAnsi="Times New Roman" w:eastAsia="宋体" w:cs="Times New Roman"/>
                <w:kern w:val="0"/>
                <w:szCs w:val="28"/>
                <w:vertAlign w:val="superscript"/>
              </w:rPr>
              <w:t>3</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3.4</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固废</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建筑垃圾处置</w:t>
            </w:r>
          </w:p>
        </w:tc>
        <w:tc>
          <w:tcPr>
            <w:tcW w:w="368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清运处理及管理</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4</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生活垃圾收集桶</w:t>
            </w:r>
          </w:p>
        </w:tc>
        <w:tc>
          <w:tcPr>
            <w:tcW w:w="368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生活垃圾收集桶4个</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0.05</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旱厕</w:t>
            </w:r>
          </w:p>
        </w:tc>
        <w:tc>
          <w:tcPr>
            <w:tcW w:w="368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1个，10m</w:t>
            </w:r>
            <w:r>
              <w:rPr>
                <w:rFonts w:hint="eastAsia" w:ascii="Times New Roman" w:hAnsi="Times New Roman" w:eastAsia="宋体" w:cs="Times New Roman"/>
                <w:kern w:val="0"/>
                <w:szCs w:val="28"/>
                <w:vertAlign w:val="superscript"/>
              </w:rPr>
              <w:t>2</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水土保持</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水土保持</w:t>
            </w:r>
          </w:p>
        </w:tc>
        <w:tc>
          <w:tcPr>
            <w:tcW w:w="368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临时截排水沟、土方遮盖</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运营期</w:t>
            </w:r>
          </w:p>
        </w:tc>
        <w:tc>
          <w:tcPr>
            <w:tcW w:w="675"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废气</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水膜除尘</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项目锅炉设置水膜除尘设施（除尘率87%）</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lang w:val="en-US" w:eastAsia="zh-CN"/>
              </w:rPr>
              <w:t>1</w:t>
            </w:r>
            <w:r>
              <w:rPr>
                <w:rFonts w:hint="eastAsia" w:ascii="Times New Roman" w:hAnsi="Times New Roman" w:eastAsia="宋体" w:cs="Times New Roman"/>
                <w:kern w:val="0"/>
                <w:szCs w:val="28"/>
              </w:rPr>
              <w:t>0</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排气筒</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项目锅炉设置高4</w:t>
            </w:r>
            <w:r>
              <w:rPr>
                <w:rFonts w:ascii="Times New Roman" w:hAnsi="Times New Roman" w:eastAsia="宋体" w:cs="Times New Roman"/>
                <w:color w:val="FF0000"/>
                <w:kern w:val="0"/>
                <w:szCs w:val="28"/>
              </w:rPr>
              <w:t>0</w:t>
            </w:r>
            <w:r>
              <w:rPr>
                <w:rFonts w:hint="eastAsia" w:ascii="Times New Roman" w:hAnsi="Times New Roman" w:eastAsia="宋体" w:cs="Times New Roman"/>
                <w:color w:val="FF0000"/>
                <w:kern w:val="0"/>
                <w:szCs w:val="28"/>
              </w:rPr>
              <w:t>m高烟囱</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油烟</w:t>
            </w:r>
            <w:r>
              <w:rPr>
                <w:rFonts w:ascii="Times New Roman" w:hAnsi="Times New Roman" w:eastAsia="宋体" w:cs="Times New Roman"/>
                <w:kern w:val="0"/>
                <w:szCs w:val="28"/>
              </w:rPr>
              <w:t>净化器</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净化率</w:t>
            </w:r>
            <w:r>
              <w:rPr>
                <w:rFonts w:ascii="Times New Roman" w:hAnsi="Times New Roman" w:eastAsia="宋体" w:cs="Times New Roman"/>
                <w:color w:val="FF0000"/>
                <w:kern w:val="0"/>
                <w:szCs w:val="28"/>
              </w:rPr>
              <w:t>为</w:t>
            </w:r>
            <w:r>
              <w:rPr>
                <w:rFonts w:hint="eastAsia" w:ascii="Times New Roman" w:hAnsi="Times New Roman" w:eastAsia="宋体" w:cs="Times New Roman"/>
                <w:color w:val="FF0000"/>
                <w:kern w:val="0"/>
                <w:szCs w:val="28"/>
              </w:rPr>
              <w:t>90</w:t>
            </w:r>
            <w:r>
              <w:rPr>
                <w:rFonts w:ascii="Times New Roman" w:hAnsi="Times New Roman" w:eastAsia="宋体" w:cs="Times New Roman"/>
                <w:color w:val="FF0000"/>
                <w:kern w:val="0"/>
                <w:szCs w:val="28"/>
              </w:rPr>
              <w:t>%</w:t>
            </w:r>
            <w:r>
              <w:rPr>
                <w:rFonts w:hint="eastAsia" w:ascii="Times New Roman" w:hAnsi="Times New Roman" w:eastAsia="宋体" w:cs="Times New Roman"/>
                <w:color w:val="FF0000"/>
                <w:kern w:val="0"/>
                <w:szCs w:val="28"/>
              </w:rPr>
              <w:t>用于</w:t>
            </w:r>
            <w:r>
              <w:rPr>
                <w:rFonts w:ascii="Times New Roman" w:hAnsi="Times New Roman" w:eastAsia="宋体" w:cs="Times New Roman"/>
                <w:color w:val="FF0000"/>
                <w:kern w:val="0"/>
                <w:szCs w:val="28"/>
              </w:rPr>
              <w:t>食堂油烟净化</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4</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w:t>
            </w:r>
            <w:r>
              <w:rPr>
                <w:rFonts w:ascii="Times New Roman" w:hAnsi="Times New Roman" w:eastAsia="宋体" w:cs="Times New Roman"/>
                <w:kern w:val="0"/>
                <w:szCs w:val="28"/>
              </w:rPr>
              <w:t>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废水</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循环水池</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项目造纸车间设置1个，容积为200m</w:t>
            </w:r>
            <w:r>
              <w:rPr>
                <w:rFonts w:hint="eastAsia" w:ascii="Times New Roman" w:hAnsi="Times New Roman" w:eastAsia="宋体" w:cs="Times New Roman"/>
                <w:color w:val="FF0000"/>
                <w:kern w:val="0"/>
                <w:szCs w:val="28"/>
                <w:vertAlign w:val="superscript"/>
              </w:rPr>
              <w:t>3</w:t>
            </w:r>
            <w:r>
              <w:rPr>
                <w:rFonts w:hint="eastAsia" w:ascii="Times New Roman" w:hAnsi="Times New Roman" w:eastAsia="宋体" w:cs="Times New Roman"/>
                <w:color w:val="FF0000"/>
                <w:kern w:val="0"/>
                <w:szCs w:val="28"/>
              </w:rPr>
              <w:t>，生产水循环，使用不外排</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10</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隔油池</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项目食堂设置1个，容积为2m</w:t>
            </w:r>
            <w:r>
              <w:rPr>
                <w:rFonts w:hint="eastAsia" w:ascii="Times New Roman" w:hAnsi="Times New Roman" w:eastAsia="宋体" w:cs="Times New Roman"/>
                <w:color w:val="FF0000"/>
                <w:kern w:val="0"/>
                <w:szCs w:val="28"/>
                <w:vertAlign w:val="superscript"/>
              </w:rPr>
              <w:t>3</w:t>
            </w:r>
            <w:r>
              <w:rPr>
                <w:rFonts w:hint="eastAsia" w:ascii="Times New Roman" w:hAnsi="Times New Roman" w:eastAsia="宋体" w:cs="Times New Roman"/>
                <w:color w:val="FF0000"/>
                <w:kern w:val="0"/>
                <w:szCs w:val="28"/>
              </w:rPr>
              <w:t>，用于处理食堂废水</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环评提出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化粪池</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项目卫生间北侧设置1个，容积为5m</w:t>
            </w:r>
            <w:r>
              <w:rPr>
                <w:rFonts w:hint="eastAsia" w:ascii="Times New Roman" w:hAnsi="Times New Roman" w:eastAsia="宋体" w:cs="Times New Roman"/>
                <w:color w:val="FF0000"/>
                <w:kern w:val="0"/>
                <w:szCs w:val="28"/>
                <w:vertAlign w:val="superscript"/>
              </w:rPr>
              <w:t>3</w:t>
            </w:r>
            <w:r>
              <w:rPr>
                <w:rFonts w:hint="eastAsia" w:ascii="Times New Roman" w:hAnsi="Times New Roman" w:eastAsia="宋体" w:cs="Times New Roman"/>
                <w:color w:val="FF0000"/>
                <w:kern w:val="0"/>
                <w:szCs w:val="28"/>
              </w:rPr>
              <w:t>，用于预处理生活污水</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4</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污水处理设施</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项目东北侧设置1套一体化污水处理设施（处理规模为6m</w:t>
            </w:r>
            <w:r>
              <w:rPr>
                <w:rFonts w:hint="eastAsia" w:ascii="Times New Roman" w:hAnsi="Times New Roman" w:eastAsia="宋体" w:cs="Times New Roman"/>
                <w:color w:val="FF0000"/>
                <w:kern w:val="0"/>
                <w:szCs w:val="28"/>
                <w:vertAlign w:val="superscript"/>
              </w:rPr>
              <w:t>3</w:t>
            </w:r>
            <w:r>
              <w:rPr>
                <w:rFonts w:hint="eastAsia" w:ascii="Times New Roman" w:hAnsi="Times New Roman" w:eastAsia="宋体" w:cs="Times New Roman"/>
                <w:color w:val="FF0000"/>
                <w:kern w:val="0"/>
                <w:szCs w:val="28"/>
              </w:rPr>
              <w:t>/d）</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lang w:val="en-US" w:eastAsia="zh-CN"/>
              </w:rPr>
              <w:t>1</w:t>
            </w:r>
            <w:r>
              <w:rPr>
                <w:rFonts w:hint="eastAsia" w:ascii="Times New Roman" w:hAnsi="Times New Roman" w:eastAsia="宋体" w:cs="Times New Roman"/>
                <w:kern w:val="0"/>
                <w:szCs w:val="28"/>
              </w:rPr>
              <w:t>0</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环评提出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 w:val="20"/>
                <w:szCs w:val="28"/>
              </w:rPr>
            </w:pPr>
          </w:p>
        </w:tc>
        <w:tc>
          <w:tcPr>
            <w:tcW w:w="675" w:type="dxa"/>
            <w:vMerge w:val="continue"/>
            <w:vAlign w:val="center"/>
          </w:tcPr>
          <w:p>
            <w:pPr>
              <w:spacing w:line="240" w:lineRule="atLeast"/>
              <w:jc w:val="center"/>
              <w:rPr>
                <w:rFonts w:ascii="Times New Roman" w:hAnsi="Times New Roman" w:eastAsia="宋体" w:cs="Times New Roman"/>
                <w:kern w:val="0"/>
                <w:sz w:val="20"/>
                <w:szCs w:val="28"/>
              </w:rPr>
            </w:pPr>
          </w:p>
        </w:tc>
        <w:tc>
          <w:tcPr>
            <w:tcW w:w="1417" w:type="dxa"/>
            <w:vAlign w:val="center"/>
          </w:tcPr>
          <w:p>
            <w:pPr>
              <w:spacing w:line="240" w:lineRule="atLeast"/>
              <w:jc w:val="center"/>
              <w:rPr>
                <w:rFonts w:ascii="Times New Roman" w:hAnsi="Times New Roman" w:eastAsia="宋体" w:cs="Times New Roman"/>
                <w:color w:val="FF0000"/>
                <w:kern w:val="0"/>
                <w:sz w:val="20"/>
                <w:szCs w:val="28"/>
              </w:rPr>
            </w:pPr>
            <w:r>
              <w:rPr>
                <w:rFonts w:hint="eastAsia" w:ascii="Times New Roman" w:hAnsi="Times New Roman" w:eastAsia="宋体" w:cs="Times New Roman"/>
                <w:color w:val="FF0000"/>
                <w:kern w:val="0"/>
                <w:sz w:val="20"/>
                <w:szCs w:val="28"/>
              </w:rPr>
              <w:t>除尘废水</w:t>
            </w:r>
            <w:r>
              <w:rPr>
                <w:rFonts w:hint="eastAsia" w:ascii="Times New Roman" w:hAnsi="Times New Roman" w:eastAsia="宋体" w:cs="Times New Roman"/>
                <w:kern w:val="0"/>
                <w:szCs w:val="28"/>
              </w:rPr>
              <w:t>循环水池</w:t>
            </w:r>
          </w:p>
        </w:tc>
        <w:tc>
          <w:tcPr>
            <w:tcW w:w="3686" w:type="dxa"/>
            <w:vAlign w:val="center"/>
          </w:tcPr>
          <w:p>
            <w:pPr>
              <w:spacing w:line="240" w:lineRule="atLeast"/>
              <w:jc w:val="center"/>
              <w:rPr>
                <w:rFonts w:ascii="Times New Roman" w:hAnsi="Times New Roman" w:eastAsia="宋体" w:cs="Times New Roman"/>
                <w:color w:val="FF0000"/>
                <w:kern w:val="0"/>
                <w:sz w:val="20"/>
                <w:szCs w:val="28"/>
              </w:rPr>
            </w:pPr>
            <w:r>
              <w:rPr>
                <w:rFonts w:hint="eastAsia" w:ascii="Times New Roman" w:hAnsi="Times New Roman" w:eastAsia="宋体" w:cs="Times New Roman"/>
                <w:color w:val="FF0000"/>
                <w:kern w:val="0"/>
                <w:sz w:val="20"/>
                <w:szCs w:val="28"/>
              </w:rPr>
              <w:t>项目锅炉房设置1个，容积为150m</w:t>
            </w:r>
            <w:r>
              <w:rPr>
                <w:rFonts w:hint="eastAsia" w:ascii="Times New Roman" w:hAnsi="Times New Roman" w:eastAsia="宋体" w:cs="Times New Roman"/>
                <w:color w:val="FF0000"/>
                <w:kern w:val="0"/>
                <w:sz w:val="20"/>
                <w:szCs w:val="28"/>
                <w:vertAlign w:val="superscript"/>
              </w:rPr>
              <w:t>3</w:t>
            </w:r>
            <w:r>
              <w:rPr>
                <w:rFonts w:hint="eastAsia" w:ascii="Times New Roman" w:hAnsi="Times New Roman" w:eastAsia="宋体" w:cs="Times New Roman"/>
                <w:color w:val="FF0000"/>
                <w:kern w:val="0"/>
                <w:sz w:val="20"/>
                <w:szCs w:val="28"/>
              </w:rPr>
              <w:t>，用于除尘废水循环使用</w:t>
            </w:r>
          </w:p>
        </w:tc>
        <w:tc>
          <w:tcPr>
            <w:tcW w:w="1134" w:type="dxa"/>
            <w:vAlign w:val="center"/>
          </w:tcPr>
          <w:p>
            <w:pPr>
              <w:spacing w:line="240" w:lineRule="atLeast"/>
              <w:jc w:val="center"/>
              <w:rPr>
                <w:rFonts w:ascii="Times New Roman" w:hAnsi="Times New Roman" w:eastAsia="宋体" w:cs="Times New Roman"/>
                <w:color w:val="FF0000"/>
                <w:kern w:val="0"/>
                <w:sz w:val="20"/>
                <w:szCs w:val="28"/>
              </w:rPr>
            </w:pPr>
            <w:r>
              <w:rPr>
                <w:rFonts w:hint="eastAsia" w:ascii="Times New Roman" w:hAnsi="Times New Roman" w:eastAsia="宋体" w:cs="Times New Roman"/>
                <w:color w:val="FF0000"/>
                <w:kern w:val="0"/>
                <w:sz w:val="20"/>
                <w:szCs w:val="28"/>
              </w:rPr>
              <w:t>6</w:t>
            </w:r>
          </w:p>
        </w:tc>
        <w:tc>
          <w:tcPr>
            <w:tcW w:w="1190" w:type="dxa"/>
            <w:vAlign w:val="center"/>
          </w:tcPr>
          <w:p>
            <w:pPr>
              <w:spacing w:line="240" w:lineRule="atLeast"/>
              <w:jc w:val="center"/>
              <w:rPr>
                <w:rFonts w:ascii="Times New Roman" w:hAnsi="Times New Roman" w:eastAsia="宋体" w:cs="Times New Roman"/>
                <w:color w:val="FF0000"/>
                <w:kern w:val="0"/>
                <w:sz w:val="20"/>
                <w:szCs w:val="28"/>
              </w:rPr>
            </w:pPr>
            <w:r>
              <w:rPr>
                <w:rFonts w:hint="eastAsia" w:ascii="Times New Roman" w:hAnsi="Times New Roman" w:eastAsia="宋体" w:cs="Times New Roman"/>
                <w:color w:val="FF0000"/>
                <w:kern w:val="0"/>
                <w:sz w:val="20"/>
                <w:szCs w:val="28"/>
              </w:rPr>
              <w:t>环评提出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事故应急池</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项目1个，规模为</w:t>
            </w:r>
            <w:r>
              <w:rPr>
                <w:rFonts w:ascii="Times New Roman" w:hAnsi="Times New Roman" w:eastAsia="宋体" w:cs="Times New Roman"/>
                <w:color w:val="FF0000"/>
                <w:kern w:val="0"/>
                <w:szCs w:val="28"/>
              </w:rPr>
              <w:t>900</w:t>
            </w:r>
            <w:r>
              <w:rPr>
                <w:rFonts w:hint="eastAsia" w:ascii="Times New Roman" w:hAnsi="Times New Roman" w:eastAsia="宋体" w:cs="Times New Roman"/>
                <w:color w:val="FF0000"/>
                <w:kern w:val="0"/>
                <w:szCs w:val="28"/>
              </w:rPr>
              <w:t>m</w:t>
            </w:r>
            <w:r>
              <w:rPr>
                <w:rFonts w:hint="eastAsia" w:ascii="Times New Roman" w:hAnsi="Times New Roman" w:eastAsia="宋体" w:cs="Times New Roman"/>
                <w:color w:val="FF0000"/>
                <w:kern w:val="0"/>
                <w:szCs w:val="28"/>
                <w:vertAlign w:val="superscript"/>
              </w:rPr>
              <w:t>3</w:t>
            </w:r>
            <w:r>
              <w:rPr>
                <w:rFonts w:hint="eastAsia" w:ascii="Times New Roman" w:hAnsi="Times New Roman" w:eastAsia="宋体" w:cs="Times New Roman"/>
                <w:color w:val="FF0000"/>
                <w:kern w:val="0"/>
                <w:szCs w:val="28"/>
              </w:rPr>
              <w:t>，用于暂存</w:t>
            </w:r>
            <w:r>
              <w:rPr>
                <w:rFonts w:hint="eastAsia" w:ascii="Times New Roman" w:hAnsi="Times New Roman" w:eastAsia="宋体" w:cs="Times New Roman"/>
                <w:color w:val="FF0000"/>
                <w:kern w:val="0"/>
                <w:szCs w:val="28"/>
                <w:lang w:eastAsia="zh-CN"/>
              </w:rPr>
              <w:t>非正常排放的废水</w:t>
            </w:r>
            <w:r>
              <w:rPr>
                <w:rFonts w:hint="eastAsia" w:ascii="Times New Roman" w:hAnsi="Times New Roman" w:eastAsia="宋体" w:cs="Times New Roman"/>
                <w:color w:val="FF0000"/>
                <w:kern w:val="0"/>
                <w:szCs w:val="28"/>
              </w:rPr>
              <w:t>和消防用水</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15</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环评提出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雨污分流管网</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项目实行雨污分流，排污管道建设防渗、防溢及防雨淋的“三防”措施，污水管道暗渠布设，雨水经管网进入西面的蜻蛉河</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lang w:val="en-US" w:eastAsia="zh-CN"/>
              </w:rPr>
              <w:t>3</w:t>
            </w:r>
            <w:r>
              <w:rPr>
                <w:rFonts w:hint="eastAsia" w:ascii="Times New Roman" w:hAnsi="Times New Roman" w:eastAsia="宋体" w:cs="Times New Roman"/>
                <w:kern w:val="0"/>
                <w:szCs w:val="28"/>
              </w:rPr>
              <w:t>8</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噪声</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噪声治理</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减震垫、隔声、设备定期维护等</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固废</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边角废料</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可移动垃圾桶2个</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0.2</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环评提出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生活垃圾</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可移动垃圾桶8个</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1.8</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环评提出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锅炉渣、除尘废水循环沉淀池污泥</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辅助用房内设50m</w:t>
            </w:r>
            <w:r>
              <w:rPr>
                <w:rFonts w:hint="eastAsia" w:ascii="Times New Roman" w:hAnsi="Times New Roman" w:eastAsia="宋体" w:cs="Times New Roman"/>
                <w:color w:val="FF0000"/>
                <w:kern w:val="0"/>
                <w:szCs w:val="28"/>
                <w:vertAlign w:val="superscript"/>
              </w:rPr>
              <w:t>2</w:t>
            </w:r>
            <w:r>
              <w:rPr>
                <w:rFonts w:hint="eastAsia" w:ascii="Times New Roman" w:hAnsi="Times New Roman" w:eastAsia="宋体" w:cs="Times New Roman"/>
                <w:color w:val="FF0000"/>
                <w:kern w:val="0"/>
                <w:szCs w:val="28"/>
              </w:rPr>
              <w:t>的</w:t>
            </w:r>
            <w:r>
              <w:rPr>
                <w:rFonts w:hint="eastAsia" w:ascii="Times New Roman" w:hAnsi="Times New Roman" w:eastAsia="宋体" w:cs="Times New Roman"/>
                <w:color w:val="FF0000"/>
                <w:kern w:val="0"/>
                <w:szCs w:val="28"/>
                <w:lang w:eastAsia="zh-CN"/>
              </w:rPr>
              <w:t>炉渣暂存间</w:t>
            </w:r>
            <w:r>
              <w:rPr>
                <w:rFonts w:hint="eastAsia" w:ascii="Times New Roman" w:hAnsi="Times New Roman" w:eastAsia="宋体" w:cs="Times New Roman"/>
                <w:color w:val="FF0000"/>
                <w:kern w:val="0"/>
                <w:szCs w:val="28"/>
              </w:rPr>
              <w:t>，</w:t>
            </w:r>
            <w:r>
              <w:rPr>
                <w:rFonts w:hint="eastAsia" w:ascii="Times New Roman" w:hAnsi="Times New Roman" w:eastAsia="宋体" w:cs="Times New Roman"/>
                <w:color w:val="FF0000"/>
                <w:kern w:val="0"/>
                <w:szCs w:val="28"/>
                <w:lang w:eastAsia="zh-CN"/>
              </w:rPr>
              <w:t>炉渣暂存间为</w:t>
            </w:r>
            <w:r>
              <w:rPr>
                <w:rFonts w:hint="eastAsia" w:ascii="Times New Roman" w:hAnsi="Times New Roman" w:eastAsia="宋体" w:cs="Times New Roman"/>
                <w:color w:val="FF0000"/>
                <w:kern w:val="0"/>
                <w:szCs w:val="28"/>
              </w:rPr>
              <w:t>仓库内独立</w:t>
            </w:r>
            <w:r>
              <w:rPr>
                <w:rFonts w:hint="eastAsia" w:ascii="Times New Roman" w:hAnsi="Times New Roman" w:eastAsia="宋体" w:cs="Times New Roman"/>
                <w:color w:val="FF0000"/>
                <w:kern w:val="0"/>
                <w:szCs w:val="28"/>
                <w:lang w:eastAsia="zh-CN"/>
              </w:rPr>
              <w:t>的</w:t>
            </w:r>
            <w:r>
              <w:rPr>
                <w:rFonts w:hint="eastAsia" w:ascii="Times New Roman" w:hAnsi="Times New Roman" w:eastAsia="宋体" w:cs="Times New Roman"/>
                <w:color w:val="FF0000"/>
                <w:kern w:val="0"/>
                <w:szCs w:val="28"/>
              </w:rPr>
              <w:t>封闭式</w:t>
            </w:r>
            <w:r>
              <w:rPr>
                <w:rFonts w:hint="eastAsia" w:ascii="Times New Roman" w:hAnsi="Times New Roman" w:eastAsia="宋体" w:cs="Times New Roman"/>
                <w:color w:val="FF0000"/>
                <w:kern w:val="0"/>
                <w:szCs w:val="28"/>
                <w:lang w:eastAsia="zh-CN"/>
              </w:rPr>
              <w:t>房间</w:t>
            </w:r>
          </w:p>
        </w:tc>
        <w:tc>
          <w:tcPr>
            <w:tcW w:w="1134" w:type="dxa"/>
            <w:vAlign w:val="center"/>
          </w:tcPr>
          <w:p>
            <w:pPr>
              <w:spacing w:line="240" w:lineRule="atLeast"/>
              <w:jc w:val="center"/>
              <w:rPr>
                <w:rFonts w:hint="eastAsia" w:ascii="Times New Roman" w:hAnsi="Times New Roman" w:eastAsia="宋体" w:cs="Times New Roman"/>
                <w:kern w:val="0"/>
                <w:szCs w:val="28"/>
                <w:lang w:eastAsia="zh-CN"/>
              </w:rPr>
            </w:pPr>
            <w:r>
              <w:rPr>
                <w:rFonts w:hint="eastAsia" w:ascii="Times New Roman" w:hAnsi="Times New Roman" w:eastAsia="宋体" w:cs="Times New Roman"/>
                <w:kern w:val="0"/>
                <w:szCs w:val="28"/>
                <w:lang w:val="en-US" w:eastAsia="zh-CN"/>
              </w:rPr>
              <w:t>4</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环评提出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Merge w:val="continue"/>
            <w:vAlign w:val="center"/>
          </w:tcPr>
          <w:p>
            <w:pPr>
              <w:spacing w:line="240" w:lineRule="atLeast"/>
              <w:jc w:val="center"/>
              <w:rPr>
                <w:rFonts w:ascii="Times New Roman" w:hAnsi="Times New Roman" w:eastAsia="宋体" w:cs="Times New Roman"/>
                <w:kern w:val="0"/>
                <w:szCs w:val="28"/>
              </w:rPr>
            </w:pP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化粪池、污水处理站污泥</w:t>
            </w:r>
          </w:p>
        </w:tc>
        <w:tc>
          <w:tcPr>
            <w:tcW w:w="3686"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委托环卫部门定期清掏处置</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2</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环评提出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675"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绿化</w:t>
            </w:r>
          </w:p>
        </w:tc>
        <w:tc>
          <w:tcPr>
            <w:tcW w:w="1417"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绿化</w:t>
            </w:r>
          </w:p>
        </w:tc>
        <w:tc>
          <w:tcPr>
            <w:tcW w:w="3686" w:type="dxa"/>
            <w:vAlign w:val="center"/>
          </w:tcPr>
          <w:p>
            <w:pPr>
              <w:spacing w:line="240" w:lineRule="atLeast"/>
              <w:jc w:val="center"/>
              <w:rPr>
                <w:rFonts w:ascii="Times New Roman" w:hAnsi="Times New Roman" w:eastAsia="宋体" w:cs="Times New Roman"/>
                <w:kern w:val="0"/>
                <w:szCs w:val="28"/>
              </w:rPr>
            </w:pPr>
            <w:r>
              <w:rPr>
                <w:rFonts w:ascii="Times New Roman" w:hAnsi="Times New Roman" w:eastAsia="宋体" w:cs="Times New Roman"/>
                <w:kern w:val="0"/>
                <w:szCs w:val="28"/>
              </w:rPr>
              <w:t>3559.07</w:t>
            </w:r>
            <w:r>
              <w:rPr>
                <w:rFonts w:hint="eastAsia" w:ascii="Times New Roman" w:hAnsi="Times New Roman" w:eastAsia="宋体" w:cs="Times New Roman"/>
                <w:kern w:val="0"/>
                <w:szCs w:val="28"/>
              </w:rPr>
              <w:t>m</w:t>
            </w:r>
            <w:r>
              <w:rPr>
                <w:rFonts w:hint="eastAsia" w:ascii="Times New Roman" w:hAnsi="Times New Roman" w:eastAsia="宋体" w:cs="Times New Roman"/>
                <w:kern w:val="0"/>
                <w:szCs w:val="28"/>
                <w:vertAlign w:val="superscript"/>
              </w:rPr>
              <w:t>2</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lang w:val="en-US" w:eastAsia="zh-CN"/>
              </w:rPr>
              <w:t>2</w:t>
            </w:r>
            <w:r>
              <w:rPr>
                <w:rFonts w:hint="eastAsia" w:ascii="Times New Roman" w:hAnsi="Times New Roman" w:eastAsia="宋体" w:cs="Times New Roman"/>
                <w:kern w:val="0"/>
                <w:szCs w:val="28"/>
              </w:rPr>
              <w:t>9.05</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pPr>
              <w:spacing w:line="240" w:lineRule="atLeast"/>
              <w:jc w:val="center"/>
              <w:rPr>
                <w:rFonts w:ascii="Times New Roman" w:hAnsi="Times New Roman" w:eastAsia="宋体" w:cs="Times New Roman"/>
                <w:kern w:val="0"/>
                <w:szCs w:val="28"/>
              </w:rPr>
            </w:pPr>
          </w:p>
        </w:tc>
        <w:tc>
          <w:tcPr>
            <w:tcW w:w="2092" w:type="dxa"/>
            <w:gridSpan w:val="2"/>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水土保持工程</w:t>
            </w:r>
          </w:p>
        </w:tc>
        <w:tc>
          <w:tcPr>
            <w:tcW w:w="3686"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道路、地面硬化及配套排水沟</w:t>
            </w:r>
          </w:p>
        </w:tc>
        <w:tc>
          <w:tcPr>
            <w:tcW w:w="1134"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40</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主体设计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04" w:type="dxa"/>
            <w:gridSpan w:val="4"/>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合计</w:t>
            </w:r>
          </w:p>
        </w:tc>
        <w:tc>
          <w:tcPr>
            <w:tcW w:w="1134" w:type="dxa"/>
            <w:vAlign w:val="center"/>
          </w:tcPr>
          <w:p>
            <w:pPr>
              <w:spacing w:line="240" w:lineRule="atLeast"/>
              <w:jc w:val="center"/>
              <w:rPr>
                <w:rFonts w:hint="default" w:ascii="Times New Roman" w:hAnsi="Times New Roman" w:eastAsia="宋体" w:cs="Times New Roman"/>
                <w:kern w:val="0"/>
                <w:szCs w:val="28"/>
                <w:lang w:val="en-US" w:eastAsia="zh-CN"/>
              </w:rPr>
            </w:pPr>
            <w:r>
              <w:rPr>
                <w:rFonts w:hint="eastAsia" w:ascii="Times New Roman" w:hAnsi="Times New Roman" w:eastAsia="宋体" w:cs="Times New Roman"/>
                <w:kern w:val="0"/>
                <w:szCs w:val="28"/>
                <w:lang w:val="en-US" w:eastAsia="zh-CN"/>
              </w:rPr>
              <w:t>220</w:t>
            </w:r>
          </w:p>
        </w:tc>
        <w:tc>
          <w:tcPr>
            <w:tcW w:w="1190"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w:t>
            </w:r>
          </w:p>
        </w:tc>
      </w:tr>
    </w:tbl>
    <w:p>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由</w:t>
      </w:r>
      <w:r>
        <w:rPr>
          <w:rFonts w:ascii="Times New Roman" w:hAnsi="Times New Roman" w:eastAsia="宋体" w:cs="Times New Roman"/>
          <w:color w:val="000000"/>
          <w:sz w:val="24"/>
          <w:szCs w:val="24"/>
        </w:rPr>
        <w:t>表</w:t>
      </w:r>
      <w:r>
        <w:rPr>
          <w:rFonts w:hint="eastAsia" w:ascii="Times New Roman" w:hAnsi="Times New Roman" w:eastAsia="宋体" w:cs="Times New Roman"/>
          <w:color w:val="000000"/>
          <w:sz w:val="24"/>
          <w:szCs w:val="24"/>
        </w:rPr>
        <w:t>8.2</w:t>
      </w:r>
      <w:r>
        <w:rPr>
          <w:rFonts w:ascii="Times New Roman" w:hAnsi="Times New Roman" w:eastAsia="宋体" w:cs="Times New Roman"/>
          <w:color w:val="000000"/>
          <w:sz w:val="24"/>
          <w:szCs w:val="24"/>
        </w:rPr>
        <w:t>-1</w:t>
      </w:r>
      <w:r>
        <w:rPr>
          <w:rFonts w:hint="eastAsia" w:ascii="Times New Roman" w:hAnsi="Times New Roman" w:eastAsia="宋体" w:cs="Times New Roman"/>
          <w:color w:val="000000"/>
          <w:sz w:val="24"/>
          <w:szCs w:val="24"/>
        </w:rPr>
        <w:t>可知</w:t>
      </w:r>
      <w:r>
        <w:rPr>
          <w:rFonts w:ascii="Times New Roman" w:hAnsi="Times New Roman" w:eastAsia="宋体" w:cs="Times New Roman"/>
          <w:color w:val="000000"/>
          <w:sz w:val="24"/>
          <w:szCs w:val="24"/>
        </w:rPr>
        <w:t>，建设项目环保投资为</w:t>
      </w:r>
      <w:r>
        <w:rPr>
          <w:rFonts w:hint="eastAsia" w:ascii="Times New Roman" w:hAnsi="Times New Roman" w:eastAsia="宋体" w:cs="Times New Roman"/>
          <w:color w:val="000000"/>
          <w:sz w:val="24"/>
          <w:szCs w:val="24"/>
        </w:rPr>
        <w:t>2</w:t>
      </w:r>
      <w:r>
        <w:rPr>
          <w:rFonts w:hint="eastAsia"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rPr>
        <w:t>万元</w:t>
      </w:r>
      <w:r>
        <w:rPr>
          <w:rFonts w:ascii="Times New Roman" w:hAnsi="Times New Roman" w:eastAsia="宋体" w:cs="Times New Roman"/>
          <w:color w:val="000000"/>
          <w:sz w:val="24"/>
          <w:szCs w:val="24"/>
        </w:rPr>
        <w:t>，占建设总投资</w:t>
      </w:r>
      <w:r>
        <w:rPr>
          <w:rFonts w:hint="eastAsia" w:ascii="Times New Roman" w:hAnsi="Times New Roman" w:eastAsia="宋体" w:cs="Times New Roman"/>
          <w:color w:val="000000"/>
          <w:sz w:val="24"/>
          <w:szCs w:val="24"/>
        </w:rPr>
        <w:t>（10176万元）的2.</w:t>
      </w:r>
      <w:r>
        <w:rPr>
          <w:rFonts w:hint="eastAsia" w:ascii="Times New Roman" w:hAnsi="Times New Roman" w:eastAsia="宋体" w:cs="Times New Roman"/>
          <w:color w:val="000000"/>
          <w:sz w:val="24"/>
          <w:szCs w:val="24"/>
          <w:lang w:val="en-US" w:eastAsia="zh-CN"/>
        </w:rPr>
        <w:t>16</w:t>
      </w:r>
      <w:r>
        <w:rPr>
          <w:rFonts w:hint="eastAsia" w:ascii="Times New Roman" w:hAnsi="Times New Roman" w:eastAsia="宋体" w:cs="Times New Roman"/>
          <w:color w:val="000000"/>
          <w:sz w:val="24"/>
          <w:szCs w:val="24"/>
        </w:rPr>
        <w:t>%。</w:t>
      </w:r>
    </w:p>
    <w:p>
      <w:pPr>
        <w:pStyle w:val="5"/>
        <w:ind w:firstLine="562"/>
        <w:rPr>
          <w:rFonts w:hAnsi="Times New Roman"/>
        </w:rPr>
      </w:pPr>
      <w:bookmarkStart w:id="417" w:name="_Toc742"/>
      <w:bookmarkStart w:id="418" w:name="_Toc29647"/>
      <w:bookmarkStart w:id="419" w:name="_Toc9171"/>
      <w:bookmarkStart w:id="420" w:name="_Toc21467"/>
      <w:bookmarkStart w:id="421" w:name="_Toc503278328"/>
      <w:bookmarkStart w:id="422" w:name="_Toc529463350"/>
      <w:r>
        <w:rPr>
          <w:rFonts w:hAnsi="Times New Roman"/>
        </w:rPr>
        <w:t>8.3环保设施运行费用</w:t>
      </w:r>
      <w:bookmarkEnd w:id="417"/>
      <w:bookmarkEnd w:id="418"/>
      <w:bookmarkEnd w:id="419"/>
      <w:bookmarkEnd w:id="420"/>
      <w:bookmarkEnd w:id="421"/>
      <w:bookmarkEnd w:id="422"/>
    </w:p>
    <w:p>
      <w:p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环保运行费用包</w:t>
      </w:r>
      <w:r>
        <w:rPr>
          <w:rFonts w:cs="Times New Roman" w:asciiTheme="minorEastAsia" w:hAnsiTheme="minorEastAsia"/>
          <w:color w:val="000000"/>
          <w:sz w:val="24"/>
          <w:szCs w:val="24"/>
        </w:rPr>
        <w:t>括“三废”处理</w:t>
      </w:r>
      <w:r>
        <w:rPr>
          <w:rFonts w:ascii="Times New Roman" w:hAnsi="Times New Roman" w:eastAsia="宋体" w:cs="Times New Roman"/>
          <w:color w:val="000000"/>
          <w:sz w:val="24"/>
          <w:szCs w:val="24"/>
        </w:rPr>
        <w:t>的成本费和固定费用，成本费用包括原辅材料费、燃料动力消耗及人员工资等，固定费用包括环保设备维修费、折旧费、技术措施费、环保管理费及其它费用。其费用估算见表8.3-1。</w:t>
      </w:r>
    </w:p>
    <w:p>
      <w:pPr>
        <w:spacing w:line="360" w:lineRule="auto"/>
        <w:ind w:firstLine="482"/>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表8.3-1 环保设施年运行费用估算</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5"/>
        <w:gridCol w:w="2693"/>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序号</w:t>
            </w:r>
          </w:p>
        </w:tc>
        <w:tc>
          <w:tcPr>
            <w:tcW w:w="19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环保项目</w:t>
            </w:r>
          </w:p>
        </w:tc>
        <w:tc>
          <w:tcPr>
            <w:tcW w:w="269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年运行费用（万元）</w:t>
            </w:r>
          </w:p>
        </w:tc>
        <w:tc>
          <w:tcPr>
            <w:tcW w:w="30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大气污染控制</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3.0</w:t>
            </w:r>
          </w:p>
        </w:tc>
        <w:tc>
          <w:tcPr>
            <w:tcW w:w="30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水污染控制</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1.0</w:t>
            </w:r>
          </w:p>
        </w:tc>
        <w:tc>
          <w:tcPr>
            <w:tcW w:w="30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固体废弃物处置</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w:t>
            </w:r>
          </w:p>
        </w:tc>
        <w:tc>
          <w:tcPr>
            <w:tcW w:w="30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运输</w:t>
            </w:r>
            <w:r>
              <w:rPr>
                <w:rFonts w:ascii="Times New Roman" w:hAnsi="Times New Roman" w:eastAsia="宋体" w:cs="Times New Roman"/>
                <w:color w:val="000000"/>
                <w:szCs w:val="21"/>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环境监测费</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2.5</w:t>
            </w:r>
          </w:p>
        </w:tc>
        <w:tc>
          <w:tcPr>
            <w:tcW w:w="30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w:t>
            </w:r>
          </w:p>
        </w:tc>
        <w:tc>
          <w:tcPr>
            <w:tcW w:w="198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合计</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8.5</w:t>
            </w:r>
          </w:p>
        </w:tc>
        <w:tc>
          <w:tcPr>
            <w:tcW w:w="30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000000"/>
                <w:szCs w:val="21"/>
              </w:rPr>
            </w:pPr>
          </w:p>
        </w:tc>
      </w:tr>
    </w:tbl>
    <w:p>
      <w:pPr>
        <w:pStyle w:val="5"/>
        <w:ind w:firstLine="562"/>
        <w:rPr>
          <w:rFonts w:hAnsi="Times New Roman"/>
        </w:rPr>
      </w:pPr>
      <w:bookmarkStart w:id="423" w:name="_Toc481509611"/>
      <w:bookmarkStart w:id="424" w:name="_Toc485220994"/>
      <w:bookmarkStart w:id="425" w:name="_Toc18606"/>
      <w:bookmarkStart w:id="426" w:name="_Toc529463351"/>
      <w:bookmarkStart w:id="427" w:name="_Toc717"/>
      <w:r>
        <w:rPr>
          <w:rFonts w:hAnsi="Times New Roman"/>
        </w:rPr>
        <w:t>8.</w:t>
      </w:r>
      <w:bookmarkStart w:id="428" w:name="_Toc32664"/>
      <w:r>
        <w:rPr>
          <w:rFonts w:hAnsi="Times New Roman"/>
        </w:rPr>
        <w:t xml:space="preserve">4 </w:t>
      </w:r>
      <w:bookmarkEnd w:id="423"/>
      <w:bookmarkEnd w:id="424"/>
      <w:r>
        <w:rPr>
          <w:rFonts w:hAnsi="Times New Roman"/>
        </w:rPr>
        <w:t>环境效益分析</w:t>
      </w:r>
      <w:bookmarkEnd w:id="425"/>
      <w:bookmarkEnd w:id="426"/>
      <w:bookmarkEnd w:id="427"/>
    </w:p>
    <w:bookmarkEnd w:id="428"/>
    <w:p>
      <w:pPr>
        <w:pStyle w:val="6"/>
        <w:spacing w:line="360" w:lineRule="auto"/>
        <w:ind w:firstLine="482" w:firstLineChars="200"/>
        <w:rPr>
          <w:rFonts w:ascii="Times New Roman" w:hAnsi="Times New Roman" w:eastAsia="宋体" w:cs="Times New Roman"/>
          <w:sz w:val="24"/>
        </w:rPr>
      </w:pPr>
      <w:bookmarkStart w:id="429" w:name="_Toc485220995"/>
      <w:bookmarkStart w:id="430" w:name="_Toc477525474"/>
      <w:bookmarkStart w:id="431" w:name="_Toc22614"/>
      <w:bookmarkStart w:id="432" w:name="_Toc529463352"/>
      <w:bookmarkStart w:id="433" w:name="_Toc15437"/>
      <w:bookmarkStart w:id="434" w:name="_Toc352094707"/>
      <w:r>
        <w:rPr>
          <w:rFonts w:ascii="Times New Roman" w:hAnsi="Times New Roman" w:eastAsia="宋体" w:cs="Times New Roman"/>
          <w:sz w:val="24"/>
        </w:rPr>
        <w:t>8.</w:t>
      </w:r>
      <w:bookmarkStart w:id="435" w:name="_Toc16199"/>
      <w:r>
        <w:rPr>
          <w:rFonts w:ascii="Times New Roman" w:hAnsi="Times New Roman" w:eastAsia="宋体" w:cs="Times New Roman"/>
          <w:sz w:val="24"/>
        </w:rPr>
        <w:t xml:space="preserve">4.1 </w:t>
      </w:r>
      <w:bookmarkEnd w:id="429"/>
      <w:bookmarkEnd w:id="430"/>
      <w:r>
        <w:rPr>
          <w:rFonts w:ascii="Times New Roman" w:hAnsi="Times New Roman" w:eastAsia="宋体" w:cs="Times New Roman"/>
          <w:sz w:val="24"/>
        </w:rPr>
        <w:t>污染防治措施</w:t>
      </w:r>
      <w:bookmarkEnd w:id="431"/>
      <w:bookmarkEnd w:id="432"/>
      <w:bookmarkEnd w:id="433"/>
    </w:p>
    <w:bookmarkEnd w:id="434"/>
    <w:bookmarkEnd w:id="435"/>
    <w:p>
      <w:p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建成投入使用后，将产生的大气污染物、水污染物、噪声和固体废物等环境影响因素，将给项目拟建厂址所在区域的环境质量带来一定的影响。项目将采取如下措施：</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1）废气处理</w:t>
      </w:r>
    </w:p>
    <w:p>
      <w:pPr>
        <w:spacing w:line="360" w:lineRule="auto"/>
        <w:ind w:left="120"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（1）</w:t>
      </w:r>
      <w:r>
        <w:rPr>
          <w:rFonts w:hint="eastAsia" w:ascii="Times New Roman" w:hAnsi="Times New Roman" w:eastAsia="宋体" w:cs="Times New Roman"/>
          <w:color w:val="FF0000"/>
          <w:sz w:val="24"/>
          <w:szCs w:val="24"/>
        </w:rPr>
        <w:t>锅炉</w:t>
      </w:r>
      <w:r>
        <w:rPr>
          <w:rFonts w:ascii="Times New Roman" w:hAnsi="Times New Roman" w:eastAsia="宋体" w:cs="Times New Roman"/>
          <w:color w:val="FF0000"/>
          <w:sz w:val="24"/>
          <w:szCs w:val="24"/>
        </w:rPr>
        <w:t>废气</w:t>
      </w:r>
    </w:p>
    <w:p>
      <w:pPr>
        <w:spacing w:line="360" w:lineRule="auto"/>
        <w:ind w:firstLine="456" w:firstLineChars="200"/>
        <w:rPr>
          <w:rFonts w:ascii="宋体" w:hAnsi="宋体" w:eastAsia="宋体" w:cs="宋体"/>
          <w:color w:val="FF0000"/>
          <w:spacing w:val="-6"/>
          <w:sz w:val="24"/>
          <w:szCs w:val="24"/>
        </w:rPr>
      </w:pPr>
      <w:r>
        <w:rPr>
          <w:rFonts w:ascii="宋体" w:hAnsi="宋体" w:eastAsia="宋体" w:cs="宋体"/>
          <w:color w:val="FF0000"/>
          <w:spacing w:val="-6"/>
          <w:sz w:val="24"/>
          <w:szCs w:val="24"/>
        </w:rPr>
        <w:t>锅炉废气经</w:t>
      </w:r>
      <w:r>
        <w:rPr>
          <w:rFonts w:hint="eastAsia" w:ascii="宋体" w:hAnsi="宋体" w:eastAsia="宋体" w:cs="宋体"/>
          <w:color w:val="FF0000"/>
          <w:spacing w:val="-6"/>
          <w:sz w:val="24"/>
          <w:szCs w:val="24"/>
        </w:rPr>
        <w:t>水膜</w:t>
      </w:r>
      <w:r>
        <w:rPr>
          <w:rFonts w:ascii="宋体" w:hAnsi="宋体" w:eastAsia="宋体" w:cs="宋体"/>
          <w:color w:val="FF0000"/>
          <w:spacing w:val="-6"/>
          <w:sz w:val="24"/>
          <w:szCs w:val="24"/>
        </w:rPr>
        <w:t>收尘后最后经</w:t>
      </w:r>
      <w:r>
        <w:rPr>
          <w:rFonts w:hint="eastAsia" w:ascii="宋体" w:hAnsi="宋体" w:eastAsia="宋体" w:cs="宋体"/>
          <w:color w:val="FF0000"/>
          <w:spacing w:val="-6"/>
          <w:sz w:val="24"/>
          <w:szCs w:val="24"/>
        </w:rPr>
        <w:t>40m高的烟囱排放</w:t>
      </w:r>
      <w:r>
        <w:rPr>
          <w:rFonts w:ascii="宋体" w:hAnsi="宋体" w:eastAsia="宋体" w:cs="宋体"/>
          <w:color w:val="FF0000"/>
          <w:spacing w:val="-6"/>
          <w:sz w:val="24"/>
          <w:szCs w:val="24"/>
        </w:rPr>
        <w:t>。</w:t>
      </w:r>
    </w:p>
    <w:p>
      <w:pPr>
        <w:spacing w:line="360" w:lineRule="auto"/>
        <w:ind w:firstLine="456" w:firstLineChars="200"/>
        <w:rPr>
          <w:rFonts w:ascii="宋体" w:hAnsi="宋体" w:eastAsia="宋体" w:cs="宋体"/>
          <w:color w:val="FF0000"/>
          <w:spacing w:val="-6"/>
          <w:sz w:val="24"/>
          <w:szCs w:val="24"/>
        </w:rPr>
      </w:pPr>
      <w:r>
        <w:rPr>
          <w:rFonts w:hint="eastAsia" w:ascii="宋体" w:hAnsi="宋体" w:eastAsia="宋体" w:cs="宋体"/>
          <w:color w:val="FF0000"/>
          <w:spacing w:val="-6"/>
          <w:sz w:val="24"/>
          <w:szCs w:val="24"/>
        </w:rPr>
        <w:t>经预测，项目锅炉产生的废气对周边环境影响不大。</w:t>
      </w:r>
    </w:p>
    <w:p>
      <w:pPr>
        <w:spacing w:line="360" w:lineRule="auto"/>
        <w:ind w:firstLine="456" w:firstLineChars="200"/>
        <w:rPr>
          <w:rFonts w:ascii="Times New Roman" w:hAnsi="Times New Roman" w:eastAsia="宋体" w:cs="Times New Roman"/>
          <w:color w:val="FF0000"/>
          <w:spacing w:val="-6"/>
          <w:sz w:val="24"/>
          <w:szCs w:val="24"/>
        </w:rPr>
      </w:pPr>
      <w:r>
        <w:rPr>
          <w:rFonts w:ascii="Times New Roman" w:hAnsi="Times New Roman" w:eastAsia="宋体" w:cs="Times New Roman"/>
          <w:color w:val="FF0000"/>
          <w:spacing w:val="-6"/>
          <w:sz w:val="24"/>
          <w:szCs w:val="24"/>
        </w:rPr>
        <w:t>（2）粉尘</w:t>
      </w:r>
    </w:p>
    <w:p>
      <w:pPr>
        <w:spacing w:line="360" w:lineRule="auto"/>
        <w:ind w:firstLine="480"/>
        <w:rPr>
          <w:rFonts w:ascii="Times New Roman" w:hAnsi="Times New Roman" w:eastAsia="宋体" w:cs="Times New Roman"/>
          <w:color w:val="FF0000"/>
          <w:sz w:val="24"/>
          <w:szCs w:val="24"/>
        </w:rPr>
      </w:pPr>
      <w:r>
        <w:rPr>
          <w:rFonts w:ascii="宋体" w:hAnsi="宋体" w:eastAsia="宋体" w:cs="宋体"/>
          <w:color w:val="FF0000"/>
          <w:spacing w:val="-6"/>
          <w:sz w:val="24"/>
          <w:szCs w:val="24"/>
        </w:rPr>
        <w:t>粉尘产生量少</w:t>
      </w:r>
      <w:r>
        <w:rPr>
          <w:rFonts w:hint="eastAsia" w:ascii="宋体" w:hAnsi="宋体" w:eastAsia="宋体" w:cs="宋体"/>
          <w:color w:val="FF0000"/>
          <w:spacing w:val="-6"/>
          <w:sz w:val="24"/>
          <w:szCs w:val="24"/>
        </w:rPr>
        <w:t>，</w:t>
      </w:r>
      <w:r>
        <w:rPr>
          <w:rFonts w:ascii="宋体" w:hAnsi="宋体" w:eastAsia="宋体" w:cs="宋体"/>
          <w:color w:val="FF0000"/>
          <w:spacing w:val="-6"/>
          <w:sz w:val="24"/>
          <w:szCs w:val="24"/>
        </w:rPr>
        <w:t>每天定时清理后</w:t>
      </w:r>
      <w:r>
        <w:rPr>
          <w:rFonts w:hint="eastAsia" w:ascii="宋体" w:hAnsi="宋体" w:eastAsia="宋体" w:cs="宋体"/>
          <w:color w:val="FF0000"/>
          <w:spacing w:val="-6"/>
          <w:sz w:val="24"/>
          <w:szCs w:val="24"/>
        </w:rPr>
        <w:t>。</w:t>
      </w:r>
      <w:r>
        <w:rPr>
          <w:rFonts w:ascii="宋体" w:hAnsi="宋体" w:eastAsia="宋体" w:cs="宋体"/>
          <w:color w:val="FF0000"/>
          <w:spacing w:val="-6"/>
          <w:sz w:val="24"/>
          <w:szCs w:val="24"/>
        </w:rPr>
        <w:t>通生活垃圾一同处理</w:t>
      </w:r>
      <w:r>
        <w:rPr>
          <w:rFonts w:ascii="Times New Roman" w:hAnsi="Times New Roman" w:eastAsia="宋体" w:cs="Times New Roman"/>
          <w:color w:val="FF0000"/>
          <w:sz w:val="24"/>
          <w:szCs w:val="24"/>
        </w:rPr>
        <w:t>。</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2）废水处理</w:t>
      </w:r>
    </w:p>
    <w:p>
      <w:pPr>
        <w:spacing w:line="360" w:lineRule="auto"/>
        <w:ind w:left="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（1）</w:t>
      </w:r>
      <w:r>
        <w:rPr>
          <w:rFonts w:hint="eastAsia" w:ascii="Times New Roman" w:hAnsi="Times New Roman" w:eastAsia="宋体" w:cs="Times New Roman"/>
          <w:color w:val="FF0000"/>
          <w:sz w:val="24"/>
          <w:szCs w:val="24"/>
        </w:rPr>
        <w:t>生产</w:t>
      </w:r>
      <w:r>
        <w:rPr>
          <w:rFonts w:ascii="Times New Roman" w:hAnsi="Times New Roman" w:eastAsia="宋体" w:cs="Times New Roman"/>
          <w:color w:val="FF0000"/>
          <w:sz w:val="24"/>
          <w:szCs w:val="24"/>
        </w:rPr>
        <w:t>废水</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项目生产废水经循环水池循环使用</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不外排。</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（2）生活废水</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食堂废水经隔油池（1个2 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）处理和其他生活废水进入化粪池（1个5</w:t>
      </w:r>
      <w:r>
        <w:rPr>
          <w:rFonts w:ascii="Times New Roman" w:hAnsi="Times New Roman" w:eastAsia="宋体" w:cs="Times New Roman"/>
          <w:color w:val="FF0000"/>
          <w:kern w:val="0"/>
          <w:sz w:val="24"/>
          <w:szCs w:val="24"/>
        </w:rPr>
        <w:t>m</w:t>
      </w:r>
      <w:r>
        <w:rPr>
          <w:rFonts w:ascii="Times New Roman" w:hAnsi="Times New Roman" w:eastAsia="宋体" w:cs="Times New Roman"/>
          <w:color w:val="FF0000"/>
          <w:kern w:val="0"/>
          <w:sz w:val="24"/>
          <w:szCs w:val="24"/>
          <w:vertAlign w:val="superscript"/>
        </w:rPr>
        <w:t>3</w:t>
      </w:r>
      <w:r>
        <w:rPr>
          <w:rFonts w:ascii="Times New Roman" w:hAnsi="Times New Roman" w:eastAsia="宋体" w:cs="Times New Roman"/>
          <w:color w:val="FF0000"/>
          <w:sz w:val="24"/>
          <w:szCs w:val="24"/>
        </w:rPr>
        <w:t>）处理后，再进入</w:t>
      </w:r>
      <w:r>
        <w:rPr>
          <w:rFonts w:hint="eastAsia" w:ascii="Times New Roman" w:hAnsi="Times New Roman" w:eastAsia="宋体" w:cs="Times New Roman"/>
          <w:color w:val="FF0000"/>
          <w:sz w:val="24"/>
          <w:szCs w:val="24"/>
        </w:rPr>
        <w:t>自建</w:t>
      </w:r>
      <w:r>
        <w:rPr>
          <w:rFonts w:ascii="Times New Roman" w:hAnsi="Times New Roman" w:eastAsia="宋体" w:cs="Times New Roman"/>
          <w:color w:val="FF0000"/>
          <w:sz w:val="24"/>
          <w:szCs w:val="24"/>
        </w:rPr>
        <w:t>的污水处理设施</w:t>
      </w:r>
      <w:r>
        <w:rPr>
          <w:rFonts w:hint="eastAsia" w:ascii="Times New Roman" w:hAnsi="Times New Roman" w:eastAsia="宋体" w:cs="Times New Roman"/>
          <w:color w:val="FF0000"/>
          <w:sz w:val="24"/>
          <w:szCs w:val="24"/>
        </w:rPr>
        <w:t>（6m</w:t>
      </w:r>
      <w:r>
        <w:rPr>
          <w:rFonts w:hint="eastAsia"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rPr>
        <w:t>/d）</w:t>
      </w:r>
      <w:r>
        <w:rPr>
          <w:rFonts w:ascii="Times New Roman" w:hAnsi="Times New Roman" w:eastAsia="宋体" w:cs="Times New Roman"/>
          <w:color w:val="FF0000"/>
          <w:sz w:val="24"/>
          <w:szCs w:val="24"/>
        </w:rPr>
        <w:t>处理达标后</w:t>
      </w:r>
      <w:r>
        <w:rPr>
          <w:rFonts w:hint="eastAsia" w:ascii="Times New Roman" w:hAnsi="Times New Roman" w:eastAsia="宋体" w:cs="Times New Roman"/>
          <w:color w:val="FF0000"/>
          <w:sz w:val="24"/>
          <w:szCs w:val="24"/>
        </w:rPr>
        <w:t>晴天回用于绿化，雨天回用于生产</w:t>
      </w: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不外排</w:t>
      </w:r>
      <w:r>
        <w:rPr>
          <w:rFonts w:ascii="Times New Roman" w:hAnsi="Times New Roman" w:eastAsia="宋体" w:cs="Times New Roman"/>
          <w:color w:val="FF0000"/>
          <w:sz w:val="24"/>
          <w:szCs w:val="24"/>
        </w:rPr>
        <w:t>。</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（3）设置1个</w:t>
      </w:r>
      <w:r>
        <w:rPr>
          <w:rFonts w:hint="eastAsia" w:ascii="Times New Roman" w:hAnsi="Times New Roman" w:eastAsia="宋体" w:cs="Times New Roman"/>
          <w:color w:val="FF0000"/>
          <w:sz w:val="24"/>
          <w:szCs w:val="24"/>
        </w:rPr>
        <w:t>900</w:t>
      </w:r>
      <w:r>
        <w:rPr>
          <w:rFonts w:ascii="Times New Roman" w:hAnsi="Times New Roman" w:eastAsia="宋体" w:cs="Times New Roman"/>
          <w:color w:val="FF0000"/>
          <w:sz w:val="24"/>
          <w:szCs w:val="24"/>
        </w:rPr>
        <w:t>m</w:t>
      </w:r>
      <w:r>
        <w:rPr>
          <w:rFonts w:ascii="Times New Roman" w:hAnsi="Times New Roman" w:eastAsia="宋体" w:cs="Times New Roman"/>
          <w:color w:val="FF0000"/>
          <w:kern w:val="0"/>
          <w:sz w:val="24"/>
          <w:szCs w:val="24"/>
          <w:vertAlign w:val="superscript"/>
        </w:rPr>
        <w:t>3</w:t>
      </w:r>
      <w:r>
        <w:rPr>
          <w:rFonts w:hint="eastAsia" w:ascii="Times New Roman" w:hAnsi="Times New Roman" w:eastAsia="宋体" w:cs="Times New Roman"/>
          <w:color w:val="FF0000"/>
          <w:sz w:val="24"/>
          <w:szCs w:val="24"/>
          <w:lang w:eastAsia="zh-CN"/>
        </w:rPr>
        <w:t>应急水池</w:t>
      </w:r>
      <w:r>
        <w:rPr>
          <w:rFonts w:ascii="Times New Roman" w:hAnsi="Times New Roman" w:eastAsia="宋体" w:cs="Times New Roman"/>
          <w:color w:val="FF0000"/>
          <w:sz w:val="24"/>
          <w:szCs w:val="24"/>
        </w:rPr>
        <w:t>。</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所以项目产生的废水对周围环境影响较小。</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3）噪声处理</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项目运行过程各种设备产生的噪声，采用设置减震垫片、厂房隔声、围墙隔声等措施能够做到厂界达标排放。对周围环境影响较小。</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4）固体废物处理</w:t>
      </w:r>
    </w:p>
    <w:p>
      <w:pPr>
        <w:spacing w:line="360" w:lineRule="auto"/>
        <w:ind w:firstLine="480" w:firstLineChars="200"/>
        <w:rPr>
          <w:rFonts w:ascii="Times New Roman" w:hAnsi="Times New Roman" w:eastAsia="宋体" w:cs="Times New Roman"/>
          <w:color w:val="FF0000"/>
          <w:sz w:val="24"/>
          <w:szCs w:val="24"/>
          <w:shd w:val="clear" w:color="auto" w:fill="FFFFFF"/>
        </w:rPr>
      </w:pP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1</w:t>
      </w: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边角</w:t>
      </w:r>
      <w:r>
        <w:rPr>
          <w:rFonts w:ascii="Times New Roman" w:hAnsi="Times New Roman" w:eastAsia="宋体" w:cs="Times New Roman"/>
          <w:color w:val="FF0000"/>
          <w:sz w:val="24"/>
          <w:szCs w:val="24"/>
        </w:rPr>
        <w:t>废料</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经收集后回用于水力碎浆工序</w:t>
      </w:r>
      <w:r>
        <w:rPr>
          <w:rFonts w:ascii="Times New Roman" w:hAnsi="Times New Roman" w:eastAsia="宋体" w:cs="Times New Roman"/>
          <w:color w:val="FF0000"/>
          <w:sz w:val="24"/>
          <w:szCs w:val="24"/>
          <w:shd w:val="clear" w:color="auto" w:fill="FFFFFF"/>
        </w:rPr>
        <w:t>。</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2</w:t>
      </w: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锅炉</w:t>
      </w:r>
      <w:r>
        <w:rPr>
          <w:rFonts w:ascii="Times New Roman" w:hAnsi="Times New Roman" w:eastAsia="宋体" w:cs="Times New Roman"/>
          <w:color w:val="FF0000"/>
          <w:sz w:val="24"/>
          <w:szCs w:val="24"/>
        </w:rPr>
        <w:t>炉渣定时清理</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暂存于</w:t>
      </w:r>
      <w:r>
        <w:rPr>
          <w:rFonts w:hint="eastAsia" w:ascii="Times New Roman" w:hAnsi="Times New Roman" w:eastAsia="宋体" w:cs="Times New Roman"/>
          <w:color w:val="FF0000"/>
          <w:sz w:val="24"/>
          <w:szCs w:val="24"/>
          <w:lang w:eastAsia="zh-CN"/>
        </w:rPr>
        <w:t>炉渣暂存间</w:t>
      </w:r>
      <w:r>
        <w:rPr>
          <w:rFonts w:ascii="Times New Roman" w:hAnsi="Times New Roman" w:eastAsia="宋体" w:cs="Times New Roman"/>
          <w:color w:val="FF0000"/>
          <w:sz w:val="24"/>
          <w:szCs w:val="24"/>
        </w:rPr>
        <w:t>中</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达到一定量时用于周边农田还田处理</w:t>
      </w:r>
      <w:r>
        <w:rPr>
          <w:rFonts w:hint="eastAsia" w:ascii="Times New Roman" w:hAnsi="Times New Roman" w:eastAsia="宋体" w:cs="Times New Roman"/>
          <w:color w:val="FF0000"/>
          <w:sz w:val="24"/>
          <w:szCs w:val="24"/>
        </w:rPr>
        <w:t>。</w:t>
      </w:r>
    </w:p>
    <w:p>
      <w:pPr>
        <w:snapToGrid/>
        <w:spacing w:line="360" w:lineRule="auto"/>
        <w:ind w:firstLine="480"/>
        <w:rPr>
          <w:rFonts w:ascii="Times New Roman" w:hAnsi="Times New Roman" w:eastAsia="宋体" w:cs="Times New Roman"/>
          <w:bCs/>
          <w:color w:val="FF0000"/>
          <w:sz w:val="24"/>
          <w:szCs w:val="24"/>
        </w:rPr>
      </w:pP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3</w:t>
      </w: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水膜</w:t>
      </w:r>
      <w:r>
        <w:rPr>
          <w:rFonts w:ascii="Times New Roman" w:hAnsi="Times New Roman" w:eastAsia="宋体" w:cs="Times New Roman"/>
          <w:color w:val="FF0000"/>
          <w:sz w:val="24"/>
          <w:szCs w:val="24"/>
        </w:rPr>
        <w:t>收尘器收集的锅炉烟尘</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暂存于</w:t>
      </w:r>
      <w:r>
        <w:rPr>
          <w:rFonts w:hint="eastAsia" w:ascii="Times New Roman" w:hAnsi="Times New Roman" w:eastAsia="宋体" w:cs="Times New Roman"/>
          <w:color w:val="FF0000"/>
          <w:sz w:val="24"/>
          <w:szCs w:val="24"/>
          <w:lang w:eastAsia="zh-CN"/>
        </w:rPr>
        <w:t>炉渣暂存间</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同炉渣一同用于周边农田还田处理。</w:t>
      </w:r>
    </w:p>
    <w:p>
      <w:pPr>
        <w:snapToGrid/>
        <w:spacing w:line="360" w:lineRule="auto"/>
        <w:ind w:firstLine="480" w:firstLineChars="200"/>
        <w:jc w:val="left"/>
        <w:rPr>
          <w:rFonts w:ascii="Times New Roman" w:hAnsi="Times New Roman" w:eastAsia="宋体" w:cs="Times New Roman"/>
          <w:color w:val="FF0000"/>
          <w:sz w:val="24"/>
          <w:szCs w:val="24"/>
        </w:rPr>
      </w:pPr>
      <w:r>
        <w:rPr>
          <w:rFonts w:ascii="Times New Roman" w:hAnsi="Times New Roman" w:eastAsia="宋体" w:cs="Times New Roman"/>
          <w:bCs/>
          <w:color w:val="FF0000"/>
          <w:sz w:val="24"/>
          <w:szCs w:val="24"/>
          <w:shd w:val="clear" w:color="auto" w:fill="FFFFFF"/>
        </w:rPr>
        <w:t>（</w:t>
      </w:r>
      <w:r>
        <w:rPr>
          <w:rFonts w:hint="eastAsia" w:ascii="Times New Roman" w:hAnsi="Times New Roman" w:eastAsia="宋体" w:cs="Times New Roman"/>
          <w:bCs/>
          <w:color w:val="FF0000"/>
          <w:sz w:val="24"/>
          <w:szCs w:val="24"/>
          <w:shd w:val="clear" w:color="auto" w:fill="FFFFFF"/>
        </w:rPr>
        <w:t>4</w:t>
      </w:r>
      <w:r>
        <w:rPr>
          <w:rFonts w:ascii="Times New Roman" w:hAnsi="Times New Roman" w:eastAsia="宋体" w:cs="Times New Roman"/>
          <w:bCs/>
          <w:color w:val="FF0000"/>
          <w:sz w:val="24"/>
          <w:szCs w:val="24"/>
          <w:shd w:val="clear" w:color="auto" w:fill="FFFFFF"/>
        </w:rPr>
        <w:t>）</w:t>
      </w:r>
      <w:r>
        <w:rPr>
          <w:rFonts w:hint="eastAsia" w:ascii="Times New Roman" w:hAnsi="Times New Roman" w:eastAsia="宋体" w:cs="Times New Roman"/>
          <w:bCs/>
          <w:color w:val="FF0000"/>
          <w:sz w:val="24"/>
          <w:szCs w:val="24"/>
          <w:shd w:val="clear" w:color="auto" w:fill="FFFFFF"/>
        </w:rPr>
        <w:t>生活</w:t>
      </w:r>
      <w:r>
        <w:rPr>
          <w:rFonts w:ascii="Times New Roman" w:hAnsi="Times New Roman" w:eastAsia="宋体" w:cs="Times New Roman"/>
          <w:bCs/>
          <w:color w:val="FF0000"/>
          <w:sz w:val="24"/>
          <w:szCs w:val="24"/>
          <w:shd w:val="clear" w:color="auto" w:fill="FFFFFF"/>
        </w:rPr>
        <w:t>垃圾经垃圾桶收集后</w:t>
      </w:r>
      <w:r>
        <w:rPr>
          <w:rFonts w:hint="eastAsia" w:ascii="Times New Roman" w:hAnsi="Times New Roman" w:eastAsia="宋体" w:cs="Times New Roman"/>
          <w:bCs/>
          <w:color w:val="FF0000"/>
          <w:sz w:val="24"/>
          <w:szCs w:val="24"/>
          <w:shd w:val="clear" w:color="auto" w:fill="FFFFFF"/>
        </w:rPr>
        <w:t>，</w:t>
      </w:r>
      <w:r>
        <w:rPr>
          <w:rFonts w:ascii="Times New Roman" w:hAnsi="Times New Roman" w:eastAsia="宋体" w:cs="Times New Roman"/>
          <w:bCs/>
          <w:color w:val="FF0000"/>
          <w:sz w:val="24"/>
          <w:szCs w:val="24"/>
          <w:shd w:val="clear" w:color="auto" w:fill="FFFFFF"/>
        </w:rPr>
        <w:t>清运至换位部门指定地点</w:t>
      </w:r>
      <w:r>
        <w:rPr>
          <w:rFonts w:hint="eastAsia" w:ascii="Times New Roman" w:hAnsi="Times New Roman" w:eastAsia="宋体" w:cs="Times New Roman"/>
          <w:bCs/>
          <w:color w:val="FF0000"/>
          <w:sz w:val="24"/>
          <w:szCs w:val="24"/>
          <w:shd w:val="clear" w:color="auto" w:fill="FFFFFF"/>
        </w:rPr>
        <w:t>，</w:t>
      </w:r>
      <w:r>
        <w:rPr>
          <w:rFonts w:ascii="Times New Roman" w:hAnsi="Times New Roman" w:eastAsia="宋体" w:cs="Times New Roman"/>
          <w:bCs/>
          <w:color w:val="FF0000"/>
          <w:sz w:val="24"/>
          <w:szCs w:val="24"/>
          <w:shd w:val="clear" w:color="auto" w:fill="FFFFFF"/>
        </w:rPr>
        <w:t>由环卫部门统一清运处置</w:t>
      </w:r>
      <w:r>
        <w:rPr>
          <w:rFonts w:ascii="Times New Roman" w:hAnsi="Times New Roman" w:eastAsia="宋体" w:cs="Times New Roman"/>
          <w:color w:val="FF0000"/>
          <w:sz w:val="24"/>
          <w:szCs w:val="24"/>
        </w:rPr>
        <w:t>。</w:t>
      </w:r>
    </w:p>
    <w:p>
      <w:pPr>
        <w:snapToGrid/>
        <w:spacing w:line="360" w:lineRule="auto"/>
        <w:ind w:firstLine="480" w:firstLineChars="200"/>
        <w:jc w:val="left"/>
        <w:rPr>
          <w:rFonts w:hint="eastAsia"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（5）化粪池及污水处理站产生的污泥，定期委托环卫部门清掏处置。</w:t>
      </w:r>
    </w:p>
    <w:p>
      <w:pPr>
        <w:snapToGrid/>
        <w:spacing w:line="360" w:lineRule="auto"/>
        <w:ind w:firstLine="480" w:firstLineChars="200"/>
        <w:rPr>
          <w:rFonts w:hint="eastAsia" w:eastAsia="宋体"/>
          <w:color w:val="FF0000"/>
          <w:lang w:eastAsia="zh-CN"/>
        </w:rPr>
      </w:pP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6</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rPr>
        <w:t>项目</w:t>
      </w:r>
      <w:r>
        <w:rPr>
          <w:rFonts w:hint="eastAsia" w:ascii="Times New Roman" w:hAnsi="Times New Roman" w:eastAsia="宋体" w:cs="Times New Roman"/>
          <w:color w:val="FF0000"/>
          <w:sz w:val="24"/>
          <w:szCs w:val="24"/>
          <w:lang w:eastAsia="zh-CN"/>
        </w:rPr>
        <w:t>软水制备系统产生</w:t>
      </w:r>
      <w:r>
        <w:rPr>
          <w:rFonts w:hint="eastAsia" w:ascii="Times New Roman" w:hAnsi="Times New Roman" w:eastAsia="宋体" w:cs="Times New Roman"/>
          <w:color w:val="FF0000"/>
          <w:sz w:val="24"/>
          <w:szCs w:val="24"/>
        </w:rPr>
        <w:t>废树脂由更换单位处理，不在项目区收集储</w:t>
      </w:r>
      <w:r>
        <w:rPr>
          <w:rFonts w:hint="eastAsia" w:ascii="Times New Roman" w:hAnsi="Times New Roman"/>
          <w:color w:val="FF0000"/>
          <w:sz w:val="24"/>
          <w:szCs w:val="24"/>
        </w:rPr>
        <w:t>存。</w:t>
      </w:r>
    </w:p>
    <w:p>
      <w:pPr>
        <w:snapToGrid/>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所以项目产生的固体废物得到妥善处理，对周围环境影响较小。</w:t>
      </w:r>
    </w:p>
    <w:p>
      <w:pPr>
        <w:pStyle w:val="6"/>
        <w:spacing w:line="360" w:lineRule="auto"/>
        <w:ind w:firstLine="482" w:firstLineChars="200"/>
        <w:rPr>
          <w:rFonts w:ascii="Times New Roman" w:hAnsi="Times New Roman" w:eastAsia="宋体" w:cs="Times New Roman"/>
          <w:sz w:val="24"/>
        </w:rPr>
      </w:pPr>
      <w:bookmarkStart w:id="436" w:name="_Toc477525475"/>
      <w:bookmarkStart w:id="437" w:name="_Toc485220996"/>
      <w:bookmarkStart w:id="438" w:name="_Toc529463353"/>
      <w:bookmarkStart w:id="439" w:name="_Toc2281"/>
      <w:bookmarkStart w:id="440" w:name="_Toc13494"/>
      <w:r>
        <w:rPr>
          <w:rFonts w:ascii="Times New Roman" w:hAnsi="Times New Roman" w:eastAsia="宋体" w:cs="Times New Roman"/>
          <w:sz w:val="24"/>
        </w:rPr>
        <w:t>8.</w:t>
      </w:r>
      <w:bookmarkStart w:id="441" w:name="_Toc26260"/>
      <w:r>
        <w:rPr>
          <w:rFonts w:ascii="Times New Roman" w:hAnsi="Times New Roman" w:eastAsia="宋体" w:cs="Times New Roman"/>
          <w:sz w:val="24"/>
        </w:rPr>
        <w:t xml:space="preserve">4.2 </w:t>
      </w:r>
      <w:bookmarkEnd w:id="436"/>
      <w:bookmarkEnd w:id="437"/>
      <w:r>
        <w:rPr>
          <w:rFonts w:ascii="Times New Roman" w:hAnsi="Times New Roman" w:eastAsia="宋体" w:cs="Times New Roman"/>
          <w:sz w:val="24"/>
        </w:rPr>
        <w:t>污染防治措施经济效益分析</w:t>
      </w:r>
      <w:bookmarkEnd w:id="438"/>
      <w:bookmarkEnd w:id="439"/>
      <w:bookmarkEnd w:id="440"/>
    </w:p>
    <w:p>
      <w:p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1）各种污染不采取措施直接外排的应交环保税金额计算：</w:t>
      </w:r>
    </w:p>
    <w:p>
      <w:p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根据环保手册5.1中云南环保税计算方法，计算出项目产生的污染物直接排放可能产生的环保税如下：</w:t>
      </w:r>
    </w:p>
    <w:p>
      <w:pPr>
        <w:spacing w:line="360" w:lineRule="auto"/>
        <w:ind w:firstLine="480"/>
        <w:jc w:val="center"/>
        <w:rPr>
          <w:rFonts w:ascii="Times New Roman" w:hAnsi="Times New Roman" w:eastAsia="宋体" w:cs="Times New Roman"/>
          <w:b/>
          <w:color w:val="FF0000"/>
          <w:sz w:val="24"/>
          <w:szCs w:val="24"/>
        </w:rPr>
      </w:pPr>
      <w:r>
        <w:rPr>
          <w:rFonts w:ascii="Times New Roman" w:hAnsi="Times New Roman" w:eastAsia="宋体" w:cs="Times New Roman"/>
          <w:b/>
          <w:color w:val="FF0000"/>
          <w:sz w:val="24"/>
          <w:szCs w:val="24"/>
        </w:rPr>
        <w:t>表8.4-1  项目产生的污染物直接外排的可能产生的环保税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591"/>
        <w:gridCol w:w="1444"/>
        <w:gridCol w:w="1323"/>
        <w:gridCol w:w="835"/>
        <w:gridCol w:w="956"/>
        <w:gridCol w:w="132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环境要素</w:t>
            </w:r>
          </w:p>
        </w:tc>
        <w:tc>
          <w:tcPr>
            <w:tcW w:w="2035"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污染物名称</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污染物排放量（千克）</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污染物当量值</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污染物当量数</w:t>
            </w: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适用税额（元/污染当量）</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应纳税额（元）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大气污染物</w:t>
            </w:r>
          </w:p>
        </w:tc>
        <w:tc>
          <w:tcPr>
            <w:tcW w:w="2035"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SO</w:t>
            </w:r>
            <w:r>
              <w:rPr>
                <w:rFonts w:hint="eastAsia" w:ascii="Times New Roman" w:hAnsi="Times New Roman" w:eastAsia="宋体" w:cs="Times New Roman"/>
                <w:color w:val="FF0000"/>
                <w:szCs w:val="21"/>
                <w:vertAlign w:val="subscript"/>
              </w:rPr>
              <w:t>2</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2550</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0.95</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2422.5</w:t>
            </w: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2.8</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6783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2035"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NO</w:t>
            </w:r>
            <w:r>
              <w:rPr>
                <w:rFonts w:hint="eastAsia" w:ascii="Times New Roman" w:hAnsi="Times New Roman" w:eastAsia="宋体" w:cs="Times New Roman"/>
                <w:color w:val="FF0000"/>
                <w:szCs w:val="21"/>
                <w:vertAlign w:val="subscript"/>
              </w:rPr>
              <w:t>X</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5100</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0.95</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4845</w:t>
            </w: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2.8</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13566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2035"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烟尘</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325</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2.18</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708.5</w:t>
            </w: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2.8</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1983.8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2035"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p>
        </w:tc>
        <w:tc>
          <w:tcPr>
            <w:tcW w:w="4438" w:type="dxa"/>
            <w:gridSpan w:val="4"/>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小计：</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22332.8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restart"/>
            <w:tcBorders>
              <w:left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水污染物</w:t>
            </w:r>
          </w:p>
        </w:tc>
        <w:tc>
          <w:tcPr>
            <w:tcW w:w="591" w:type="dxa"/>
            <w:vMerge w:val="restart"/>
            <w:tcBorders>
              <w:top w:val="single" w:color="auto" w:sz="4" w:space="0"/>
              <w:left w:val="nil"/>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生活废水</w:t>
            </w:r>
          </w:p>
        </w:tc>
        <w:tc>
          <w:tcPr>
            <w:tcW w:w="1444"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生活废水量</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1440</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591"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pH</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7</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达标</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591"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SS</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14.4</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4</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57.6</w:t>
            </w: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591"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BOD</w:t>
            </w:r>
            <w:r>
              <w:rPr>
                <w:rFonts w:ascii="Times New Roman" w:hAnsi="Times New Roman" w:eastAsia="宋体" w:cs="Times New Roman"/>
                <w:color w:val="FF0000"/>
                <w:szCs w:val="21"/>
                <w:vertAlign w:val="subscript"/>
              </w:rPr>
              <w:t>5</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14.4</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0.5</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7.2</w:t>
            </w: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591"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COD</w:t>
            </w:r>
            <w:r>
              <w:rPr>
                <w:rFonts w:ascii="Times New Roman" w:hAnsi="Times New Roman" w:eastAsia="宋体" w:cs="Times New Roman"/>
                <w:color w:val="FF0000"/>
                <w:szCs w:val="21"/>
                <w:vertAlign w:val="subscript"/>
              </w:rPr>
              <w:t>Cr</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64.8</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1</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64.8</w:t>
            </w: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591"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氨氮</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14.4</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0.8</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11.52</w:t>
            </w: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591" w:type="dxa"/>
            <w:vMerge w:val="continue"/>
            <w:tcBorders>
              <w:left w:val="nil"/>
              <w:bottom w:val="single" w:color="auto" w:sz="4" w:space="0"/>
              <w:right w:val="single" w:color="auto" w:sz="4" w:space="0"/>
            </w:tcBorders>
          </w:tcPr>
          <w:p>
            <w:pPr>
              <w:jc w:val="center"/>
              <w:rPr>
                <w:rFonts w:ascii="Times New Roman" w:hAnsi="Times New Roman" w:eastAsia="宋体" w:cs="Times New Roman"/>
                <w:color w:val="FF0000"/>
                <w:szCs w:val="21"/>
              </w:rPr>
            </w:pP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4438" w:type="dxa"/>
            <w:gridSpan w:val="4"/>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小计：</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493.92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固体废物</w:t>
            </w:r>
          </w:p>
        </w:tc>
        <w:tc>
          <w:tcPr>
            <w:tcW w:w="2035"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其他固体废物</w:t>
            </w:r>
          </w:p>
        </w:tc>
        <w:tc>
          <w:tcPr>
            <w:tcW w:w="132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9000</w:t>
            </w:r>
          </w:p>
        </w:tc>
        <w:tc>
          <w:tcPr>
            <w:tcW w:w="83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1</w:t>
            </w:r>
          </w:p>
        </w:tc>
        <w:tc>
          <w:tcPr>
            <w:tcW w:w="9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9000</w:t>
            </w:r>
          </w:p>
        </w:tc>
        <w:tc>
          <w:tcPr>
            <w:tcW w:w="13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25</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2035"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p>
        </w:tc>
        <w:tc>
          <w:tcPr>
            <w:tcW w:w="4438" w:type="dxa"/>
            <w:gridSpan w:val="4"/>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小计：</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合计</w:t>
            </w:r>
          </w:p>
        </w:tc>
        <w:tc>
          <w:tcPr>
            <w:tcW w:w="121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24782672</w:t>
            </w:r>
          </w:p>
        </w:tc>
      </w:tr>
    </w:tbl>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2）采取各项环保治理措施后各项目污染物的排放情况及应纳环保税</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（1）采取各种环保措施后各种污染排放情况</w:t>
      </w:r>
    </w:p>
    <w:p>
      <w:pPr>
        <w:spacing w:line="360" w:lineRule="auto"/>
        <w:ind w:firstLine="720" w:firstLineChars="3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废水：不外排；</w:t>
      </w:r>
    </w:p>
    <w:p>
      <w:pPr>
        <w:spacing w:line="360" w:lineRule="auto"/>
        <w:ind w:firstLine="720" w:firstLineChars="3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固体废物：不外排；</w:t>
      </w:r>
    </w:p>
    <w:p>
      <w:pPr>
        <w:spacing w:line="360" w:lineRule="auto"/>
        <w:ind w:firstLine="720" w:firstLineChars="3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噪声：厂界达标排放。</w:t>
      </w:r>
      <w:r>
        <w:rPr>
          <w:rFonts w:ascii="Times New Roman" w:hAnsi="Times New Roman" w:eastAsia="宋体" w:cs="Times New Roman"/>
          <w:color w:val="FF0000"/>
          <w:sz w:val="24"/>
          <w:szCs w:val="24"/>
        </w:rPr>
        <w:fldChar w:fldCharType="begin"/>
      </w:r>
      <w:r>
        <w:rPr>
          <w:rFonts w:ascii="Times New Roman" w:hAnsi="Times New Roman" w:eastAsia="宋体" w:cs="Times New Roman"/>
          <w:color w:val="FF0000"/>
          <w:sz w:val="24"/>
          <w:szCs w:val="24"/>
        </w:rPr>
        <w:instrText xml:space="preserve"> LINK Excel.Sheet.12 "工作簿1" "Sheet1!R4C2:R18C10" \a \f 5 \h  \* MERGEFORMAT </w:instrText>
      </w:r>
      <w:r>
        <w:rPr>
          <w:rFonts w:ascii="Times New Roman" w:hAnsi="Times New Roman" w:eastAsia="宋体" w:cs="Times New Roman"/>
          <w:color w:val="FF0000"/>
          <w:sz w:val="24"/>
          <w:szCs w:val="24"/>
        </w:rPr>
        <w:fldChar w:fldCharType="separate"/>
      </w:r>
      <w:bookmarkStart w:id="442" w:name="_1601363742"/>
      <w:bookmarkEnd w:id="442"/>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fldChar w:fldCharType="end"/>
      </w:r>
      <w:r>
        <w:rPr>
          <w:rFonts w:ascii="Times New Roman" w:hAnsi="Times New Roman" w:eastAsia="宋体" w:cs="Times New Roman"/>
          <w:color w:val="FF0000"/>
          <w:sz w:val="24"/>
          <w:szCs w:val="24"/>
        </w:rPr>
        <w:t>（2）采取各项环保措施后应纳环保税</w:t>
      </w:r>
    </w:p>
    <w:p>
      <w:pPr>
        <w:spacing w:line="360" w:lineRule="auto"/>
        <w:ind w:firstLine="480"/>
        <w:jc w:val="center"/>
        <w:rPr>
          <w:rFonts w:ascii="Times New Roman" w:hAnsi="Times New Roman" w:eastAsia="宋体" w:cs="Times New Roman"/>
          <w:b/>
          <w:color w:val="FF0000"/>
          <w:sz w:val="24"/>
          <w:szCs w:val="24"/>
        </w:rPr>
      </w:pPr>
      <w:r>
        <w:rPr>
          <w:rFonts w:ascii="Times New Roman" w:hAnsi="Times New Roman" w:eastAsia="宋体" w:cs="Times New Roman"/>
          <w:b/>
          <w:color w:val="FF0000"/>
          <w:sz w:val="24"/>
          <w:szCs w:val="24"/>
        </w:rPr>
        <w:t>表8.4-2  项目采取各项环保措施后应纳的环保税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608"/>
        <w:gridCol w:w="1461"/>
        <w:gridCol w:w="1340"/>
        <w:gridCol w:w="852"/>
        <w:gridCol w:w="973"/>
        <w:gridCol w:w="1340"/>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环境要素</w:t>
            </w:r>
          </w:p>
        </w:tc>
        <w:tc>
          <w:tcPr>
            <w:tcW w:w="2069"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污染物名称</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污染物排放量（千克）</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污染物当量值</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污染物当量数</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适用税额（元/污染当量）</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应纳税额（元）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大气污染物</w:t>
            </w:r>
          </w:p>
        </w:tc>
        <w:tc>
          <w:tcPr>
            <w:tcW w:w="2069"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SO</w:t>
            </w:r>
            <w:r>
              <w:rPr>
                <w:rFonts w:hint="eastAsia" w:ascii="Times New Roman" w:hAnsi="Times New Roman" w:eastAsia="宋体" w:cs="Times New Roman"/>
                <w:color w:val="FF0000"/>
                <w:szCs w:val="21"/>
                <w:vertAlign w:val="subscript"/>
              </w:rPr>
              <w:t>2</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2550</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0.95</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2422.5</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2.8</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6783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2069"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NO</w:t>
            </w:r>
            <w:r>
              <w:rPr>
                <w:rFonts w:hint="eastAsia" w:ascii="Times New Roman" w:hAnsi="Times New Roman" w:eastAsia="宋体" w:cs="Times New Roman"/>
                <w:color w:val="FF0000"/>
                <w:szCs w:val="21"/>
                <w:vertAlign w:val="subscript"/>
              </w:rPr>
              <w:t>X</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5100</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0.95</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4845</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2.8</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13566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2069"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烟尘</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325</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2.18</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708.5</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2.8</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1983.8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2069"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p>
        </w:tc>
        <w:tc>
          <w:tcPr>
            <w:tcW w:w="4505" w:type="dxa"/>
            <w:gridSpan w:val="4"/>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小计：</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22332.8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restart"/>
            <w:tcBorders>
              <w:left w:val="single" w:color="auto" w:sz="4" w:space="0"/>
              <w:right w:val="single" w:color="auto" w:sz="4" w:space="0"/>
            </w:tcBorders>
            <w:vAlign w:val="center"/>
          </w:tcPr>
          <w:p>
            <w:pPr>
              <w:jc w:val="left"/>
              <w:rPr>
                <w:rFonts w:ascii="Times New Roman" w:hAnsi="Times New Roman" w:eastAsia="宋体" w:cs="Times New Roman"/>
                <w:color w:val="FF0000"/>
                <w:szCs w:val="21"/>
              </w:rPr>
            </w:pPr>
            <w:r>
              <w:rPr>
                <w:rFonts w:ascii="Times New Roman" w:hAnsi="Times New Roman" w:eastAsia="宋体" w:cs="Times New Roman"/>
                <w:color w:val="FF0000"/>
                <w:szCs w:val="21"/>
              </w:rPr>
              <w:t>水污染物</w:t>
            </w:r>
          </w:p>
        </w:tc>
        <w:tc>
          <w:tcPr>
            <w:tcW w:w="608" w:type="dxa"/>
            <w:vMerge w:val="restart"/>
            <w:tcBorders>
              <w:top w:val="single" w:color="auto" w:sz="4" w:space="0"/>
              <w:left w:val="nil"/>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生活废水</w:t>
            </w:r>
          </w:p>
        </w:tc>
        <w:tc>
          <w:tcPr>
            <w:tcW w:w="1461" w:type="dxa"/>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生活废水量</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608"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pH</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7</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达标</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608"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SS</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4</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608"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BOD</w:t>
            </w:r>
            <w:r>
              <w:rPr>
                <w:rFonts w:ascii="Times New Roman" w:hAnsi="Times New Roman" w:eastAsia="宋体" w:cs="Times New Roman"/>
                <w:color w:val="FF0000"/>
                <w:szCs w:val="21"/>
                <w:vertAlign w:val="subscript"/>
              </w:rPr>
              <w:t>5</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0.5</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608"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COD</w:t>
            </w:r>
            <w:r>
              <w:rPr>
                <w:rFonts w:ascii="Times New Roman" w:hAnsi="Times New Roman" w:eastAsia="宋体" w:cs="Times New Roman"/>
                <w:color w:val="FF0000"/>
                <w:szCs w:val="21"/>
                <w:vertAlign w:val="subscript"/>
              </w:rPr>
              <w:t>Cr</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1</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left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608" w:type="dxa"/>
            <w:vMerge w:val="continue"/>
            <w:tcBorders>
              <w:left w:val="nil"/>
              <w:right w:val="single" w:color="auto" w:sz="4" w:space="0"/>
            </w:tcBorders>
          </w:tcPr>
          <w:p>
            <w:pPr>
              <w:jc w:val="center"/>
              <w:rPr>
                <w:rFonts w:ascii="Times New Roman" w:hAnsi="Times New Roman" w:eastAsia="宋体" w:cs="Times New Roman"/>
                <w:color w:val="FF0000"/>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氨氮</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0.8</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3.5</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608" w:type="dxa"/>
            <w:vMerge w:val="continue"/>
            <w:tcBorders>
              <w:left w:val="nil"/>
              <w:bottom w:val="single" w:color="auto" w:sz="4" w:space="0"/>
              <w:right w:val="single" w:color="auto" w:sz="4" w:space="0"/>
            </w:tcBorders>
          </w:tcPr>
          <w:p>
            <w:pPr>
              <w:jc w:val="center"/>
              <w:rPr>
                <w:rFonts w:ascii="Times New Roman" w:hAnsi="Times New Roman" w:eastAsia="宋体" w:cs="Times New Roman"/>
                <w:color w:val="FF0000"/>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小计：</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固体废物</w:t>
            </w:r>
          </w:p>
        </w:tc>
        <w:tc>
          <w:tcPr>
            <w:tcW w:w="2069"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其他固体废物</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1</w:t>
            </w: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25</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FF0000"/>
                <w:szCs w:val="21"/>
              </w:rPr>
            </w:pPr>
          </w:p>
        </w:tc>
        <w:tc>
          <w:tcPr>
            <w:tcW w:w="2069"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小计：</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2069" w:type="dxa"/>
            <w:gridSpan w:val="2"/>
            <w:tcBorders>
              <w:top w:val="single" w:color="auto" w:sz="4" w:space="0"/>
              <w:left w:val="nil"/>
              <w:bottom w:val="single" w:color="auto" w:sz="4" w:space="0"/>
              <w:right w:val="single" w:color="auto" w:sz="4" w:space="0"/>
            </w:tcBorders>
          </w:tcPr>
          <w:p>
            <w:pPr>
              <w:jc w:val="center"/>
              <w:rPr>
                <w:rFonts w:ascii="Times New Roman" w:hAnsi="Times New Roman" w:eastAsia="宋体" w:cs="Times New Roman"/>
                <w:color w:val="FF0000"/>
                <w:szCs w:val="21"/>
              </w:rPr>
            </w:pP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8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97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p>
        </w:tc>
        <w:tc>
          <w:tcPr>
            <w:tcW w:w="134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合计</w:t>
            </w:r>
          </w:p>
        </w:tc>
        <w:tc>
          <w:tcPr>
            <w:tcW w:w="109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22332.8</w:t>
            </w:r>
          </w:p>
        </w:tc>
      </w:tr>
    </w:tbl>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表8.4.2-1和表8.4.2-2中环保税金额差异</w:t>
      </w:r>
      <w:r>
        <w:rPr>
          <w:rFonts w:hint="eastAsia" w:ascii="Times New Roman" w:hAnsi="Times New Roman" w:eastAsia="宋体" w:cs="Times New Roman"/>
          <w:color w:val="FF0000"/>
          <w:sz w:val="24"/>
          <w:szCs w:val="24"/>
        </w:rPr>
        <w:t>225493.92</w:t>
      </w:r>
      <w:r>
        <w:rPr>
          <w:rFonts w:ascii="Times New Roman" w:hAnsi="Times New Roman" w:eastAsia="宋体" w:cs="Times New Roman"/>
          <w:color w:val="FF0000"/>
          <w:sz w:val="24"/>
          <w:szCs w:val="24"/>
        </w:rPr>
        <w:t>元，由此可以看出采取各种环保措施后，可直接减少环保税</w:t>
      </w:r>
      <w:r>
        <w:rPr>
          <w:rFonts w:hint="eastAsia" w:ascii="Times New Roman" w:hAnsi="Times New Roman" w:eastAsia="宋体" w:cs="Times New Roman"/>
          <w:color w:val="FF0000"/>
          <w:sz w:val="24"/>
          <w:szCs w:val="24"/>
        </w:rPr>
        <w:t>225493.92</w:t>
      </w:r>
      <w:r>
        <w:rPr>
          <w:rFonts w:ascii="Times New Roman" w:hAnsi="Times New Roman" w:eastAsia="宋体" w:cs="Times New Roman"/>
          <w:color w:val="FF0000"/>
          <w:sz w:val="24"/>
          <w:szCs w:val="24"/>
        </w:rPr>
        <w:t>元/a。</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3）污染防治措施经济效益分析</w:t>
      </w:r>
    </w:p>
    <w:p>
      <w:pPr>
        <w:spacing w:line="360" w:lineRule="auto"/>
        <w:ind w:firstLine="48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项目建设需要投入</w:t>
      </w:r>
      <w:r>
        <w:rPr>
          <w:rFonts w:hint="eastAsia" w:ascii="Times New Roman" w:hAnsi="Times New Roman" w:eastAsia="宋体" w:cs="Times New Roman"/>
          <w:color w:val="FF0000"/>
          <w:sz w:val="24"/>
          <w:szCs w:val="24"/>
        </w:rPr>
        <w:t>206</w:t>
      </w:r>
      <w:r>
        <w:rPr>
          <w:rFonts w:ascii="Times New Roman" w:hAnsi="Times New Roman" w:eastAsia="宋体" w:cs="Times New Roman"/>
          <w:color w:val="FF0000"/>
          <w:sz w:val="24"/>
          <w:szCs w:val="24"/>
        </w:rPr>
        <w:t>万元的环保设施费用，但是每年将为建设单位节省</w:t>
      </w:r>
      <w:r>
        <w:rPr>
          <w:rFonts w:hint="eastAsia" w:ascii="Times New Roman" w:hAnsi="Times New Roman" w:eastAsia="宋体" w:cs="Times New Roman"/>
          <w:color w:val="FF0000"/>
          <w:sz w:val="24"/>
          <w:szCs w:val="24"/>
        </w:rPr>
        <w:t>225493.92</w:t>
      </w:r>
      <w:r>
        <w:rPr>
          <w:rFonts w:ascii="Times New Roman" w:hAnsi="Times New Roman" w:eastAsia="宋体" w:cs="Times New Roman"/>
          <w:color w:val="FF0000"/>
          <w:sz w:val="24"/>
          <w:szCs w:val="24"/>
        </w:rPr>
        <w:t>元/a环保税，再减去每年的环保设施运行费用</w:t>
      </w:r>
      <w:r>
        <w:rPr>
          <w:rFonts w:hint="eastAsia" w:ascii="Times New Roman" w:hAnsi="Times New Roman" w:eastAsia="宋体" w:cs="Times New Roman"/>
          <w:color w:val="FF0000"/>
          <w:sz w:val="24"/>
          <w:szCs w:val="24"/>
        </w:rPr>
        <w:t>8.5</w:t>
      </w:r>
      <w:r>
        <w:rPr>
          <w:rFonts w:ascii="Times New Roman" w:hAnsi="Times New Roman" w:eastAsia="宋体" w:cs="Times New Roman"/>
          <w:color w:val="FF0000"/>
          <w:sz w:val="24"/>
          <w:szCs w:val="24"/>
        </w:rPr>
        <w:t>万元，污染防治经济效益</w:t>
      </w:r>
      <w:r>
        <w:rPr>
          <w:rFonts w:hint="eastAsia" w:ascii="Times New Roman" w:hAnsi="Times New Roman" w:eastAsia="宋体" w:cs="Times New Roman"/>
          <w:color w:val="FF0000"/>
          <w:sz w:val="24"/>
          <w:szCs w:val="24"/>
        </w:rPr>
        <w:t>140493.92</w:t>
      </w:r>
      <w:r>
        <w:rPr>
          <w:rFonts w:ascii="Times New Roman" w:hAnsi="Times New Roman" w:eastAsia="宋体" w:cs="Times New Roman"/>
          <w:color w:val="FF0000"/>
          <w:sz w:val="24"/>
          <w:szCs w:val="24"/>
        </w:rPr>
        <w:t>元/a。所以项目污染防治措施的经济效益是显著的。</w:t>
      </w:r>
    </w:p>
    <w:bookmarkEnd w:id="441"/>
    <w:p>
      <w:pPr>
        <w:pStyle w:val="5"/>
        <w:ind w:firstLine="562"/>
        <w:rPr>
          <w:rFonts w:hAnsi="Times New Roman"/>
        </w:rPr>
      </w:pPr>
      <w:bookmarkStart w:id="443" w:name="_Toc352094712"/>
      <w:bookmarkStart w:id="444" w:name="_Toc485221000"/>
      <w:bookmarkStart w:id="445" w:name="_Toc477525479"/>
      <w:bookmarkStart w:id="446" w:name="_Toc4516"/>
      <w:bookmarkStart w:id="447" w:name="_Toc481509612"/>
      <w:bookmarkStart w:id="448" w:name="_Toc6847"/>
      <w:bookmarkStart w:id="449" w:name="_Toc529463354"/>
      <w:bookmarkStart w:id="450" w:name="_Toc9258"/>
      <w:r>
        <w:rPr>
          <w:rFonts w:hAnsi="Times New Roman"/>
        </w:rPr>
        <w:t xml:space="preserve">8.5 </w:t>
      </w:r>
      <w:bookmarkEnd w:id="443"/>
      <w:bookmarkEnd w:id="444"/>
      <w:bookmarkEnd w:id="445"/>
      <w:bookmarkEnd w:id="446"/>
      <w:bookmarkEnd w:id="447"/>
      <w:bookmarkStart w:id="451" w:name="_Toc485221001"/>
      <w:bookmarkStart w:id="452" w:name="_Toc477525480"/>
      <w:bookmarkStart w:id="453" w:name="_Toc280300709"/>
      <w:bookmarkStart w:id="454" w:name="_Toc238739082"/>
      <w:bookmarkStart w:id="455" w:name="_Toc1294"/>
      <w:bookmarkStart w:id="456" w:name="_Toc352094713"/>
      <w:bookmarkStart w:id="457" w:name="_Toc239060871"/>
      <w:r>
        <w:rPr>
          <w:rFonts w:hAnsi="Times New Roman"/>
        </w:rPr>
        <w:t>社会效益</w:t>
      </w:r>
      <w:bookmarkEnd w:id="448"/>
      <w:bookmarkEnd w:id="449"/>
      <w:bookmarkEnd w:id="450"/>
      <w:bookmarkEnd w:id="451"/>
      <w:bookmarkEnd w:id="452"/>
    </w:p>
    <w:bookmarkEnd w:id="453"/>
    <w:bookmarkEnd w:id="454"/>
    <w:bookmarkEnd w:id="455"/>
    <w:bookmarkEnd w:id="456"/>
    <w:bookmarkEnd w:id="457"/>
    <w:p>
      <w:pPr>
        <w:spacing w:line="360" w:lineRule="auto"/>
        <w:ind w:firstLine="480" w:firstLineChars="200"/>
        <w:rPr>
          <w:rFonts w:ascii="Times New Roman" w:hAnsi="Times New Roman" w:eastAsia="宋体" w:cs="Times New Roman"/>
          <w:color w:val="FF0000"/>
          <w:sz w:val="24"/>
          <w:szCs w:val="20"/>
        </w:rPr>
      </w:pPr>
      <w:r>
        <w:rPr>
          <w:rFonts w:ascii="Times New Roman" w:hAnsi="Times New Roman" w:eastAsia="宋体" w:cs="Times New Roman"/>
          <w:color w:val="FF0000"/>
          <w:sz w:val="24"/>
          <w:szCs w:val="20"/>
        </w:rPr>
        <w:t>该项目的建设具有显著的社会效益：</w:t>
      </w:r>
    </w:p>
    <w:p>
      <w:pPr>
        <w:spacing w:line="360" w:lineRule="auto"/>
        <w:ind w:firstLine="480" w:firstLineChars="200"/>
        <w:rPr>
          <w:rFonts w:ascii="Times New Roman" w:hAnsi="Times New Roman" w:eastAsia="宋体" w:cs="Times New Roman"/>
          <w:color w:val="FF0000"/>
          <w:sz w:val="24"/>
          <w:szCs w:val="20"/>
        </w:rPr>
      </w:pPr>
      <w:r>
        <w:rPr>
          <w:rFonts w:ascii="Times New Roman" w:hAnsi="Times New Roman" w:eastAsia="宋体" w:cs="Times New Roman"/>
          <w:color w:val="FF0000"/>
          <w:sz w:val="24"/>
          <w:szCs w:val="20"/>
        </w:rPr>
        <w:t>1）项目的建成投产，直接带动就业人员</w:t>
      </w:r>
      <w:r>
        <w:rPr>
          <w:rFonts w:hint="eastAsia" w:ascii="Times New Roman" w:hAnsi="Times New Roman" w:eastAsia="宋体" w:cs="Times New Roman"/>
          <w:color w:val="FF0000"/>
          <w:sz w:val="24"/>
          <w:szCs w:val="20"/>
        </w:rPr>
        <w:t>70</w:t>
      </w:r>
      <w:r>
        <w:rPr>
          <w:rFonts w:ascii="Times New Roman" w:hAnsi="Times New Roman" w:eastAsia="宋体" w:cs="Times New Roman"/>
          <w:color w:val="FF0000"/>
          <w:sz w:val="24"/>
          <w:szCs w:val="20"/>
        </w:rPr>
        <w:t>人；</w:t>
      </w:r>
    </w:p>
    <w:p>
      <w:pPr>
        <w:spacing w:line="360" w:lineRule="auto"/>
        <w:ind w:firstLine="480" w:firstLineChars="200"/>
        <w:rPr>
          <w:rFonts w:ascii="Times New Roman" w:hAnsi="Times New Roman" w:eastAsia="宋体" w:cs="Times New Roman"/>
          <w:color w:val="FF0000"/>
          <w:sz w:val="24"/>
          <w:szCs w:val="20"/>
        </w:rPr>
      </w:pPr>
      <w:r>
        <w:rPr>
          <w:rFonts w:ascii="Times New Roman" w:hAnsi="Times New Roman" w:eastAsia="宋体" w:cs="Times New Roman"/>
          <w:color w:val="FF0000"/>
          <w:sz w:val="24"/>
          <w:szCs w:val="20"/>
        </w:rPr>
        <w:t>2）项目建成带动</w:t>
      </w:r>
      <w:r>
        <w:rPr>
          <w:rFonts w:hint="eastAsia" w:ascii="Times New Roman" w:hAnsi="Times New Roman" w:eastAsia="宋体" w:cs="Times New Roman"/>
          <w:color w:val="FF0000"/>
          <w:sz w:val="24"/>
          <w:szCs w:val="20"/>
        </w:rPr>
        <w:t>元谋</w:t>
      </w:r>
      <w:r>
        <w:rPr>
          <w:rFonts w:ascii="Times New Roman" w:hAnsi="Times New Roman" w:eastAsia="宋体" w:cs="Times New Roman"/>
          <w:color w:val="FF0000"/>
          <w:sz w:val="24"/>
          <w:szCs w:val="20"/>
        </w:rPr>
        <w:t>县果蔬包装行业；</w:t>
      </w:r>
    </w:p>
    <w:p>
      <w:pPr>
        <w:spacing w:line="360" w:lineRule="auto"/>
        <w:ind w:firstLine="480" w:firstLineChars="200"/>
        <w:rPr>
          <w:rFonts w:ascii="Times New Roman" w:hAnsi="Times New Roman" w:eastAsia="宋体" w:cs="Times New Roman"/>
          <w:color w:val="FF0000"/>
          <w:sz w:val="24"/>
          <w:szCs w:val="20"/>
        </w:rPr>
      </w:pPr>
      <w:r>
        <w:rPr>
          <w:rFonts w:ascii="Times New Roman" w:hAnsi="Times New Roman" w:eastAsia="宋体" w:cs="Times New Roman"/>
          <w:color w:val="FF0000"/>
          <w:sz w:val="24"/>
          <w:szCs w:val="20"/>
        </w:rPr>
        <w:t>3）项目的实施既可节约传统包装纸类使用，又可使企业实现年利润500万元，取得良好的社会效益和经济效益，从而达到资源利用的的可持续性发展。</w:t>
      </w:r>
    </w:p>
    <w:p>
      <w:pPr>
        <w:widowControl/>
        <w:jc w:val="left"/>
        <w:rPr>
          <w:rFonts w:ascii="Times New Roman" w:hAnsi="Times New Roman" w:eastAsia="宋体" w:cs="Times New Roman"/>
          <w:color w:val="FF0000"/>
          <w:sz w:val="24"/>
          <w:szCs w:val="20"/>
        </w:rPr>
      </w:pPr>
      <w:r>
        <w:rPr>
          <w:rFonts w:ascii="Times New Roman" w:hAnsi="Times New Roman" w:eastAsia="宋体" w:cs="Times New Roman"/>
          <w:color w:val="FF0000"/>
          <w:sz w:val="24"/>
          <w:szCs w:val="20"/>
        </w:rPr>
        <w:br w:type="page"/>
      </w:r>
    </w:p>
    <w:p>
      <w:pPr>
        <w:pStyle w:val="4"/>
        <w:ind w:firstLine="602"/>
      </w:pPr>
      <w:bookmarkStart w:id="458" w:name="_Toc529463355"/>
      <w:bookmarkStart w:id="459" w:name="_Toc485221012"/>
      <w:bookmarkStart w:id="460" w:name="_Toc13985"/>
      <w:bookmarkStart w:id="461" w:name="_Toc421541613"/>
      <w:bookmarkStart w:id="462" w:name="_Toc416699818"/>
      <w:bookmarkStart w:id="463" w:name="_Toc415683419"/>
      <w:bookmarkStart w:id="464" w:name="_Toc24715"/>
      <w:bookmarkStart w:id="465" w:name="_Toc193879968"/>
      <w:bookmarkStart w:id="466" w:name="_Toc192469219"/>
      <w:bookmarkStart w:id="467" w:name="_Toc186989037"/>
      <w:bookmarkStart w:id="468" w:name="_Toc29693"/>
      <w:bookmarkStart w:id="469" w:name="_Toc13684"/>
      <w:r>
        <w:t>9 环境管理与监测计划</w:t>
      </w:r>
      <w:bookmarkEnd w:id="458"/>
      <w:bookmarkEnd w:id="459"/>
      <w:bookmarkEnd w:id="460"/>
      <w:bookmarkEnd w:id="461"/>
      <w:bookmarkEnd w:id="462"/>
      <w:bookmarkEnd w:id="463"/>
      <w:bookmarkEnd w:id="464"/>
      <w:bookmarkEnd w:id="465"/>
      <w:bookmarkEnd w:id="466"/>
      <w:bookmarkEnd w:id="467"/>
      <w:bookmarkEnd w:id="468"/>
      <w:bookmarkEnd w:id="469"/>
    </w:p>
    <w:p>
      <w:pPr>
        <w:pStyle w:val="5"/>
        <w:numPr>
          <w:ilvl w:val="1"/>
          <w:numId w:val="0"/>
        </w:numPr>
        <w:ind w:firstLine="562"/>
        <w:rPr>
          <w:rFonts w:hAnsi="Times New Roman"/>
        </w:rPr>
      </w:pPr>
      <w:bookmarkStart w:id="470" w:name="_Toc257900159"/>
      <w:bookmarkStart w:id="471" w:name="_Toc241291837"/>
      <w:bookmarkStart w:id="472" w:name="_Toc254159707"/>
      <w:bookmarkStart w:id="473" w:name="_Toc267150082"/>
      <w:bookmarkStart w:id="474" w:name="_Toc277829933"/>
      <w:bookmarkStart w:id="475" w:name="_Toc16802"/>
      <w:bookmarkStart w:id="476" w:name="_Toc9024"/>
      <w:bookmarkStart w:id="477" w:name="_Toc415683420"/>
      <w:bookmarkStart w:id="478" w:name="_Toc416699819"/>
      <w:bookmarkStart w:id="479" w:name="_Toc421541614"/>
      <w:bookmarkStart w:id="480" w:name="_Toc485221013"/>
      <w:bookmarkStart w:id="481" w:name="_Toc529463356"/>
      <w:bookmarkStart w:id="482" w:name="_Toc4017"/>
      <w:bookmarkStart w:id="483" w:name="_Toc26009"/>
      <w:r>
        <w:rPr>
          <w:rFonts w:hAnsi="Times New Roman"/>
        </w:rPr>
        <w:t>9.1</w:t>
      </w:r>
      <w:bookmarkEnd w:id="470"/>
      <w:bookmarkEnd w:id="471"/>
      <w:bookmarkEnd w:id="472"/>
      <w:bookmarkEnd w:id="473"/>
      <w:bookmarkEnd w:id="474"/>
      <w:bookmarkEnd w:id="475"/>
      <w:bookmarkEnd w:id="476"/>
      <w:bookmarkEnd w:id="477"/>
      <w:bookmarkEnd w:id="478"/>
      <w:bookmarkEnd w:id="479"/>
      <w:bookmarkEnd w:id="480"/>
      <w:r>
        <w:rPr>
          <w:rFonts w:hAnsi="Times New Roman"/>
        </w:rPr>
        <w:t xml:space="preserve"> 项目污染物排放情况和企业信息公开</w:t>
      </w:r>
      <w:bookmarkEnd w:id="481"/>
      <w:bookmarkEnd w:id="482"/>
      <w:bookmarkEnd w:id="483"/>
    </w:p>
    <w:p>
      <w:pPr>
        <w:pStyle w:val="6"/>
        <w:spacing w:line="360" w:lineRule="auto"/>
        <w:ind w:firstLine="482" w:firstLineChars="200"/>
        <w:rPr>
          <w:rFonts w:ascii="Times New Roman" w:hAnsi="Times New Roman" w:eastAsia="宋体" w:cs="Times New Roman"/>
          <w:sz w:val="24"/>
        </w:rPr>
      </w:pPr>
      <w:bookmarkStart w:id="484" w:name="_Toc529463357"/>
      <w:bookmarkStart w:id="485" w:name="_Toc24653"/>
      <w:r>
        <w:rPr>
          <w:rFonts w:ascii="Times New Roman" w:hAnsi="Times New Roman" w:eastAsia="宋体" w:cs="Times New Roman"/>
          <w:sz w:val="24"/>
        </w:rPr>
        <w:t>9.1.1 项目污染物排放情况</w:t>
      </w:r>
      <w:bookmarkEnd w:id="484"/>
      <w:bookmarkEnd w:id="485"/>
    </w:p>
    <w:p>
      <w:pPr>
        <w:spacing w:line="360" w:lineRule="auto"/>
        <w:ind w:firstLine="47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项目污染物排放情况见表9.1-1。</w:t>
      </w:r>
    </w:p>
    <w:p>
      <w:pPr>
        <w:spacing w:line="360" w:lineRule="auto"/>
        <w:ind w:firstLine="472"/>
        <w:jc w:val="center"/>
        <w:rPr>
          <w:rFonts w:ascii="Times New Roman" w:hAnsi="Times New Roman"/>
          <w:b/>
          <w:color w:val="FF0000"/>
          <w:sz w:val="24"/>
          <w:szCs w:val="24"/>
        </w:rPr>
      </w:pPr>
      <w:r>
        <w:rPr>
          <w:rFonts w:ascii="Times New Roman" w:hAnsi="Times New Roman"/>
          <w:b/>
          <w:color w:val="FF0000"/>
          <w:sz w:val="24"/>
          <w:szCs w:val="24"/>
        </w:rPr>
        <w:t>表9.1-1  项目污染物排放清单</w:t>
      </w:r>
    </w:p>
    <w:tbl>
      <w:tblPr>
        <w:tblStyle w:val="19"/>
        <w:tblW w:w="878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429"/>
        <w:gridCol w:w="843"/>
        <w:gridCol w:w="849"/>
        <w:gridCol w:w="789"/>
        <w:gridCol w:w="2202"/>
        <w:gridCol w:w="1483"/>
        <w:gridCol w:w="706"/>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43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b/>
                <w:bCs/>
                <w:color w:val="000000"/>
              </w:rPr>
            </w:pPr>
            <w:r>
              <w:rPr>
                <w:rFonts w:ascii="Times New Roman" w:hAnsi="Times New Roman"/>
                <w:b/>
                <w:bCs/>
                <w:color w:val="000000"/>
              </w:rPr>
              <w:t>类型内容</w:t>
            </w:r>
          </w:p>
        </w:tc>
        <w:tc>
          <w:tcPr>
            <w:tcW w:w="42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b/>
                <w:bCs/>
                <w:color w:val="000000"/>
              </w:rPr>
            </w:pPr>
            <w:r>
              <w:rPr>
                <w:rFonts w:ascii="Times New Roman" w:hAnsi="Times New Roman"/>
                <w:b/>
                <w:bCs/>
                <w:color w:val="000000"/>
              </w:rPr>
              <w:t>排放源</w:t>
            </w:r>
          </w:p>
        </w:tc>
        <w:tc>
          <w:tcPr>
            <w:tcW w:w="843"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b/>
                <w:bCs/>
                <w:color w:val="000000"/>
              </w:rPr>
            </w:pPr>
            <w:r>
              <w:rPr>
                <w:rFonts w:ascii="Times New Roman" w:hAnsi="Times New Roman"/>
                <w:b/>
                <w:bCs/>
                <w:color w:val="000000"/>
              </w:rPr>
              <w:t>污染物名称</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b/>
                <w:bCs/>
                <w:color w:val="000000"/>
              </w:rPr>
            </w:pPr>
            <w:r>
              <w:rPr>
                <w:rFonts w:ascii="Times New Roman" w:hAnsi="Times New Roman"/>
                <w:b/>
                <w:bCs/>
                <w:color w:val="000000"/>
              </w:rPr>
              <w:t>排放量t/a</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b/>
                <w:bCs/>
                <w:color w:val="000000"/>
              </w:rPr>
            </w:pPr>
            <w:r>
              <w:rPr>
                <w:rFonts w:ascii="Times New Roman" w:hAnsi="Times New Roman"/>
                <w:b/>
                <w:bCs/>
                <w:color w:val="000000"/>
              </w:rPr>
              <w:t>排放速率kg/h</w:t>
            </w:r>
          </w:p>
        </w:tc>
        <w:tc>
          <w:tcPr>
            <w:tcW w:w="2202"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b/>
                <w:bCs/>
                <w:color w:val="000000"/>
              </w:rPr>
            </w:pPr>
            <w:r>
              <w:rPr>
                <w:rFonts w:ascii="Times New Roman" w:hAnsi="Times New Roman"/>
                <w:b/>
                <w:bCs/>
                <w:color w:val="000000"/>
              </w:rPr>
              <w:t>处理措施</w:t>
            </w:r>
          </w:p>
        </w:tc>
        <w:tc>
          <w:tcPr>
            <w:tcW w:w="1483"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b/>
                <w:bCs/>
                <w:color w:val="000000"/>
              </w:rPr>
            </w:pPr>
            <w:r>
              <w:rPr>
                <w:rFonts w:ascii="Times New Roman" w:hAnsi="Times New Roman"/>
                <w:b/>
                <w:bCs/>
                <w:color w:val="000000"/>
              </w:rPr>
              <w:t>排放情况</w:t>
            </w:r>
          </w:p>
        </w:tc>
        <w:tc>
          <w:tcPr>
            <w:tcW w:w="706"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b/>
                <w:bCs/>
                <w:color w:val="000000"/>
              </w:rPr>
            </w:pPr>
            <w:r>
              <w:rPr>
                <w:rFonts w:ascii="Times New Roman" w:hAnsi="Times New Roman"/>
                <w:b/>
                <w:bCs/>
                <w:color w:val="000000"/>
              </w:rPr>
              <w:t>达标情况</w:t>
            </w:r>
          </w:p>
        </w:tc>
        <w:tc>
          <w:tcPr>
            <w:tcW w:w="1054"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b/>
                <w:bCs/>
                <w:color w:val="000000"/>
              </w:rPr>
            </w:pPr>
            <w:r>
              <w:rPr>
                <w:rFonts w:ascii="Times New Roman" w:hAnsi="Times New Roman"/>
                <w:b/>
                <w:bCs/>
                <w:color w:val="000000"/>
              </w:rPr>
              <w:t>排污口信息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31" w:type="dxa"/>
            <w:vMerge w:val="restart"/>
            <w:tcBorders>
              <w:top w:val="nil"/>
              <w:left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大气污染物</w:t>
            </w:r>
          </w:p>
        </w:tc>
        <w:tc>
          <w:tcPr>
            <w:tcW w:w="429" w:type="dxa"/>
            <w:vMerge w:val="restart"/>
            <w:tcBorders>
              <w:top w:val="nil"/>
              <w:left w:val="nil"/>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厂房</w:t>
            </w:r>
          </w:p>
        </w:tc>
        <w:tc>
          <w:tcPr>
            <w:tcW w:w="843"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SO</w:t>
            </w:r>
            <w:r>
              <w:rPr>
                <w:rFonts w:hint="eastAsia" w:ascii="Times New Roman" w:hAnsi="Times New Roman"/>
                <w:color w:val="000000"/>
                <w:vertAlign w:val="subscript"/>
              </w:rPr>
              <w:t>2</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2.55</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0.35</w:t>
            </w:r>
          </w:p>
        </w:tc>
        <w:tc>
          <w:tcPr>
            <w:tcW w:w="2202" w:type="dxa"/>
            <w:tcBorders>
              <w:top w:val="nil"/>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w:t>
            </w:r>
          </w:p>
        </w:tc>
        <w:tc>
          <w:tcPr>
            <w:tcW w:w="1483" w:type="dxa"/>
            <w:vMerge w:val="restart"/>
            <w:tcBorders>
              <w:top w:val="nil"/>
              <w:left w:val="nil"/>
              <w:right w:val="single" w:color="auto" w:sz="4" w:space="0"/>
            </w:tcBorders>
            <w:vAlign w:val="center"/>
          </w:tcPr>
          <w:p>
            <w:pPr>
              <w:jc w:val="center"/>
              <w:rPr>
                <w:rFonts w:ascii="Times New Roman" w:hAnsi="Times New Roman"/>
                <w:color w:val="000000"/>
              </w:rPr>
            </w:pPr>
            <w:r>
              <w:rPr>
                <w:rFonts w:ascii="Times New Roman" w:hAnsi="Times New Roman"/>
                <w:color w:val="000000"/>
              </w:rPr>
              <w:t>执行</w:t>
            </w:r>
            <w:r>
              <w:rPr>
                <w:rFonts w:hint="eastAsia" w:ascii="Times New Roman" w:hAnsi="Times New Roman"/>
                <w:color w:val="000000"/>
              </w:rPr>
              <w:t>《锅炉大气污染物排放标准》（GB13271-2014）</w:t>
            </w:r>
            <w:r>
              <w:rPr>
                <w:rFonts w:ascii="Times New Roman" w:hAnsi="Times New Roman"/>
                <w:color w:val="000000"/>
              </w:rPr>
              <w:t>相关要求</w:t>
            </w:r>
          </w:p>
        </w:tc>
        <w:tc>
          <w:tcPr>
            <w:tcW w:w="706"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达标</w:t>
            </w:r>
          </w:p>
        </w:tc>
        <w:tc>
          <w:tcPr>
            <w:tcW w:w="1054" w:type="dxa"/>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 w:type="dxa"/>
            <w:vMerge w:val="continue"/>
            <w:tcBorders>
              <w:left w:val="single" w:color="auto" w:sz="4" w:space="0"/>
              <w:right w:val="single" w:color="auto" w:sz="4" w:space="0"/>
            </w:tcBorders>
            <w:vAlign w:val="center"/>
          </w:tcPr>
          <w:p>
            <w:pPr>
              <w:widowControl/>
              <w:jc w:val="center"/>
              <w:rPr>
                <w:rFonts w:ascii="Times New Roman" w:hAnsi="Times New Roman"/>
                <w:color w:val="000000"/>
              </w:rPr>
            </w:pPr>
          </w:p>
        </w:tc>
        <w:tc>
          <w:tcPr>
            <w:tcW w:w="429" w:type="dxa"/>
            <w:vMerge w:val="continue"/>
            <w:tcBorders>
              <w:left w:val="nil"/>
              <w:right w:val="single" w:color="auto" w:sz="4" w:space="0"/>
            </w:tcBorders>
            <w:vAlign w:val="center"/>
          </w:tcPr>
          <w:p>
            <w:pPr>
              <w:widowControl/>
              <w:jc w:val="center"/>
              <w:rPr>
                <w:rFonts w:ascii="Times New Roman" w:hAnsi="Times New Roman"/>
                <w:color w:val="000000"/>
              </w:rPr>
            </w:pPr>
          </w:p>
        </w:tc>
        <w:tc>
          <w:tcPr>
            <w:tcW w:w="843"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NO</w:t>
            </w:r>
            <w:r>
              <w:rPr>
                <w:rFonts w:hint="eastAsia" w:ascii="Times New Roman" w:hAnsi="Times New Roman"/>
                <w:color w:val="000000"/>
                <w:vertAlign w:val="subscript"/>
              </w:rPr>
              <w:t>X</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5.1</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0.7</w:t>
            </w:r>
          </w:p>
        </w:tc>
        <w:tc>
          <w:tcPr>
            <w:tcW w:w="2202" w:type="dxa"/>
            <w:tcBorders>
              <w:top w:val="nil"/>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w:t>
            </w:r>
          </w:p>
        </w:tc>
        <w:tc>
          <w:tcPr>
            <w:tcW w:w="1483" w:type="dxa"/>
            <w:vMerge w:val="continue"/>
            <w:tcBorders>
              <w:left w:val="nil"/>
              <w:right w:val="single" w:color="auto" w:sz="4" w:space="0"/>
            </w:tcBorders>
            <w:vAlign w:val="center"/>
          </w:tcPr>
          <w:p>
            <w:pPr>
              <w:widowControl/>
              <w:jc w:val="center"/>
              <w:rPr>
                <w:rFonts w:ascii="Times New Roman" w:hAnsi="Times New Roman"/>
                <w:color w:val="000000"/>
              </w:rPr>
            </w:pPr>
          </w:p>
        </w:tc>
        <w:tc>
          <w:tcPr>
            <w:tcW w:w="706"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达标</w:t>
            </w:r>
          </w:p>
        </w:tc>
        <w:tc>
          <w:tcPr>
            <w:tcW w:w="1054"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r>
              <w:rPr>
                <w:rFonts w:hint="eastAsia" w:ascii="Times New Roman" w:hAnsi="Times New Roman"/>
                <w:color w:val="000000"/>
              </w:rPr>
              <w:t>有</w:t>
            </w:r>
            <w:r>
              <w:rPr>
                <w:rFonts w:ascii="Times New Roman" w:hAnsi="Times New Roman"/>
                <w:color w:val="000000"/>
              </w:rPr>
              <w:t>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 w:type="dxa"/>
            <w:vMerge w:val="continue"/>
            <w:tcBorders>
              <w:left w:val="single" w:color="auto" w:sz="4" w:space="0"/>
              <w:right w:val="single" w:color="auto" w:sz="4" w:space="0"/>
            </w:tcBorders>
            <w:vAlign w:val="center"/>
          </w:tcPr>
          <w:p>
            <w:pPr>
              <w:widowControl/>
              <w:jc w:val="center"/>
              <w:rPr>
                <w:rFonts w:ascii="Times New Roman" w:hAnsi="Times New Roman"/>
                <w:color w:val="000000"/>
              </w:rPr>
            </w:pPr>
          </w:p>
        </w:tc>
        <w:tc>
          <w:tcPr>
            <w:tcW w:w="429" w:type="dxa"/>
            <w:vMerge w:val="continue"/>
            <w:tcBorders>
              <w:left w:val="nil"/>
              <w:right w:val="single" w:color="auto" w:sz="4" w:space="0"/>
            </w:tcBorders>
            <w:vAlign w:val="center"/>
          </w:tcPr>
          <w:p>
            <w:pPr>
              <w:widowControl/>
              <w:jc w:val="center"/>
              <w:rPr>
                <w:rFonts w:ascii="Times New Roman" w:hAnsi="Times New Roman"/>
                <w:color w:val="000000"/>
              </w:rPr>
            </w:pPr>
          </w:p>
        </w:tc>
        <w:tc>
          <w:tcPr>
            <w:tcW w:w="843"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烟尘</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0.325</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0.026</w:t>
            </w:r>
          </w:p>
        </w:tc>
        <w:tc>
          <w:tcPr>
            <w:tcW w:w="2202" w:type="dxa"/>
            <w:tcBorders>
              <w:top w:val="nil"/>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水膜收尘除尘</w:t>
            </w:r>
            <w:r>
              <w:rPr>
                <w:rFonts w:ascii="Times New Roman" w:hAnsi="Times New Roman"/>
                <w:color w:val="000000"/>
              </w:rPr>
              <w:t>器+</w:t>
            </w:r>
            <w:r>
              <w:rPr>
                <w:rFonts w:hint="eastAsia" w:ascii="Times New Roman" w:hAnsi="Times New Roman"/>
                <w:color w:val="000000"/>
              </w:rPr>
              <w:t>40</w:t>
            </w:r>
            <w:r>
              <w:rPr>
                <w:rFonts w:ascii="Times New Roman" w:hAnsi="Times New Roman"/>
                <w:color w:val="000000"/>
              </w:rPr>
              <w:t>m高的排气筒</w:t>
            </w:r>
          </w:p>
        </w:tc>
        <w:tc>
          <w:tcPr>
            <w:tcW w:w="1483" w:type="dxa"/>
            <w:vMerge w:val="continue"/>
            <w:tcBorders>
              <w:left w:val="nil"/>
              <w:right w:val="single" w:color="auto" w:sz="4" w:space="0"/>
            </w:tcBorders>
            <w:vAlign w:val="center"/>
          </w:tcPr>
          <w:p>
            <w:pPr>
              <w:widowControl/>
              <w:jc w:val="center"/>
              <w:rPr>
                <w:rFonts w:ascii="Times New Roman" w:hAnsi="Times New Roman"/>
                <w:color w:val="000000"/>
              </w:rPr>
            </w:pPr>
          </w:p>
        </w:tc>
        <w:tc>
          <w:tcPr>
            <w:tcW w:w="706"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达标</w:t>
            </w:r>
          </w:p>
        </w:tc>
        <w:tc>
          <w:tcPr>
            <w:tcW w:w="1054"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r>
              <w:rPr>
                <w:rFonts w:ascii="Times New Roman" w:hAnsi="Times New Roman"/>
                <w:color w:val="000000"/>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31" w:type="dxa"/>
            <w:vMerge w:val="continue"/>
            <w:tcBorders>
              <w:left w:val="single" w:color="auto" w:sz="4" w:space="0"/>
              <w:right w:val="single" w:color="auto" w:sz="4" w:space="0"/>
            </w:tcBorders>
            <w:vAlign w:val="center"/>
          </w:tcPr>
          <w:p>
            <w:pPr>
              <w:jc w:val="center"/>
              <w:rPr>
                <w:rFonts w:ascii="Times New Roman" w:hAnsi="Times New Roman"/>
                <w:color w:val="000000"/>
              </w:rPr>
            </w:pPr>
          </w:p>
        </w:tc>
        <w:tc>
          <w:tcPr>
            <w:tcW w:w="429" w:type="dxa"/>
            <w:vMerge w:val="continue"/>
            <w:tcBorders>
              <w:left w:val="nil"/>
              <w:bottom w:val="single" w:color="auto" w:sz="4" w:space="0"/>
              <w:right w:val="single" w:color="auto" w:sz="4" w:space="0"/>
            </w:tcBorders>
            <w:vAlign w:val="center"/>
          </w:tcPr>
          <w:p>
            <w:pPr>
              <w:jc w:val="center"/>
              <w:rPr>
                <w:rFonts w:ascii="Times New Roman" w:hAnsi="Times New Roman"/>
                <w:color w:val="000000"/>
              </w:rPr>
            </w:pPr>
          </w:p>
        </w:tc>
        <w:tc>
          <w:tcPr>
            <w:tcW w:w="843"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粉尘</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少量</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少量</w:t>
            </w:r>
          </w:p>
        </w:tc>
        <w:tc>
          <w:tcPr>
            <w:tcW w:w="2202" w:type="dxa"/>
            <w:tcBorders>
              <w:top w:val="nil"/>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kern w:val="0"/>
                <w:szCs w:val="21"/>
              </w:rPr>
              <w:t>原料仓库设置在厂房内；</w:t>
            </w:r>
            <w:r>
              <w:rPr>
                <w:rFonts w:hint="eastAsia" w:ascii="Times New Roman" w:hAnsi="Times New Roman"/>
                <w:color w:val="FF0000"/>
                <w:szCs w:val="21"/>
              </w:rPr>
              <w:t>项目</w:t>
            </w:r>
            <w:r>
              <w:rPr>
                <w:rFonts w:ascii="Times New Roman" w:hAnsi="Times New Roman"/>
                <w:color w:val="FF0000"/>
                <w:szCs w:val="21"/>
              </w:rPr>
              <w:t>碎浆阶段采用的是水力碎浆</w:t>
            </w:r>
            <w:r>
              <w:rPr>
                <w:rFonts w:hint="eastAsia" w:ascii="Times New Roman" w:hAnsi="Times New Roman"/>
                <w:color w:val="FF0000"/>
                <w:szCs w:val="21"/>
              </w:rPr>
              <w:t>；切割工序在密闭式生产车间完成</w:t>
            </w:r>
          </w:p>
        </w:tc>
        <w:tc>
          <w:tcPr>
            <w:tcW w:w="1483" w:type="dxa"/>
            <w:vMerge w:val="continue"/>
            <w:tcBorders>
              <w:left w:val="nil"/>
              <w:bottom w:val="single" w:color="auto" w:sz="4" w:space="0"/>
              <w:right w:val="single" w:color="auto" w:sz="4" w:space="0"/>
            </w:tcBorders>
            <w:vAlign w:val="center"/>
          </w:tcPr>
          <w:p>
            <w:pPr>
              <w:widowControl/>
              <w:jc w:val="center"/>
              <w:rPr>
                <w:rFonts w:ascii="Times New Roman" w:hAnsi="Times New Roman"/>
                <w:color w:val="000000"/>
              </w:rPr>
            </w:pPr>
          </w:p>
        </w:tc>
        <w:tc>
          <w:tcPr>
            <w:tcW w:w="706"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达标</w:t>
            </w:r>
          </w:p>
        </w:tc>
        <w:tc>
          <w:tcPr>
            <w:tcW w:w="1054"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r>
              <w:rPr>
                <w:rFonts w:ascii="Times New Roman" w:hAnsi="Times New Roman"/>
                <w:color w:val="000000"/>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31"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color w:val="000000"/>
              </w:rPr>
            </w:pPr>
          </w:p>
        </w:tc>
        <w:tc>
          <w:tcPr>
            <w:tcW w:w="42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厨房</w:t>
            </w:r>
          </w:p>
        </w:tc>
        <w:tc>
          <w:tcPr>
            <w:tcW w:w="843"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油烟</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0.369</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0.85</w:t>
            </w:r>
          </w:p>
        </w:tc>
        <w:tc>
          <w:tcPr>
            <w:tcW w:w="2202" w:type="dxa"/>
            <w:tcBorders>
              <w:top w:val="nil"/>
              <w:left w:val="nil"/>
              <w:bottom w:val="single" w:color="auto" w:sz="4" w:space="0"/>
              <w:right w:val="single" w:color="auto" w:sz="4" w:space="0"/>
            </w:tcBorders>
            <w:vAlign w:val="center"/>
          </w:tcPr>
          <w:p>
            <w:pPr>
              <w:jc w:val="center"/>
              <w:rPr>
                <w:rFonts w:ascii="Times New Roman" w:hAnsi="Times New Roman"/>
                <w:color w:val="000000"/>
                <w:kern w:val="0"/>
              </w:rPr>
            </w:pPr>
            <w:r>
              <w:rPr>
                <w:rFonts w:hint="eastAsia" w:ascii="Times New Roman" w:hAnsi="Times New Roman"/>
                <w:color w:val="000000"/>
                <w:kern w:val="0"/>
              </w:rPr>
              <w:t>食堂</w:t>
            </w:r>
            <w:r>
              <w:rPr>
                <w:rFonts w:ascii="Times New Roman" w:hAnsi="Times New Roman"/>
                <w:color w:val="000000"/>
                <w:kern w:val="0"/>
              </w:rPr>
              <w:t>油烟经油烟净化器（</w:t>
            </w:r>
            <w:r>
              <w:rPr>
                <w:rFonts w:hint="eastAsia" w:ascii="Times New Roman" w:hAnsi="Times New Roman"/>
                <w:color w:val="000000"/>
                <w:kern w:val="0"/>
              </w:rPr>
              <w:t>净化率</w:t>
            </w:r>
            <w:r>
              <w:rPr>
                <w:rFonts w:ascii="Times New Roman" w:hAnsi="Times New Roman"/>
                <w:color w:val="000000"/>
                <w:kern w:val="0"/>
              </w:rPr>
              <w:t>为</w:t>
            </w:r>
            <w:r>
              <w:rPr>
                <w:rFonts w:hint="eastAsia" w:ascii="Times New Roman" w:hAnsi="Times New Roman"/>
                <w:color w:val="000000"/>
                <w:kern w:val="0"/>
              </w:rPr>
              <w:t>9</w:t>
            </w:r>
            <w:r>
              <w:rPr>
                <w:rFonts w:ascii="Times New Roman" w:hAnsi="Times New Roman"/>
                <w:color w:val="000000"/>
                <w:kern w:val="0"/>
              </w:rPr>
              <w:t>0%）</w:t>
            </w:r>
            <w:r>
              <w:rPr>
                <w:rFonts w:hint="eastAsia" w:ascii="Times New Roman" w:hAnsi="Times New Roman"/>
                <w:color w:val="000000"/>
                <w:kern w:val="0"/>
              </w:rPr>
              <w:t>处理</w:t>
            </w:r>
            <w:r>
              <w:rPr>
                <w:rFonts w:ascii="Times New Roman" w:hAnsi="Times New Roman"/>
                <w:color w:val="000000"/>
                <w:kern w:val="0"/>
              </w:rPr>
              <w:t>后经烟囱排放</w:t>
            </w:r>
          </w:p>
        </w:tc>
        <w:tc>
          <w:tcPr>
            <w:tcW w:w="1483" w:type="dxa"/>
            <w:tcBorders>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执行《</w:t>
            </w:r>
            <w:r>
              <w:rPr>
                <w:rFonts w:hint="eastAsia" w:ascii="Times New Roman" w:hAnsi="Times New Roman"/>
                <w:color w:val="000000"/>
              </w:rPr>
              <w:t>饮食业</w:t>
            </w:r>
            <w:r>
              <w:rPr>
                <w:rFonts w:ascii="Times New Roman" w:hAnsi="Times New Roman"/>
                <w:color w:val="000000"/>
              </w:rPr>
              <w:t>油烟排放标准</w:t>
            </w:r>
            <w:r>
              <w:rPr>
                <w:rFonts w:hint="eastAsia" w:ascii="Times New Roman" w:hAnsi="Times New Roman"/>
                <w:color w:val="000000"/>
              </w:rPr>
              <w:t>（试行）</w:t>
            </w:r>
            <w:r>
              <w:rPr>
                <w:rFonts w:ascii="Times New Roman" w:hAnsi="Times New Roman"/>
                <w:color w:val="000000"/>
              </w:rPr>
              <w:t>》</w:t>
            </w:r>
            <w:r>
              <w:rPr>
                <w:rFonts w:hint="eastAsia" w:ascii="Times New Roman" w:hAnsi="Times New Roman"/>
                <w:color w:val="000000"/>
              </w:rPr>
              <w:t>（GB18483-2001）中</w:t>
            </w:r>
            <w:r>
              <w:rPr>
                <w:rFonts w:ascii="Times New Roman" w:hAnsi="Times New Roman"/>
                <w:color w:val="000000"/>
              </w:rPr>
              <w:t>对应的小型规模，油烟最高允许排放浓度为</w:t>
            </w:r>
            <w:r>
              <w:rPr>
                <w:rFonts w:hint="eastAsia" w:ascii="Times New Roman" w:hAnsi="Times New Roman"/>
                <w:color w:val="000000"/>
              </w:rPr>
              <w:t>2.0 mg</w:t>
            </w:r>
            <w:r>
              <w:rPr>
                <w:rFonts w:ascii="Times New Roman" w:hAnsi="Times New Roman"/>
                <w:color w:val="000000"/>
              </w:rPr>
              <w:t>/m3</w:t>
            </w:r>
            <w:r>
              <w:rPr>
                <w:rFonts w:hint="eastAsia" w:ascii="Times New Roman" w:hAnsi="Times New Roman"/>
                <w:color w:val="000000"/>
              </w:rPr>
              <w:t>，</w:t>
            </w:r>
            <w:r>
              <w:rPr>
                <w:rFonts w:ascii="Times New Roman" w:hAnsi="Times New Roman"/>
                <w:color w:val="000000"/>
              </w:rPr>
              <w:t>油烟净化率≥60%要求</w:t>
            </w:r>
          </w:p>
        </w:tc>
        <w:tc>
          <w:tcPr>
            <w:tcW w:w="706"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达标</w:t>
            </w:r>
          </w:p>
        </w:tc>
        <w:tc>
          <w:tcPr>
            <w:tcW w:w="1054"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r>
              <w:rPr>
                <w:rFonts w:ascii="Times New Roman" w:hAnsi="Times New Roman"/>
                <w:color w:val="000000"/>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431" w:type="dxa"/>
            <w:vMerge w:val="restart"/>
            <w:tcBorders>
              <w:top w:val="nil"/>
              <w:left w:val="single" w:color="auto" w:sz="4" w:space="0"/>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水环境污染</w:t>
            </w:r>
          </w:p>
        </w:tc>
        <w:tc>
          <w:tcPr>
            <w:tcW w:w="1272" w:type="dxa"/>
            <w:gridSpan w:val="2"/>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生产废水</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0</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w:t>
            </w:r>
          </w:p>
        </w:tc>
        <w:tc>
          <w:tcPr>
            <w:tcW w:w="2202" w:type="dxa"/>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1个容积为</w:t>
            </w:r>
            <w:r>
              <w:rPr>
                <w:rFonts w:hint="eastAsia" w:ascii="Times New Roman" w:hAnsi="Times New Roman"/>
                <w:color w:val="000000"/>
              </w:rPr>
              <w:t>200</w:t>
            </w:r>
            <w:r>
              <w:rPr>
                <w:rFonts w:ascii="Times New Roman" w:hAnsi="Times New Roman"/>
                <w:color w:val="000000"/>
              </w:rPr>
              <w:t>m</w:t>
            </w:r>
            <w:r>
              <w:rPr>
                <w:rFonts w:ascii="Times New Roman" w:hAnsi="Times New Roman"/>
                <w:color w:val="000000"/>
                <w:vertAlign w:val="superscript"/>
              </w:rPr>
              <w:t>3</w:t>
            </w:r>
            <w:r>
              <w:rPr>
                <w:rFonts w:ascii="Times New Roman" w:hAnsi="Times New Roman"/>
                <w:color w:val="000000"/>
              </w:rPr>
              <w:t>的</w:t>
            </w:r>
            <w:r>
              <w:rPr>
                <w:rFonts w:hint="eastAsia" w:ascii="Times New Roman" w:hAnsi="Times New Roman"/>
                <w:color w:val="000000"/>
              </w:rPr>
              <w:t>循环</w:t>
            </w:r>
            <w:r>
              <w:rPr>
                <w:rFonts w:ascii="Times New Roman" w:hAnsi="Times New Roman"/>
                <w:color w:val="000000"/>
              </w:rPr>
              <w:t xml:space="preserve">水池； </w:t>
            </w:r>
          </w:p>
        </w:tc>
        <w:tc>
          <w:tcPr>
            <w:tcW w:w="1483" w:type="dxa"/>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循环使用，不外排</w:t>
            </w:r>
          </w:p>
        </w:tc>
        <w:tc>
          <w:tcPr>
            <w:tcW w:w="706" w:type="dxa"/>
            <w:vMerge w:val="restart"/>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w:t>
            </w:r>
          </w:p>
        </w:tc>
        <w:tc>
          <w:tcPr>
            <w:tcW w:w="1054" w:type="dxa"/>
            <w:vMerge w:val="restart"/>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431" w:type="dxa"/>
            <w:vMerge w:val="continue"/>
            <w:tcBorders>
              <w:left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p>
        </w:tc>
        <w:tc>
          <w:tcPr>
            <w:tcW w:w="1272" w:type="dxa"/>
            <w:gridSpan w:val="2"/>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除尘废水</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0</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w:t>
            </w:r>
          </w:p>
        </w:tc>
        <w:tc>
          <w:tcPr>
            <w:tcW w:w="2202" w:type="dxa"/>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1个容积为</w:t>
            </w:r>
            <w:r>
              <w:rPr>
                <w:rFonts w:hint="eastAsia" w:ascii="Times New Roman" w:hAnsi="Times New Roman"/>
                <w:color w:val="000000"/>
              </w:rPr>
              <w:t>150</w:t>
            </w:r>
            <w:r>
              <w:rPr>
                <w:rFonts w:ascii="Times New Roman" w:hAnsi="Times New Roman"/>
                <w:color w:val="000000"/>
              </w:rPr>
              <w:t>m</w:t>
            </w:r>
            <w:r>
              <w:rPr>
                <w:rFonts w:ascii="Times New Roman" w:hAnsi="Times New Roman"/>
                <w:color w:val="000000"/>
                <w:vertAlign w:val="superscript"/>
              </w:rPr>
              <w:t>3</w:t>
            </w:r>
            <w:r>
              <w:rPr>
                <w:rFonts w:ascii="Times New Roman" w:hAnsi="Times New Roman"/>
                <w:color w:val="000000"/>
              </w:rPr>
              <w:t>的</w:t>
            </w:r>
            <w:r>
              <w:rPr>
                <w:rFonts w:hint="eastAsia" w:ascii="Times New Roman" w:hAnsi="Times New Roman"/>
                <w:color w:val="000000"/>
              </w:rPr>
              <w:t>循环</w:t>
            </w:r>
            <w:r>
              <w:rPr>
                <w:rFonts w:ascii="Times New Roman" w:hAnsi="Times New Roman"/>
                <w:color w:val="000000"/>
              </w:rPr>
              <w:t xml:space="preserve">水池； </w:t>
            </w:r>
          </w:p>
        </w:tc>
        <w:tc>
          <w:tcPr>
            <w:tcW w:w="1483" w:type="dxa"/>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循环使用，不外排</w:t>
            </w:r>
          </w:p>
        </w:tc>
        <w:tc>
          <w:tcPr>
            <w:tcW w:w="706" w:type="dxa"/>
            <w:vMerge w:val="continue"/>
            <w:tcBorders>
              <w:left w:val="nil"/>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p>
        </w:tc>
        <w:tc>
          <w:tcPr>
            <w:tcW w:w="1054" w:type="dxa"/>
            <w:vMerge w:val="continue"/>
            <w:tcBorders>
              <w:left w:val="nil"/>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rPr>
            </w:pPr>
          </w:p>
        </w:tc>
        <w:tc>
          <w:tcPr>
            <w:tcW w:w="1272" w:type="dxa"/>
            <w:gridSpan w:val="2"/>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生活废水</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0</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w:t>
            </w:r>
          </w:p>
        </w:tc>
        <w:tc>
          <w:tcPr>
            <w:tcW w:w="2202"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r>
              <w:rPr>
                <w:rFonts w:ascii="Times New Roman" w:hAnsi="Times New Roman"/>
                <w:color w:val="000000"/>
              </w:rPr>
              <w:t>设置隔油池（1个2m</w:t>
            </w:r>
            <w:r>
              <w:rPr>
                <w:rFonts w:ascii="Times New Roman" w:hAnsi="Times New Roman"/>
                <w:color w:val="000000"/>
                <w:vertAlign w:val="superscript"/>
              </w:rPr>
              <w:t>3</w:t>
            </w:r>
            <w:r>
              <w:rPr>
                <w:rFonts w:ascii="Times New Roman" w:hAnsi="Times New Roman"/>
                <w:color w:val="000000"/>
              </w:rPr>
              <w:t>）、化粪池（1个5m</w:t>
            </w:r>
            <w:r>
              <w:rPr>
                <w:rFonts w:ascii="Times New Roman" w:hAnsi="Times New Roman"/>
                <w:color w:val="000000"/>
                <w:vertAlign w:val="superscript"/>
              </w:rPr>
              <w:t>3</w:t>
            </w:r>
            <w:r>
              <w:rPr>
                <w:rFonts w:ascii="Times New Roman" w:hAnsi="Times New Roman"/>
                <w:color w:val="000000"/>
              </w:rPr>
              <w:t>）、一体化污水处理设施（处理规模为</w:t>
            </w:r>
            <w:r>
              <w:rPr>
                <w:rFonts w:hint="eastAsia" w:ascii="Times New Roman" w:hAnsi="Times New Roman"/>
                <w:color w:val="000000"/>
              </w:rPr>
              <w:t>6</w:t>
            </w:r>
            <w:r>
              <w:rPr>
                <w:rFonts w:ascii="Times New Roman" w:hAnsi="Times New Roman"/>
                <w:color w:val="000000"/>
              </w:rPr>
              <w:t>m</w:t>
            </w:r>
            <w:r>
              <w:rPr>
                <w:rFonts w:ascii="Times New Roman" w:hAnsi="Times New Roman"/>
                <w:color w:val="000000"/>
                <w:vertAlign w:val="superscript"/>
              </w:rPr>
              <w:t>3</w:t>
            </w:r>
            <w:r>
              <w:rPr>
                <w:rFonts w:ascii="Times New Roman" w:hAnsi="Times New Roman"/>
                <w:color w:val="000000"/>
              </w:rPr>
              <w:t>/d），处理达标后</w:t>
            </w:r>
            <w:r>
              <w:rPr>
                <w:rFonts w:hint="eastAsia" w:ascii="Times New Roman" w:hAnsi="Times New Roman"/>
                <w:color w:val="000000"/>
              </w:rPr>
              <w:t>晴天回用于绿化，雨天回用于生产</w:t>
            </w:r>
          </w:p>
        </w:tc>
        <w:tc>
          <w:tcPr>
            <w:tcW w:w="1483"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r>
              <w:rPr>
                <w:rFonts w:ascii="Times New Roman" w:hAnsi="Times New Roman"/>
                <w:color w:val="000000"/>
              </w:rPr>
              <w:t>达到《城市污水再生利用城市杂用水水质》（GB/T18920-2002）中绿化和道路清扫相关标准</w:t>
            </w:r>
          </w:p>
        </w:tc>
        <w:tc>
          <w:tcPr>
            <w:tcW w:w="706" w:type="dxa"/>
            <w:vMerge w:val="continue"/>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p>
        </w:tc>
        <w:tc>
          <w:tcPr>
            <w:tcW w:w="1054" w:type="dxa"/>
            <w:vMerge w:val="continue"/>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43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声环境污染</w:t>
            </w:r>
          </w:p>
        </w:tc>
        <w:tc>
          <w:tcPr>
            <w:tcW w:w="1272" w:type="dxa"/>
            <w:gridSpan w:val="2"/>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噪声</w:t>
            </w:r>
          </w:p>
        </w:tc>
        <w:tc>
          <w:tcPr>
            <w:tcW w:w="849" w:type="dxa"/>
            <w:tcBorders>
              <w:top w:val="single" w:color="auto" w:sz="4" w:space="0"/>
              <w:left w:val="nil"/>
              <w:bottom w:val="single" w:color="auto" w:sz="4" w:space="0"/>
              <w:right w:val="single" w:color="auto" w:sz="4" w:space="0"/>
            </w:tcBorders>
            <w:vAlign w:val="center"/>
          </w:tcPr>
          <w:p>
            <w:pPr>
              <w:pStyle w:val="2"/>
              <w:ind w:firstLine="0" w:firstLineChars="0"/>
              <w:jc w:val="center"/>
              <w:rPr>
                <w:rFonts w:ascii="Times New Roman" w:hAnsi="Times New Roman"/>
              </w:rPr>
            </w:pPr>
            <w:r>
              <w:rPr>
                <w:rFonts w:hint="eastAsia" w:ascii="Times New Roman" w:hAnsi="Times New Roman"/>
              </w:rPr>
              <w:t>/</w:t>
            </w:r>
          </w:p>
        </w:tc>
        <w:tc>
          <w:tcPr>
            <w:tcW w:w="78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w:t>
            </w:r>
          </w:p>
        </w:tc>
        <w:tc>
          <w:tcPr>
            <w:tcW w:w="2202"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安装减震垫片，厂房、围墙、绿化隔声</w:t>
            </w:r>
          </w:p>
        </w:tc>
        <w:tc>
          <w:tcPr>
            <w:tcW w:w="1483"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满足《工业企业厂界环境噪声排放标准》（GB12348-</w:t>
            </w:r>
          </w:p>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2008）3类标准</w:t>
            </w:r>
          </w:p>
        </w:tc>
        <w:tc>
          <w:tcPr>
            <w:tcW w:w="706"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达标</w:t>
            </w:r>
          </w:p>
        </w:tc>
        <w:tc>
          <w:tcPr>
            <w:tcW w:w="1054"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dxa"/>
            <w:vMerge w:val="restart"/>
            <w:tcBorders>
              <w:top w:val="nil"/>
              <w:left w:val="single" w:color="auto" w:sz="4" w:space="0"/>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固体废物环境污染</w:t>
            </w:r>
          </w:p>
        </w:tc>
        <w:tc>
          <w:tcPr>
            <w:tcW w:w="1272" w:type="dxa"/>
            <w:gridSpan w:val="2"/>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锅炉</w:t>
            </w:r>
            <w:r>
              <w:rPr>
                <w:rFonts w:ascii="Times New Roman" w:hAnsi="Times New Roman"/>
                <w:color w:val="000000"/>
              </w:rPr>
              <w:t>炉渣</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0</w:t>
            </w:r>
          </w:p>
        </w:tc>
        <w:tc>
          <w:tcPr>
            <w:tcW w:w="78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w:t>
            </w:r>
          </w:p>
        </w:tc>
        <w:tc>
          <w:tcPr>
            <w:tcW w:w="2202" w:type="dxa"/>
            <w:vMerge w:val="restart"/>
            <w:tcBorders>
              <w:top w:val="nil"/>
              <w:left w:val="nil"/>
              <w:bottom w:val="single" w:color="auto" w:sz="4" w:space="0"/>
              <w:right w:val="single" w:color="auto" w:sz="4" w:space="0"/>
            </w:tcBorders>
            <w:vAlign w:val="center"/>
          </w:tcPr>
          <w:p>
            <w:pPr>
              <w:autoSpaceDE w:val="0"/>
              <w:autoSpaceDN w:val="0"/>
              <w:spacing w:line="260" w:lineRule="exact"/>
              <w:textAlignment w:val="bottom"/>
              <w:rPr>
                <w:rFonts w:ascii="Times New Roman" w:hAnsi="Times New Roman"/>
                <w:color w:val="000000"/>
              </w:rPr>
            </w:pPr>
            <w:r>
              <w:rPr>
                <w:rFonts w:ascii="Times New Roman" w:hAnsi="Times New Roman"/>
                <w:color w:val="000000"/>
              </w:rPr>
              <w:t>收集后暂存</w:t>
            </w:r>
            <w:r>
              <w:rPr>
                <w:rFonts w:hint="eastAsia" w:ascii="Times New Roman" w:hAnsi="Times New Roman"/>
                <w:color w:val="000000"/>
                <w:lang w:eastAsia="zh-CN"/>
              </w:rPr>
              <w:t>炉渣暂存间</w:t>
            </w:r>
            <w:r>
              <w:rPr>
                <w:rFonts w:ascii="Times New Roman" w:hAnsi="Times New Roman"/>
                <w:color w:val="000000"/>
              </w:rPr>
              <w:t>，再回用于附近农田还田。</w:t>
            </w:r>
          </w:p>
        </w:tc>
        <w:tc>
          <w:tcPr>
            <w:tcW w:w="1483" w:type="dxa"/>
            <w:vMerge w:val="restart"/>
            <w:tcBorders>
              <w:top w:val="nil"/>
              <w:left w:val="nil"/>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处置率100%</w:t>
            </w:r>
          </w:p>
        </w:tc>
        <w:tc>
          <w:tcPr>
            <w:tcW w:w="70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c>
          <w:tcPr>
            <w:tcW w:w="105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rPr>
            </w:pPr>
          </w:p>
        </w:tc>
        <w:tc>
          <w:tcPr>
            <w:tcW w:w="1272" w:type="dxa"/>
            <w:gridSpan w:val="2"/>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除尘器除尘废水循环沉淀池污泥</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0</w:t>
            </w:r>
          </w:p>
        </w:tc>
        <w:tc>
          <w:tcPr>
            <w:tcW w:w="78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w:t>
            </w:r>
          </w:p>
        </w:tc>
        <w:tc>
          <w:tcPr>
            <w:tcW w:w="2202" w:type="dxa"/>
            <w:vMerge w:val="continue"/>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p>
        </w:tc>
        <w:tc>
          <w:tcPr>
            <w:tcW w:w="1483" w:type="dxa"/>
            <w:vMerge w:val="continue"/>
            <w:tcBorders>
              <w:left w:val="nil"/>
              <w:right w:val="single" w:color="auto" w:sz="4" w:space="0"/>
            </w:tcBorders>
            <w:vAlign w:val="center"/>
          </w:tcPr>
          <w:p>
            <w:pPr>
              <w:widowControl/>
              <w:jc w:val="center"/>
              <w:rPr>
                <w:rFonts w:ascii="Times New Roman" w:hAnsi="Times New Roman"/>
                <w:color w:val="000000"/>
              </w:rPr>
            </w:pPr>
          </w:p>
        </w:tc>
        <w:tc>
          <w:tcPr>
            <w:tcW w:w="70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c>
          <w:tcPr>
            <w:tcW w:w="105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rPr>
            </w:pPr>
          </w:p>
        </w:tc>
        <w:tc>
          <w:tcPr>
            <w:tcW w:w="1272" w:type="dxa"/>
            <w:gridSpan w:val="2"/>
            <w:vMerge w:val="restart"/>
            <w:tcBorders>
              <w:top w:val="nil"/>
              <w:left w:val="nil"/>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化粪池、污水处理站</w:t>
            </w:r>
            <w:r>
              <w:rPr>
                <w:rFonts w:ascii="Times New Roman" w:hAnsi="Times New Roman"/>
                <w:color w:val="000000"/>
              </w:rPr>
              <w:t>污泥</w:t>
            </w:r>
          </w:p>
        </w:tc>
        <w:tc>
          <w:tcPr>
            <w:tcW w:w="849" w:type="dxa"/>
            <w:vMerge w:val="restart"/>
            <w:tcBorders>
              <w:top w:val="single" w:color="auto" w:sz="4" w:space="0"/>
              <w:left w:val="nil"/>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0</w:t>
            </w:r>
          </w:p>
        </w:tc>
        <w:tc>
          <w:tcPr>
            <w:tcW w:w="789" w:type="dxa"/>
            <w:vMerge w:val="restart"/>
            <w:tcBorders>
              <w:top w:val="single" w:color="auto" w:sz="4" w:space="0"/>
              <w:left w:val="nil"/>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w:t>
            </w:r>
          </w:p>
        </w:tc>
        <w:tc>
          <w:tcPr>
            <w:tcW w:w="2202" w:type="dxa"/>
            <w:vMerge w:val="restart"/>
            <w:tcBorders>
              <w:top w:val="nil"/>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委托</w:t>
            </w:r>
            <w:r>
              <w:rPr>
                <w:rFonts w:ascii="Times New Roman" w:hAnsi="Times New Roman"/>
                <w:color w:val="000000"/>
              </w:rPr>
              <w:t>环卫部门定期清掏处置</w:t>
            </w:r>
          </w:p>
        </w:tc>
        <w:tc>
          <w:tcPr>
            <w:tcW w:w="1483" w:type="dxa"/>
            <w:vMerge w:val="continue"/>
            <w:tcBorders>
              <w:left w:val="nil"/>
              <w:right w:val="single" w:color="auto" w:sz="4" w:space="0"/>
            </w:tcBorders>
            <w:vAlign w:val="center"/>
          </w:tcPr>
          <w:p>
            <w:pPr>
              <w:widowControl/>
              <w:jc w:val="center"/>
              <w:rPr>
                <w:rFonts w:ascii="Times New Roman" w:hAnsi="Times New Roman"/>
                <w:color w:val="000000"/>
              </w:rPr>
            </w:pPr>
          </w:p>
        </w:tc>
        <w:tc>
          <w:tcPr>
            <w:tcW w:w="70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c>
          <w:tcPr>
            <w:tcW w:w="105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rPr>
            </w:pPr>
          </w:p>
        </w:tc>
        <w:tc>
          <w:tcPr>
            <w:tcW w:w="1272" w:type="dxa"/>
            <w:gridSpan w:val="2"/>
            <w:vMerge w:val="continue"/>
            <w:tcBorders>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p>
        </w:tc>
        <w:tc>
          <w:tcPr>
            <w:tcW w:w="849" w:type="dxa"/>
            <w:vMerge w:val="continue"/>
            <w:tcBorders>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p>
        </w:tc>
        <w:tc>
          <w:tcPr>
            <w:tcW w:w="789" w:type="dxa"/>
            <w:vMerge w:val="continue"/>
            <w:tcBorders>
              <w:left w:val="nil"/>
              <w:bottom w:val="single" w:color="auto" w:sz="4" w:space="0"/>
              <w:right w:val="single" w:color="auto" w:sz="4" w:space="0"/>
            </w:tcBorders>
            <w:vAlign w:val="center"/>
          </w:tcPr>
          <w:p>
            <w:pPr>
              <w:jc w:val="center"/>
              <w:rPr>
                <w:rFonts w:ascii="Times New Roman" w:hAnsi="Times New Roman"/>
                <w:color w:val="000000"/>
              </w:rPr>
            </w:pPr>
          </w:p>
        </w:tc>
        <w:tc>
          <w:tcPr>
            <w:tcW w:w="2202" w:type="dxa"/>
            <w:vMerge w:val="continue"/>
            <w:tcBorders>
              <w:top w:val="nil"/>
              <w:left w:val="nil"/>
              <w:bottom w:val="single" w:color="auto" w:sz="4" w:space="0"/>
              <w:right w:val="single" w:color="auto" w:sz="4" w:space="0"/>
            </w:tcBorders>
            <w:vAlign w:val="center"/>
          </w:tcPr>
          <w:p>
            <w:pPr>
              <w:widowControl/>
              <w:jc w:val="center"/>
              <w:rPr>
                <w:rFonts w:ascii="Times New Roman" w:hAnsi="Times New Roman"/>
                <w:color w:val="000000"/>
              </w:rPr>
            </w:pPr>
          </w:p>
        </w:tc>
        <w:tc>
          <w:tcPr>
            <w:tcW w:w="1483" w:type="dxa"/>
            <w:vMerge w:val="continue"/>
            <w:tcBorders>
              <w:left w:val="nil"/>
              <w:right w:val="single" w:color="auto" w:sz="4" w:space="0"/>
            </w:tcBorders>
            <w:vAlign w:val="center"/>
          </w:tcPr>
          <w:p>
            <w:pPr>
              <w:widowControl/>
              <w:jc w:val="center"/>
              <w:rPr>
                <w:rFonts w:ascii="Times New Roman" w:hAnsi="Times New Roman"/>
                <w:color w:val="000000"/>
              </w:rPr>
            </w:pPr>
          </w:p>
        </w:tc>
        <w:tc>
          <w:tcPr>
            <w:tcW w:w="70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c>
          <w:tcPr>
            <w:tcW w:w="105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rPr>
            </w:pPr>
          </w:p>
        </w:tc>
        <w:tc>
          <w:tcPr>
            <w:tcW w:w="1272"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ascii="Times New Roman" w:hAnsi="Times New Roman"/>
                <w:color w:val="000000"/>
              </w:rPr>
              <w:t>生活垃圾</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0</w:t>
            </w:r>
          </w:p>
        </w:tc>
        <w:tc>
          <w:tcPr>
            <w:tcW w:w="78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w:t>
            </w:r>
          </w:p>
        </w:tc>
        <w:tc>
          <w:tcPr>
            <w:tcW w:w="2202"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t>由垃圾桶收集，清运至环卫部门指定地点，由</w:t>
            </w:r>
            <w:r>
              <w:rPr>
                <w:rFonts w:hint="eastAsia"/>
              </w:rPr>
              <w:t>环卫部门清运处置</w:t>
            </w:r>
          </w:p>
        </w:tc>
        <w:tc>
          <w:tcPr>
            <w:tcW w:w="1483" w:type="dxa"/>
            <w:vMerge w:val="continue"/>
            <w:tcBorders>
              <w:left w:val="nil"/>
              <w:right w:val="single" w:color="auto" w:sz="4" w:space="0"/>
            </w:tcBorders>
            <w:vAlign w:val="center"/>
          </w:tcPr>
          <w:p>
            <w:pPr>
              <w:widowControl/>
              <w:jc w:val="center"/>
              <w:rPr>
                <w:rFonts w:ascii="Times New Roman" w:hAnsi="Times New Roman"/>
                <w:color w:val="000000"/>
              </w:rPr>
            </w:pPr>
          </w:p>
        </w:tc>
        <w:tc>
          <w:tcPr>
            <w:tcW w:w="70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c>
          <w:tcPr>
            <w:tcW w:w="105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28"/>
                <w:szCs w:val="28"/>
              </w:rPr>
            </w:pPr>
            <w:r>
              <w:rPr>
                <w:rFonts w:hint="eastAsia"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431"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rPr>
            </w:pPr>
          </w:p>
        </w:tc>
        <w:tc>
          <w:tcPr>
            <w:tcW w:w="1272"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边角</w:t>
            </w:r>
            <w:r>
              <w:rPr>
                <w:rFonts w:ascii="Times New Roman" w:hAnsi="Times New Roman"/>
                <w:color w:val="000000"/>
              </w:rPr>
              <w:t>废料</w:t>
            </w:r>
          </w:p>
        </w:tc>
        <w:tc>
          <w:tcPr>
            <w:tcW w:w="849"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ascii="Times New Roman" w:hAnsi="Times New Roman"/>
                <w:color w:val="000000"/>
              </w:rPr>
              <w:t>0</w:t>
            </w:r>
          </w:p>
        </w:tc>
        <w:tc>
          <w:tcPr>
            <w:tcW w:w="78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w:t>
            </w:r>
          </w:p>
        </w:tc>
        <w:tc>
          <w:tcPr>
            <w:tcW w:w="2202" w:type="dxa"/>
            <w:tcBorders>
              <w:top w:val="single" w:color="auto" w:sz="4" w:space="0"/>
              <w:left w:val="nil"/>
              <w:bottom w:val="single" w:color="auto" w:sz="4" w:space="0"/>
              <w:right w:val="single" w:color="auto" w:sz="4" w:space="0"/>
            </w:tcBorders>
            <w:vAlign w:val="center"/>
          </w:tcPr>
          <w:p>
            <w:pPr>
              <w:autoSpaceDE w:val="0"/>
              <w:autoSpaceDN w:val="0"/>
              <w:spacing w:line="260" w:lineRule="exact"/>
              <w:jc w:val="center"/>
              <w:textAlignment w:val="bottom"/>
              <w:rPr>
                <w:rFonts w:ascii="Times New Roman" w:hAnsi="Times New Roman"/>
                <w:color w:val="000000"/>
              </w:rPr>
            </w:pPr>
            <w:r>
              <w:rPr>
                <w:rFonts w:hint="eastAsia" w:ascii="Times New Roman" w:hAnsi="Times New Roman"/>
                <w:color w:val="000000"/>
              </w:rPr>
              <w:t>经</w:t>
            </w:r>
            <w:r>
              <w:rPr>
                <w:rFonts w:ascii="Times New Roman" w:hAnsi="Times New Roman"/>
                <w:color w:val="000000"/>
              </w:rPr>
              <w:t>收集后回用于生产</w:t>
            </w:r>
          </w:p>
        </w:tc>
        <w:tc>
          <w:tcPr>
            <w:tcW w:w="1483" w:type="dxa"/>
            <w:vMerge w:val="continue"/>
            <w:tcBorders>
              <w:left w:val="nil"/>
              <w:right w:val="single" w:color="auto" w:sz="4" w:space="0"/>
            </w:tcBorders>
            <w:vAlign w:val="center"/>
          </w:tcPr>
          <w:p>
            <w:pPr>
              <w:widowControl/>
              <w:jc w:val="center"/>
              <w:rPr>
                <w:rFonts w:ascii="Times New Roman" w:hAnsi="Times New Roman"/>
                <w:color w:val="000000"/>
              </w:rPr>
            </w:pPr>
          </w:p>
        </w:tc>
        <w:tc>
          <w:tcPr>
            <w:tcW w:w="706"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w:t>
            </w:r>
          </w:p>
        </w:tc>
        <w:tc>
          <w:tcPr>
            <w:tcW w:w="1054"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color w:val="000000"/>
              </w:rPr>
              <w:t>/</w:t>
            </w:r>
          </w:p>
        </w:tc>
      </w:tr>
    </w:tbl>
    <w:p>
      <w:pPr>
        <w:pStyle w:val="6"/>
        <w:spacing w:line="360" w:lineRule="auto"/>
        <w:ind w:firstLine="482" w:firstLineChars="200"/>
        <w:rPr>
          <w:rFonts w:ascii="Times New Roman" w:hAnsi="Times New Roman" w:eastAsia="宋体" w:cs="Times New Roman"/>
          <w:sz w:val="24"/>
        </w:rPr>
      </w:pPr>
      <w:bookmarkStart w:id="486" w:name="_Toc529463358"/>
      <w:bookmarkStart w:id="487" w:name="_Toc26934"/>
      <w:r>
        <w:rPr>
          <w:rFonts w:ascii="Times New Roman" w:hAnsi="Times New Roman" w:eastAsia="宋体" w:cs="Times New Roman"/>
          <w:sz w:val="24"/>
        </w:rPr>
        <w:t>9.1.2 企业信息公开</w:t>
      </w:r>
      <w:bookmarkEnd w:id="486"/>
      <w:bookmarkEnd w:id="487"/>
    </w:p>
    <w:p>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1）根据《企业事业单位环境信息公开办法》中的相关规定，项目建设单位应当向社会公开以下信息：</w:t>
      </w:r>
    </w:p>
    <w:p>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（1）基础信息：包括单位名称、组织机构代码、法定代表人、生产地址、联系方式，以及生产经营和管理服务的主要内容、产品及规模。</w:t>
      </w:r>
    </w:p>
    <w:p>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（2）排污信息：包括主要污染物及特征污染物的名称、排放方式、排放口数量和分布情况、排放浓度和总量、超标情况，以及执行的污染物排放标准、核定的排放总量。</w:t>
      </w:r>
    </w:p>
    <w:p>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（3）防治污染设施的建设和运行情况。</w:t>
      </w:r>
    </w:p>
    <w:p>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（4）建设项目环境影响评价及其他环境保护行政许可情况。</w:t>
      </w:r>
    </w:p>
    <w:p>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（5）突发环境事件应急预案。</w:t>
      </w:r>
    </w:p>
    <w:p>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2）根据《建设项目环境影响评价信息公开机制方案》中的相关规定，项目建设单位应当向社会公开以下信息：</w:t>
      </w:r>
    </w:p>
    <w:p>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（1）公开建设项目施工过程中的信息：项目建设过程中，建设单位应当在施工中期向社会公开建设项目环境保护措施进展情况、施工期的环境保护措施落实情况、施工期环境监理情况、施工期环境监测结果等。</w:t>
      </w:r>
    </w:p>
    <w:p>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pPr>
        <w:pStyle w:val="6"/>
        <w:spacing w:line="360" w:lineRule="auto"/>
        <w:ind w:firstLine="482" w:firstLineChars="200"/>
        <w:rPr>
          <w:rFonts w:ascii="Times New Roman" w:hAnsi="Times New Roman" w:eastAsia="宋体" w:cs="Times New Roman"/>
          <w:sz w:val="24"/>
        </w:rPr>
      </w:pPr>
      <w:bookmarkStart w:id="488" w:name="_Toc21533"/>
      <w:r>
        <w:rPr>
          <w:rFonts w:hint="eastAsia" w:ascii="Times New Roman" w:hAnsi="Times New Roman" w:eastAsia="宋体" w:cs="Times New Roman"/>
          <w:sz w:val="24"/>
        </w:rPr>
        <w:t>9.1.3总量</w:t>
      </w:r>
      <w:r>
        <w:rPr>
          <w:rFonts w:ascii="Times New Roman" w:hAnsi="Times New Roman" w:eastAsia="宋体" w:cs="Times New Roman"/>
          <w:sz w:val="24"/>
        </w:rPr>
        <w:t>控制建议</w:t>
      </w:r>
      <w:bookmarkEnd w:id="488"/>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1）废气总量控制建议：</w:t>
      </w:r>
    </w:p>
    <w:p>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根据“十三五”期间提出的污染物总量控制标准及锅炉废气排放标准限值，本项目总量控制锅炉烟气量建议值为：3267.145万m</w:t>
      </w:r>
      <w:r>
        <w:rPr>
          <w:rFonts w:hint="eastAsia"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vertAlign w:val="baseline"/>
          <w:lang w:val="en-US" w:eastAsia="zh-CN"/>
        </w:rPr>
        <w:t>/a</w:t>
      </w:r>
      <w:r>
        <w:rPr>
          <w:rFonts w:hint="eastAsia" w:ascii="Times New Roman" w:hAnsi="Times New Roman" w:eastAsia="宋体" w:cs="Times New Roman"/>
          <w:color w:val="FF0000"/>
          <w:sz w:val="24"/>
          <w:szCs w:val="24"/>
        </w:rPr>
        <w:t>；SO</w:t>
      </w:r>
      <w:r>
        <w:rPr>
          <w:rFonts w:hint="eastAsia" w:ascii="Times New Roman" w:hAnsi="Times New Roman" w:eastAsia="宋体" w:cs="Times New Roman"/>
          <w:color w:val="FF0000"/>
          <w:sz w:val="24"/>
          <w:szCs w:val="24"/>
          <w:vertAlign w:val="subscript"/>
        </w:rPr>
        <w:t>2</w:t>
      </w:r>
      <w:r>
        <w:rPr>
          <w:rFonts w:hint="eastAsia" w:ascii="Times New Roman" w:hAnsi="Times New Roman" w:eastAsia="宋体" w:cs="Times New Roman"/>
          <w:color w:val="FF0000"/>
          <w:sz w:val="24"/>
          <w:szCs w:val="24"/>
        </w:rPr>
        <w:t>建议值为：2.55t/a。NO</w:t>
      </w:r>
      <w:r>
        <w:rPr>
          <w:rFonts w:hint="eastAsia" w:ascii="Times New Roman" w:hAnsi="Times New Roman" w:eastAsia="宋体" w:cs="Times New Roman"/>
          <w:color w:val="FF0000"/>
          <w:sz w:val="24"/>
          <w:szCs w:val="24"/>
          <w:vertAlign w:val="subscript"/>
        </w:rPr>
        <w:t>X</w:t>
      </w:r>
      <w:r>
        <w:rPr>
          <w:rFonts w:hint="eastAsia" w:ascii="Times New Roman" w:hAnsi="Times New Roman" w:eastAsia="宋体" w:cs="Times New Roman"/>
          <w:color w:val="FF0000"/>
          <w:sz w:val="24"/>
          <w:szCs w:val="24"/>
        </w:rPr>
        <w:t>建议值为：5.1t/a。</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2）废水总量控制建议：生产废水和生活废水不外排。故不设总量控制建议。</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3）固体总量控制建议：固体废物处置为100%，故不设总量控制建议。</w:t>
      </w:r>
    </w:p>
    <w:p>
      <w:pPr>
        <w:pStyle w:val="5"/>
        <w:numPr>
          <w:ilvl w:val="1"/>
          <w:numId w:val="0"/>
        </w:numPr>
        <w:ind w:firstLine="562"/>
        <w:rPr>
          <w:rFonts w:hAnsi="Times New Roman"/>
        </w:rPr>
      </w:pPr>
      <w:bookmarkStart w:id="489" w:name="_Toc28784"/>
      <w:bookmarkStart w:id="490" w:name="_Toc2880"/>
      <w:bookmarkStart w:id="491" w:name="_Toc529463360"/>
      <w:r>
        <w:rPr>
          <w:rFonts w:hAnsi="Times New Roman"/>
        </w:rPr>
        <w:t>9.2 环境管理</w:t>
      </w:r>
      <w:bookmarkEnd w:id="489"/>
      <w:bookmarkEnd w:id="490"/>
      <w:bookmarkEnd w:id="491"/>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该项目需设置兼职环境管理人员1名，负责全厂的环境管理。</w:t>
      </w:r>
    </w:p>
    <w:p>
      <w:pPr>
        <w:pStyle w:val="6"/>
        <w:spacing w:line="360" w:lineRule="auto"/>
        <w:ind w:firstLine="482" w:firstLineChars="200"/>
        <w:rPr>
          <w:rFonts w:ascii="Times New Roman" w:hAnsi="Times New Roman" w:eastAsia="宋体" w:cs="Times New Roman"/>
          <w:sz w:val="24"/>
        </w:rPr>
      </w:pPr>
      <w:bookmarkStart w:id="492" w:name="_Toc421541616"/>
      <w:bookmarkStart w:id="493" w:name="_Toc9046"/>
      <w:bookmarkStart w:id="494" w:name="_Toc485221015"/>
      <w:bookmarkStart w:id="495" w:name="_Toc416699821"/>
      <w:bookmarkStart w:id="496" w:name="_Toc529463361"/>
      <w:bookmarkStart w:id="497" w:name="_Toc18962"/>
      <w:bookmarkStart w:id="498" w:name="_Toc31377"/>
      <w:r>
        <w:rPr>
          <w:rFonts w:ascii="Times New Roman" w:hAnsi="Times New Roman" w:eastAsia="宋体" w:cs="Times New Roman"/>
          <w:sz w:val="24"/>
        </w:rPr>
        <w:t>9.2.1 环境管理职责</w:t>
      </w:r>
      <w:bookmarkEnd w:id="492"/>
      <w:bookmarkEnd w:id="493"/>
      <w:bookmarkEnd w:id="494"/>
      <w:bookmarkEnd w:id="495"/>
      <w:bookmarkEnd w:id="496"/>
      <w:bookmarkEnd w:id="497"/>
      <w:bookmarkEnd w:id="498"/>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环境管理的主要职责是：</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1）贯彻执行国家环境保护法律、法规和有关的环保标准；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2）组织编制本厂环境保护计划和环境管理规章制度并负责监督；</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3）组织实施厂内环境保护工作；</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4）参与本公司环保设施的论证设计，监督设施的安装、调试，落实“三同时”措施；</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5）定期检查环保设施的运转情况，保证其正常运行，及时提出整改建议；</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6）建立健全本公司污染源档案，做好环境统计工作；</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7）积极开展环境保护教育和技术培训，提高员工的环境意识；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8）推广应用环保先进经验和技术，推行清洁生产工艺。</w:t>
      </w:r>
    </w:p>
    <w:p>
      <w:pPr>
        <w:pStyle w:val="6"/>
        <w:spacing w:line="360" w:lineRule="auto"/>
        <w:ind w:firstLine="482" w:firstLineChars="200"/>
        <w:rPr>
          <w:rFonts w:ascii="Times New Roman" w:hAnsi="Times New Roman" w:eastAsia="宋体" w:cs="Times New Roman"/>
          <w:sz w:val="24"/>
        </w:rPr>
      </w:pPr>
      <w:bookmarkStart w:id="499" w:name="_Toc6874"/>
      <w:bookmarkStart w:id="500" w:name="_Toc421541617"/>
      <w:bookmarkStart w:id="501" w:name="_Toc485221016"/>
      <w:bookmarkStart w:id="502" w:name="_Toc416699822"/>
      <w:bookmarkStart w:id="503" w:name="_Toc26480"/>
      <w:bookmarkStart w:id="504" w:name="_Toc529463362"/>
      <w:bookmarkStart w:id="505" w:name="_Toc7251"/>
      <w:r>
        <w:rPr>
          <w:rFonts w:ascii="Times New Roman" w:hAnsi="Times New Roman" w:eastAsia="宋体" w:cs="Times New Roman"/>
          <w:sz w:val="24"/>
        </w:rPr>
        <w:t>9.2.2</w:t>
      </w:r>
      <w:bookmarkEnd w:id="499"/>
      <w:bookmarkEnd w:id="500"/>
      <w:bookmarkEnd w:id="501"/>
      <w:bookmarkEnd w:id="502"/>
      <w:bookmarkEnd w:id="503"/>
      <w:bookmarkStart w:id="506" w:name="_Toc485221017"/>
      <w:bookmarkStart w:id="507" w:name="_Toc421541618"/>
      <w:bookmarkStart w:id="508" w:name="_Toc416699823"/>
      <w:bookmarkStart w:id="509" w:name="_Toc9465"/>
      <w:bookmarkStart w:id="510" w:name="_Toc8804"/>
      <w:r>
        <w:rPr>
          <w:rFonts w:ascii="Times New Roman" w:hAnsi="Times New Roman" w:eastAsia="宋体" w:cs="Times New Roman"/>
          <w:sz w:val="24"/>
        </w:rPr>
        <w:t xml:space="preserve"> 环境管理制度</w:t>
      </w:r>
      <w:bookmarkEnd w:id="504"/>
      <w:bookmarkEnd w:id="505"/>
      <w:bookmarkEnd w:id="506"/>
      <w:bookmarkEnd w:id="507"/>
      <w:bookmarkEnd w:id="508"/>
      <w:bookmarkEnd w:id="509"/>
      <w:bookmarkEnd w:id="510"/>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企业要建立健全必要的环境管理规章制度，并作为领导和全体职工必须遵守的一种规范和准则，“有规可循”是环境管理计划得以顺利实施的保证。制订的规章制度要体现环境管理的任务、内容和准则，使环境管理的特点及要求渗透到企业的生产管理工作中。</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建议企业应建立健全以下最基本的环境管理制度。</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1）环境保护管理规定；</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2）环境监测管理制度；</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3）环境管理经济责任制；</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4）环境管理岗位责任制；</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5）环境保护考核制度；</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6）环境污染事故管理制度。</w:t>
      </w:r>
      <w:bookmarkStart w:id="511" w:name="_Toc100821869"/>
      <w:bookmarkEnd w:id="511"/>
      <w:bookmarkStart w:id="512" w:name="_Toc86727665"/>
      <w:bookmarkEnd w:id="512"/>
      <w:bookmarkStart w:id="513" w:name="_Toc108916975"/>
      <w:bookmarkEnd w:id="513"/>
    </w:p>
    <w:p>
      <w:pPr>
        <w:pStyle w:val="6"/>
        <w:spacing w:line="360" w:lineRule="auto"/>
        <w:ind w:firstLine="482" w:firstLineChars="200"/>
        <w:rPr>
          <w:rFonts w:ascii="Times New Roman" w:hAnsi="Times New Roman" w:eastAsia="宋体" w:cs="Times New Roman"/>
          <w:sz w:val="24"/>
        </w:rPr>
      </w:pPr>
      <w:bookmarkStart w:id="514" w:name="_Toc529463363"/>
      <w:bookmarkStart w:id="515" w:name="_Toc7756"/>
      <w:r>
        <w:rPr>
          <w:rFonts w:ascii="Times New Roman" w:hAnsi="Times New Roman" w:eastAsia="宋体" w:cs="Times New Roman"/>
          <w:sz w:val="24"/>
        </w:rPr>
        <w:t>9.2.3 运营期环境管理</w:t>
      </w:r>
      <w:bookmarkEnd w:id="514"/>
      <w:bookmarkEnd w:id="515"/>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1）建立环境管理专业机构</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按照《建设项目环境保护设计规定》，建设项目必须设置专业环保机构，并配备环保技术人员。环保技术人员应具备一定的环境管理水平和专业技术知识，熟悉国家的环保法律、法规。环保机构的职责必须明确，既能向企业领导提出环境管理的设想和规划、又能承上启下组织实施各项环保管理和监督工作，同时还应加强与当地政府环保职能部门的工作联系。</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2）加强环保宣传，提高环保意识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加强对全场职工环保法律、法规宣传，提高全厂职工的环保意识。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3）健立健全环保管理规章制度和监督机制</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建立健全有约束力的、奖惩分明的环保管理规章制度，完善环保指标的监督和考核机制。要做到有规必行，违规必罚。</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4）严格遵守环保“三同时”规定</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建设项目环保设施必须与主体工程同时设计、同时施工、同时投入使用，项目竣工投产阶段自行组织环保验收，报环保部门备案。</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5）加强对环保设施的运行管理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项目在生产过程中应定岗定职，培训上岗。要严格按操作规程进行操作，必须保证污染治理设施的正常运行，从而确保污染物浓度及总量达标排放。</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定期对污染治理设施进行检修和维护，以保证污染治理设施的正常运行。</w:t>
      </w:r>
    </w:p>
    <w:p>
      <w:pPr>
        <w:pStyle w:val="6"/>
        <w:spacing w:line="360" w:lineRule="auto"/>
        <w:ind w:firstLine="482" w:firstLineChars="200"/>
        <w:rPr>
          <w:rFonts w:ascii="Times New Roman" w:hAnsi="Times New Roman" w:eastAsia="宋体" w:cs="Times New Roman"/>
          <w:sz w:val="24"/>
        </w:rPr>
      </w:pPr>
      <w:bookmarkStart w:id="516" w:name="_Toc529463367"/>
      <w:bookmarkStart w:id="517" w:name="_Toc11159"/>
      <w:r>
        <w:rPr>
          <w:rFonts w:ascii="Times New Roman" w:hAnsi="Times New Roman" w:eastAsia="宋体" w:cs="Times New Roman"/>
          <w:sz w:val="24"/>
        </w:rPr>
        <w:t>9.2.</w:t>
      </w:r>
      <w:r>
        <w:rPr>
          <w:rFonts w:hint="eastAsia" w:ascii="Times New Roman" w:hAnsi="Times New Roman" w:eastAsia="宋体" w:cs="Times New Roman"/>
          <w:sz w:val="24"/>
        </w:rPr>
        <w:t>4</w:t>
      </w:r>
      <w:r>
        <w:rPr>
          <w:rFonts w:ascii="Times New Roman" w:hAnsi="Times New Roman" w:eastAsia="宋体" w:cs="Times New Roman"/>
          <w:sz w:val="24"/>
        </w:rPr>
        <w:t xml:space="preserve"> 排污口规整</w:t>
      </w:r>
      <w:bookmarkEnd w:id="516"/>
      <w:bookmarkEnd w:id="517"/>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1）排污口规整</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color w:val="FF0000"/>
          <w:sz w:val="24"/>
          <w:szCs w:val="24"/>
        </w:rPr>
        <w:t>项目</w:t>
      </w:r>
      <w:r>
        <w:rPr>
          <w:rFonts w:hint="eastAsia" w:ascii="Times New Roman" w:hAnsi="Times New Roman" w:eastAsia="宋体" w:cs="Times New Roman"/>
          <w:color w:val="FF0000"/>
          <w:sz w:val="24"/>
          <w:szCs w:val="24"/>
        </w:rPr>
        <w:t>生产</w:t>
      </w:r>
      <w:r>
        <w:rPr>
          <w:rFonts w:ascii="Times New Roman" w:hAnsi="Times New Roman" w:eastAsia="宋体" w:cs="Times New Roman"/>
          <w:color w:val="FF0000"/>
          <w:sz w:val="24"/>
          <w:szCs w:val="24"/>
        </w:rPr>
        <w:t>废水</w:t>
      </w:r>
      <w:r>
        <w:rPr>
          <w:rFonts w:hint="eastAsia" w:ascii="Times New Roman" w:hAnsi="Times New Roman" w:eastAsia="宋体" w:cs="Times New Roman"/>
          <w:color w:val="FF0000"/>
          <w:sz w:val="24"/>
          <w:szCs w:val="24"/>
        </w:rPr>
        <w:t>通过循环</w:t>
      </w:r>
      <w:r>
        <w:rPr>
          <w:rFonts w:ascii="Times New Roman" w:hAnsi="Times New Roman" w:eastAsia="宋体" w:cs="Times New Roman"/>
          <w:color w:val="FF0000"/>
          <w:sz w:val="24"/>
          <w:szCs w:val="24"/>
        </w:rPr>
        <w:t>水池，回用于</w:t>
      </w:r>
      <w:r>
        <w:rPr>
          <w:rFonts w:hint="eastAsia" w:ascii="Times New Roman" w:hAnsi="Times New Roman" w:eastAsia="宋体" w:cs="Times New Roman"/>
          <w:color w:val="FF0000"/>
          <w:sz w:val="24"/>
          <w:szCs w:val="24"/>
        </w:rPr>
        <w:t>生产</w:t>
      </w:r>
      <w:r>
        <w:rPr>
          <w:rFonts w:ascii="Times New Roman" w:hAnsi="Times New Roman" w:eastAsia="宋体" w:cs="Times New Roman"/>
          <w:color w:val="FF0000"/>
          <w:sz w:val="24"/>
          <w:szCs w:val="24"/>
        </w:rPr>
        <w:t>过程，</w:t>
      </w:r>
      <w:r>
        <w:rPr>
          <w:rFonts w:hint="eastAsia" w:ascii="Times New Roman" w:hAnsi="Times New Roman" w:eastAsia="宋体" w:cs="Times New Roman"/>
          <w:color w:val="FF0000"/>
          <w:sz w:val="24"/>
          <w:szCs w:val="24"/>
        </w:rPr>
        <w:t>生产</w:t>
      </w:r>
      <w:r>
        <w:rPr>
          <w:rFonts w:ascii="Times New Roman" w:hAnsi="Times New Roman" w:eastAsia="宋体" w:cs="Times New Roman"/>
          <w:color w:val="FF0000"/>
          <w:sz w:val="24"/>
          <w:szCs w:val="24"/>
        </w:rPr>
        <w:t>废水循环使用不外排，生活废水处理达标后回用于场地洒水降尘和绿化，不外排，所以项目不设置废水排放口；</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color w:val="FF0000"/>
          <w:sz w:val="24"/>
          <w:szCs w:val="24"/>
        </w:rPr>
        <w:t>项目</w:t>
      </w:r>
      <w:r>
        <w:rPr>
          <w:rFonts w:hint="eastAsia" w:ascii="Times New Roman" w:hAnsi="Times New Roman" w:eastAsia="宋体" w:cs="Times New Roman"/>
          <w:color w:val="FF0000"/>
          <w:sz w:val="24"/>
          <w:szCs w:val="24"/>
        </w:rPr>
        <w:t>锅炉</w:t>
      </w:r>
      <w:r>
        <w:rPr>
          <w:rFonts w:ascii="Times New Roman" w:hAnsi="Times New Roman" w:eastAsia="宋体" w:cs="Times New Roman"/>
          <w:color w:val="FF0000"/>
          <w:sz w:val="24"/>
          <w:szCs w:val="24"/>
        </w:rPr>
        <w:t>废气呈有组织排放，项目设置1个锅炉废气排放口，排放口设置具体如下：</w:t>
      </w:r>
    </w:p>
    <w:p>
      <w:pPr>
        <w:spacing w:line="360" w:lineRule="auto"/>
        <w:ind w:firstLine="480" w:firstLineChars="200"/>
        <w:rPr>
          <w:rFonts w:ascii="Times New Roman" w:hAnsi="Times New Roman" w:eastAsia="宋体" w:cs="Times New Roman"/>
          <w:color w:val="FF0000"/>
          <w:sz w:val="24"/>
          <w:szCs w:val="24"/>
        </w:rPr>
      </w:pPr>
      <w:r>
        <w:rPr>
          <w:rFonts w:ascii="宋体" w:hAnsi="宋体" w:eastAsia="宋体" w:cs="宋体"/>
          <w:color w:val="FF0000"/>
          <w:sz w:val="24"/>
          <w:szCs w:val="24"/>
        </w:rPr>
        <w:t>①</w:t>
      </w:r>
      <w:r>
        <w:rPr>
          <w:rFonts w:ascii="Times New Roman" w:hAnsi="Times New Roman" w:eastAsia="宋体" w:cs="Times New Roman"/>
          <w:color w:val="FF0000"/>
          <w:sz w:val="24"/>
          <w:szCs w:val="24"/>
        </w:rPr>
        <w:t>锅炉废气排放口：废气排放口为</w:t>
      </w:r>
      <w:r>
        <w:rPr>
          <w:rFonts w:hint="eastAsia" w:ascii="Times New Roman" w:hAnsi="Times New Roman" w:eastAsia="宋体" w:cs="Times New Roman"/>
          <w:color w:val="FF0000"/>
          <w:sz w:val="24"/>
          <w:szCs w:val="24"/>
        </w:rPr>
        <w:t>40</w:t>
      </w:r>
      <w:r>
        <w:rPr>
          <w:rFonts w:ascii="Times New Roman" w:hAnsi="Times New Roman" w:eastAsia="宋体" w:cs="Times New Roman"/>
          <w:color w:val="FF0000"/>
          <w:sz w:val="24"/>
          <w:szCs w:val="24"/>
        </w:rPr>
        <w:t>m高</w:t>
      </w:r>
      <w:r>
        <w:rPr>
          <w:rFonts w:hint="eastAsia" w:ascii="Times New Roman" w:hAnsi="Times New Roman" w:eastAsia="宋体" w:cs="Times New Roman"/>
          <w:color w:val="FF0000"/>
          <w:sz w:val="24"/>
          <w:szCs w:val="24"/>
        </w:rPr>
        <w:t>烟囱</w:t>
      </w:r>
      <w:r>
        <w:rPr>
          <w:rFonts w:ascii="Times New Roman" w:hAnsi="Times New Roman" w:eastAsia="宋体" w:cs="Times New Roman"/>
          <w:color w:val="FF0000"/>
          <w:sz w:val="24"/>
          <w:szCs w:val="24"/>
        </w:rPr>
        <w:t>，排气筒内径为0.</w:t>
      </w:r>
      <w:r>
        <w:rPr>
          <w:rFonts w:hint="eastAsia" w:ascii="Times New Roman" w:hAnsi="Times New Roman" w:eastAsia="宋体" w:cs="Times New Roman"/>
          <w:color w:val="FF0000"/>
          <w:sz w:val="24"/>
          <w:szCs w:val="24"/>
        </w:rPr>
        <w:t>8</w:t>
      </w:r>
      <w:r>
        <w:rPr>
          <w:rFonts w:ascii="Times New Roman" w:hAnsi="Times New Roman" w:eastAsia="宋体" w:cs="Times New Roman"/>
          <w:color w:val="FF0000"/>
          <w:sz w:val="24"/>
          <w:szCs w:val="24"/>
        </w:rPr>
        <w:t>m。排放的废气为</w:t>
      </w:r>
      <w:r>
        <w:rPr>
          <w:rFonts w:hint="eastAsia" w:ascii="Times New Roman" w:hAnsi="Times New Roman" w:eastAsia="宋体" w:cs="Times New Roman"/>
          <w:color w:val="FF0000"/>
          <w:sz w:val="24"/>
          <w:szCs w:val="24"/>
        </w:rPr>
        <w:t>锅炉</w:t>
      </w:r>
      <w:r>
        <w:rPr>
          <w:rFonts w:ascii="Times New Roman" w:hAnsi="Times New Roman" w:eastAsia="宋体" w:cs="Times New Roman"/>
          <w:color w:val="FF0000"/>
          <w:sz w:val="24"/>
          <w:szCs w:val="24"/>
        </w:rPr>
        <w:t>废气，位于项目</w:t>
      </w:r>
      <w:r>
        <w:rPr>
          <w:rFonts w:hint="eastAsia" w:ascii="Times New Roman" w:hAnsi="Times New Roman" w:eastAsia="宋体" w:cs="Times New Roman"/>
          <w:color w:val="FF0000"/>
          <w:sz w:val="24"/>
          <w:szCs w:val="24"/>
        </w:rPr>
        <w:t>北</w:t>
      </w:r>
      <w:r>
        <w:rPr>
          <w:rFonts w:ascii="Times New Roman" w:hAnsi="Times New Roman" w:eastAsia="宋体" w:cs="Times New Roman"/>
          <w:color w:val="FF0000"/>
          <w:sz w:val="24"/>
          <w:szCs w:val="24"/>
        </w:rPr>
        <w:t>面，地理坐标N25°</w:t>
      </w:r>
      <w:r>
        <w:rPr>
          <w:rFonts w:hint="eastAsia" w:ascii="Times New Roman" w:hAnsi="Times New Roman" w:eastAsia="宋体" w:cs="Times New Roman"/>
          <w:color w:val="FF0000"/>
          <w:sz w:val="24"/>
          <w:szCs w:val="24"/>
        </w:rPr>
        <w:t>41</w:t>
      </w: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52.3</w:t>
      </w:r>
      <w:r>
        <w:rPr>
          <w:rFonts w:ascii="Times New Roman" w:hAnsi="Times New Roman" w:eastAsia="宋体" w:cs="Times New Roman"/>
          <w:color w:val="FF0000"/>
          <w:sz w:val="24"/>
          <w:szCs w:val="24"/>
        </w:rPr>
        <w:t>"，E101°49'</w:t>
      </w:r>
      <w:r>
        <w:rPr>
          <w:rFonts w:hint="eastAsia" w:ascii="Times New Roman" w:hAnsi="Times New Roman" w:eastAsia="宋体" w:cs="Times New Roman"/>
          <w:color w:val="FF0000"/>
          <w:sz w:val="24"/>
          <w:szCs w:val="24"/>
        </w:rPr>
        <w:t>52.3</w:t>
      </w:r>
      <w:r>
        <w:rPr>
          <w:rFonts w:ascii="Times New Roman" w:hAnsi="Times New Roman" w:eastAsia="宋体" w:cs="Times New Roman"/>
          <w:color w:val="FF0000"/>
          <w:sz w:val="24"/>
          <w:szCs w:val="24"/>
        </w:rPr>
        <w:t>"。</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排污口信息及污染物产生排放情况应向社会信息公开。</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2）排污规范化管理的基本原则</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（1）向环境排放污染物的排污口必须规范化；</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（2）排污口应便于采样与计量检测，便于日常现场监督检查。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3）排污口的技术要求</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（1）排污口的位置、高度必需合理确定，按环监（1996）470号文件及国家环保总局《关于开展排放口规范化整治工作的通知》（环法[1999]24号）要求，进行规范化管理；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（2）排污口采样点应按《污染源监测技术规范》要求，设置在企业的总排污口、处理措施的进、出口等处；</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4）排污口立标管理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（1）上述各污染物排放口，应按照国家《环境保护图形标志》（15562.1-1995）与GB15562.2-1995的规定，设国家环保总局统一制作的环境保护图形标志牌；</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（2）排污口的环保图形标志牌应设置在靠近采样点的醒目处，标志牌设置高度为其上缘距地面约2m。</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5）排污口建档管理</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（1）要求使用国家环保局统一印刷的《中华人民共和国规范化排污口标志登记证》，并按要求填写有关内容；</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（2）根据排污口管理档案内要求，废气排放口应登记排放口地理坐标、排气筒高度、排气筒出口内径、国家和地方污染物排放标准。</w:t>
      </w:r>
    </w:p>
    <w:p>
      <w:pPr>
        <w:pStyle w:val="6"/>
        <w:spacing w:line="360" w:lineRule="auto"/>
        <w:ind w:firstLine="482" w:firstLineChars="200"/>
        <w:rPr>
          <w:rFonts w:ascii="Times New Roman" w:hAnsi="Times New Roman" w:eastAsia="宋体" w:cs="Times New Roman"/>
          <w:sz w:val="24"/>
        </w:rPr>
      </w:pPr>
      <w:bookmarkStart w:id="518" w:name="_Toc529463368"/>
      <w:bookmarkStart w:id="519" w:name="_Toc12095"/>
      <w:r>
        <w:rPr>
          <w:rFonts w:ascii="Times New Roman" w:hAnsi="Times New Roman" w:eastAsia="宋体" w:cs="Times New Roman"/>
          <w:sz w:val="24"/>
        </w:rPr>
        <w:t>9.2.</w:t>
      </w:r>
      <w:r>
        <w:rPr>
          <w:rFonts w:hint="eastAsia" w:ascii="Times New Roman" w:hAnsi="Times New Roman" w:eastAsia="宋体" w:cs="Times New Roman"/>
          <w:sz w:val="24"/>
        </w:rPr>
        <w:t>5</w:t>
      </w:r>
      <w:r>
        <w:rPr>
          <w:rFonts w:ascii="Times New Roman" w:hAnsi="Times New Roman" w:eastAsia="宋体" w:cs="Times New Roman"/>
          <w:sz w:val="24"/>
        </w:rPr>
        <w:t xml:space="preserve"> 环境管理台账</w:t>
      </w:r>
      <w:bookmarkEnd w:id="518"/>
      <w:bookmarkEnd w:id="519"/>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环境管理台账指排污单位根据排污许可证的规定，对自行监测、落实各项环境管理要求等行为的具体记录，包括电子台账和纸质台账两种。环境管理台账按照《排污单位环境管理台账及排污许可证执行报告技术规范 总则》（HJ944-2018）执行。环境管理台账记录的相关内容，记录频次、形式等必须满足排污许可证要求</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环境管理台账记录内容如下：</w:t>
      </w:r>
    </w:p>
    <w:p>
      <w:pPr>
        <w:spacing w:line="360" w:lineRule="auto"/>
        <w:ind w:firstLine="482" w:firstLineChars="200"/>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表9.2-2  环境管理台账记录内容</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827"/>
        <w:gridCol w:w="1417"/>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类别</w:t>
            </w:r>
          </w:p>
        </w:tc>
        <w:tc>
          <w:tcPr>
            <w:tcW w:w="3827" w:type="dxa"/>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记录内容</w:t>
            </w:r>
          </w:p>
        </w:tc>
        <w:tc>
          <w:tcPr>
            <w:tcW w:w="1417" w:type="dxa"/>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记录频次</w:t>
            </w:r>
          </w:p>
        </w:tc>
        <w:tc>
          <w:tcPr>
            <w:tcW w:w="1134" w:type="dxa"/>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记录形式</w:t>
            </w:r>
          </w:p>
        </w:tc>
        <w:tc>
          <w:tcPr>
            <w:tcW w:w="1134" w:type="dxa"/>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基本信息</w:t>
            </w:r>
          </w:p>
        </w:tc>
        <w:tc>
          <w:tcPr>
            <w:tcW w:w="382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产品产量、原辅材料使用情况、生产负荷等</w:t>
            </w:r>
          </w:p>
        </w:tc>
        <w:tc>
          <w:tcPr>
            <w:tcW w:w="141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每班一次</w:t>
            </w:r>
          </w:p>
        </w:tc>
        <w:tc>
          <w:tcPr>
            <w:tcW w:w="1134"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电子台账+纸质台账</w:t>
            </w:r>
          </w:p>
        </w:tc>
        <w:tc>
          <w:tcPr>
            <w:tcW w:w="1134" w:type="dxa"/>
            <w:vMerge w:val="restart"/>
            <w:vAlign w:val="center"/>
          </w:tcPr>
          <w:p>
            <w:pPr>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纸质台账至少保留3年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基本信息</w:t>
            </w:r>
          </w:p>
        </w:tc>
        <w:tc>
          <w:tcPr>
            <w:tcW w:w="382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企业基本信息，包括企业名称、法人代表、社会统一信用代码、地址、生产规模、许可证编号、生产设施名称、规格型号、生产工艺、设计产能等</w:t>
            </w:r>
          </w:p>
        </w:tc>
        <w:tc>
          <w:tcPr>
            <w:tcW w:w="141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每年一次（有变更时更新）</w:t>
            </w:r>
          </w:p>
        </w:tc>
        <w:tc>
          <w:tcPr>
            <w:tcW w:w="1134" w:type="dxa"/>
            <w:vMerge w:val="continue"/>
          </w:tcPr>
          <w:p>
            <w:pPr>
              <w:rPr>
                <w:rFonts w:ascii="Times New Roman" w:hAnsi="Times New Roman" w:eastAsia="宋体" w:cs="Times New Roman"/>
                <w:color w:val="000000"/>
                <w:szCs w:val="21"/>
              </w:rPr>
            </w:pPr>
          </w:p>
        </w:tc>
        <w:tc>
          <w:tcPr>
            <w:tcW w:w="1134" w:type="dxa"/>
            <w:vMerge w:val="continue"/>
          </w:tcPr>
          <w:p>
            <w:pP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基本信息</w:t>
            </w:r>
          </w:p>
        </w:tc>
        <w:tc>
          <w:tcPr>
            <w:tcW w:w="382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处理设施名称、位置、设计处理工艺、规格型号、设计处理能力等</w:t>
            </w:r>
          </w:p>
        </w:tc>
        <w:tc>
          <w:tcPr>
            <w:tcW w:w="141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每年一次（有变更时更新）</w:t>
            </w:r>
          </w:p>
        </w:tc>
        <w:tc>
          <w:tcPr>
            <w:tcW w:w="1134" w:type="dxa"/>
            <w:vMerge w:val="continue"/>
          </w:tcPr>
          <w:p>
            <w:pPr>
              <w:rPr>
                <w:rFonts w:ascii="Times New Roman" w:hAnsi="Times New Roman" w:eastAsia="宋体" w:cs="Times New Roman"/>
                <w:color w:val="000000"/>
                <w:szCs w:val="21"/>
              </w:rPr>
            </w:pPr>
          </w:p>
        </w:tc>
        <w:tc>
          <w:tcPr>
            <w:tcW w:w="1134" w:type="dxa"/>
            <w:vMerge w:val="continue"/>
          </w:tcPr>
          <w:p>
            <w:pP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监测记录信息</w:t>
            </w:r>
          </w:p>
        </w:tc>
        <w:tc>
          <w:tcPr>
            <w:tcW w:w="382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监测的日期、时间、污染物排放口编码、监测内容、计量单位、监测点位、监测方法、监测频次、监测仪器及型号、采样方法及个数、是否超标、监测结果、运行状况</w:t>
            </w:r>
          </w:p>
        </w:tc>
        <w:tc>
          <w:tcPr>
            <w:tcW w:w="141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监测时同步记录</w:t>
            </w:r>
          </w:p>
        </w:tc>
        <w:tc>
          <w:tcPr>
            <w:tcW w:w="1134" w:type="dxa"/>
            <w:vMerge w:val="continue"/>
          </w:tcPr>
          <w:p>
            <w:pPr>
              <w:rPr>
                <w:rFonts w:ascii="Times New Roman" w:hAnsi="Times New Roman" w:eastAsia="宋体" w:cs="Times New Roman"/>
                <w:color w:val="000000"/>
                <w:szCs w:val="21"/>
              </w:rPr>
            </w:pPr>
          </w:p>
        </w:tc>
        <w:tc>
          <w:tcPr>
            <w:tcW w:w="1134" w:type="dxa"/>
            <w:vMerge w:val="continue"/>
          </w:tcPr>
          <w:p>
            <w:pP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污染防治设施运行管理信息</w:t>
            </w:r>
          </w:p>
        </w:tc>
        <w:tc>
          <w:tcPr>
            <w:tcW w:w="382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污染治理设施运行是否正常、处理药剂用量、故障原因、维护过程、检查人、检查日期、班次</w:t>
            </w:r>
          </w:p>
        </w:tc>
        <w:tc>
          <w:tcPr>
            <w:tcW w:w="1417"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每班一次</w:t>
            </w:r>
          </w:p>
        </w:tc>
        <w:tc>
          <w:tcPr>
            <w:tcW w:w="1134" w:type="dxa"/>
            <w:vMerge w:val="continue"/>
          </w:tcPr>
          <w:p>
            <w:pPr>
              <w:rPr>
                <w:rFonts w:ascii="Times New Roman" w:hAnsi="Times New Roman" w:eastAsia="宋体" w:cs="Times New Roman"/>
                <w:color w:val="000000"/>
                <w:szCs w:val="21"/>
              </w:rPr>
            </w:pPr>
          </w:p>
        </w:tc>
        <w:tc>
          <w:tcPr>
            <w:tcW w:w="1134" w:type="dxa"/>
            <w:vMerge w:val="continue"/>
          </w:tcPr>
          <w:p>
            <w:pPr>
              <w:rPr>
                <w:rFonts w:ascii="Times New Roman" w:hAnsi="Times New Roman" w:eastAsia="宋体" w:cs="Times New Roman"/>
                <w:color w:val="000000"/>
                <w:szCs w:val="21"/>
              </w:rPr>
            </w:pPr>
          </w:p>
        </w:tc>
      </w:tr>
    </w:tbl>
    <w:p>
      <w:pPr>
        <w:pStyle w:val="5"/>
        <w:numPr>
          <w:ilvl w:val="1"/>
          <w:numId w:val="0"/>
        </w:numPr>
        <w:ind w:firstLine="562"/>
        <w:rPr>
          <w:rFonts w:hAnsi="Times New Roman"/>
        </w:rPr>
      </w:pPr>
      <w:bookmarkStart w:id="520" w:name="_Toc415683422"/>
      <w:bookmarkStart w:id="521" w:name="_Toc529463369"/>
      <w:bookmarkStart w:id="522" w:name="_Toc192469221"/>
      <w:bookmarkStart w:id="523" w:name="_Toc19077"/>
      <w:bookmarkStart w:id="524" w:name="_Toc30365"/>
      <w:bookmarkStart w:id="525" w:name="_Toc421541619"/>
      <w:bookmarkStart w:id="526" w:name="_Toc186989039"/>
      <w:bookmarkStart w:id="527" w:name="_Toc7618"/>
      <w:bookmarkStart w:id="528" w:name="_Toc416699824"/>
      <w:bookmarkStart w:id="529" w:name="_Toc485221018"/>
      <w:bookmarkStart w:id="530" w:name="_Toc193879970"/>
      <w:bookmarkStart w:id="531" w:name="_Toc12828"/>
      <w:r>
        <w:rPr>
          <w:rFonts w:hAnsi="Times New Roman"/>
        </w:rPr>
        <w:t>9.3 环境监测计划</w:t>
      </w:r>
      <w:bookmarkEnd w:id="520"/>
      <w:bookmarkEnd w:id="521"/>
      <w:bookmarkEnd w:id="522"/>
      <w:bookmarkEnd w:id="523"/>
      <w:bookmarkEnd w:id="524"/>
      <w:bookmarkEnd w:id="525"/>
      <w:bookmarkEnd w:id="526"/>
      <w:bookmarkEnd w:id="527"/>
      <w:bookmarkEnd w:id="528"/>
      <w:bookmarkEnd w:id="529"/>
      <w:bookmarkEnd w:id="530"/>
      <w:bookmarkEnd w:id="531"/>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排放的污染物进行监测是检验环保设施处理效果最简单最直接的方法，监测也是环境管理的重要依据。项目环境监测可以委托具有资质的监测单位进行，侧重污染源。企业对于每次的监测结果要进行书面评价，整理在案。</w:t>
      </w:r>
    </w:p>
    <w:p>
      <w:pPr>
        <w:pStyle w:val="6"/>
        <w:spacing w:line="360" w:lineRule="auto"/>
        <w:ind w:firstLine="482" w:firstLineChars="200"/>
        <w:rPr>
          <w:rFonts w:ascii="Times New Roman" w:hAnsi="Times New Roman" w:eastAsia="宋体" w:cs="Times New Roman"/>
          <w:sz w:val="24"/>
        </w:rPr>
      </w:pPr>
      <w:bookmarkStart w:id="532" w:name="_Toc529463370"/>
      <w:bookmarkStart w:id="533" w:name="_Toc3769"/>
      <w:bookmarkStart w:id="534" w:name="_Toc25688"/>
      <w:bookmarkStart w:id="535" w:name="_Toc3157"/>
      <w:bookmarkStart w:id="536" w:name="_Toc416699825"/>
      <w:bookmarkStart w:id="537" w:name="_Toc421541620"/>
      <w:bookmarkStart w:id="538" w:name="_Toc485221019"/>
      <w:r>
        <w:rPr>
          <w:rFonts w:ascii="Times New Roman" w:hAnsi="Times New Roman" w:eastAsia="宋体" w:cs="Times New Roman"/>
          <w:sz w:val="24"/>
        </w:rPr>
        <w:t>9.3.1 监测机构</w:t>
      </w:r>
      <w:bookmarkEnd w:id="532"/>
      <w:bookmarkEnd w:id="533"/>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委托地方环境监测站或第三方有资质的监测中心定期监测，监测结果以报告形式上报当地环保部门。</w:t>
      </w:r>
      <w:bookmarkEnd w:id="534"/>
      <w:bookmarkEnd w:id="535"/>
      <w:bookmarkEnd w:id="536"/>
      <w:bookmarkEnd w:id="537"/>
      <w:bookmarkEnd w:id="538"/>
      <w:bookmarkStart w:id="539" w:name="_Toc199580715"/>
      <w:bookmarkStart w:id="540" w:name="_Toc257900162"/>
    </w:p>
    <w:p>
      <w:pPr>
        <w:pStyle w:val="6"/>
        <w:spacing w:line="360" w:lineRule="auto"/>
        <w:ind w:firstLine="482" w:firstLineChars="200"/>
        <w:rPr>
          <w:rFonts w:ascii="Times New Roman" w:hAnsi="Times New Roman" w:eastAsia="宋体" w:cs="Times New Roman"/>
          <w:sz w:val="24"/>
        </w:rPr>
      </w:pPr>
      <w:bookmarkStart w:id="541" w:name="_Toc5324"/>
      <w:bookmarkStart w:id="542" w:name="_Toc29948"/>
      <w:bookmarkStart w:id="543" w:name="_Toc416699826"/>
      <w:bookmarkStart w:id="544" w:name="_Toc421541621"/>
      <w:bookmarkStart w:id="545" w:name="_Toc485221020"/>
      <w:bookmarkStart w:id="546" w:name="_Toc529463371"/>
      <w:bookmarkStart w:id="547" w:name="_Toc23860"/>
      <w:r>
        <w:rPr>
          <w:rFonts w:ascii="Times New Roman" w:hAnsi="Times New Roman" w:eastAsia="宋体" w:cs="Times New Roman"/>
          <w:sz w:val="24"/>
        </w:rPr>
        <w:t>9.3.2 运营期大气污染源监测</w:t>
      </w:r>
      <w:bookmarkEnd w:id="539"/>
      <w:bookmarkEnd w:id="540"/>
      <w:bookmarkEnd w:id="541"/>
      <w:bookmarkEnd w:id="542"/>
      <w:bookmarkEnd w:id="543"/>
      <w:bookmarkEnd w:id="544"/>
      <w:bookmarkEnd w:id="545"/>
      <w:bookmarkEnd w:id="546"/>
      <w:bookmarkEnd w:id="547"/>
    </w:p>
    <w:p>
      <w:pPr>
        <w:adjustRightInd w:val="0"/>
        <w:snapToGrid w:val="0"/>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1）</w:t>
      </w:r>
      <w:r>
        <w:rPr>
          <w:rFonts w:ascii="Times New Roman" w:hAnsi="Times New Roman" w:eastAsia="宋体" w:cs="Times New Roman"/>
          <w:bCs/>
          <w:color w:val="FF0000"/>
          <w:sz w:val="24"/>
          <w:szCs w:val="21"/>
        </w:rPr>
        <w:t>颗粒物</w:t>
      </w:r>
    </w:p>
    <w:p>
      <w:pPr>
        <w:adjustRightInd w:val="0"/>
        <w:snapToGrid w:val="0"/>
        <w:spacing w:line="360" w:lineRule="auto"/>
        <w:ind w:firstLine="480" w:firstLineChars="200"/>
        <w:rPr>
          <w:rFonts w:ascii="Times New Roman" w:hAnsi="Times New Roman" w:eastAsia="宋体" w:cs="Times New Roman"/>
          <w:color w:val="FF0000"/>
          <w:sz w:val="24"/>
          <w:szCs w:val="24"/>
        </w:rPr>
      </w:pPr>
      <w:r>
        <w:rPr>
          <w:rFonts w:ascii="宋体" w:hAnsi="宋体" w:eastAsia="宋体" w:cs="宋体"/>
          <w:color w:val="FF0000"/>
          <w:sz w:val="24"/>
          <w:szCs w:val="24"/>
        </w:rPr>
        <w:t>①</w:t>
      </w:r>
      <w:r>
        <w:rPr>
          <w:rFonts w:ascii="Times New Roman" w:hAnsi="Times New Roman" w:eastAsia="宋体" w:cs="Times New Roman"/>
          <w:color w:val="FF0000"/>
          <w:sz w:val="24"/>
          <w:szCs w:val="24"/>
        </w:rPr>
        <w:t>监测点布设：</w:t>
      </w:r>
      <w:r>
        <w:rPr>
          <w:rFonts w:hint="eastAsia" w:ascii="Times New Roman" w:hAnsi="Times New Roman" w:eastAsia="宋体" w:cs="Times New Roman"/>
          <w:color w:val="FF0000"/>
          <w:sz w:val="24"/>
          <w:szCs w:val="24"/>
        </w:rPr>
        <w:t>项目区上风向1个点，下风向</w:t>
      </w:r>
      <w:r>
        <w:rPr>
          <w:rFonts w:hint="eastAsia" w:ascii="Times New Roman" w:hAnsi="Times New Roman" w:eastAsia="宋体" w:cs="Times New Roman"/>
          <w:color w:val="FF0000"/>
          <w:sz w:val="24"/>
          <w:szCs w:val="24"/>
          <w:lang w:val="en-US" w:eastAsia="zh-CN"/>
        </w:rPr>
        <w:t>3</w:t>
      </w:r>
      <w:r>
        <w:rPr>
          <w:rFonts w:hint="eastAsia" w:ascii="Times New Roman" w:hAnsi="Times New Roman" w:eastAsia="宋体" w:cs="Times New Roman"/>
          <w:color w:val="FF0000"/>
          <w:sz w:val="24"/>
          <w:szCs w:val="24"/>
        </w:rPr>
        <w:t>个点</w:t>
      </w:r>
    </w:p>
    <w:p>
      <w:pPr>
        <w:adjustRightInd w:val="0"/>
        <w:snapToGrid w:val="0"/>
        <w:spacing w:line="360" w:lineRule="auto"/>
        <w:ind w:firstLine="480" w:firstLineChars="200"/>
        <w:rPr>
          <w:rFonts w:ascii="Times New Roman" w:hAnsi="Times New Roman" w:eastAsia="宋体" w:cs="Times New Roman"/>
          <w:color w:val="FF0000"/>
          <w:sz w:val="24"/>
          <w:szCs w:val="24"/>
        </w:rPr>
      </w:pPr>
      <w:r>
        <w:rPr>
          <w:rFonts w:ascii="宋体" w:hAnsi="宋体" w:eastAsia="宋体" w:cs="宋体"/>
          <w:color w:val="FF0000"/>
          <w:sz w:val="24"/>
          <w:szCs w:val="24"/>
        </w:rPr>
        <w:t>②</w:t>
      </w:r>
      <w:r>
        <w:rPr>
          <w:rFonts w:ascii="Times New Roman" w:hAnsi="Times New Roman" w:eastAsia="宋体" w:cs="Times New Roman"/>
          <w:color w:val="FF0000"/>
          <w:sz w:val="24"/>
          <w:szCs w:val="24"/>
        </w:rPr>
        <w:t>监测项目：</w:t>
      </w:r>
      <w:r>
        <w:rPr>
          <w:rFonts w:hint="eastAsia" w:ascii="Times New Roman" w:hAnsi="Times New Roman" w:eastAsia="宋体" w:cs="Times New Roman"/>
          <w:color w:val="FF0000"/>
          <w:sz w:val="24"/>
          <w:szCs w:val="24"/>
        </w:rPr>
        <w:t xml:space="preserve"> 颗粒物</w:t>
      </w:r>
    </w:p>
    <w:p>
      <w:pPr>
        <w:adjustRightInd w:val="0"/>
        <w:snapToGrid w:val="0"/>
        <w:spacing w:line="360" w:lineRule="auto"/>
        <w:ind w:firstLine="480"/>
        <w:rPr>
          <w:rFonts w:ascii="Times New Roman" w:hAnsi="Times New Roman" w:eastAsia="宋体" w:cs="Times New Roman"/>
          <w:color w:val="FF0000"/>
          <w:sz w:val="24"/>
          <w:szCs w:val="24"/>
        </w:rPr>
      </w:pPr>
      <w:r>
        <w:rPr>
          <w:rFonts w:ascii="宋体" w:hAnsi="宋体" w:eastAsia="宋体" w:cs="宋体"/>
          <w:color w:val="FF0000"/>
          <w:sz w:val="24"/>
          <w:szCs w:val="24"/>
        </w:rPr>
        <w:t>③</w:t>
      </w:r>
      <w:r>
        <w:rPr>
          <w:rFonts w:ascii="Times New Roman" w:hAnsi="Times New Roman" w:eastAsia="宋体" w:cs="Times New Roman"/>
          <w:color w:val="FF0000"/>
          <w:sz w:val="24"/>
          <w:szCs w:val="24"/>
        </w:rPr>
        <w:t>监测频次：按照国家的相关规定进行</w:t>
      </w:r>
    </w:p>
    <w:p>
      <w:pPr>
        <w:adjustRightInd w:val="0"/>
        <w:snapToGrid w:val="0"/>
        <w:spacing w:before="156" w:beforeLines="50" w:line="360" w:lineRule="auto"/>
        <w:ind w:firstLine="480" w:firstLineChars="200"/>
        <w:rPr>
          <w:rFonts w:ascii="Times New Roman" w:hAnsi="Times New Roman" w:eastAsia="宋体" w:cs="Times New Roman"/>
          <w:bCs/>
          <w:color w:val="FF0000"/>
          <w:sz w:val="24"/>
          <w:szCs w:val="21"/>
        </w:rPr>
      </w:pPr>
      <w:r>
        <w:rPr>
          <w:rFonts w:ascii="Times New Roman" w:hAnsi="Times New Roman" w:eastAsia="宋体" w:cs="Times New Roman"/>
          <w:bCs/>
          <w:color w:val="FF0000"/>
          <w:sz w:val="24"/>
          <w:szCs w:val="21"/>
        </w:rPr>
        <w:t>2）</w:t>
      </w:r>
      <w:r>
        <w:rPr>
          <w:rFonts w:hint="eastAsia" w:ascii="Times New Roman" w:hAnsi="Times New Roman" w:eastAsia="宋体" w:cs="Times New Roman"/>
          <w:color w:val="FF0000"/>
          <w:sz w:val="24"/>
          <w:szCs w:val="24"/>
        </w:rPr>
        <w:t>锅炉</w:t>
      </w:r>
      <w:r>
        <w:rPr>
          <w:rFonts w:ascii="Times New Roman" w:hAnsi="Times New Roman" w:eastAsia="宋体" w:cs="Times New Roman"/>
          <w:color w:val="FF0000"/>
          <w:sz w:val="24"/>
          <w:szCs w:val="24"/>
        </w:rPr>
        <w:t>废气</w:t>
      </w:r>
    </w:p>
    <w:p>
      <w:pPr>
        <w:adjustRightInd w:val="0"/>
        <w:snapToGrid w:val="0"/>
        <w:spacing w:line="360" w:lineRule="auto"/>
        <w:ind w:firstLine="480" w:firstLineChars="200"/>
        <w:rPr>
          <w:rFonts w:ascii="Times New Roman" w:hAnsi="Times New Roman" w:eastAsia="宋体" w:cs="Times New Roman"/>
          <w:color w:val="FF0000"/>
          <w:sz w:val="24"/>
          <w:szCs w:val="24"/>
        </w:rPr>
      </w:pPr>
      <w:r>
        <w:rPr>
          <w:rFonts w:ascii="宋体" w:hAnsi="宋体" w:eastAsia="宋体" w:cs="宋体"/>
          <w:color w:val="FF0000"/>
          <w:sz w:val="24"/>
          <w:szCs w:val="24"/>
        </w:rPr>
        <w:t>①</w:t>
      </w:r>
      <w:r>
        <w:rPr>
          <w:rFonts w:ascii="Times New Roman" w:hAnsi="Times New Roman" w:eastAsia="宋体" w:cs="Times New Roman"/>
          <w:color w:val="FF0000"/>
          <w:sz w:val="24"/>
          <w:szCs w:val="24"/>
        </w:rPr>
        <w:t>监测点布设：在</w:t>
      </w:r>
      <w:r>
        <w:rPr>
          <w:rFonts w:hint="eastAsia" w:ascii="Times New Roman" w:hAnsi="Times New Roman" w:eastAsia="宋体" w:cs="Times New Roman"/>
          <w:color w:val="FF0000"/>
          <w:sz w:val="24"/>
          <w:szCs w:val="24"/>
        </w:rPr>
        <w:t>水膜</w:t>
      </w:r>
      <w:r>
        <w:rPr>
          <w:rFonts w:ascii="Times New Roman" w:hAnsi="Times New Roman" w:eastAsia="宋体" w:cs="Times New Roman"/>
          <w:color w:val="FF0000"/>
          <w:sz w:val="24"/>
          <w:szCs w:val="24"/>
        </w:rPr>
        <w:t>除尘器进口和排气筒出口设置一个监测点</w:t>
      </w:r>
    </w:p>
    <w:p>
      <w:pPr>
        <w:adjustRightInd w:val="0"/>
        <w:snapToGrid w:val="0"/>
        <w:spacing w:line="360" w:lineRule="auto"/>
        <w:ind w:firstLine="480" w:firstLineChars="200"/>
        <w:rPr>
          <w:rFonts w:ascii="Times New Roman" w:hAnsi="Times New Roman" w:eastAsia="宋体" w:cs="Times New Roman"/>
          <w:color w:val="FF0000"/>
          <w:sz w:val="24"/>
          <w:szCs w:val="24"/>
        </w:rPr>
      </w:pPr>
      <w:r>
        <w:rPr>
          <w:rFonts w:ascii="宋体" w:hAnsi="宋体" w:eastAsia="宋体" w:cs="宋体"/>
          <w:color w:val="FF0000"/>
          <w:sz w:val="24"/>
          <w:szCs w:val="24"/>
        </w:rPr>
        <w:t>②</w:t>
      </w:r>
      <w:r>
        <w:rPr>
          <w:rFonts w:ascii="Times New Roman" w:hAnsi="Times New Roman" w:eastAsia="宋体" w:cs="Times New Roman"/>
          <w:color w:val="FF0000"/>
          <w:sz w:val="24"/>
          <w:szCs w:val="24"/>
        </w:rPr>
        <w:t>监测项目：颗粒物</w:t>
      </w:r>
      <w:r>
        <w:rPr>
          <w:rFonts w:hint="eastAsia" w:ascii="Times New Roman" w:hAnsi="Times New Roman" w:eastAsia="宋体" w:cs="Times New Roman"/>
          <w:color w:val="FF0000"/>
          <w:sz w:val="24"/>
          <w:szCs w:val="24"/>
        </w:rPr>
        <w:t>、 SO</w:t>
      </w:r>
      <w:r>
        <w:rPr>
          <w:rFonts w:hint="eastAsia" w:ascii="Times New Roman" w:hAnsi="Times New Roman" w:eastAsia="宋体" w:cs="Times New Roman"/>
          <w:color w:val="FF0000"/>
          <w:sz w:val="24"/>
          <w:szCs w:val="24"/>
          <w:vertAlign w:val="subscript"/>
        </w:rPr>
        <w:t>2</w:t>
      </w:r>
      <w:r>
        <w:rPr>
          <w:rFonts w:hint="eastAsia" w:ascii="Times New Roman" w:hAnsi="Times New Roman" w:eastAsia="宋体" w:cs="Times New Roman"/>
          <w:color w:val="FF0000"/>
          <w:sz w:val="24"/>
          <w:szCs w:val="24"/>
        </w:rPr>
        <w:t>、NO</w:t>
      </w:r>
      <w:r>
        <w:rPr>
          <w:rFonts w:hint="eastAsia" w:ascii="Times New Roman" w:hAnsi="Times New Roman" w:eastAsia="宋体" w:cs="Times New Roman"/>
          <w:color w:val="FF0000"/>
          <w:sz w:val="24"/>
          <w:szCs w:val="24"/>
          <w:vertAlign w:val="subscript"/>
        </w:rPr>
        <w:t>X</w:t>
      </w:r>
    </w:p>
    <w:p>
      <w:pPr>
        <w:adjustRightInd w:val="0"/>
        <w:snapToGrid w:val="0"/>
        <w:spacing w:line="360" w:lineRule="auto"/>
        <w:ind w:firstLine="480"/>
        <w:rPr>
          <w:rFonts w:ascii="Times New Roman" w:hAnsi="Times New Roman" w:eastAsia="宋体" w:cs="Times New Roman"/>
          <w:color w:val="FF0000"/>
          <w:sz w:val="24"/>
          <w:szCs w:val="24"/>
        </w:rPr>
      </w:pPr>
      <w:r>
        <w:rPr>
          <w:rFonts w:ascii="宋体" w:hAnsi="宋体" w:eastAsia="宋体" w:cs="宋体"/>
          <w:color w:val="FF0000"/>
          <w:sz w:val="24"/>
          <w:szCs w:val="24"/>
        </w:rPr>
        <w:t>③</w:t>
      </w:r>
      <w:r>
        <w:rPr>
          <w:rFonts w:ascii="Times New Roman" w:hAnsi="Times New Roman" w:eastAsia="宋体" w:cs="Times New Roman"/>
          <w:color w:val="FF0000"/>
          <w:sz w:val="24"/>
          <w:szCs w:val="24"/>
        </w:rPr>
        <w:t>监测频次：按照国家的相关规定进行</w:t>
      </w:r>
    </w:p>
    <w:p>
      <w:pPr>
        <w:pStyle w:val="6"/>
        <w:spacing w:line="360" w:lineRule="auto"/>
        <w:ind w:firstLine="482" w:firstLineChars="200"/>
        <w:rPr>
          <w:rFonts w:ascii="Times New Roman" w:hAnsi="Times New Roman" w:eastAsia="宋体" w:cs="Times New Roman"/>
          <w:sz w:val="24"/>
        </w:rPr>
      </w:pPr>
      <w:bookmarkStart w:id="548" w:name="_Toc199580716"/>
      <w:bookmarkStart w:id="549" w:name="_Toc257900163"/>
      <w:bookmarkStart w:id="550" w:name="_Toc11275"/>
      <w:bookmarkStart w:id="551" w:name="_Toc8303"/>
      <w:bookmarkStart w:id="552" w:name="_Toc416699827"/>
      <w:bookmarkStart w:id="553" w:name="_Toc421541622"/>
      <w:bookmarkStart w:id="554" w:name="_Toc485221021"/>
      <w:bookmarkStart w:id="555" w:name="_Toc529463372"/>
      <w:bookmarkStart w:id="556" w:name="_Toc18682"/>
      <w:r>
        <w:rPr>
          <w:rFonts w:ascii="Times New Roman" w:hAnsi="Times New Roman" w:eastAsia="宋体" w:cs="Times New Roman"/>
          <w:sz w:val="24"/>
        </w:rPr>
        <w:t>9.3.3 运营期噪声源监测</w:t>
      </w:r>
      <w:bookmarkEnd w:id="548"/>
      <w:bookmarkEnd w:id="549"/>
      <w:bookmarkEnd w:id="550"/>
      <w:bookmarkEnd w:id="551"/>
      <w:bookmarkEnd w:id="552"/>
      <w:bookmarkEnd w:id="553"/>
      <w:bookmarkEnd w:id="554"/>
      <w:bookmarkEnd w:id="555"/>
      <w:bookmarkEnd w:id="556"/>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1）监测点布设：项目东、南、西、北厂界外1m处</w:t>
      </w:r>
    </w:p>
    <w:p>
      <w:pPr>
        <w:spacing w:line="360" w:lineRule="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2）监测项目：等效连续A声级</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3）监测频率：按照国家的相关规定进行  </w:t>
      </w:r>
    </w:p>
    <w:p>
      <w:pPr>
        <w:pStyle w:val="6"/>
        <w:spacing w:line="360" w:lineRule="auto"/>
        <w:ind w:firstLine="482" w:firstLineChars="200"/>
        <w:rPr>
          <w:rFonts w:ascii="Times New Roman" w:hAnsi="Times New Roman" w:eastAsia="宋体" w:cs="Times New Roman"/>
          <w:sz w:val="24"/>
        </w:rPr>
      </w:pPr>
      <w:bookmarkStart w:id="557" w:name="_Toc13174"/>
      <w:r>
        <w:rPr>
          <w:rFonts w:ascii="Times New Roman" w:hAnsi="Times New Roman" w:eastAsia="宋体" w:cs="Times New Roman"/>
          <w:sz w:val="24"/>
        </w:rPr>
        <w:t>9.3.4 地下水跟踪监测</w:t>
      </w:r>
      <w:bookmarkEnd w:id="557"/>
    </w:p>
    <w:p>
      <w:pPr>
        <w:spacing w:line="360" w:lineRule="auto"/>
        <w:ind w:firstLine="360" w:firstLineChars="15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1）监测点位：小雷宰村监测井为跟踪监测点。</w:t>
      </w:r>
    </w:p>
    <w:p>
      <w:pPr>
        <w:spacing w:line="360" w:lineRule="auto"/>
        <w:ind w:firstLine="480" w:firstLineChars="200"/>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2）监测项目：pH、耗氧量、挥发酚、氯化物、氨氮、总大肠菌群、细菌总数。</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3）监测频次：按国家的相关规定进行。</w:t>
      </w:r>
    </w:p>
    <w:p>
      <w:pPr>
        <w:spacing w:before="156" w:beforeLines="50" w:after="156" w:afterLines="50" w:line="360" w:lineRule="auto"/>
        <w:jc w:val="left"/>
        <w:outlineLvl w:val="2"/>
        <w:rPr>
          <w:b/>
          <w:bCs/>
          <w:kern w:val="24"/>
          <w:sz w:val="24"/>
          <w:szCs w:val="24"/>
        </w:rPr>
      </w:pPr>
      <w:bookmarkStart w:id="558" w:name="_Toc17704213"/>
      <w:bookmarkStart w:id="559" w:name="_Toc4169"/>
      <w:bookmarkStart w:id="560" w:name="_Toc320791423"/>
      <w:bookmarkStart w:id="561" w:name="_Toc255771031"/>
      <w:bookmarkStart w:id="562" w:name="_Toc250447658"/>
      <w:bookmarkStart w:id="563" w:name="_Toc382648677"/>
      <w:bookmarkStart w:id="564" w:name="_Toc319006352"/>
      <w:bookmarkStart w:id="565" w:name="_Toc4912"/>
      <w:bookmarkStart w:id="566" w:name="_Toc24272"/>
      <w:bookmarkStart w:id="567" w:name="_Toc416699828"/>
      <w:bookmarkStart w:id="568" w:name="_Toc421541623"/>
      <w:bookmarkStart w:id="569" w:name="_Toc485221022"/>
      <w:bookmarkStart w:id="570" w:name="_Toc529463373"/>
      <w:r>
        <w:rPr>
          <w:rFonts w:hint="eastAsia"/>
          <w:b/>
          <w:bCs/>
          <w:kern w:val="24"/>
          <w:sz w:val="24"/>
          <w:szCs w:val="24"/>
        </w:rPr>
        <w:t>9.3.5 土壤环境跟踪监测计划</w:t>
      </w:r>
      <w:bookmarkEnd w:id="558"/>
      <w:bookmarkEnd w:id="559"/>
    </w:p>
    <w:p>
      <w:pPr>
        <w:spacing w:line="360" w:lineRule="auto"/>
        <w:ind w:firstLine="480"/>
        <w:rPr>
          <w:color w:val="000000"/>
          <w:kern w:val="1"/>
          <w:sz w:val="24"/>
          <w:szCs w:val="24"/>
        </w:rPr>
      </w:pPr>
      <w:r>
        <w:rPr>
          <w:color w:val="000000"/>
          <w:kern w:val="1"/>
          <w:sz w:val="24"/>
          <w:szCs w:val="24"/>
        </w:rPr>
        <w:t>1）监测点布设（</w:t>
      </w:r>
      <w:r>
        <w:rPr>
          <w:rFonts w:hint="eastAsia"/>
          <w:color w:val="000000"/>
          <w:kern w:val="1"/>
          <w:sz w:val="24"/>
          <w:szCs w:val="24"/>
        </w:rPr>
        <w:t>1</w:t>
      </w:r>
      <w:r>
        <w:rPr>
          <w:color w:val="000000"/>
          <w:kern w:val="1"/>
          <w:sz w:val="24"/>
          <w:szCs w:val="24"/>
        </w:rPr>
        <w:t>个</w:t>
      </w:r>
      <w:r>
        <w:rPr>
          <w:rFonts w:hint="eastAsia"/>
          <w:color w:val="000000"/>
          <w:kern w:val="1"/>
          <w:sz w:val="24"/>
          <w:szCs w:val="24"/>
        </w:rPr>
        <w:t>柱状样点</w:t>
      </w:r>
      <w:r>
        <w:rPr>
          <w:color w:val="000000"/>
          <w:kern w:val="1"/>
          <w:sz w:val="24"/>
          <w:szCs w:val="24"/>
        </w:rPr>
        <w:t>）</w:t>
      </w:r>
      <w:r>
        <w:rPr>
          <w:rFonts w:hint="eastAsia"/>
          <w:color w:val="000000"/>
          <w:kern w:val="1"/>
          <w:sz w:val="24"/>
          <w:szCs w:val="24"/>
        </w:rPr>
        <w:t>锅炉房东北角（厂内）。</w:t>
      </w:r>
    </w:p>
    <w:p>
      <w:pPr>
        <w:spacing w:line="360" w:lineRule="auto"/>
        <w:ind w:firstLine="480" w:firstLineChars="200"/>
        <w:rPr>
          <w:color w:val="000000"/>
          <w:kern w:val="1"/>
          <w:sz w:val="24"/>
          <w:szCs w:val="24"/>
        </w:rPr>
      </w:pPr>
      <w:r>
        <w:rPr>
          <w:color w:val="000000"/>
          <w:kern w:val="1"/>
          <w:sz w:val="24"/>
          <w:szCs w:val="24"/>
        </w:rPr>
        <w:t>2）监测项目：</w:t>
      </w:r>
      <w:r>
        <w:rPr>
          <w:rFonts w:hint="eastAsia"/>
          <w:color w:val="000000"/>
          <w:kern w:val="1"/>
          <w:sz w:val="24"/>
          <w:szCs w:val="24"/>
        </w:rPr>
        <w:t>硫化物</w:t>
      </w:r>
      <w:r>
        <w:rPr>
          <w:color w:val="000000"/>
          <w:kern w:val="1"/>
          <w:sz w:val="24"/>
          <w:szCs w:val="24"/>
        </w:rPr>
        <w:t>。</w:t>
      </w:r>
    </w:p>
    <w:p>
      <w:pPr>
        <w:spacing w:line="360" w:lineRule="auto"/>
        <w:ind w:firstLine="480"/>
        <w:rPr>
          <w:color w:val="000000"/>
          <w:kern w:val="1"/>
          <w:sz w:val="24"/>
          <w:szCs w:val="24"/>
        </w:rPr>
      </w:pPr>
      <w:r>
        <w:rPr>
          <w:color w:val="000000"/>
          <w:kern w:val="1"/>
          <w:sz w:val="24"/>
          <w:szCs w:val="24"/>
        </w:rPr>
        <w:t>3）监测频次：建议</w:t>
      </w:r>
      <w:r>
        <w:rPr>
          <w:rFonts w:hint="eastAsia"/>
          <w:color w:val="000000"/>
          <w:kern w:val="1"/>
          <w:sz w:val="24"/>
          <w:szCs w:val="24"/>
        </w:rPr>
        <w:t>必要时监测</w:t>
      </w:r>
      <w:r>
        <w:rPr>
          <w:color w:val="000000"/>
          <w:kern w:val="1"/>
          <w:sz w:val="24"/>
          <w:szCs w:val="24"/>
        </w:rPr>
        <w:t>。</w:t>
      </w:r>
    </w:p>
    <w:p>
      <w:pPr>
        <w:pStyle w:val="6"/>
        <w:spacing w:line="360" w:lineRule="auto"/>
        <w:ind w:firstLine="482" w:firstLineChars="200"/>
        <w:rPr>
          <w:rFonts w:ascii="Times New Roman" w:hAnsi="Times New Roman" w:eastAsia="宋体" w:cs="Times New Roman"/>
          <w:sz w:val="24"/>
        </w:rPr>
      </w:pPr>
      <w:bookmarkStart w:id="571" w:name="_Toc29675"/>
      <w:r>
        <w:rPr>
          <w:rFonts w:ascii="Times New Roman" w:hAnsi="Times New Roman" w:eastAsia="宋体" w:cs="Times New Roman"/>
          <w:sz w:val="24"/>
        </w:rPr>
        <w:t>9.3.</w:t>
      </w:r>
      <w:r>
        <w:rPr>
          <w:rFonts w:hint="eastAsia" w:ascii="Times New Roman" w:hAnsi="Times New Roman" w:eastAsia="宋体" w:cs="Times New Roman"/>
          <w:sz w:val="24"/>
        </w:rPr>
        <w:t>6</w:t>
      </w:r>
      <w:r>
        <w:rPr>
          <w:rFonts w:ascii="Times New Roman" w:hAnsi="Times New Roman" w:eastAsia="宋体" w:cs="Times New Roman"/>
          <w:sz w:val="24"/>
        </w:rPr>
        <w:t xml:space="preserve"> 监测数据的整理、审核及</w:t>
      </w:r>
      <w:bookmarkEnd w:id="560"/>
      <w:bookmarkEnd w:id="561"/>
      <w:bookmarkEnd w:id="562"/>
      <w:bookmarkEnd w:id="563"/>
      <w:bookmarkEnd w:id="564"/>
      <w:bookmarkEnd w:id="565"/>
      <w:bookmarkEnd w:id="566"/>
      <w:bookmarkEnd w:id="567"/>
      <w:r>
        <w:rPr>
          <w:rFonts w:ascii="Times New Roman" w:hAnsi="Times New Roman" w:eastAsia="宋体" w:cs="Times New Roman"/>
          <w:sz w:val="24"/>
        </w:rPr>
        <w:t>存档</w:t>
      </w:r>
      <w:bookmarkEnd w:id="568"/>
      <w:bookmarkEnd w:id="569"/>
      <w:bookmarkEnd w:id="570"/>
      <w:bookmarkEnd w:id="571"/>
    </w:p>
    <w:p>
      <w:pPr>
        <w:spacing w:line="360" w:lineRule="auto"/>
        <w:ind w:firstLine="480" w:firstLineChars="200"/>
        <w:rPr>
          <w:rFonts w:ascii="Times New Roman" w:hAnsi="Times New Roman" w:eastAsia="宋体" w:cs="Times New Roman"/>
          <w:color w:val="000000"/>
          <w:sz w:val="24"/>
          <w:szCs w:val="24"/>
        </w:rPr>
      </w:pPr>
      <w:bookmarkStart w:id="572" w:name="_Toc382648678"/>
      <w:bookmarkStart w:id="573" w:name="_Toc8969"/>
      <w:bookmarkStart w:id="574" w:name="_Toc20145"/>
      <w:r>
        <w:rPr>
          <w:rFonts w:ascii="Times New Roman" w:hAnsi="Times New Roman" w:eastAsia="宋体" w:cs="Times New Roman"/>
          <w:color w:val="000000"/>
          <w:sz w:val="24"/>
          <w:szCs w:val="24"/>
        </w:rPr>
        <w:t>项目每次监测结束后，对监测资料进行分析，建设单位监测频次、监测期间生产工况、数据有效性等须符合相关规范文件等要求。</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每年应对当年所有的监测数据资料进行整理和评价，审核后按档案规范编号存档，以备查询。</w:t>
      </w:r>
      <w:bookmarkEnd w:id="572"/>
      <w:bookmarkEnd w:id="573"/>
      <w:bookmarkEnd w:id="574"/>
    </w:p>
    <w:p>
      <w:pPr>
        <w:pStyle w:val="5"/>
        <w:numPr>
          <w:ilvl w:val="1"/>
          <w:numId w:val="0"/>
        </w:numPr>
        <w:ind w:firstLine="562"/>
        <w:rPr>
          <w:rFonts w:hAnsi="Times New Roman"/>
        </w:rPr>
      </w:pPr>
      <w:bookmarkStart w:id="575" w:name="_Toc529463374"/>
      <w:bookmarkStart w:id="576" w:name="_Toc17179"/>
      <w:bookmarkStart w:id="577" w:name="_Toc11747"/>
      <w:r>
        <w:rPr>
          <w:rFonts w:hAnsi="Times New Roman"/>
        </w:rPr>
        <w:t>9.4 排污许可证申请</w:t>
      </w:r>
      <w:bookmarkEnd w:id="575"/>
      <w:bookmarkEnd w:id="576"/>
      <w:bookmarkEnd w:id="577"/>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排污单位在规定的申请时限，登录全国排污许可证管理信息平台 (http://permit.mep.gov.cn)进行网上注册，并填写排污许可申请材料。</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申请前信息公开结束后，排污单位在全国排污许可证管理信息平台上填写《排污许可证申领信息公开情况说明表》，并按照平台“业务办理流程”，将相关申请材料一并提交。同时向核发环保部门提交通过全国排污许可证管理信息平台印制的书面申请材料。</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核发环保部门收到排污单位提交的申请材料后，对材料的完整性、规范性进行审查，并在全国排污许可证管理信息平台上作出受理或者不予受理排污许可证申请的决定。同意受理的进入审核流程，核发环保部门对排污单位的申请材料进行审核，对满足条件的排污单位核发排污许可证，对不满足条件的排污单位不予核发排污许可证。</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具体程序见图9.4-1申请与核发程序流程图。</w:t>
      </w:r>
    </w:p>
    <w:p>
      <w:pPr>
        <w:spacing w:line="360" w:lineRule="auto"/>
        <w:ind w:firstLine="42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Cs w:val="21"/>
        </w:rPr>
        <w:drawing>
          <wp:inline distT="0" distB="0" distL="0" distR="0">
            <wp:extent cx="4509135" cy="5675630"/>
            <wp:effectExtent l="0" t="0" r="5715" b="1270"/>
            <wp:docPr id="315" name="图片 315" descr="C:\Users\Lenovo\AppData\Local\Temp\ksohtml\wpsA87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C:\Users\Lenovo\AppData\Local\Temp\ksohtml\wpsA878.t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09135" cy="5675630"/>
                    </a:xfrm>
                    <a:prstGeom prst="rect">
                      <a:avLst/>
                    </a:prstGeom>
                    <a:noFill/>
                    <a:ln>
                      <a:noFill/>
                    </a:ln>
                  </pic:spPr>
                </pic:pic>
              </a:graphicData>
            </a:graphic>
          </wp:inline>
        </w:drawing>
      </w:r>
      <w:r>
        <w:rPr>
          <w:rFonts w:ascii="Times New Roman" w:hAnsi="Times New Roman" w:eastAsia="宋体" w:cs="Times New Roman"/>
          <w:color w:val="000000"/>
          <w:sz w:val="24"/>
          <w:szCs w:val="24"/>
        </w:rPr>
        <w:t xml:space="preserve"> </w:t>
      </w:r>
    </w:p>
    <w:p>
      <w:pPr>
        <w:ind w:firstLine="1687" w:firstLineChars="700"/>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图9.4-1  申请与核发程序流程图</w:t>
      </w:r>
    </w:p>
    <w:p>
      <w:pPr>
        <w:pStyle w:val="5"/>
        <w:numPr>
          <w:ilvl w:val="1"/>
          <w:numId w:val="0"/>
        </w:numPr>
        <w:ind w:firstLine="562"/>
        <w:rPr>
          <w:rFonts w:hAnsi="Times New Roman"/>
        </w:rPr>
      </w:pPr>
      <w:bookmarkStart w:id="578" w:name="_Toc529463375"/>
      <w:bookmarkStart w:id="579" w:name="_Toc14115"/>
      <w:bookmarkStart w:id="580" w:name="_Toc6097"/>
      <w:r>
        <w:rPr>
          <w:rFonts w:hAnsi="Times New Roman"/>
        </w:rPr>
        <w:t>9.5 环保竣工验收</w:t>
      </w:r>
      <w:bookmarkEnd w:id="578"/>
      <w:bookmarkEnd w:id="579"/>
      <w:bookmarkEnd w:id="580"/>
    </w:p>
    <w:p>
      <w:pPr>
        <w:ind w:firstLine="470" w:firstLineChars="196"/>
        <w:rPr>
          <w:rFonts w:ascii="Times New Roman" w:hAnsi="Times New Roman" w:eastAsia="宋体" w:cs="Times New Roman"/>
          <w:bCs/>
          <w:color w:val="000000"/>
          <w:sz w:val="24"/>
          <w:szCs w:val="24"/>
        </w:rPr>
      </w:pPr>
      <w:bookmarkStart w:id="581" w:name="_Toc382648680"/>
      <w:bookmarkStart w:id="582" w:name="_Toc3905"/>
      <w:bookmarkStart w:id="583" w:name="_Toc24117"/>
      <w:bookmarkStart w:id="584" w:name="_Toc28420"/>
      <w:bookmarkStart w:id="585" w:name="_Toc28653"/>
      <w:bookmarkStart w:id="586" w:name="_Toc28585"/>
      <w:bookmarkStart w:id="587" w:name="_Toc10692"/>
      <w:bookmarkStart w:id="588" w:name="_Toc31432"/>
      <w:bookmarkStart w:id="589" w:name="_Toc1851"/>
      <w:bookmarkStart w:id="590" w:name="_Toc415683424"/>
      <w:r>
        <w:rPr>
          <w:rFonts w:ascii="Times New Roman" w:hAnsi="Times New Roman" w:eastAsia="宋体" w:cs="Times New Roman"/>
          <w:bCs/>
          <w:color w:val="000000"/>
          <w:sz w:val="24"/>
          <w:szCs w:val="24"/>
        </w:rPr>
        <w:t>环保竣工验收一览表见表9.5-1。</w:t>
      </w:r>
      <w:bookmarkEnd w:id="581"/>
      <w:bookmarkEnd w:id="582"/>
      <w:bookmarkEnd w:id="583"/>
      <w:bookmarkEnd w:id="584"/>
      <w:bookmarkEnd w:id="585"/>
      <w:bookmarkEnd w:id="586"/>
      <w:bookmarkEnd w:id="587"/>
      <w:bookmarkEnd w:id="588"/>
      <w:bookmarkEnd w:id="589"/>
      <w:bookmarkEnd w:id="590"/>
    </w:p>
    <w:p>
      <w:pPr>
        <w:spacing w:line="360" w:lineRule="auto"/>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表9.5-1  项目环保竣工验收一览表</w:t>
      </w:r>
    </w:p>
    <w:tbl>
      <w:tblPr>
        <w:tblStyle w:val="20"/>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559"/>
        <w:gridCol w:w="2712"/>
        <w:gridCol w:w="32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污染物</w:t>
            </w:r>
          </w:p>
        </w:tc>
        <w:tc>
          <w:tcPr>
            <w:tcW w:w="1559"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污染源</w:t>
            </w:r>
          </w:p>
        </w:tc>
        <w:tc>
          <w:tcPr>
            <w:tcW w:w="2712"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处理措施</w:t>
            </w:r>
          </w:p>
        </w:tc>
        <w:tc>
          <w:tcPr>
            <w:tcW w:w="3298"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处理效果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restart"/>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废气</w:t>
            </w: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锅炉废气</w:t>
            </w:r>
          </w:p>
        </w:tc>
        <w:tc>
          <w:tcPr>
            <w:tcW w:w="271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项目锅炉设置水膜除尘器+40m高的排气筒1根</w:t>
            </w:r>
          </w:p>
        </w:tc>
        <w:tc>
          <w:tcPr>
            <w:tcW w:w="329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达《锅炉大气污染物排放标准》（GB13271-2014）表 2 中燃煤锅炉排放标准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b/>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食堂</w:t>
            </w:r>
            <w:r>
              <w:rPr>
                <w:rFonts w:ascii="Times New Roman" w:hAnsi="Times New Roman" w:eastAsia="宋体" w:cs="Times New Roman"/>
                <w:kern w:val="0"/>
                <w:szCs w:val="28"/>
              </w:rPr>
              <w:t>油烟</w:t>
            </w:r>
          </w:p>
        </w:tc>
        <w:tc>
          <w:tcPr>
            <w:tcW w:w="271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项目食堂设置净化</w:t>
            </w:r>
            <w:r>
              <w:rPr>
                <w:rFonts w:ascii="Times New Roman" w:hAnsi="Times New Roman" w:eastAsia="宋体" w:cs="Times New Roman"/>
                <w:color w:val="FF0000"/>
                <w:kern w:val="0"/>
                <w:szCs w:val="28"/>
              </w:rPr>
              <w:t>效率为</w:t>
            </w:r>
            <w:r>
              <w:rPr>
                <w:rFonts w:hint="eastAsia" w:ascii="Times New Roman" w:hAnsi="Times New Roman" w:eastAsia="宋体" w:cs="Times New Roman"/>
                <w:color w:val="FF0000"/>
                <w:kern w:val="0"/>
                <w:szCs w:val="28"/>
              </w:rPr>
              <w:t>9</w:t>
            </w:r>
            <w:r>
              <w:rPr>
                <w:rFonts w:ascii="Times New Roman" w:hAnsi="Times New Roman" w:eastAsia="宋体" w:cs="Times New Roman"/>
                <w:color w:val="FF0000"/>
                <w:kern w:val="0"/>
                <w:szCs w:val="28"/>
              </w:rPr>
              <w:t>0%的油烟净化器</w:t>
            </w:r>
          </w:p>
        </w:tc>
        <w:tc>
          <w:tcPr>
            <w:tcW w:w="3298" w:type="dxa"/>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达《饮食业</w:t>
            </w:r>
            <w:r>
              <w:rPr>
                <w:rFonts w:ascii="Times New Roman" w:hAnsi="Times New Roman" w:eastAsia="宋体" w:cs="Times New Roman"/>
                <w:kern w:val="0"/>
                <w:szCs w:val="21"/>
              </w:rPr>
              <w:t>油烟排放标准</w:t>
            </w:r>
            <w:r>
              <w:rPr>
                <w:rFonts w:hint="eastAsia" w:ascii="Times New Roman" w:hAnsi="Times New Roman" w:eastAsia="宋体" w:cs="Times New Roman"/>
                <w:kern w:val="0"/>
                <w:szCs w:val="21"/>
              </w:rPr>
              <w:t>（试行）》（GB18483-2001）中</w:t>
            </w:r>
            <w:r>
              <w:rPr>
                <w:rFonts w:ascii="Times New Roman" w:hAnsi="Times New Roman" w:eastAsia="宋体" w:cs="Times New Roman"/>
                <w:kern w:val="0"/>
                <w:szCs w:val="21"/>
              </w:rPr>
              <w:t>对应的小型规模，油烟最高允许排放浓度为</w:t>
            </w:r>
            <w:r>
              <w:rPr>
                <w:rFonts w:hint="eastAsia" w:ascii="Times New Roman" w:hAnsi="Times New Roman" w:eastAsia="宋体" w:cs="Times New Roman"/>
                <w:kern w:val="0"/>
                <w:szCs w:val="21"/>
              </w:rPr>
              <w:t>2.0 mg</w:t>
            </w:r>
            <w:r>
              <w:rPr>
                <w:rFonts w:ascii="Times New Roman" w:hAnsi="Times New Roman" w:eastAsia="宋体" w:cs="Times New Roman"/>
                <w:kern w:val="0"/>
                <w:szCs w:val="21"/>
              </w:rPr>
              <w:t>/m</w:t>
            </w:r>
            <w:r>
              <w:rPr>
                <w:rFonts w:ascii="Times New Roman" w:hAnsi="Times New Roman" w:eastAsia="宋体" w:cs="Times New Roman"/>
                <w:kern w:val="0"/>
                <w:szCs w:val="21"/>
                <w:vertAlign w:val="superscript"/>
              </w:rPr>
              <w:t>3</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油烟净化率≥60%要求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restart"/>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废水</w:t>
            </w: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生产废水</w:t>
            </w:r>
          </w:p>
        </w:tc>
        <w:tc>
          <w:tcPr>
            <w:tcW w:w="271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造纸车间设置循环水池1个，容积200m</w:t>
            </w:r>
            <w:r>
              <w:rPr>
                <w:rFonts w:hint="eastAsia" w:ascii="Times New Roman" w:hAnsi="Times New Roman" w:eastAsia="宋体" w:cs="Times New Roman"/>
                <w:color w:val="FF0000"/>
                <w:kern w:val="0"/>
                <w:szCs w:val="28"/>
                <w:vertAlign w:val="superscript"/>
              </w:rPr>
              <w:t>3</w:t>
            </w:r>
          </w:p>
        </w:tc>
        <w:tc>
          <w:tcPr>
            <w:tcW w:w="329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生产废水循环使用，不外排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b/>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食堂废水</w:t>
            </w:r>
          </w:p>
        </w:tc>
        <w:tc>
          <w:tcPr>
            <w:tcW w:w="271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食堂设置隔油池1个，容积为2m</w:t>
            </w:r>
            <w:r>
              <w:rPr>
                <w:rFonts w:hint="eastAsia" w:ascii="Times New Roman" w:hAnsi="Times New Roman" w:eastAsia="宋体" w:cs="Times New Roman"/>
                <w:color w:val="FF0000"/>
                <w:kern w:val="0"/>
                <w:szCs w:val="28"/>
                <w:vertAlign w:val="superscript"/>
              </w:rPr>
              <w:t>3</w:t>
            </w:r>
          </w:p>
        </w:tc>
        <w:tc>
          <w:tcPr>
            <w:tcW w:w="3298" w:type="dxa"/>
            <w:vMerge w:val="restart"/>
            <w:vAlign w:val="center"/>
          </w:tcPr>
          <w:p>
            <w:pPr>
              <w:spacing w:line="240" w:lineRule="atLeast"/>
              <w:jc w:val="center"/>
              <w:rPr>
                <w:rFonts w:ascii="Times New Roman" w:hAnsi="Times New Roman" w:eastAsia="宋体" w:cs="Times New Roman"/>
                <w:kern w:val="0"/>
                <w:szCs w:val="21"/>
              </w:rPr>
            </w:pPr>
            <w:r>
              <w:rPr>
                <w:rFonts w:hint="eastAsia" w:ascii="Times New Roman" w:hAnsi="Times New Roman" w:eastAsia="宋体" w:cs="Times New Roman"/>
                <w:color w:val="FF0000"/>
                <w:kern w:val="0"/>
                <w:szCs w:val="21"/>
              </w:rPr>
              <w:t>食堂废水</w:t>
            </w:r>
            <w:r>
              <w:rPr>
                <w:rFonts w:hint="eastAsia" w:ascii="Times New Roman" w:hAnsi="宋体" w:eastAsia="宋体" w:cs="Times New Roman"/>
                <w:color w:val="FF0000"/>
                <w:kern w:val="0"/>
                <w:szCs w:val="21"/>
              </w:rPr>
              <w:t>经隔油池处理后同其他生活污水进入化粪池处理后，通过自建的污水处理设施处理达标后晴天回用于绿化，雨天回用于生产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b/>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生活污水</w:t>
            </w:r>
          </w:p>
        </w:tc>
        <w:tc>
          <w:tcPr>
            <w:tcW w:w="271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卫生间北侧设置化粪池1个，容积为5m</w:t>
            </w:r>
            <w:r>
              <w:rPr>
                <w:rFonts w:hint="eastAsia" w:ascii="Times New Roman" w:hAnsi="Times New Roman" w:eastAsia="宋体" w:cs="Times New Roman"/>
                <w:color w:val="FF0000"/>
                <w:kern w:val="0"/>
                <w:szCs w:val="28"/>
                <w:vertAlign w:val="superscript"/>
              </w:rPr>
              <w:t>3</w:t>
            </w:r>
          </w:p>
        </w:tc>
        <w:tc>
          <w:tcPr>
            <w:tcW w:w="3298" w:type="dxa"/>
            <w:vMerge w:val="continue"/>
            <w:vAlign w:val="center"/>
          </w:tcPr>
          <w:p>
            <w:pPr>
              <w:spacing w:line="240" w:lineRule="atLeast"/>
              <w:jc w:val="center"/>
              <w:rPr>
                <w:rFonts w:ascii="Times New Roman" w:hAnsi="Times New Roman" w:eastAsia="宋体" w:cs="Times New Roman"/>
                <w:kern w:val="0"/>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b/>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生活污水</w:t>
            </w:r>
          </w:p>
        </w:tc>
        <w:tc>
          <w:tcPr>
            <w:tcW w:w="2712" w:type="dxa"/>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项目东北侧设置处理规模为6m</w:t>
            </w:r>
            <w:r>
              <w:rPr>
                <w:rFonts w:hint="eastAsia" w:ascii="Times New Roman" w:hAnsi="Times New Roman" w:eastAsia="宋体" w:cs="Times New Roman"/>
                <w:color w:val="FF0000"/>
                <w:kern w:val="0"/>
                <w:szCs w:val="28"/>
                <w:vertAlign w:val="superscript"/>
              </w:rPr>
              <w:t>3</w:t>
            </w:r>
            <w:r>
              <w:rPr>
                <w:rFonts w:hint="eastAsia" w:ascii="Times New Roman" w:hAnsi="Times New Roman" w:eastAsia="宋体" w:cs="Times New Roman"/>
                <w:color w:val="FF0000"/>
                <w:kern w:val="0"/>
                <w:szCs w:val="28"/>
              </w:rPr>
              <w:t>/d的污水处理设施</w:t>
            </w:r>
          </w:p>
        </w:tc>
        <w:tc>
          <w:tcPr>
            <w:tcW w:w="3298" w:type="dxa"/>
            <w:vMerge w:val="continue"/>
            <w:vAlign w:val="center"/>
          </w:tcPr>
          <w:p>
            <w:pPr>
              <w:spacing w:line="240" w:lineRule="atLeast"/>
              <w:jc w:val="center"/>
              <w:rPr>
                <w:rFonts w:ascii="Times New Roman" w:hAnsi="Times New Roman" w:eastAsia="宋体" w:cs="Times New Roman"/>
                <w:kern w:val="0"/>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b/>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生活污水、消防废水</w:t>
            </w:r>
          </w:p>
        </w:tc>
        <w:tc>
          <w:tcPr>
            <w:tcW w:w="2712" w:type="dxa"/>
            <w:tcBorders>
              <w:bottom w:val="single" w:color="auto" w:sz="4" w:space="0"/>
            </w:tcBorders>
            <w:vAlign w:val="center"/>
          </w:tcPr>
          <w:p>
            <w:pPr>
              <w:spacing w:line="240" w:lineRule="atLeast"/>
              <w:jc w:val="center"/>
              <w:rPr>
                <w:rFonts w:ascii="Times New Roman" w:hAnsi="Times New Roman" w:eastAsia="宋体" w:cs="Times New Roman"/>
                <w:color w:val="FF0000"/>
                <w:kern w:val="0"/>
                <w:szCs w:val="28"/>
              </w:rPr>
            </w:pPr>
            <w:r>
              <w:rPr>
                <w:rFonts w:hint="eastAsia" w:ascii="Times New Roman" w:hAnsi="Times New Roman" w:eastAsia="宋体" w:cs="Times New Roman"/>
                <w:color w:val="FF0000"/>
                <w:kern w:val="0"/>
                <w:szCs w:val="28"/>
              </w:rPr>
              <w:t>项目东北侧设置应急事故池1个，</w:t>
            </w:r>
            <w:r>
              <w:rPr>
                <w:rFonts w:ascii="Times New Roman" w:hAnsi="Times New Roman" w:eastAsia="宋体" w:cs="Times New Roman"/>
                <w:color w:val="FF0000"/>
                <w:kern w:val="0"/>
                <w:szCs w:val="28"/>
              </w:rPr>
              <w:t>90</w:t>
            </w:r>
            <w:r>
              <w:rPr>
                <w:rFonts w:hint="eastAsia" w:ascii="Times New Roman" w:hAnsi="Times New Roman" w:eastAsia="宋体" w:cs="Times New Roman"/>
                <w:color w:val="FF0000"/>
                <w:kern w:val="0"/>
                <w:szCs w:val="28"/>
              </w:rPr>
              <w:t>0m</w:t>
            </w:r>
            <w:r>
              <w:rPr>
                <w:rFonts w:hint="eastAsia" w:ascii="Times New Roman" w:hAnsi="Times New Roman" w:eastAsia="宋体" w:cs="Times New Roman"/>
                <w:color w:val="FF0000"/>
                <w:kern w:val="0"/>
                <w:szCs w:val="28"/>
                <w:vertAlign w:val="superscript"/>
              </w:rPr>
              <w:t>3</w:t>
            </w:r>
          </w:p>
        </w:tc>
        <w:tc>
          <w:tcPr>
            <w:tcW w:w="3298" w:type="dxa"/>
            <w:vMerge w:val="continue"/>
            <w:tcBorders>
              <w:bottom w:val="single" w:color="auto" w:sz="4" w:space="0"/>
            </w:tcBorders>
            <w:vAlign w:val="center"/>
          </w:tcPr>
          <w:p>
            <w:pPr>
              <w:spacing w:line="240" w:lineRule="atLeast"/>
              <w:jc w:val="center"/>
              <w:rPr>
                <w:rFonts w:ascii="Times New Roman" w:hAnsi="Times New Roman" w:eastAsia="宋体" w:cs="Times New Roman"/>
                <w:kern w:val="0"/>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b/>
                <w:kern w:val="0"/>
                <w:sz w:val="20"/>
                <w:szCs w:val="28"/>
              </w:rPr>
            </w:pPr>
          </w:p>
        </w:tc>
        <w:tc>
          <w:tcPr>
            <w:tcW w:w="1559" w:type="dxa"/>
            <w:vAlign w:val="center"/>
          </w:tcPr>
          <w:p>
            <w:pPr>
              <w:spacing w:line="240" w:lineRule="atLeast"/>
              <w:jc w:val="center"/>
              <w:rPr>
                <w:rFonts w:ascii="Times New Roman" w:hAnsi="Times New Roman" w:eastAsia="宋体" w:cs="Times New Roman"/>
                <w:kern w:val="0"/>
                <w:sz w:val="20"/>
                <w:szCs w:val="28"/>
              </w:rPr>
            </w:pPr>
            <w:r>
              <w:rPr>
                <w:rFonts w:hint="eastAsia" w:ascii="Times New Roman" w:hAnsi="Times New Roman" w:eastAsia="宋体" w:cs="Times New Roman"/>
                <w:kern w:val="0"/>
                <w:sz w:val="20"/>
                <w:szCs w:val="28"/>
              </w:rPr>
              <w:t>除尘废水</w:t>
            </w:r>
          </w:p>
        </w:tc>
        <w:tc>
          <w:tcPr>
            <w:tcW w:w="2712" w:type="dxa"/>
            <w:tcBorders>
              <w:top w:val="single" w:color="auto" w:sz="4" w:space="0"/>
            </w:tcBorders>
            <w:vAlign w:val="center"/>
          </w:tcPr>
          <w:p>
            <w:pPr>
              <w:spacing w:line="240" w:lineRule="atLeast"/>
              <w:jc w:val="center"/>
              <w:rPr>
                <w:rFonts w:ascii="Times New Roman" w:hAnsi="Times New Roman" w:eastAsia="宋体" w:cs="Times New Roman"/>
                <w:color w:val="FF0000"/>
                <w:kern w:val="0"/>
                <w:sz w:val="20"/>
                <w:szCs w:val="28"/>
              </w:rPr>
            </w:pPr>
            <w:r>
              <w:rPr>
                <w:rFonts w:hint="eastAsia" w:ascii="Times New Roman" w:hAnsi="Times New Roman" w:eastAsia="宋体" w:cs="Times New Roman"/>
                <w:color w:val="FF0000"/>
                <w:kern w:val="0"/>
                <w:szCs w:val="28"/>
              </w:rPr>
              <w:t>项目锅炉房北侧设置循环水池1个，容积150m</w:t>
            </w:r>
            <w:r>
              <w:rPr>
                <w:rFonts w:hint="eastAsia" w:ascii="Times New Roman" w:hAnsi="Times New Roman" w:eastAsia="宋体" w:cs="Times New Roman"/>
                <w:color w:val="FF0000"/>
                <w:kern w:val="0"/>
                <w:szCs w:val="28"/>
                <w:vertAlign w:val="superscript"/>
              </w:rPr>
              <w:t>3</w:t>
            </w:r>
          </w:p>
        </w:tc>
        <w:tc>
          <w:tcPr>
            <w:tcW w:w="3298" w:type="dxa"/>
            <w:tcBorders>
              <w:top w:val="single" w:color="auto" w:sz="4" w:space="0"/>
            </w:tcBorders>
            <w:vAlign w:val="center"/>
          </w:tcPr>
          <w:p>
            <w:pPr>
              <w:spacing w:line="240" w:lineRule="atLeast"/>
              <w:jc w:val="center"/>
              <w:rPr>
                <w:rFonts w:ascii="Times New Roman" w:hAnsi="Times New Roman" w:eastAsia="宋体" w:cs="Times New Roman"/>
                <w:kern w:val="0"/>
                <w:sz w:val="20"/>
                <w:szCs w:val="28"/>
              </w:rPr>
            </w:pPr>
            <w:r>
              <w:rPr>
                <w:rFonts w:hint="eastAsia" w:ascii="Times New Roman" w:hAnsi="Times New Roman" w:eastAsia="宋体" w:cs="Times New Roman"/>
                <w:kern w:val="0"/>
                <w:szCs w:val="28"/>
              </w:rPr>
              <w:t>除尘废水循环使用，不外排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b/>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雨水</w:t>
            </w:r>
          </w:p>
        </w:tc>
        <w:tc>
          <w:tcPr>
            <w:tcW w:w="2712"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雨污分流管网建设</w:t>
            </w:r>
          </w:p>
        </w:tc>
        <w:tc>
          <w:tcPr>
            <w:tcW w:w="329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部分洒水降尘、部分排入雨水管网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噪声</w:t>
            </w: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机械设备、运输车辆</w:t>
            </w:r>
          </w:p>
        </w:tc>
        <w:tc>
          <w:tcPr>
            <w:tcW w:w="2712"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维护保养、减震，建筑隔声、绿化</w:t>
            </w:r>
          </w:p>
        </w:tc>
        <w:tc>
          <w:tcPr>
            <w:tcW w:w="329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达到《工业企业厂界环境噪声排放标准》（GB12348-2008）3类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restart"/>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固体废物</w:t>
            </w: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切割车间边角废料</w:t>
            </w:r>
          </w:p>
        </w:tc>
        <w:tc>
          <w:tcPr>
            <w:tcW w:w="2712"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经收集后返回水力碎浆工序</w:t>
            </w:r>
          </w:p>
        </w:tc>
        <w:tc>
          <w:tcPr>
            <w:tcW w:w="3298" w:type="dxa"/>
            <w:vMerge w:val="restart"/>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处理率100%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不合格产品</w:t>
            </w:r>
          </w:p>
        </w:tc>
        <w:tc>
          <w:tcPr>
            <w:tcW w:w="2712"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经收集后返回水力碎浆工序</w:t>
            </w:r>
          </w:p>
        </w:tc>
        <w:tc>
          <w:tcPr>
            <w:tcW w:w="3298" w:type="dxa"/>
            <w:vMerge w:val="continue"/>
            <w:vAlign w:val="center"/>
          </w:tcPr>
          <w:p>
            <w:pPr>
              <w:spacing w:line="240" w:lineRule="atLeast"/>
              <w:jc w:val="center"/>
              <w:rPr>
                <w:rFonts w:ascii="Times New Roman" w:hAnsi="Times New Roman" w:eastAsia="宋体" w:cs="Times New Roman"/>
                <w:kern w:val="0"/>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锅炉炉渣、除尘废水循环沉淀池污泥</w:t>
            </w:r>
          </w:p>
        </w:tc>
        <w:tc>
          <w:tcPr>
            <w:tcW w:w="2712"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辅助用房内50m</w:t>
            </w:r>
            <w:r>
              <w:rPr>
                <w:rFonts w:hint="eastAsia" w:ascii="Times New Roman" w:hAnsi="Times New Roman" w:eastAsia="宋体" w:cs="Times New Roman"/>
                <w:kern w:val="0"/>
                <w:szCs w:val="28"/>
                <w:vertAlign w:val="superscript"/>
              </w:rPr>
              <w:t>2</w:t>
            </w:r>
            <w:r>
              <w:rPr>
                <w:rFonts w:hint="eastAsia" w:ascii="Times New Roman" w:hAnsi="Times New Roman" w:eastAsia="宋体" w:cs="Times New Roman"/>
                <w:kern w:val="0"/>
                <w:szCs w:val="28"/>
              </w:rPr>
              <w:t>的</w:t>
            </w:r>
            <w:r>
              <w:rPr>
                <w:rFonts w:hint="eastAsia" w:ascii="Times New Roman" w:hAnsi="Times New Roman" w:eastAsia="宋体" w:cs="Times New Roman"/>
                <w:kern w:val="0"/>
                <w:szCs w:val="28"/>
                <w:lang w:eastAsia="zh-CN"/>
              </w:rPr>
              <w:t>炉渣暂存间</w:t>
            </w:r>
            <w:r>
              <w:rPr>
                <w:rFonts w:hint="eastAsia" w:ascii="Times New Roman" w:hAnsi="Times New Roman" w:eastAsia="宋体" w:cs="Times New Roman"/>
                <w:kern w:val="0"/>
                <w:szCs w:val="28"/>
              </w:rPr>
              <w:t>（独立封闭的房间），收集炉渣和除尘废水循环沉淀池污泥，达到一定量时用于周边</w:t>
            </w:r>
            <w:r>
              <w:rPr>
                <w:rFonts w:ascii="Times New Roman" w:hAnsi="Times New Roman" w:eastAsia="宋体" w:cs="Times New Roman"/>
                <w:kern w:val="0"/>
                <w:szCs w:val="28"/>
              </w:rPr>
              <w:t>农田还田处置</w:t>
            </w:r>
          </w:p>
        </w:tc>
        <w:tc>
          <w:tcPr>
            <w:tcW w:w="3298" w:type="dxa"/>
            <w:vMerge w:val="continue"/>
            <w:vAlign w:val="center"/>
          </w:tcPr>
          <w:p>
            <w:pPr>
              <w:spacing w:line="240" w:lineRule="atLeast"/>
              <w:jc w:val="center"/>
              <w:rPr>
                <w:rFonts w:ascii="Times New Roman" w:hAnsi="Times New Roman" w:eastAsia="宋体" w:cs="Times New Roman"/>
                <w:kern w:val="0"/>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生活垃圾</w:t>
            </w:r>
          </w:p>
        </w:tc>
        <w:tc>
          <w:tcPr>
            <w:tcW w:w="2712"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color w:val="FF0000"/>
                <w:kern w:val="0"/>
                <w:szCs w:val="28"/>
              </w:rPr>
              <w:t>可移动垃圾桶8个</w:t>
            </w:r>
          </w:p>
        </w:tc>
        <w:tc>
          <w:tcPr>
            <w:tcW w:w="329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经收集，委托环卫部门统一清运处置，处理率100%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Merge w:val="continue"/>
            <w:vAlign w:val="center"/>
          </w:tcPr>
          <w:p>
            <w:pPr>
              <w:spacing w:line="240" w:lineRule="atLeast"/>
              <w:jc w:val="center"/>
              <w:rPr>
                <w:rFonts w:ascii="Times New Roman" w:hAnsi="Times New Roman" w:eastAsia="宋体" w:cs="Times New Roman"/>
                <w:kern w:val="0"/>
                <w:szCs w:val="28"/>
              </w:rPr>
            </w:pP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化粪池及污水处理站污泥</w:t>
            </w:r>
          </w:p>
        </w:tc>
        <w:tc>
          <w:tcPr>
            <w:tcW w:w="2712"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委托环卫部门定期清掏处置</w:t>
            </w:r>
          </w:p>
        </w:tc>
        <w:tc>
          <w:tcPr>
            <w:tcW w:w="329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处理率100%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水土</w:t>
            </w: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水土流失</w:t>
            </w:r>
          </w:p>
        </w:tc>
        <w:tc>
          <w:tcPr>
            <w:tcW w:w="2712"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种植绿化、内部道路地面硬化，雨水排水沟渠</w:t>
            </w:r>
          </w:p>
        </w:tc>
        <w:tc>
          <w:tcPr>
            <w:tcW w:w="329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减少区域内的水土流失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59" w:type="dxa"/>
            <w:vAlign w:val="center"/>
          </w:tcPr>
          <w:p>
            <w:pPr>
              <w:spacing w:line="240" w:lineRule="atLeast"/>
              <w:jc w:val="center"/>
              <w:rPr>
                <w:rFonts w:ascii="Times New Roman" w:hAnsi="Times New Roman" w:eastAsia="宋体" w:cs="Times New Roman"/>
                <w:b/>
                <w:kern w:val="0"/>
                <w:szCs w:val="28"/>
              </w:rPr>
            </w:pPr>
            <w:r>
              <w:rPr>
                <w:rFonts w:hint="eastAsia" w:ascii="Times New Roman" w:hAnsi="Times New Roman" w:eastAsia="宋体" w:cs="Times New Roman"/>
                <w:b/>
                <w:kern w:val="0"/>
                <w:szCs w:val="28"/>
              </w:rPr>
              <w:t>绿化</w:t>
            </w:r>
          </w:p>
        </w:tc>
        <w:tc>
          <w:tcPr>
            <w:tcW w:w="1559"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w:t>
            </w:r>
          </w:p>
        </w:tc>
        <w:tc>
          <w:tcPr>
            <w:tcW w:w="2712"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绿化面积</w:t>
            </w:r>
            <w:r>
              <w:rPr>
                <w:rFonts w:ascii="Times New Roman" w:hAnsi="Times New Roman" w:eastAsia="宋体" w:cs="Times New Roman"/>
                <w:kern w:val="0"/>
                <w:szCs w:val="28"/>
              </w:rPr>
              <w:t>3559.07</w:t>
            </w:r>
            <w:r>
              <w:rPr>
                <w:rFonts w:hint="eastAsia" w:ascii="Times New Roman" w:hAnsi="Times New Roman" w:eastAsia="宋体" w:cs="Times New Roman"/>
                <w:kern w:val="0"/>
                <w:szCs w:val="28"/>
              </w:rPr>
              <w:t>m</w:t>
            </w:r>
            <w:r>
              <w:rPr>
                <w:rFonts w:hint="eastAsia" w:ascii="Times New Roman" w:hAnsi="Times New Roman" w:eastAsia="宋体" w:cs="Times New Roman"/>
                <w:kern w:val="0"/>
                <w:szCs w:val="28"/>
                <w:vertAlign w:val="superscript"/>
              </w:rPr>
              <w:t>2</w:t>
            </w:r>
          </w:p>
        </w:tc>
        <w:tc>
          <w:tcPr>
            <w:tcW w:w="3298" w:type="dxa"/>
            <w:vAlign w:val="center"/>
          </w:tcPr>
          <w:p>
            <w:pPr>
              <w:spacing w:line="240" w:lineRule="atLeast"/>
              <w:jc w:val="center"/>
              <w:rPr>
                <w:rFonts w:ascii="Times New Roman" w:hAnsi="Times New Roman" w:eastAsia="宋体" w:cs="Times New Roman"/>
                <w:kern w:val="0"/>
                <w:szCs w:val="28"/>
              </w:rPr>
            </w:pPr>
            <w:r>
              <w:rPr>
                <w:rFonts w:hint="eastAsia" w:ascii="Times New Roman" w:hAnsi="Times New Roman" w:eastAsia="宋体" w:cs="Times New Roman"/>
                <w:kern w:val="0"/>
                <w:szCs w:val="28"/>
              </w:rPr>
              <w:t>达到绿化美化，异味阻隔、吸附净化效果</w:t>
            </w:r>
          </w:p>
        </w:tc>
      </w:tr>
    </w:tbl>
    <w:p>
      <w:pPr>
        <w:spacing w:line="360" w:lineRule="auto"/>
        <w:ind w:firstLine="480" w:firstLineChars="200"/>
        <w:rPr>
          <w:rFonts w:ascii="宋体" w:hAnsi="宋体" w:eastAsia="宋体" w:cs="宋体"/>
          <w:color w:val="FF0000"/>
          <w:sz w:val="24"/>
          <w:szCs w:val="24"/>
        </w:rPr>
      </w:pPr>
    </w:p>
    <w:p>
      <w:pPr>
        <w:widowControl/>
        <w:jc w:val="left"/>
        <w:rPr>
          <w:rFonts w:ascii="宋体" w:hAnsi="宋体" w:eastAsia="宋体" w:cs="宋体"/>
          <w:color w:val="FF0000"/>
          <w:sz w:val="24"/>
          <w:szCs w:val="24"/>
        </w:rPr>
      </w:pPr>
      <w:r>
        <w:rPr>
          <w:rFonts w:ascii="宋体" w:hAnsi="宋体" w:eastAsia="宋体" w:cs="宋体"/>
          <w:color w:val="FF0000"/>
          <w:sz w:val="24"/>
          <w:szCs w:val="24"/>
        </w:rPr>
        <w:br w:type="page"/>
      </w:r>
    </w:p>
    <w:p>
      <w:pPr>
        <w:keepNext/>
        <w:keepLines/>
        <w:spacing w:before="340" w:after="330" w:line="360" w:lineRule="auto"/>
        <w:ind w:firstLine="602" w:firstLineChars="200"/>
        <w:jc w:val="center"/>
        <w:outlineLvl w:val="0"/>
        <w:rPr>
          <w:rFonts w:ascii="Times New Roman" w:hAnsi="Times New Roman" w:eastAsia="宋体" w:cs="Times New Roman"/>
          <w:b/>
          <w:bCs/>
          <w:kern w:val="44"/>
          <w:sz w:val="30"/>
          <w:szCs w:val="44"/>
        </w:rPr>
      </w:pPr>
      <w:bookmarkStart w:id="591" w:name="_Toc23843410"/>
      <w:bookmarkStart w:id="592" w:name="_Toc32449"/>
      <w:bookmarkStart w:id="593" w:name="_Toc32572"/>
      <w:r>
        <w:rPr>
          <w:rFonts w:ascii="Times New Roman" w:hAnsi="Times New Roman" w:eastAsia="宋体" w:cs="Times New Roman"/>
          <w:b/>
          <w:bCs/>
          <w:kern w:val="44"/>
          <w:sz w:val="30"/>
          <w:szCs w:val="44"/>
        </w:rPr>
        <w:t>10</w:t>
      </w:r>
      <w:r>
        <w:rPr>
          <w:rFonts w:hint="eastAsia" w:ascii="Times New Roman" w:hAnsi="Times New Roman" w:eastAsia="宋体" w:cs="Times New Roman"/>
          <w:b/>
          <w:bCs/>
          <w:kern w:val="44"/>
          <w:sz w:val="30"/>
          <w:szCs w:val="44"/>
        </w:rPr>
        <w:t>环境影响评价结论</w:t>
      </w:r>
      <w:bookmarkEnd w:id="591"/>
      <w:bookmarkEnd w:id="592"/>
      <w:bookmarkEnd w:id="593"/>
    </w:p>
    <w:p>
      <w:pPr>
        <w:keepNext/>
        <w:keepLines/>
        <w:spacing w:before="260" w:after="260" w:line="360" w:lineRule="auto"/>
        <w:ind w:firstLine="562"/>
        <w:outlineLvl w:val="0"/>
        <w:rPr>
          <w:rFonts w:ascii="Times New Roman" w:hAnsi="Times New Roman" w:eastAsia="宋体" w:cs="Times New Roman"/>
          <w:b/>
          <w:bCs/>
          <w:sz w:val="28"/>
          <w:szCs w:val="32"/>
        </w:rPr>
      </w:pPr>
      <w:bookmarkStart w:id="594" w:name="_Toc23843411"/>
      <w:bookmarkStart w:id="595" w:name="_Toc3316"/>
      <w:bookmarkStart w:id="596" w:name="_Toc21320"/>
      <w:r>
        <w:rPr>
          <w:rFonts w:ascii="Times New Roman" w:hAnsi="Times New Roman" w:eastAsia="宋体" w:cs="Times New Roman"/>
          <w:b/>
          <w:bCs/>
          <w:sz w:val="28"/>
          <w:szCs w:val="32"/>
        </w:rPr>
        <w:t>10</w:t>
      </w:r>
      <w:r>
        <w:rPr>
          <w:rFonts w:hint="eastAsia" w:ascii="Times New Roman" w:hAnsi="Times New Roman" w:eastAsia="宋体" w:cs="Times New Roman"/>
          <w:b/>
          <w:bCs/>
          <w:sz w:val="28"/>
          <w:szCs w:val="32"/>
        </w:rPr>
        <w:t>.1项目概况</w:t>
      </w:r>
      <w:bookmarkEnd w:id="594"/>
      <w:r>
        <w:rPr>
          <w:rFonts w:hint="eastAsia" w:ascii="Times New Roman" w:hAnsi="Times New Roman" w:eastAsia="宋体" w:cs="Times New Roman"/>
          <w:b/>
          <w:bCs/>
          <w:sz w:val="28"/>
          <w:szCs w:val="32"/>
        </w:rPr>
        <w:t>结论</w:t>
      </w:r>
      <w:bookmarkEnd w:id="595"/>
      <w:bookmarkEnd w:id="596"/>
    </w:p>
    <w:p>
      <w:pPr>
        <w:spacing w:line="360" w:lineRule="auto"/>
        <w:ind w:firstLine="420"/>
        <w:rPr>
          <w:rFonts w:ascii="Times New Roman" w:hAnsi="Times New Roman" w:eastAsia="宋体" w:cs="Times New Roman"/>
          <w:bCs/>
          <w:color w:val="FF0000"/>
          <w:sz w:val="24"/>
          <w:szCs w:val="24"/>
        </w:rPr>
      </w:pPr>
      <w:r>
        <w:rPr>
          <w:rFonts w:hint="eastAsia" w:ascii="Times New Roman" w:hAnsi="Times New Roman" w:eastAsia="宋体" w:cs="Times New Roman"/>
          <w:bCs/>
          <w:color w:val="FF0000"/>
          <w:sz w:val="24"/>
          <w:szCs w:val="24"/>
        </w:rPr>
        <w:t>元谋佳明包装责任有限公司在元谋工业园区金雷片区内新建一条年产10万t环保新材料石粉纸生产线一条，项目总投资10176万元，其中环保投资220万元，占总投资的2.16%。</w:t>
      </w:r>
    </w:p>
    <w:p>
      <w:pPr>
        <w:spacing w:line="360" w:lineRule="auto"/>
        <w:ind w:firstLine="420"/>
        <w:rPr>
          <w:rFonts w:ascii="Times New Roman" w:hAnsi="Times New Roman" w:eastAsia="宋体" w:cs="Times New Roman"/>
          <w:bCs/>
          <w:color w:val="FF0000"/>
          <w:sz w:val="24"/>
          <w:szCs w:val="24"/>
        </w:rPr>
      </w:pPr>
      <w:r>
        <w:rPr>
          <w:rFonts w:hint="eastAsia" w:ascii="Times New Roman" w:hAnsi="Times New Roman" w:eastAsia="宋体" w:cs="Times New Roman"/>
          <w:bCs/>
          <w:color w:val="FF0000"/>
          <w:sz w:val="24"/>
          <w:szCs w:val="24"/>
        </w:rPr>
        <w:t>项目于2018年12月27日</w:t>
      </w:r>
      <w:r>
        <w:rPr>
          <w:rFonts w:ascii="Times New Roman" w:hAnsi="Times New Roman" w:eastAsia="宋体" w:cs="Times New Roman"/>
          <w:bCs/>
          <w:color w:val="FF0000"/>
          <w:sz w:val="24"/>
          <w:szCs w:val="24"/>
        </w:rPr>
        <w:t>才正式取得了元谋县</w:t>
      </w:r>
      <w:r>
        <w:rPr>
          <w:rFonts w:hint="eastAsia" w:ascii="Times New Roman" w:hAnsi="Times New Roman" w:eastAsia="宋体" w:cs="Times New Roman"/>
          <w:bCs/>
          <w:color w:val="FF0000"/>
          <w:sz w:val="24"/>
          <w:szCs w:val="24"/>
        </w:rPr>
        <w:t>发展</w:t>
      </w:r>
      <w:r>
        <w:rPr>
          <w:rFonts w:ascii="Times New Roman" w:hAnsi="Times New Roman" w:eastAsia="宋体" w:cs="Times New Roman"/>
          <w:bCs/>
          <w:color w:val="FF0000"/>
          <w:sz w:val="24"/>
          <w:szCs w:val="24"/>
        </w:rPr>
        <w:t>和改革建设局核发的投资项目备案证，投资备案证编号：</w:t>
      </w:r>
      <w:r>
        <w:rPr>
          <w:rFonts w:hint="eastAsia" w:ascii="Times New Roman" w:hAnsi="Times New Roman" w:eastAsia="宋体" w:cs="Times New Roman"/>
          <w:bCs/>
          <w:color w:val="FF0000"/>
          <w:sz w:val="24"/>
          <w:szCs w:val="24"/>
        </w:rPr>
        <w:t>5323282018120447。</w:t>
      </w:r>
    </w:p>
    <w:p>
      <w:pPr>
        <w:keepNext/>
        <w:keepLines/>
        <w:spacing w:before="260" w:after="260" w:line="360" w:lineRule="auto"/>
        <w:ind w:firstLine="562"/>
        <w:outlineLvl w:val="0"/>
        <w:rPr>
          <w:rFonts w:ascii="Times New Roman" w:hAnsi="Times New Roman" w:eastAsia="宋体" w:cs="Times New Roman"/>
          <w:b/>
          <w:bCs/>
          <w:sz w:val="28"/>
          <w:szCs w:val="32"/>
        </w:rPr>
      </w:pPr>
      <w:bookmarkStart w:id="597" w:name="_Toc678"/>
      <w:bookmarkStart w:id="598" w:name="_Toc2665"/>
      <w:r>
        <w:rPr>
          <w:rFonts w:hint="eastAsia" w:ascii="Times New Roman" w:hAnsi="Times New Roman" w:eastAsia="宋体" w:cs="Times New Roman"/>
          <w:b/>
          <w:bCs/>
          <w:sz w:val="28"/>
          <w:szCs w:val="32"/>
        </w:rPr>
        <w:t>10.2评价</w:t>
      </w:r>
      <w:r>
        <w:rPr>
          <w:rFonts w:ascii="Times New Roman" w:hAnsi="Times New Roman" w:eastAsia="宋体" w:cs="Times New Roman"/>
          <w:b/>
          <w:bCs/>
          <w:sz w:val="28"/>
          <w:szCs w:val="32"/>
        </w:rPr>
        <w:t>结论</w:t>
      </w:r>
      <w:bookmarkEnd w:id="597"/>
      <w:bookmarkEnd w:id="598"/>
    </w:p>
    <w:p>
      <w:pPr>
        <w:pStyle w:val="6"/>
        <w:spacing w:line="360" w:lineRule="auto"/>
        <w:ind w:firstLine="482" w:firstLineChars="200"/>
        <w:rPr>
          <w:rFonts w:ascii="Times New Roman" w:hAnsi="Times New Roman" w:eastAsia="宋体" w:cs="Times New Roman"/>
          <w:sz w:val="24"/>
        </w:rPr>
      </w:pPr>
      <w:bookmarkStart w:id="599" w:name="_Toc4710"/>
      <w:bookmarkStart w:id="600" w:name="_Toc5290"/>
      <w:r>
        <w:rPr>
          <w:rFonts w:ascii="Times New Roman" w:hAnsi="Times New Roman" w:eastAsia="宋体" w:cs="Times New Roman"/>
          <w:sz w:val="24"/>
        </w:rPr>
        <w:t>10.2.1环境质量现状</w:t>
      </w:r>
      <w:bookmarkEnd w:id="599"/>
      <w:bookmarkEnd w:id="600"/>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1）环境空气质量现状</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项目引用</w:t>
      </w:r>
      <w:r>
        <w:rPr>
          <w:rFonts w:ascii="Times New Roman" w:hAnsi="Times New Roman" w:eastAsia="宋体" w:cs="Times New Roman"/>
          <w:color w:val="FF0000"/>
          <w:sz w:val="24"/>
          <w:szCs w:val="21"/>
        </w:rPr>
        <w:t>元谋工业园区修编环境影响报告书的监测的数据和项目补充现状监测结果来看</w:t>
      </w:r>
      <w:r>
        <w:rPr>
          <w:rFonts w:ascii="Times New Roman" w:hAnsi="Times New Roman" w:eastAsia="宋体" w:cs="Times New Roman"/>
          <w:color w:val="000000"/>
          <w:sz w:val="24"/>
          <w:szCs w:val="21"/>
        </w:rPr>
        <w:t>，引用监测的</w:t>
      </w:r>
      <w:r>
        <w:rPr>
          <w:rFonts w:ascii="Times New Roman" w:hAnsi="Times New Roman" w:eastAsia="宋体" w:cs="Times New Roman"/>
          <w:color w:val="000000"/>
          <w:sz w:val="24"/>
          <w:szCs w:val="24"/>
        </w:rPr>
        <w:t>各项监测指标均</w:t>
      </w:r>
      <w:r>
        <w:rPr>
          <w:rFonts w:ascii="Times New Roman" w:hAnsi="Times New Roman" w:eastAsia="宋体" w:cs="Times New Roman"/>
          <w:color w:val="000000"/>
          <w:kern w:val="0"/>
          <w:sz w:val="24"/>
          <w:szCs w:val="24"/>
        </w:rPr>
        <w:t>满足《环境空气质量标准》（GB3095-2012）中</w:t>
      </w:r>
      <w:r>
        <w:rPr>
          <w:rFonts w:ascii="Times New Roman" w:hAnsi="Times New Roman" w:eastAsia="宋体" w:cs="Times New Roman"/>
          <w:color w:val="000000"/>
          <w:sz w:val="24"/>
          <w:szCs w:val="24"/>
        </w:rPr>
        <w:t>二级标准及修改单中标准要求</w:t>
      </w:r>
      <w:r>
        <w:rPr>
          <w:rFonts w:hint="eastAsia" w:ascii="Times New Roman" w:hAnsi="Times New Roman" w:eastAsia="宋体" w:cs="Times New Roman"/>
          <w:color w:val="000000"/>
          <w:sz w:val="24"/>
          <w:szCs w:val="24"/>
        </w:rPr>
        <w:t>，</w:t>
      </w:r>
      <w:r>
        <w:rPr>
          <w:rFonts w:ascii="Times New Roman" w:hAnsi="Times New Roman" w:cs="Times New Roman"/>
          <w:color w:val="FF0000"/>
          <w:kern w:val="1"/>
          <w:sz w:val="24"/>
          <w:szCs w:val="24"/>
        </w:rPr>
        <w:t>项目所在区域为达标区。</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2）地表水环境质量现状</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FF0000"/>
          <w:sz w:val="24"/>
          <w:szCs w:val="24"/>
        </w:rPr>
        <w:t>项目引用</w:t>
      </w:r>
      <w:r>
        <w:rPr>
          <w:rFonts w:ascii="Times New Roman" w:hAnsi="Times New Roman" w:eastAsia="宋体" w:cs="Times New Roman"/>
          <w:color w:val="FF0000"/>
          <w:sz w:val="24"/>
          <w:szCs w:val="21"/>
        </w:rPr>
        <w:t>元谋工业园区修编环境影响报告书的监测的数据</w:t>
      </w:r>
      <w:r>
        <w:rPr>
          <w:rFonts w:ascii="Times New Roman" w:hAnsi="Times New Roman" w:eastAsia="宋体" w:cs="Times New Roman"/>
          <w:color w:val="FF0000"/>
          <w:sz w:val="24"/>
          <w:szCs w:val="24"/>
        </w:rPr>
        <w:t>来看</w:t>
      </w:r>
      <w:r>
        <w:rPr>
          <w:rFonts w:ascii="Times New Roman" w:hAnsi="Times New Roman" w:eastAsia="宋体" w:cs="Times New Roman"/>
          <w:color w:val="000000"/>
          <w:sz w:val="24"/>
          <w:szCs w:val="24"/>
        </w:rPr>
        <w:t>，项目区涉及的地表水蜻蛉河的各个监测因子的监测浓度能达到《地表水环境质量标准》（GB3838-2002）中的</w:t>
      </w:r>
      <w:r>
        <w:rPr>
          <w:rFonts w:ascii="宋体" w:hAnsi="宋体" w:eastAsia="宋体" w:cs="宋体"/>
          <w:color w:val="000000"/>
          <w:sz w:val="24"/>
          <w:szCs w:val="24"/>
        </w:rPr>
        <w:t>Ⅳ</w:t>
      </w:r>
      <w:r>
        <w:rPr>
          <w:rFonts w:ascii="Times New Roman" w:hAnsi="Times New Roman" w:eastAsia="宋体" w:cs="Times New Roman"/>
          <w:color w:val="000000"/>
          <w:sz w:val="24"/>
          <w:szCs w:val="24"/>
        </w:rPr>
        <w:t>类标准。</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3）地下水质量现状</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项目引用</w:t>
      </w:r>
      <w:r>
        <w:rPr>
          <w:rFonts w:ascii="Times New Roman" w:hAnsi="Times New Roman" w:eastAsia="宋体" w:cs="Times New Roman"/>
          <w:color w:val="000000"/>
          <w:sz w:val="24"/>
          <w:szCs w:val="21"/>
        </w:rPr>
        <w:t>元谋富盛再生塑料制品有限公司的的监测的数据</w:t>
      </w:r>
      <w:r>
        <w:rPr>
          <w:rFonts w:ascii="Times New Roman" w:hAnsi="Times New Roman" w:eastAsia="宋体" w:cs="Times New Roman"/>
          <w:color w:val="000000"/>
          <w:sz w:val="24"/>
          <w:szCs w:val="24"/>
        </w:rPr>
        <w:t>来看，项目区东南面的小雷宰村水井各个监测因子的监测浓度能达到《地下水质量标准》（GB14848-2017）中的</w:t>
      </w:r>
      <w:r>
        <w:rPr>
          <w:rFonts w:ascii="宋体" w:hAnsi="宋体" w:eastAsia="宋体" w:cs="宋体"/>
          <w:color w:val="000000"/>
          <w:sz w:val="24"/>
          <w:szCs w:val="24"/>
        </w:rPr>
        <w:t>Ⅲ</w:t>
      </w:r>
      <w:r>
        <w:rPr>
          <w:rFonts w:ascii="Times New Roman" w:hAnsi="Times New Roman" w:eastAsia="宋体" w:cs="Times New Roman"/>
          <w:color w:val="000000"/>
          <w:sz w:val="24"/>
          <w:szCs w:val="24"/>
        </w:rPr>
        <w:t>类标准。</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4）环境噪声现状</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FF0000"/>
          <w:sz w:val="24"/>
          <w:szCs w:val="24"/>
        </w:rPr>
        <w:t>项目引用</w:t>
      </w:r>
      <w:r>
        <w:rPr>
          <w:rFonts w:ascii="Times New Roman" w:hAnsi="Times New Roman" w:eastAsia="宋体" w:cs="Times New Roman"/>
          <w:color w:val="FF0000"/>
          <w:sz w:val="24"/>
          <w:szCs w:val="21"/>
        </w:rPr>
        <w:t>元谋工业园区修编环境影响报告书的监测的数据来看</w:t>
      </w:r>
      <w:r>
        <w:rPr>
          <w:rFonts w:hint="eastAsia" w:ascii="Times New Roman" w:hAnsi="Times New Roman" w:eastAsia="宋体" w:cs="Times New Roman"/>
          <w:color w:val="FF0000"/>
          <w:sz w:val="24"/>
          <w:szCs w:val="21"/>
        </w:rPr>
        <w:t>，</w:t>
      </w:r>
      <w:r>
        <w:rPr>
          <w:rFonts w:ascii="Times New Roman" w:hAnsi="Times New Roman" w:eastAsia="宋体" w:cs="Times New Roman"/>
          <w:color w:val="FF0000"/>
          <w:sz w:val="24"/>
          <w:szCs w:val="21"/>
        </w:rPr>
        <w:t>金雷片区</w:t>
      </w:r>
      <w:r>
        <w:rPr>
          <w:rFonts w:ascii="Times New Roman" w:hAnsi="Times New Roman" w:eastAsia="宋体" w:cs="Times New Roman"/>
          <w:color w:val="000000"/>
          <w:sz w:val="24"/>
          <w:szCs w:val="24"/>
        </w:rPr>
        <w:t>监测点噪声监测值昼、夜间均能达到《声环境质量标准》（GB3096-2008）中3类标准。</w:t>
      </w:r>
    </w:p>
    <w:p>
      <w:pPr>
        <w:spacing w:line="360" w:lineRule="auto"/>
        <w:ind w:firstLine="480" w:firstLineChars="200"/>
        <w:jc w:val="lef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5）</w:t>
      </w:r>
      <w:r>
        <w:rPr>
          <w:rFonts w:ascii="Times New Roman" w:hAnsi="Times New Roman" w:eastAsia="宋体" w:cs="Times New Roman"/>
          <w:color w:val="000000"/>
          <w:sz w:val="24"/>
          <w:szCs w:val="24"/>
        </w:rPr>
        <w:t>土壤环境现状</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补充监测的</w:t>
      </w:r>
      <w:r>
        <w:rPr>
          <w:rFonts w:hint="eastAsia" w:ascii="Times New Roman" w:hAnsi="Times New Roman" w:eastAsia="宋体" w:cs="Times New Roman"/>
          <w:color w:val="FF0000"/>
          <w:kern w:val="0"/>
          <w:sz w:val="24"/>
          <w:szCs w:val="24"/>
        </w:rPr>
        <w:t>土壤环境质量</w:t>
      </w:r>
      <w:r>
        <w:rPr>
          <w:rFonts w:ascii="Times New Roman" w:hAnsi="Times New Roman" w:eastAsia="宋体" w:cs="Times New Roman"/>
          <w:color w:val="FF0000"/>
          <w:kern w:val="0"/>
          <w:sz w:val="24"/>
          <w:szCs w:val="24"/>
        </w:rPr>
        <w:t>项满足</w:t>
      </w: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土壤</w:t>
      </w:r>
      <w:r>
        <w:rPr>
          <w:rFonts w:ascii="Times New Roman" w:hAnsi="Times New Roman" w:eastAsia="宋体" w:cs="Times New Roman"/>
          <w:color w:val="FF0000"/>
          <w:sz w:val="24"/>
          <w:szCs w:val="24"/>
        </w:rPr>
        <w:t>环境质量</w:t>
      </w:r>
      <w:r>
        <w:rPr>
          <w:rFonts w:hint="eastAsia" w:ascii="Times New Roman" w:hAnsi="Times New Roman" w:eastAsia="宋体" w:cs="Times New Roman"/>
          <w:color w:val="FF0000"/>
          <w:sz w:val="24"/>
          <w:szCs w:val="24"/>
        </w:rPr>
        <w:t xml:space="preserve">  建设用地土壤污染风险管控标准</w:t>
      </w: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（试行）</w:t>
      </w:r>
      <w:r>
        <w:rPr>
          <w:rFonts w:ascii="Times New Roman" w:hAnsi="Times New Roman" w:eastAsia="宋体" w:cs="Times New Roman"/>
          <w:color w:val="FF0000"/>
          <w:sz w:val="24"/>
          <w:szCs w:val="24"/>
        </w:rPr>
        <w:t>（GB</w:t>
      </w:r>
      <w:r>
        <w:rPr>
          <w:rFonts w:hint="eastAsia" w:ascii="Times New Roman" w:hAnsi="Times New Roman" w:eastAsia="宋体" w:cs="Times New Roman"/>
          <w:color w:val="FF0000"/>
          <w:sz w:val="24"/>
          <w:szCs w:val="24"/>
        </w:rPr>
        <w:t>36600-2018</w:t>
      </w:r>
      <w:r>
        <w:rPr>
          <w:rFonts w:ascii="Times New Roman" w:hAnsi="Times New Roman" w:eastAsia="宋体" w:cs="Times New Roman"/>
          <w:color w:val="FF0000"/>
          <w:sz w:val="24"/>
          <w:szCs w:val="24"/>
        </w:rPr>
        <w:t>）中土壤污染风险筛选值和管制值</w:t>
      </w:r>
      <w:r>
        <w:rPr>
          <w:rFonts w:ascii="Times New Roman" w:hAnsi="Times New Roman" w:eastAsia="宋体" w:cs="Times New Roman"/>
          <w:color w:val="FF0000"/>
          <w:kern w:val="0"/>
          <w:sz w:val="24"/>
          <w:szCs w:val="24"/>
        </w:rPr>
        <w:t>。</w:t>
      </w:r>
    </w:p>
    <w:p>
      <w:pPr>
        <w:pStyle w:val="6"/>
        <w:spacing w:line="360" w:lineRule="auto"/>
        <w:ind w:firstLine="482" w:firstLineChars="200"/>
        <w:rPr>
          <w:rFonts w:ascii="Times New Roman" w:hAnsi="Times New Roman" w:eastAsia="宋体" w:cs="Times New Roman"/>
          <w:sz w:val="24"/>
        </w:rPr>
      </w:pPr>
      <w:bookmarkStart w:id="601" w:name="_Toc23443"/>
      <w:bookmarkStart w:id="602" w:name="_Toc19112"/>
      <w:r>
        <w:rPr>
          <w:rFonts w:ascii="Times New Roman" w:hAnsi="Times New Roman" w:eastAsia="宋体" w:cs="Times New Roman"/>
          <w:sz w:val="24"/>
        </w:rPr>
        <w:t>10.2.2污染物排放情况结论</w:t>
      </w:r>
      <w:bookmarkEnd w:id="601"/>
      <w:bookmarkEnd w:id="602"/>
    </w:p>
    <w:p>
      <w:pPr>
        <w:spacing w:line="360" w:lineRule="auto"/>
        <w:ind w:firstLine="480" w:firstLineChars="200"/>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1）水环境影响评价结论</w:t>
      </w:r>
    </w:p>
    <w:p>
      <w:pPr>
        <w:adjustRightInd w:val="0"/>
        <w:snapToGrid w:val="0"/>
        <w:spacing w:line="360" w:lineRule="auto"/>
        <w:ind w:firstLine="482"/>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项目造纸废水经循环水池收集后循环使用；水膜除尘废水经循环沉淀池处理后回用；通过自建的污水处理设施处理达标后晴天回用于绿化，雨天回用于生产，不外排。</w:t>
      </w:r>
      <w:r>
        <w:rPr>
          <w:rFonts w:ascii="Times New Roman" w:hAnsi="Times New Roman" w:eastAsia="宋体" w:cs="Times New Roman"/>
          <w:color w:val="FF0000"/>
          <w:sz w:val="24"/>
          <w:szCs w:val="24"/>
        </w:rPr>
        <w:t>项目不会改变地表水体的功能，对周围地表水体影响很小。</w:t>
      </w:r>
    </w:p>
    <w:p>
      <w:pPr>
        <w:tabs>
          <w:tab w:val="left" w:pos="440"/>
        </w:tabs>
        <w:spacing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2）大气环境影响评价结论</w:t>
      </w:r>
    </w:p>
    <w:p>
      <w:pPr>
        <w:adjustRightInd w:val="0"/>
        <w:snapToGrid w:val="0"/>
        <w:spacing w:line="360" w:lineRule="auto"/>
        <w:ind w:firstLine="482"/>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根据大气影响估算结果可知，项目锅炉废气满足《</w:t>
      </w:r>
      <w:r>
        <w:rPr>
          <w:rFonts w:hint="eastAsia" w:ascii="Times New Roman" w:hAnsi="Times New Roman" w:eastAsia="宋体" w:cs="Times New Roman"/>
          <w:color w:val="FF0000"/>
          <w:sz w:val="24"/>
          <w:szCs w:val="24"/>
        </w:rPr>
        <w:t>锅炉</w:t>
      </w:r>
      <w:r>
        <w:rPr>
          <w:rFonts w:ascii="Times New Roman" w:hAnsi="Times New Roman" w:eastAsia="宋体" w:cs="Times New Roman"/>
          <w:color w:val="FF0000"/>
          <w:sz w:val="24"/>
          <w:szCs w:val="24"/>
        </w:rPr>
        <w:t>大气污染物排放标准》（GB</w:t>
      </w:r>
      <w:r>
        <w:rPr>
          <w:rFonts w:hint="eastAsia" w:ascii="Times New Roman" w:hAnsi="Times New Roman" w:eastAsia="宋体" w:cs="Times New Roman"/>
          <w:color w:val="FF0000"/>
          <w:sz w:val="24"/>
          <w:szCs w:val="24"/>
        </w:rPr>
        <w:t>13271-2014</w:t>
      </w:r>
      <w:r>
        <w:rPr>
          <w:rFonts w:ascii="Times New Roman" w:hAnsi="Times New Roman" w:eastAsia="宋体" w:cs="Times New Roman"/>
          <w:color w:val="FF0000"/>
          <w:sz w:val="24"/>
          <w:szCs w:val="24"/>
        </w:rPr>
        <w:t>）表</w:t>
      </w:r>
      <w:r>
        <w:rPr>
          <w:rFonts w:hint="eastAsia" w:ascii="Times New Roman" w:hAnsi="Times New Roman" w:eastAsia="宋体" w:cs="Times New Roman"/>
          <w:color w:val="FF0000"/>
          <w:sz w:val="24"/>
          <w:szCs w:val="24"/>
        </w:rPr>
        <w:t>2中</w:t>
      </w:r>
      <w:r>
        <w:rPr>
          <w:rFonts w:ascii="Times New Roman" w:hAnsi="Times New Roman" w:eastAsia="宋体" w:cs="Times New Roman"/>
          <w:color w:val="FF0000"/>
          <w:sz w:val="24"/>
          <w:szCs w:val="24"/>
        </w:rPr>
        <w:t>燃煤锅炉废气排放标准：</w:t>
      </w:r>
      <w:r>
        <w:rPr>
          <w:rFonts w:hint="eastAsia" w:ascii="Times New Roman" w:hAnsi="Times New Roman" w:eastAsia="宋体" w:cs="Times New Roman"/>
          <w:color w:val="FF0000"/>
          <w:sz w:val="24"/>
          <w:szCs w:val="24"/>
        </w:rPr>
        <w:t>颗粒物：50</w:t>
      </w:r>
      <w:r>
        <w:rPr>
          <w:rFonts w:ascii="Times New Roman" w:hAnsi="Times New Roman" w:eastAsia="宋体" w:cs="Times New Roman"/>
          <w:color w:val="FF0000"/>
          <w:sz w:val="24"/>
          <w:szCs w:val="24"/>
        </w:rPr>
        <w:t>mg/m</w:t>
      </w:r>
      <w:r>
        <w:rPr>
          <w:rFonts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rPr>
        <w:t>、SO</w:t>
      </w:r>
      <w:r>
        <w:rPr>
          <w:rFonts w:hint="eastAsia" w:ascii="Times New Roman" w:hAnsi="Times New Roman" w:eastAsia="宋体" w:cs="Times New Roman"/>
          <w:color w:val="FF0000"/>
          <w:sz w:val="24"/>
          <w:szCs w:val="24"/>
          <w:vertAlign w:val="subscript"/>
        </w:rPr>
        <w:t>2</w:t>
      </w:r>
      <w:r>
        <w:rPr>
          <w:rFonts w:hint="eastAsia" w:ascii="Times New Roman" w:hAnsi="Times New Roman" w:eastAsia="宋体" w:cs="Times New Roman"/>
          <w:color w:val="FF0000"/>
          <w:sz w:val="24"/>
          <w:szCs w:val="24"/>
        </w:rPr>
        <w:t>：300</w:t>
      </w:r>
      <w:r>
        <w:rPr>
          <w:rFonts w:ascii="Times New Roman" w:hAnsi="Times New Roman" w:eastAsia="宋体" w:cs="Times New Roman"/>
          <w:color w:val="FF0000"/>
          <w:sz w:val="24"/>
          <w:szCs w:val="24"/>
        </w:rPr>
        <w:t xml:space="preserve"> mg/m</w:t>
      </w:r>
      <w:r>
        <w:rPr>
          <w:rFonts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rPr>
        <w:t>、NO</w:t>
      </w:r>
      <w:r>
        <w:rPr>
          <w:rFonts w:hint="eastAsia" w:ascii="Times New Roman" w:hAnsi="Times New Roman" w:eastAsia="宋体" w:cs="Times New Roman"/>
          <w:color w:val="FF0000"/>
          <w:sz w:val="24"/>
          <w:szCs w:val="24"/>
          <w:vertAlign w:val="subscript"/>
        </w:rPr>
        <w:t>X</w:t>
      </w:r>
      <w:r>
        <w:rPr>
          <w:rFonts w:hint="eastAsia" w:ascii="Times New Roman" w:hAnsi="Times New Roman" w:eastAsia="宋体" w:cs="Times New Roman"/>
          <w:color w:val="FF0000"/>
          <w:sz w:val="24"/>
          <w:szCs w:val="24"/>
        </w:rPr>
        <w:t>：300</w:t>
      </w:r>
      <w:r>
        <w:rPr>
          <w:rFonts w:ascii="Times New Roman" w:hAnsi="Times New Roman" w:eastAsia="宋体" w:cs="Times New Roman"/>
          <w:color w:val="FF0000"/>
          <w:sz w:val="24"/>
          <w:szCs w:val="24"/>
        </w:rPr>
        <w:t xml:space="preserve"> mg/m</w:t>
      </w:r>
      <w:r>
        <w:rPr>
          <w:rFonts w:ascii="Times New Roman" w:hAnsi="Times New Roman" w:eastAsia="宋体" w:cs="Times New Roman"/>
          <w:color w:val="FF0000"/>
          <w:sz w:val="24"/>
          <w:szCs w:val="24"/>
          <w:vertAlign w:val="superscript"/>
        </w:rPr>
        <w:t>3</w:t>
      </w:r>
      <w:r>
        <w:rPr>
          <w:rFonts w:hint="eastAsia" w:ascii="Times New Roman" w:hAnsi="Times New Roman" w:eastAsia="宋体" w:cs="Times New Roman"/>
          <w:color w:val="FF0000"/>
          <w:sz w:val="24"/>
          <w:szCs w:val="24"/>
        </w:rPr>
        <w:t>。</w:t>
      </w:r>
    </w:p>
    <w:p>
      <w:pPr>
        <w:tabs>
          <w:tab w:val="left" w:pos="440"/>
        </w:tabs>
        <w:spacing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3）噪声环境影响评价结论</w:t>
      </w:r>
    </w:p>
    <w:p>
      <w:pPr>
        <w:autoSpaceDE w:val="0"/>
        <w:autoSpaceDN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根据噪声影响预测结果可知，项目厂界噪声均达到《工业企业厂界环境噪声排放标准》（GB12348-2008）中3类标准限值要求，对周围环境影响较小。</w:t>
      </w:r>
    </w:p>
    <w:p>
      <w:pPr>
        <w:spacing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4）固废环境影响评价结论</w:t>
      </w:r>
    </w:p>
    <w:p>
      <w:pPr>
        <w:spacing w:line="360" w:lineRule="auto"/>
        <w:ind w:firstLine="560"/>
        <w:jc w:val="left"/>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项目产生的固体废物均能得到妥善处置，处置率达到100%，对周围环境造成的影响较小。</w:t>
      </w:r>
    </w:p>
    <w:p>
      <w:pPr>
        <w:spacing w:line="360" w:lineRule="auto"/>
        <w:ind w:firstLine="480" w:firstLineChars="200"/>
        <w:rPr>
          <w:rFonts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5</w:t>
      </w:r>
      <w:r>
        <w:rPr>
          <w:rFonts w:ascii="Times New Roman" w:hAnsi="Times New Roman" w:eastAsia="宋体" w:cs="Times New Roman"/>
          <w:bCs/>
          <w:color w:val="000000"/>
          <w:kern w:val="0"/>
          <w:sz w:val="24"/>
          <w:szCs w:val="24"/>
        </w:rPr>
        <w:t>）</w:t>
      </w:r>
      <w:r>
        <w:rPr>
          <w:rFonts w:hint="eastAsia" w:ascii="Times New Roman" w:hAnsi="Times New Roman" w:eastAsia="宋体" w:cs="Times New Roman"/>
          <w:bCs/>
          <w:color w:val="000000"/>
          <w:kern w:val="0"/>
          <w:sz w:val="24"/>
          <w:szCs w:val="24"/>
        </w:rPr>
        <w:t>土壤</w:t>
      </w:r>
      <w:r>
        <w:rPr>
          <w:rFonts w:ascii="Times New Roman" w:hAnsi="Times New Roman" w:eastAsia="宋体" w:cs="Times New Roman"/>
          <w:bCs/>
          <w:color w:val="000000"/>
          <w:kern w:val="0"/>
          <w:sz w:val="24"/>
          <w:szCs w:val="24"/>
        </w:rPr>
        <w:t>环境影响评价结论</w:t>
      </w:r>
    </w:p>
    <w:p>
      <w:pPr>
        <w:spacing w:line="360" w:lineRule="auto"/>
        <w:ind w:firstLine="480" w:firstLineChars="200"/>
        <w:rPr>
          <w:color w:val="000000"/>
          <w:kern w:val="1"/>
          <w:sz w:val="24"/>
          <w:szCs w:val="24"/>
        </w:rPr>
      </w:pPr>
      <w:bookmarkStart w:id="603" w:name="_Toc30193"/>
      <w:r>
        <w:rPr>
          <w:color w:val="000000"/>
          <w:kern w:val="1"/>
          <w:sz w:val="24"/>
          <w:szCs w:val="24"/>
        </w:rPr>
        <w:t>项目运行过程产生的污染物在采取源头防控，过程防控的措施后，对周围土壤环境影响较小，</w:t>
      </w:r>
      <w:r>
        <w:rPr>
          <w:rFonts w:hint="eastAsia"/>
          <w:color w:val="000000"/>
          <w:kern w:val="1"/>
          <w:sz w:val="24"/>
          <w:szCs w:val="24"/>
        </w:rPr>
        <w:t>拟建项目对周围土壤环境的影响是可以接受的。</w:t>
      </w:r>
    </w:p>
    <w:p>
      <w:pPr>
        <w:pStyle w:val="6"/>
        <w:spacing w:line="360" w:lineRule="auto"/>
        <w:ind w:firstLine="482" w:firstLineChars="200"/>
        <w:rPr>
          <w:rFonts w:ascii="Times New Roman" w:hAnsi="Times New Roman" w:eastAsia="宋体" w:cs="Times New Roman"/>
          <w:sz w:val="24"/>
        </w:rPr>
      </w:pPr>
      <w:bookmarkStart w:id="604" w:name="_Toc16221"/>
      <w:r>
        <w:rPr>
          <w:rFonts w:ascii="Times New Roman" w:hAnsi="Times New Roman" w:eastAsia="宋体" w:cs="Times New Roman"/>
          <w:sz w:val="24"/>
        </w:rPr>
        <w:t>10.2.3主要环境影响结论</w:t>
      </w:r>
      <w:bookmarkEnd w:id="603"/>
      <w:bookmarkEnd w:id="604"/>
    </w:p>
    <w:p>
      <w:pPr>
        <w:snapToGrid w:val="0"/>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1）通过大气环境影响预测，项目在正常运作情况下，项目排放的污染物对周围环境影响较小。</w:t>
      </w:r>
    </w:p>
    <w:p>
      <w:pPr>
        <w:spacing w:line="360" w:lineRule="auto"/>
        <w:ind w:firstLine="480" w:firstLineChars="200"/>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2）项目生产废水循环利用，不外排。生活废水经处理达标后回用于场地洒水降尘和绿化，不外排，对周围地表水体影响很小</w:t>
      </w:r>
      <w:r>
        <w:rPr>
          <w:rFonts w:ascii="Times New Roman" w:hAnsi="Times New Roman" w:eastAsia="宋体" w:cs="Times New Roman"/>
          <w:bCs/>
          <w:color w:val="000000"/>
          <w:sz w:val="24"/>
          <w:szCs w:val="20"/>
        </w:rPr>
        <w:t>。</w:t>
      </w:r>
      <w:r>
        <w:rPr>
          <w:rFonts w:ascii="Times New Roman" w:hAnsi="Times New Roman" w:eastAsia="宋体" w:cs="Times New Roman"/>
          <w:bCs/>
          <w:color w:val="000000"/>
          <w:sz w:val="24"/>
          <w:szCs w:val="24"/>
        </w:rPr>
        <w:t xml:space="preserve"> </w:t>
      </w:r>
    </w:p>
    <w:p>
      <w:pPr>
        <w:snapToGrid w:val="0"/>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3）项目厂界噪声在昼间均达到《工业企业厂界环境噪声排放标准》（GB12348-2008）中3类标准限值要求，对周围环境影响较小。</w:t>
      </w:r>
    </w:p>
    <w:p>
      <w:pPr>
        <w:snapToGrid w:val="0"/>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4）项目所有固废都得到合理的处置，对周围环境影响小。</w:t>
      </w:r>
    </w:p>
    <w:p>
      <w:pPr>
        <w:spacing w:line="360" w:lineRule="auto"/>
        <w:ind w:firstLine="484" w:firstLineChars="202"/>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5）项</w:t>
      </w:r>
      <w:r>
        <w:rPr>
          <w:rFonts w:ascii="Times New Roman" w:hAnsi="Times New Roman" w:eastAsia="宋体" w:cs="Times New Roman"/>
          <w:color w:val="FF0000"/>
          <w:sz w:val="24"/>
          <w:szCs w:val="24"/>
        </w:rPr>
        <w:t>目环境风险潜势为I，建设单位采取的环境风险防范措施是可行的，在采取各种防范措施后，项目产生的风险在环评要求的风险方法措施落实后是可以接受的</w:t>
      </w:r>
      <w:r>
        <w:rPr>
          <w:rFonts w:ascii="Times New Roman" w:hAnsi="Times New Roman" w:eastAsia="宋体" w:cs="Times New Roman"/>
          <w:color w:val="000000"/>
          <w:sz w:val="24"/>
          <w:szCs w:val="24"/>
        </w:rPr>
        <w:t>。</w:t>
      </w:r>
    </w:p>
    <w:p>
      <w:pPr>
        <w:pStyle w:val="6"/>
        <w:spacing w:line="360" w:lineRule="auto"/>
        <w:ind w:firstLine="482" w:firstLineChars="200"/>
        <w:rPr>
          <w:rFonts w:ascii="Times New Roman" w:hAnsi="Times New Roman" w:eastAsia="宋体" w:cs="Times New Roman"/>
          <w:sz w:val="24"/>
        </w:rPr>
      </w:pPr>
      <w:bookmarkStart w:id="605" w:name="_Toc26517"/>
      <w:bookmarkStart w:id="606" w:name="_Toc7779"/>
      <w:r>
        <w:rPr>
          <w:rFonts w:ascii="Times New Roman" w:hAnsi="Times New Roman" w:eastAsia="宋体" w:cs="Times New Roman"/>
          <w:sz w:val="24"/>
        </w:rPr>
        <w:t>10.2.4环境经济损益</w:t>
      </w:r>
      <w:bookmarkEnd w:id="605"/>
      <w:bookmarkEnd w:id="606"/>
    </w:p>
    <w:p>
      <w:pPr>
        <w:spacing w:line="360" w:lineRule="auto"/>
        <w:ind w:firstLine="484" w:firstLineChars="202"/>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项目对</w:t>
      </w:r>
      <w:r>
        <w:rPr>
          <w:rFonts w:hint="eastAsia" w:ascii="Times New Roman" w:hAnsi="Times New Roman" w:eastAsia="宋体" w:cs="Times New Roman"/>
          <w:color w:val="000000"/>
          <w:sz w:val="24"/>
          <w:szCs w:val="24"/>
        </w:rPr>
        <w:t>废纸</w:t>
      </w:r>
      <w:r>
        <w:rPr>
          <w:rFonts w:ascii="Times New Roman" w:hAnsi="Times New Roman" w:eastAsia="宋体" w:cs="Times New Roman"/>
          <w:color w:val="000000"/>
          <w:sz w:val="24"/>
          <w:szCs w:val="24"/>
        </w:rPr>
        <w:t>加工利用，可缓减</w:t>
      </w:r>
      <w:r>
        <w:rPr>
          <w:rFonts w:hint="eastAsia" w:ascii="Times New Roman" w:hAnsi="Times New Roman" w:eastAsia="宋体" w:cs="Times New Roman"/>
          <w:color w:val="000000"/>
          <w:sz w:val="24"/>
          <w:szCs w:val="24"/>
        </w:rPr>
        <w:t>污染</w:t>
      </w:r>
      <w:r>
        <w:rPr>
          <w:rFonts w:ascii="Times New Roman" w:hAnsi="Times New Roman" w:eastAsia="宋体" w:cs="Times New Roman"/>
          <w:color w:val="000000"/>
          <w:sz w:val="24"/>
          <w:szCs w:val="24"/>
        </w:rPr>
        <w:t>，而且能够变废为宝，减少固体垃圾的产生，同时解决一部分社会人员的就业问题。项目的经济效益较好，社会效益显著，虽然建设和运营中增加了一些环保费用，但却能有效的保护环境而不致使当地环境功能发生变化，从环境经济损益角度分析，项目是可行的</w:t>
      </w:r>
      <w:r>
        <w:rPr>
          <w:rFonts w:hint="eastAsia" w:ascii="Times New Roman" w:hAnsi="Times New Roman" w:eastAsia="宋体" w:cs="Times New Roman"/>
          <w:color w:val="000000"/>
          <w:sz w:val="24"/>
          <w:szCs w:val="24"/>
        </w:rPr>
        <w:t>。</w:t>
      </w:r>
    </w:p>
    <w:p>
      <w:pPr>
        <w:pStyle w:val="6"/>
        <w:spacing w:line="360" w:lineRule="auto"/>
        <w:ind w:firstLine="482" w:firstLineChars="200"/>
        <w:rPr>
          <w:rFonts w:ascii="Times New Roman" w:hAnsi="Times New Roman" w:eastAsia="宋体" w:cs="Times New Roman"/>
          <w:sz w:val="24"/>
        </w:rPr>
      </w:pPr>
      <w:bookmarkStart w:id="607" w:name="_Toc10528"/>
      <w:bookmarkStart w:id="608" w:name="_Toc1620"/>
      <w:r>
        <w:rPr>
          <w:rFonts w:ascii="Times New Roman" w:hAnsi="Times New Roman" w:eastAsia="宋体" w:cs="Times New Roman"/>
          <w:sz w:val="24"/>
        </w:rPr>
        <w:t>10.2.5公众参与</w:t>
      </w:r>
      <w:bookmarkEnd w:id="607"/>
      <w:bookmarkEnd w:id="608"/>
    </w:p>
    <w:p>
      <w:pPr>
        <w:spacing w:line="360" w:lineRule="auto"/>
        <w:ind w:firstLine="480" w:firstLineChars="200"/>
        <w:rPr>
          <w:rFonts w:ascii="Times New Roman" w:hAnsi="Times New Roman" w:eastAsia="宋体" w:cs="Times New Roman"/>
          <w:bCs/>
          <w:color w:val="FF0000"/>
          <w:sz w:val="24"/>
          <w:szCs w:val="24"/>
        </w:rPr>
      </w:pPr>
      <w:r>
        <w:rPr>
          <w:rFonts w:hint="eastAsia" w:ascii="Times New Roman" w:hAnsi="Times New Roman" w:eastAsia="宋体" w:cs="Times New Roman"/>
          <w:bCs/>
          <w:color w:val="FF0000"/>
          <w:sz w:val="24"/>
          <w:szCs w:val="24"/>
        </w:rPr>
        <w:t>1）公示</w:t>
      </w:r>
      <w:r>
        <w:rPr>
          <w:rFonts w:ascii="Times New Roman" w:hAnsi="Times New Roman" w:eastAsia="宋体" w:cs="Times New Roman"/>
          <w:bCs/>
          <w:color w:val="FF0000"/>
          <w:sz w:val="24"/>
          <w:szCs w:val="24"/>
        </w:rPr>
        <w:t>情况</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201</w:t>
      </w:r>
      <w:r>
        <w:rPr>
          <w:rFonts w:hint="eastAsia" w:ascii="Times New Roman" w:hAnsi="Times New Roman" w:eastAsia="宋体" w:cs="Times New Roman"/>
          <w:color w:val="FF0000"/>
          <w:sz w:val="24"/>
          <w:szCs w:val="24"/>
        </w:rPr>
        <w:t>8</w:t>
      </w:r>
      <w:r>
        <w:rPr>
          <w:rFonts w:ascii="Times New Roman" w:hAnsi="Times New Roman" w:eastAsia="宋体" w:cs="Times New Roman"/>
          <w:color w:val="FF0000"/>
          <w:sz w:val="24"/>
          <w:szCs w:val="24"/>
        </w:rPr>
        <w:t>年</w:t>
      </w:r>
      <w:r>
        <w:rPr>
          <w:rFonts w:hint="eastAsia" w:ascii="Times New Roman" w:hAnsi="Times New Roman" w:eastAsia="宋体" w:cs="Times New Roman"/>
          <w:color w:val="FF0000"/>
          <w:sz w:val="24"/>
          <w:szCs w:val="24"/>
        </w:rPr>
        <w:t>3</w:t>
      </w:r>
      <w:r>
        <w:rPr>
          <w:rFonts w:ascii="Times New Roman" w:hAnsi="Times New Roman" w:eastAsia="宋体" w:cs="Times New Roman"/>
          <w:color w:val="FF0000"/>
          <w:sz w:val="24"/>
          <w:szCs w:val="24"/>
        </w:rPr>
        <w:t>月</w:t>
      </w:r>
      <w:r>
        <w:rPr>
          <w:rFonts w:hint="eastAsia" w:ascii="Times New Roman" w:hAnsi="Times New Roman" w:eastAsia="宋体" w:cs="Times New Roman"/>
          <w:color w:val="FF0000"/>
          <w:sz w:val="24"/>
          <w:szCs w:val="24"/>
        </w:rPr>
        <w:t>8</w:t>
      </w:r>
      <w:r>
        <w:rPr>
          <w:rFonts w:ascii="Times New Roman" w:hAnsi="Times New Roman" w:eastAsia="宋体" w:cs="Times New Roman"/>
          <w:color w:val="FF0000"/>
          <w:sz w:val="24"/>
          <w:szCs w:val="24"/>
        </w:rPr>
        <w:t>日建设单位在百度贴吧元谋吧网站上进行了</w:t>
      </w:r>
      <w:r>
        <w:rPr>
          <w:rFonts w:hint="eastAsia" w:ascii="Times New Roman" w:hAnsi="Times New Roman" w:eastAsia="宋体" w:cs="Times New Roman"/>
          <w:color w:val="FF0000"/>
          <w:sz w:val="24"/>
          <w:szCs w:val="24"/>
        </w:rPr>
        <w:t>新建年产10万吨</w:t>
      </w:r>
      <w:r>
        <w:rPr>
          <w:rFonts w:hint="eastAsia" w:ascii="Times New Roman" w:hAnsi="Times New Roman" w:eastAsia="宋体" w:cs="Times New Roman"/>
          <w:color w:val="FF0000"/>
          <w:sz w:val="24"/>
          <w:szCs w:val="24"/>
          <w:lang w:eastAsia="zh-CN"/>
        </w:rPr>
        <w:t>环保新</w:t>
      </w:r>
      <w:r>
        <w:rPr>
          <w:rFonts w:hint="eastAsia" w:ascii="Times New Roman" w:hAnsi="Times New Roman" w:eastAsia="宋体" w:cs="Times New Roman"/>
          <w:color w:val="FF0000"/>
          <w:sz w:val="24"/>
          <w:szCs w:val="24"/>
        </w:rPr>
        <w:t>材料石粉复合果蔬包装纸生产线项目</w:t>
      </w:r>
      <w:r>
        <w:rPr>
          <w:rFonts w:ascii="Times New Roman" w:hAnsi="Times New Roman" w:eastAsia="宋体" w:cs="Times New Roman"/>
          <w:color w:val="FF0000"/>
          <w:sz w:val="24"/>
          <w:szCs w:val="24"/>
        </w:rPr>
        <w:t>环境影响评价第一次网络公示。</w:t>
      </w:r>
    </w:p>
    <w:p>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t>于201</w:t>
      </w:r>
      <w:r>
        <w:rPr>
          <w:rFonts w:hint="eastAsia" w:ascii="Times New Roman" w:hAnsi="Times New Roman" w:eastAsia="宋体" w:cs="Times New Roman"/>
          <w:color w:val="FF0000"/>
          <w:sz w:val="24"/>
          <w:szCs w:val="24"/>
        </w:rPr>
        <w:t>8</w:t>
      </w:r>
      <w:r>
        <w:rPr>
          <w:rFonts w:ascii="Times New Roman" w:hAnsi="Times New Roman" w:eastAsia="宋体" w:cs="Times New Roman"/>
          <w:color w:val="FF0000"/>
          <w:sz w:val="24"/>
          <w:szCs w:val="24"/>
        </w:rPr>
        <w:t>年</w:t>
      </w:r>
      <w:r>
        <w:rPr>
          <w:rFonts w:hint="eastAsia" w:ascii="Times New Roman" w:hAnsi="Times New Roman" w:eastAsia="宋体" w:cs="Times New Roman"/>
          <w:color w:val="FF0000"/>
          <w:sz w:val="24"/>
          <w:szCs w:val="24"/>
        </w:rPr>
        <w:t>3</w:t>
      </w:r>
      <w:r>
        <w:rPr>
          <w:rFonts w:ascii="Times New Roman" w:hAnsi="Times New Roman" w:eastAsia="宋体" w:cs="Times New Roman"/>
          <w:color w:val="FF0000"/>
          <w:sz w:val="24"/>
          <w:szCs w:val="24"/>
        </w:rPr>
        <w:t>月</w:t>
      </w:r>
      <w:r>
        <w:rPr>
          <w:rFonts w:hint="eastAsia" w:ascii="Times New Roman" w:hAnsi="Times New Roman" w:eastAsia="宋体" w:cs="Times New Roman"/>
          <w:color w:val="FF0000"/>
          <w:sz w:val="24"/>
          <w:szCs w:val="24"/>
        </w:rPr>
        <w:t>1</w:t>
      </w:r>
      <w:r>
        <w:rPr>
          <w:rFonts w:hint="eastAsia" w:ascii="Times New Roman" w:hAnsi="Times New Roman" w:eastAsia="宋体" w:cs="Times New Roman"/>
          <w:color w:val="FF0000"/>
          <w:sz w:val="24"/>
          <w:szCs w:val="24"/>
          <w:lang w:val="en-US" w:eastAsia="zh-CN"/>
        </w:rPr>
        <w:t>9</w:t>
      </w:r>
      <w:r>
        <w:rPr>
          <w:rFonts w:ascii="Times New Roman" w:hAnsi="Times New Roman" w:eastAsia="宋体" w:cs="Times New Roman"/>
          <w:color w:val="FF0000"/>
          <w:sz w:val="24"/>
          <w:szCs w:val="24"/>
        </w:rPr>
        <w:t>日和</w:t>
      </w:r>
      <w:r>
        <w:rPr>
          <w:rFonts w:hint="eastAsia" w:ascii="Times New Roman" w:hAnsi="Times New Roman" w:eastAsia="宋体" w:cs="Times New Roman"/>
          <w:color w:val="FF0000"/>
          <w:sz w:val="24"/>
          <w:szCs w:val="24"/>
        </w:rPr>
        <w:t>3</w:t>
      </w:r>
      <w:r>
        <w:rPr>
          <w:rFonts w:ascii="Times New Roman" w:hAnsi="Times New Roman" w:eastAsia="宋体" w:cs="Times New Roman"/>
          <w:color w:val="FF0000"/>
          <w:sz w:val="24"/>
          <w:szCs w:val="24"/>
        </w:rPr>
        <w:t>月</w:t>
      </w:r>
      <w:r>
        <w:rPr>
          <w:rFonts w:hint="eastAsia" w:ascii="Times New Roman" w:hAnsi="Times New Roman" w:eastAsia="宋体" w:cs="Times New Roman"/>
          <w:color w:val="FF0000"/>
          <w:sz w:val="24"/>
          <w:szCs w:val="24"/>
        </w:rPr>
        <w:t>29</w:t>
      </w:r>
      <w:r>
        <w:rPr>
          <w:rFonts w:ascii="Times New Roman" w:hAnsi="Times New Roman" w:eastAsia="宋体" w:cs="Times New Roman"/>
          <w:color w:val="FF0000"/>
          <w:sz w:val="24"/>
          <w:szCs w:val="24"/>
        </w:rPr>
        <w:t>日连续两</w:t>
      </w:r>
      <w:r>
        <w:rPr>
          <w:rFonts w:hint="eastAsia" w:ascii="Times New Roman" w:hAnsi="Times New Roman" w:eastAsia="宋体" w:cs="Times New Roman"/>
          <w:color w:val="FF0000"/>
          <w:sz w:val="24"/>
          <w:szCs w:val="24"/>
        </w:rPr>
        <w:t>次</w:t>
      </w:r>
      <w:r>
        <w:rPr>
          <w:rFonts w:ascii="Times New Roman" w:hAnsi="Times New Roman" w:eastAsia="宋体" w:cs="Times New Roman"/>
          <w:color w:val="FF0000"/>
          <w:sz w:val="24"/>
          <w:szCs w:val="24"/>
        </w:rPr>
        <w:t>在“</w:t>
      </w:r>
      <w:r>
        <w:rPr>
          <w:rFonts w:hint="eastAsia" w:ascii="Times New Roman" w:hAnsi="Times New Roman" w:eastAsia="宋体" w:cs="Times New Roman"/>
          <w:color w:val="FF0000"/>
          <w:sz w:val="24"/>
          <w:szCs w:val="24"/>
        </w:rPr>
        <w:t>楚雄</w:t>
      </w:r>
      <w:r>
        <w:rPr>
          <w:rFonts w:ascii="Times New Roman" w:hAnsi="Times New Roman" w:eastAsia="宋体" w:cs="Times New Roman"/>
          <w:color w:val="FF0000"/>
          <w:sz w:val="24"/>
          <w:szCs w:val="24"/>
        </w:rPr>
        <w:t>日报”进行了项目环境影响评价公众参与登报公示。</w:t>
      </w:r>
    </w:p>
    <w:p>
      <w:pPr>
        <w:adjustRightInd w:val="0"/>
        <w:spacing w:line="360" w:lineRule="auto"/>
        <w:ind w:firstLine="484" w:firstLineChars="20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2）公众意见调查情况</w:t>
      </w:r>
    </w:p>
    <w:p>
      <w:pPr>
        <w:spacing w:line="360" w:lineRule="auto"/>
        <w:ind w:firstLine="484" w:firstLineChars="202"/>
        <w:rPr>
          <w:rFonts w:ascii="Times New Roman" w:hAnsi="Times New Roman" w:eastAsia="宋体" w:cs="Times New Roman"/>
          <w:color w:val="FF0000"/>
          <w:kern w:val="0"/>
          <w:sz w:val="24"/>
          <w:szCs w:val="24"/>
        </w:rPr>
      </w:pPr>
      <w:r>
        <w:rPr>
          <w:rFonts w:hint="eastAsia" w:ascii="Times New Roman" w:hAnsi="Times New Roman" w:eastAsia="宋体" w:cs="Times New Roman"/>
          <w:color w:val="FF0000"/>
          <w:sz w:val="24"/>
          <w:szCs w:val="24"/>
          <w:lang w:eastAsia="zh-CN"/>
        </w:rPr>
        <w:t>未收到反馈意见</w:t>
      </w:r>
      <w:r>
        <w:rPr>
          <w:rFonts w:ascii="Times New Roman" w:hAnsi="Times New Roman" w:eastAsia="宋体" w:cs="Times New Roman"/>
          <w:color w:val="FF0000"/>
          <w:kern w:val="0"/>
          <w:sz w:val="24"/>
          <w:szCs w:val="24"/>
        </w:rPr>
        <w:t>。</w:t>
      </w:r>
    </w:p>
    <w:p>
      <w:pPr>
        <w:widowControl/>
        <w:adjustRightInd w:val="0"/>
        <w:snapToGrid w:val="0"/>
        <w:spacing w:line="360" w:lineRule="auto"/>
        <w:ind w:left="-78" w:leftChars="-37" w:firstLine="484" w:firstLineChars="202"/>
        <w:jc w:val="left"/>
        <w:rPr>
          <w:rFonts w:ascii="Times New Roman" w:hAnsi="Times New Roman" w:eastAsia="宋体" w:cs="Times New Roman"/>
          <w:color w:val="FF0000"/>
          <w:kern w:val="0"/>
          <w:sz w:val="24"/>
          <w:szCs w:val="24"/>
        </w:rPr>
      </w:pPr>
      <w:r>
        <w:rPr>
          <w:rFonts w:ascii="Times New Roman" w:hAnsi="Times New Roman" w:eastAsia="宋体" w:cs="Times New Roman"/>
          <w:color w:val="FF0000"/>
          <w:kern w:val="0"/>
          <w:sz w:val="24"/>
          <w:szCs w:val="24"/>
        </w:rPr>
        <w:t>3）公众意见采纳情况</w:t>
      </w:r>
    </w:p>
    <w:p>
      <w:pPr>
        <w:widowControl/>
        <w:adjustRightInd w:val="0"/>
        <w:snapToGrid w:val="0"/>
        <w:spacing w:line="360" w:lineRule="auto"/>
        <w:ind w:left="-78" w:leftChars="-37" w:firstLine="484" w:firstLineChars="202"/>
        <w:jc w:val="left"/>
        <w:rPr>
          <w:rFonts w:ascii="Times New Roman" w:hAnsi="Times New Roman" w:eastAsia="宋体" w:cs="Times New Roman"/>
          <w:color w:val="000000"/>
          <w:sz w:val="24"/>
          <w:szCs w:val="24"/>
        </w:rPr>
      </w:pPr>
      <w:r>
        <w:rPr>
          <w:rFonts w:hint="eastAsia" w:ascii="Times New Roman" w:hAnsi="Times New Roman" w:eastAsia="宋体" w:cs="Times New Roman"/>
          <w:color w:val="FF0000"/>
          <w:kern w:val="0"/>
          <w:sz w:val="24"/>
          <w:szCs w:val="24"/>
          <w:lang w:eastAsia="zh-CN"/>
        </w:rPr>
        <w:t>无</w:t>
      </w:r>
      <w:r>
        <w:rPr>
          <w:rFonts w:ascii="Times New Roman" w:hAnsi="Times New Roman" w:eastAsia="宋体" w:cs="Times New Roman"/>
          <w:color w:val="000000"/>
          <w:kern w:val="0"/>
          <w:sz w:val="24"/>
          <w:szCs w:val="24"/>
        </w:rPr>
        <w:t>。</w:t>
      </w:r>
    </w:p>
    <w:p>
      <w:pPr>
        <w:pStyle w:val="6"/>
        <w:spacing w:line="360" w:lineRule="auto"/>
        <w:ind w:firstLine="482" w:firstLineChars="200"/>
        <w:rPr>
          <w:rFonts w:ascii="Times New Roman" w:hAnsi="Times New Roman" w:eastAsia="宋体" w:cs="Times New Roman"/>
          <w:sz w:val="24"/>
        </w:rPr>
      </w:pPr>
      <w:bookmarkStart w:id="609" w:name="_Toc22288"/>
      <w:bookmarkStart w:id="610" w:name="_Toc18982"/>
      <w:r>
        <w:rPr>
          <w:rFonts w:ascii="Times New Roman" w:hAnsi="Times New Roman" w:eastAsia="宋体" w:cs="Times New Roman"/>
          <w:sz w:val="24"/>
        </w:rPr>
        <w:t>10.2.6评价总结论</w:t>
      </w:r>
      <w:bookmarkEnd w:id="609"/>
      <w:bookmarkEnd w:id="610"/>
    </w:p>
    <w:p>
      <w:pPr>
        <w:spacing w:line="360" w:lineRule="auto"/>
        <w:ind w:firstLine="360" w:firstLineChars="150"/>
        <w:rPr>
          <w:rFonts w:ascii="Times New Roman" w:hAnsi="Times New Roman" w:eastAsia="宋体" w:cs="Times New Roman"/>
          <w:bCs/>
          <w:color w:val="FF0000"/>
          <w:sz w:val="24"/>
          <w:szCs w:val="24"/>
        </w:rPr>
      </w:pPr>
      <w:r>
        <w:rPr>
          <w:rFonts w:ascii="Times New Roman" w:hAnsi="Times New Roman" w:eastAsia="宋体" w:cs="Times New Roman"/>
          <w:color w:val="000000"/>
          <w:sz w:val="24"/>
          <w:szCs w:val="24"/>
        </w:rPr>
        <w:t>项目的建设符合当前国家和云南省产业政策，符合元谋县工业园区</w:t>
      </w:r>
      <w:r>
        <w:rPr>
          <w:rFonts w:hint="eastAsia" w:ascii="Times New Roman" w:hAnsi="Times New Roman" w:eastAsia="宋体" w:cs="Times New Roman"/>
          <w:color w:val="000000"/>
          <w:sz w:val="24"/>
          <w:szCs w:val="24"/>
        </w:rPr>
        <w:t>金雷</w:t>
      </w:r>
      <w:r>
        <w:rPr>
          <w:rFonts w:ascii="Times New Roman" w:hAnsi="Times New Roman" w:eastAsia="宋体" w:cs="Times New Roman"/>
          <w:color w:val="000000"/>
          <w:sz w:val="24"/>
          <w:szCs w:val="24"/>
        </w:rPr>
        <w:t>片区规划，项目的选址和平面布局合理可行。</w:t>
      </w:r>
      <w:r>
        <w:rPr>
          <w:rFonts w:ascii="Times New Roman" w:hAnsi="Times New Roman" w:eastAsia="宋体" w:cs="Times New Roman"/>
          <w:color w:val="000000"/>
          <w:sz w:val="24"/>
          <w:szCs w:val="21"/>
        </w:rPr>
        <w:t>项目产生的各种污染物均采取了有针对性的治理措施，经过环境影响分析，在采取这些有效治理措施后，项目产生的各种污染物均能够达标排放和综合利用，不会改变当地区域环境质量功能。只要建设单位能够认真落实本环评报告中提出的各种环保治理措施和建议，从环境保护角度分析，项目的建设是可行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140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l739XEAIAAAkEAAAOAAAAAAAAAAEAIAAA&#10;AB8BAABkcnMvZTJvRG9jLnhtbFBLBQYAAAAABgAGAFkBAAChBQ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140</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T0LgRAgAACQQAAA4AAABkcnMvZTJvRG9jLnhtbK1TzY7TMBC+I/EO&#10;lu80aVesSt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9hPQuBECAAAJBAAADgAAAAAAAAABACAA&#10;AAAfAQAAZHJzL2Uyb0RvYy54bWxQSwUGAAAAAAYABgBZAQAAogU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E2ECE6"/>
    <w:multiLevelType w:val="singleLevel"/>
    <w:tmpl w:val="87E2ECE6"/>
    <w:lvl w:ilvl="0" w:tentative="0">
      <w:start w:val="3"/>
      <w:numFmt w:val="decimal"/>
      <w:suff w:val="nothing"/>
      <w:lvlText w:val="%1、"/>
      <w:lvlJc w:val="left"/>
    </w:lvl>
  </w:abstractNum>
  <w:abstractNum w:abstractNumId="1">
    <w:nsid w:val="A6943E27"/>
    <w:multiLevelType w:val="singleLevel"/>
    <w:tmpl w:val="A6943E27"/>
    <w:lvl w:ilvl="0" w:tentative="0">
      <w:start w:val="6"/>
      <w:numFmt w:val="decimal"/>
      <w:suff w:val="nothing"/>
      <w:lvlText w:val="%1）"/>
      <w:lvlJc w:val="left"/>
    </w:lvl>
  </w:abstractNum>
  <w:abstractNum w:abstractNumId="2">
    <w:nsid w:val="A867D412"/>
    <w:multiLevelType w:val="singleLevel"/>
    <w:tmpl w:val="A867D412"/>
    <w:lvl w:ilvl="0" w:tentative="0">
      <w:start w:val="3"/>
      <w:numFmt w:val="decimal"/>
      <w:suff w:val="nothing"/>
      <w:lvlText w:val="（%1）"/>
      <w:lvlJc w:val="left"/>
    </w:lvl>
  </w:abstractNum>
  <w:abstractNum w:abstractNumId="3">
    <w:nsid w:val="B4757F01"/>
    <w:multiLevelType w:val="singleLevel"/>
    <w:tmpl w:val="B4757F01"/>
    <w:lvl w:ilvl="0" w:tentative="0">
      <w:start w:val="1"/>
      <w:numFmt w:val="decimal"/>
      <w:suff w:val="nothing"/>
      <w:lvlText w:val="%1、"/>
      <w:lvlJc w:val="left"/>
    </w:lvl>
  </w:abstractNum>
  <w:abstractNum w:abstractNumId="4">
    <w:nsid w:val="14C93F1D"/>
    <w:multiLevelType w:val="singleLevel"/>
    <w:tmpl w:val="14C93F1D"/>
    <w:lvl w:ilvl="0" w:tentative="0">
      <w:start w:val="1"/>
      <w:numFmt w:val="decimal"/>
      <w:suff w:val="nothing"/>
      <w:lvlText w:val="%1、"/>
      <w:lvlJc w:val="left"/>
    </w:lvl>
  </w:abstractNum>
  <w:abstractNum w:abstractNumId="5">
    <w:nsid w:val="562357CE"/>
    <w:multiLevelType w:val="multilevel"/>
    <w:tmpl w:val="562357CE"/>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7907418F"/>
    <w:multiLevelType w:val="multilevel"/>
    <w:tmpl w:val="7907418F"/>
    <w:lvl w:ilvl="0" w:tentative="0">
      <w:start w:val="1"/>
      <w:numFmt w:val="decimalEnclosedCircle"/>
      <w:lvlText w:val="%1"/>
      <w:lvlJc w:val="left"/>
      <w:pPr>
        <w:ind w:left="644" w:hanging="360"/>
      </w:pPr>
      <w:rPr>
        <w:rFonts w:hint="eastAsia" w:ascii="宋体" w:hAnsi="宋体" w:eastAsia="宋体"/>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4"/>
  </w:num>
  <w:num w:numId="2">
    <w:abstractNumId w:val="3"/>
  </w:num>
  <w:num w:numId="3">
    <w:abstractNumId w:val="1"/>
  </w:num>
  <w:num w:numId="4">
    <w:abstractNumId w:val="2"/>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59B"/>
    <w:rsid w:val="0000349A"/>
    <w:rsid w:val="00004E36"/>
    <w:rsid w:val="0005794E"/>
    <w:rsid w:val="000655E3"/>
    <w:rsid w:val="0009165B"/>
    <w:rsid w:val="00096293"/>
    <w:rsid w:val="00111962"/>
    <w:rsid w:val="00124CA2"/>
    <w:rsid w:val="0013313F"/>
    <w:rsid w:val="00143F0A"/>
    <w:rsid w:val="001709EE"/>
    <w:rsid w:val="00185EC5"/>
    <w:rsid w:val="001B346F"/>
    <w:rsid w:val="001B6274"/>
    <w:rsid w:val="001E4472"/>
    <w:rsid w:val="001E6BA9"/>
    <w:rsid w:val="002A09C7"/>
    <w:rsid w:val="002B48FE"/>
    <w:rsid w:val="002D27C8"/>
    <w:rsid w:val="002E36A1"/>
    <w:rsid w:val="00303210"/>
    <w:rsid w:val="0033503C"/>
    <w:rsid w:val="00335768"/>
    <w:rsid w:val="00341E7A"/>
    <w:rsid w:val="0037663D"/>
    <w:rsid w:val="00395D20"/>
    <w:rsid w:val="003A79BD"/>
    <w:rsid w:val="003F571C"/>
    <w:rsid w:val="00403823"/>
    <w:rsid w:val="00431002"/>
    <w:rsid w:val="004361F6"/>
    <w:rsid w:val="00462296"/>
    <w:rsid w:val="004A5A36"/>
    <w:rsid w:val="004B4685"/>
    <w:rsid w:val="005259A4"/>
    <w:rsid w:val="0053254A"/>
    <w:rsid w:val="00536DCC"/>
    <w:rsid w:val="0055142C"/>
    <w:rsid w:val="005B0AC6"/>
    <w:rsid w:val="006133CC"/>
    <w:rsid w:val="00635592"/>
    <w:rsid w:val="00664146"/>
    <w:rsid w:val="0068504F"/>
    <w:rsid w:val="00690167"/>
    <w:rsid w:val="00692E81"/>
    <w:rsid w:val="006B1F0F"/>
    <w:rsid w:val="00700B5C"/>
    <w:rsid w:val="00720BD4"/>
    <w:rsid w:val="00723E12"/>
    <w:rsid w:val="0073795B"/>
    <w:rsid w:val="0074002D"/>
    <w:rsid w:val="007428DC"/>
    <w:rsid w:val="00764E74"/>
    <w:rsid w:val="00781909"/>
    <w:rsid w:val="00785521"/>
    <w:rsid w:val="00790FD6"/>
    <w:rsid w:val="007A1A74"/>
    <w:rsid w:val="007A3BDF"/>
    <w:rsid w:val="007C38DF"/>
    <w:rsid w:val="007E1CE6"/>
    <w:rsid w:val="008210C9"/>
    <w:rsid w:val="00827692"/>
    <w:rsid w:val="00834B7D"/>
    <w:rsid w:val="0087208D"/>
    <w:rsid w:val="008B3079"/>
    <w:rsid w:val="008E03E0"/>
    <w:rsid w:val="008F271D"/>
    <w:rsid w:val="00924B86"/>
    <w:rsid w:val="00944E83"/>
    <w:rsid w:val="009534EF"/>
    <w:rsid w:val="00960D74"/>
    <w:rsid w:val="009B35A9"/>
    <w:rsid w:val="009C673D"/>
    <w:rsid w:val="009D3877"/>
    <w:rsid w:val="00A00130"/>
    <w:rsid w:val="00A06731"/>
    <w:rsid w:val="00A67763"/>
    <w:rsid w:val="00A73C02"/>
    <w:rsid w:val="00AA1759"/>
    <w:rsid w:val="00AA7F53"/>
    <w:rsid w:val="00B0780E"/>
    <w:rsid w:val="00B2398D"/>
    <w:rsid w:val="00B45A76"/>
    <w:rsid w:val="00B8759B"/>
    <w:rsid w:val="00BA5D38"/>
    <w:rsid w:val="00BB01A5"/>
    <w:rsid w:val="00BB4B38"/>
    <w:rsid w:val="00BF25C0"/>
    <w:rsid w:val="00C07873"/>
    <w:rsid w:val="00C11961"/>
    <w:rsid w:val="00CB0C5B"/>
    <w:rsid w:val="00D1409E"/>
    <w:rsid w:val="00D14EFE"/>
    <w:rsid w:val="00D25947"/>
    <w:rsid w:val="00D27F81"/>
    <w:rsid w:val="00D572EA"/>
    <w:rsid w:val="00DA2A6F"/>
    <w:rsid w:val="00DB4F65"/>
    <w:rsid w:val="00E074DC"/>
    <w:rsid w:val="00E459F7"/>
    <w:rsid w:val="00E508A6"/>
    <w:rsid w:val="00E727A6"/>
    <w:rsid w:val="00E74511"/>
    <w:rsid w:val="00E964AC"/>
    <w:rsid w:val="00EA1D38"/>
    <w:rsid w:val="00EA328E"/>
    <w:rsid w:val="00EC3CA2"/>
    <w:rsid w:val="00EF65EB"/>
    <w:rsid w:val="00F41F46"/>
    <w:rsid w:val="00F46B66"/>
    <w:rsid w:val="00F91ACC"/>
    <w:rsid w:val="00FA6971"/>
    <w:rsid w:val="00FF1866"/>
    <w:rsid w:val="01FA61E3"/>
    <w:rsid w:val="03582116"/>
    <w:rsid w:val="03823703"/>
    <w:rsid w:val="08CC4897"/>
    <w:rsid w:val="096A500B"/>
    <w:rsid w:val="0C004629"/>
    <w:rsid w:val="0C012B98"/>
    <w:rsid w:val="0CB166EE"/>
    <w:rsid w:val="0E605E8C"/>
    <w:rsid w:val="11A53539"/>
    <w:rsid w:val="16A76C7F"/>
    <w:rsid w:val="19851618"/>
    <w:rsid w:val="203436A8"/>
    <w:rsid w:val="243365D3"/>
    <w:rsid w:val="2BAF3F60"/>
    <w:rsid w:val="313A3B3B"/>
    <w:rsid w:val="31F97022"/>
    <w:rsid w:val="37597C7B"/>
    <w:rsid w:val="380A0679"/>
    <w:rsid w:val="3DAA0142"/>
    <w:rsid w:val="3E0C7044"/>
    <w:rsid w:val="405E7715"/>
    <w:rsid w:val="458B2B39"/>
    <w:rsid w:val="4C175C51"/>
    <w:rsid w:val="512B25D0"/>
    <w:rsid w:val="57730505"/>
    <w:rsid w:val="5D555D1B"/>
    <w:rsid w:val="61595C6B"/>
    <w:rsid w:val="61F4389E"/>
    <w:rsid w:val="620A0FD9"/>
    <w:rsid w:val="78A641C5"/>
    <w:rsid w:val="78B068C0"/>
    <w:rsid w:val="7CE77A3E"/>
    <w:rsid w:val="7F8E46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5"/>
    <w:qFormat/>
    <w:uiPriority w:val="9"/>
    <w:pPr>
      <w:keepNext/>
      <w:keepLines/>
      <w:spacing w:before="340" w:after="330" w:line="360" w:lineRule="auto"/>
      <w:ind w:firstLine="200" w:firstLineChars="200"/>
      <w:jc w:val="center"/>
      <w:outlineLvl w:val="0"/>
    </w:pPr>
    <w:rPr>
      <w:rFonts w:ascii="Times New Roman" w:hAnsi="Times New Roman" w:eastAsia="宋体" w:cs="Times New Roman"/>
      <w:b/>
      <w:bCs/>
      <w:kern w:val="44"/>
      <w:sz w:val="30"/>
      <w:szCs w:val="44"/>
    </w:rPr>
  </w:style>
  <w:style w:type="paragraph" w:styleId="5">
    <w:name w:val="heading 2"/>
    <w:basedOn w:val="1"/>
    <w:next w:val="1"/>
    <w:link w:val="26"/>
    <w:unhideWhenUsed/>
    <w:qFormat/>
    <w:uiPriority w:val="9"/>
    <w:pPr>
      <w:keepNext/>
      <w:keepLines/>
      <w:spacing w:before="260" w:after="260" w:line="360" w:lineRule="auto"/>
      <w:outlineLvl w:val="1"/>
    </w:pPr>
    <w:rPr>
      <w:rFonts w:ascii="Times New Roman" w:hAnsi="Cambria" w:eastAsia="宋体" w:cs="Times New Roman"/>
      <w:b/>
      <w:bCs/>
      <w:sz w:val="28"/>
      <w:szCs w:val="32"/>
    </w:rPr>
  </w:style>
  <w:style w:type="paragraph" w:styleId="6">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31"/>
    <w:qFormat/>
    <w:uiPriority w:val="99"/>
    <w:pPr>
      <w:adjustRightInd w:val="0"/>
      <w:snapToGrid w:val="0"/>
      <w:spacing w:before="156" w:beforeLines="50" w:line="440" w:lineRule="exact"/>
      <w:ind w:firstLine="480" w:firstLineChars="200"/>
    </w:pPr>
    <w:rPr>
      <w:rFonts w:ascii="宋体" w:hAnsi="宋体" w:eastAsia="宋体"/>
      <w:bCs/>
      <w:color w:val="000000"/>
      <w:sz w:val="24"/>
      <w:szCs w:val="21"/>
    </w:rPr>
  </w:style>
  <w:style w:type="paragraph" w:customStyle="1" w:styleId="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Normal Indent"/>
    <w:basedOn w:val="1"/>
    <w:link w:val="29"/>
    <w:qFormat/>
    <w:uiPriority w:val="0"/>
    <w:pPr>
      <w:ind w:firstLine="420"/>
    </w:pPr>
    <w:rPr>
      <w:rFonts w:eastAsia="宋体"/>
      <w:sz w:val="24"/>
      <w:szCs w:val="24"/>
    </w:rPr>
  </w:style>
  <w:style w:type="paragraph" w:styleId="8">
    <w:name w:val="annotation text"/>
    <w:basedOn w:val="1"/>
    <w:link w:val="42"/>
    <w:qFormat/>
    <w:uiPriority w:val="99"/>
    <w:pPr>
      <w:jc w:val="left"/>
    </w:pPr>
    <w:rPr>
      <w:rFonts w:ascii="宋体" w:hAnsi="宋体"/>
      <w:szCs w:val="21"/>
    </w:rPr>
  </w:style>
  <w:style w:type="paragraph" w:styleId="9">
    <w:name w:val="Body Text"/>
    <w:basedOn w:val="1"/>
    <w:link w:val="37"/>
    <w:semiHidden/>
    <w:unhideWhenUsed/>
    <w:qFormat/>
    <w:uiPriority w:val="99"/>
    <w:pPr>
      <w:spacing w:after="120"/>
    </w:pPr>
  </w:style>
  <w:style w:type="paragraph" w:styleId="10">
    <w:name w:val="toc 3"/>
    <w:basedOn w:val="1"/>
    <w:next w:val="1"/>
    <w:semiHidden/>
    <w:unhideWhenUsed/>
    <w:qFormat/>
    <w:uiPriority w:val="39"/>
    <w:pPr>
      <w:ind w:left="840" w:leftChars="400"/>
    </w:pPr>
  </w:style>
  <w:style w:type="paragraph" w:styleId="11">
    <w:name w:val="Date"/>
    <w:basedOn w:val="1"/>
    <w:next w:val="1"/>
    <w:link w:val="28"/>
    <w:semiHidden/>
    <w:unhideWhenUsed/>
    <w:qFormat/>
    <w:uiPriority w:val="99"/>
    <w:pPr>
      <w:ind w:left="100" w:leftChars="2500"/>
    </w:pPr>
  </w:style>
  <w:style w:type="paragraph" w:styleId="12">
    <w:name w:val="Balloon Text"/>
    <w:basedOn w:val="1"/>
    <w:link w:val="44"/>
    <w:semiHidden/>
    <w:unhideWhenUsed/>
    <w:qFormat/>
    <w:uiPriority w:val="99"/>
    <w:rPr>
      <w:sz w:val="18"/>
      <w:szCs w:val="18"/>
    </w:rPr>
  </w:style>
  <w:style w:type="paragraph" w:styleId="13">
    <w:name w:val="footer"/>
    <w:basedOn w:val="1"/>
    <w:link w:val="24"/>
    <w:unhideWhenUsed/>
    <w:qFormat/>
    <w:uiPriority w:val="99"/>
    <w:pPr>
      <w:tabs>
        <w:tab w:val="center" w:pos="4153"/>
        <w:tab w:val="right" w:pos="8306"/>
      </w:tabs>
      <w:snapToGrid w:val="0"/>
      <w:jc w:val="left"/>
    </w:pPr>
    <w:rPr>
      <w:sz w:val="18"/>
      <w:szCs w:val="18"/>
    </w:rPr>
  </w:style>
  <w:style w:type="paragraph" w:styleId="14">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nhideWhenUsed/>
    <w:qFormat/>
    <w:uiPriority w:val="39"/>
  </w:style>
  <w:style w:type="paragraph" w:styleId="16">
    <w:name w:val="Body Text Indent 3"/>
    <w:basedOn w:val="1"/>
    <w:link w:val="30"/>
    <w:qFormat/>
    <w:uiPriority w:val="0"/>
    <w:pPr>
      <w:spacing w:line="360" w:lineRule="auto"/>
      <w:ind w:firstLine="480" w:firstLineChars="200"/>
    </w:pPr>
    <w:rPr>
      <w:rFonts w:hint="eastAsia" w:ascii="宋体" w:hAnsi="宋体" w:eastAsia="宋体" w:cs="Times New Roman"/>
      <w:color w:val="FF0000"/>
      <w:sz w:val="24"/>
      <w:szCs w:val="21"/>
    </w:rPr>
  </w:style>
  <w:style w:type="paragraph" w:styleId="17">
    <w:name w:val="toc 2"/>
    <w:basedOn w:val="1"/>
    <w:next w:val="1"/>
    <w:semiHidden/>
    <w:unhideWhenUsed/>
    <w:qFormat/>
    <w:uiPriority w:val="39"/>
    <w:pPr>
      <w:ind w:left="420" w:leftChars="200"/>
    </w:pPr>
  </w:style>
  <w:style w:type="paragraph" w:styleId="18">
    <w:name w:val="annotation subject"/>
    <w:basedOn w:val="8"/>
    <w:next w:val="8"/>
    <w:link w:val="46"/>
    <w:semiHidden/>
    <w:unhideWhenUsed/>
    <w:qFormat/>
    <w:uiPriority w:val="99"/>
    <w:rPr>
      <w:rFonts w:asciiTheme="minorHAnsi" w:hAnsiTheme="minorHAnsi"/>
      <w:b/>
      <w:bCs/>
      <w:szCs w:val="22"/>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annotation reference"/>
    <w:qFormat/>
    <w:uiPriority w:val="0"/>
    <w:rPr>
      <w:sz w:val="21"/>
      <w:szCs w:val="21"/>
    </w:rPr>
  </w:style>
  <w:style w:type="character" w:customStyle="1" w:styleId="23">
    <w:name w:val="页眉 Char"/>
    <w:basedOn w:val="21"/>
    <w:link w:val="14"/>
    <w:qFormat/>
    <w:uiPriority w:val="99"/>
    <w:rPr>
      <w:sz w:val="18"/>
      <w:szCs w:val="18"/>
    </w:rPr>
  </w:style>
  <w:style w:type="character" w:customStyle="1" w:styleId="24">
    <w:name w:val="页脚 Char"/>
    <w:basedOn w:val="21"/>
    <w:link w:val="13"/>
    <w:qFormat/>
    <w:uiPriority w:val="99"/>
    <w:rPr>
      <w:sz w:val="18"/>
      <w:szCs w:val="18"/>
    </w:rPr>
  </w:style>
  <w:style w:type="character" w:customStyle="1" w:styleId="25">
    <w:name w:val="标题 1 Char"/>
    <w:basedOn w:val="21"/>
    <w:link w:val="4"/>
    <w:qFormat/>
    <w:uiPriority w:val="9"/>
    <w:rPr>
      <w:rFonts w:ascii="Times New Roman" w:hAnsi="Times New Roman" w:eastAsia="宋体" w:cs="Times New Roman"/>
      <w:b/>
      <w:bCs/>
      <w:kern w:val="44"/>
      <w:sz w:val="30"/>
      <w:szCs w:val="44"/>
    </w:rPr>
  </w:style>
  <w:style w:type="character" w:customStyle="1" w:styleId="26">
    <w:name w:val="标题 2 Char"/>
    <w:basedOn w:val="21"/>
    <w:link w:val="5"/>
    <w:qFormat/>
    <w:uiPriority w:val="9"/>
    <w:rPr>
      <w:rFonts w:ascii="Times New Roman" w:hAnsi="Cambria" w:eastAsia="宋体" w:cs="Times New Roman"/>
      <w:b/>
      <w:bCs/>
      <w:sz w:val="28"/>
      <w:szCs w:val="32"/>
    </w:rPr>
  </w:style>
  <w:style w:type="character" w:customStyle="1" w:styleId="27">
    <w:name w:val="标题 3 Char"/>
    <w:basedOn w:val="21"/>
    <w:link w:val="6"/>
    <w:qFormat/>
    <w:uiPriority w:val="9"/>
    <w:rPr>
      <w:b/>
      <w:bCs/>
      <w:sz w:val="32"/>
      <w:szCs w:val="32"/>
    </w:rPr>
  </w:style>
  <w:style w:type="character" w:customStyle="1" w:styleId="28">
    <w:name w:val="日期 Char"/>
    <w:basedOn w:val="21"/>
    <w:link w:val="11"/>
    <w:semiHidden/>
    <w:qFormat/>
    <w:uiPriority w:val="99"/>
  </w:style>
  <w:style w:type="character" w:customStyle="1" w:styleId="29">
    <w:name w:val="正文缩进 Char"/>
    <w:link w:val="7"/>
    <w:qFormat/>
    <w:uiPriority w:val="0"/>
    <w:rPr>
      <w:rFonts w:eastAsia="宋体"/>
      <w:sz w:val="24"/>
      <w:szCs w:val="24"/>
    </w:rPr>
  </w:style>
  <w:style w:type="character" w:customStyle="1" w:styleId="30">
    <w:name w:val="正文文本缩进 3 Char"/>
    <w:basedOn w:val="21"/>
    <w:link w:val="16"/>
    <w:qFormat/>
    <w:uiPriority w:val="0"/>
    <w:rPr>
      <w:rFonts w:ascii="宋体" w:hAnsi="宋体" w:eastAsia="宋体" w:cs="Times New Roman"/>
      <w:color w:val="FF0000"/>
      <w:sz w:val="24"/>
      <w:szCs w:val="21"/>
    </w:rPr>
  </w:style>
  <w:style w:type="character" w:customStyle="1" w:styleId="31">
    <w:name w:val="纯文本 Char"/>
    <w:link w:val="2"/>
    <w:qFormat/>
    <w:uiPriority w:val="99"/>
    <w:rPr>
      <w:rFonts w:ascii="宋体" w:hAnsi="宋体" w:eastAsia="宋体"/>
      <w:bCs/>
      <w:color w:val="000000"/>
      <w:sz w:val="24"/>
      <w:szCs w:val="21"/>
    </w:rPr>
  </w:style>
  <w:style w:type="character" w:customStyle="1" w:styleId="32">
    <w:name w:val="纯文本 Char1"/>
    <w:basedOn w:val="21"/>
    <w:semiHidden/>
    <w:qFormat/>
    <w:uiPriority w:val="99"/>
    <w:rPr>
      <w:rFonts w:ascii="宋体" w:hAnsi="Courier New" w:eastAsia="宋体" w:cs="Courier New"/>
      <w:szCs w:val="21"/>
    </w:rPr>
  </w:style>
  <w:style w:type="character" w:customStyle="1" w:styleId="33">
    <w:name w:val="正文（首行缩进两字） Char"/>
    <w:qFormat/>
    <w:uiPriority w:val="0"/>
    <w:rPr>
      <w:rFonts w:eastAsia="宋体"/>
      <w:kern w:val="2"/>
      <w:sz w:val="24"/>
      <w:lang w:val="en-US" w:eastAsia="zh-CN"/>
    </w:rPr>
  </w:style>
  <w:style w:type="paragraph" w:customStyle="1" w:styleId="34">
    <w:name w:val="报告正文"/>
    <w:basedOn w:val="1"/>
    <w:qFormat/>
    <w:uiPriority w:val="0"/>
    <w:pPr>
      <w:spacing w:line="360" w:lineRule="auto"/>
      <w:ind w:firstLine="200" w:firstLineChars="200"/>
      <w:jc w:val="left"/>
    </w:pPr>
    <w:rPr>
      <w:rFonts w:hint="eastAsia" w:ascii="宋体" w:hAnsi="宋体" w:eastAsia="宋体" w:cs="Times New Roman"/>
      <w:sz w:val="24"/>
      <w:szCs w:val="21"/>
    </w:rPr>
  </w:style>
  <w:style w:type="paragraph" w:styleId="35">
    <w:name w:val="List Paragraph"/>
    <w:basedOn w:val="1"/>
    <w:qFormat/>
    <w:uiPriority w:val="34"/>
    <w:pPr>
      <w:ind w:firstLine="420" w:firstLineChars="200"/>
    </w:pPr>
  </w:style>
  <w:style w:type="paragraph" w:customStyle="1" w:styleId="36">
    <w:name w:val="列出段落1"/>
    <w:basedOn w:val="1"/>
    <w:qFormat/>
    <w:uiPriority w:val="34"/>
    <w:pPr>
      <w:spacing w:line="360" w:lineRule="auto"/>
      <w:ind w:firstLine="420" w:firstLineChars="200"/>
    </w:pPr>
    <w:rPr>
      <w:rFonts w:ascii="Times New Roman" w:hAnsi="Times New Roman" w:eastAsia="宋体" w:cs="Times New Roman"/>
      <w:sz w:val="24"/>
    </w:rPr>
  </w:style>
  <w:style w:type="character" w:customStyle="1" w:styleId="37">
    <w:name w:val="正文文本 Char"/>
    <w:basedOn w:val="21"/>
    <w:link w:val="9"/>
    <w:semiHidden/>
    <w:qFormat/>
    <w:uiPriority w:val="99"/>
  </w:style>
  <w:style w:type="table" w:customStyle="1" w:styleId="38">
    <w:name w:val="网格型1"/>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
    <w:name w:val="网格型2"/>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
    <w:name w:val="网格型3"/>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
    <w:name w:val="网格型4"/>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2">
    <w:name w:val="批注文字 Char"/>
    <w:link w:val="8"/>
    <w:qFormat/>
    <w:uiPriority w:val="99"/>
    <w:rPr>
      <w:rFonts w:ascii="宋体" w:hAnsi="宋体"/>
      <w:szCs w:val="21"/>
    </w:rPr>
  </w:style>
  <w:style w:type="character" w:customStyle="1" w:styleId="43">
    <w:name w:val="批注文字 Char1"/>
    <w:basedOn w:val="21"/>
    <w:semiHidden/>
    <w:qFormat/>
    <w:uiPriority w:val="99"/>
  </w:style>
  <w:style w:type="character" w:customStyle="1" w:styleId="44">
    <w:name w:val="批注框文本 Char"/>
    <w:basedOn w:val="21"/>
    <w:link w:val="12"/>
    <w:semiHidden/>
    <w:qFormat/>
    <w:uiPriority w:val="99"/>
    <w:rPr>
      <w:sz w:val="18"/>
      <w:szCs w:val="18"/>
    </w:rPr>
  </w:style>
  <w:style w:type="table" w:customStyle="1" w:styleId="45">
    <w:name w:val="网格型5"/>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
    <w:name w:val="批注主题 Char"/>
    <w:basedOn w:val="42"/>
    <w:link w:val="18"/>
    <w:semiHidden/>
    <w:qFormat/>
    <w:uiPriority w:val="99"/>
    <w:rPr>
      <w:rFonts w:ascii="宋体" w:hAnsi="宋体"/>
      <w:b/>
      <w:bCs/>
      <w:szCs w:val="21"/>
    </w:rPr>
  </w:style>
  <w:style w:type="character" w:customStyle="1" w:styleId="47">
    <w:name w:val="正文 New Char1"/>
    <w:link w:val="48"/>
    <w:qFormat/>
    <w:uiPriority w:val="0"/>
    <w:rPr>
      <w:rFonts w:ascii="宋体" w:hAnsi="宋体" w:cs="宋体"/>
      <w:bCs/>
      <w:sz w:val="24"/>
    </w:rPr>
  </w:style>
  <w:style w:type="paragraph" w:customStyle="1" w:styleId="48">
    <w:name w:val="正文 New"/>
    <w:link w:val="47"/>
    <w:qFormat/>
    <w:uiPriority w:val="0"/>
    <w:pPr>
      <w:widowControl w:val="0"/>
      <w:spacing w:line="360" w:lineRule="auto"/>
      <w:ind w:firstLine="560" w:firstLineChars="200"/>
      <w:jc w:val="both"/>
    </w:pPr>
    <w:rPr>
      <w:rFonts w:ascii="宋体" w:hAnsi="宋体" w:cs="宋体" w:eastAsiaTheme="minorEastAsia"/>
      <w:bCs/>
      <w:kern w:val="2"/>
      <w:sz w:val="24"/>
      <w:szCs w:val="22"/>
      <w:lang w:val="en-US" w:eastAsia="zh-CN" w:bidi="ar-SA"/>
    </w:rPr>
  </w:style>
  <w:style w:type="paragraph" w:customStyle="1" w:styleId="49">
    <w:name w:val="WPSOffice手动目录 1"/>
    <w:qFormat/>
    <w:uiPriority w:val="0"/>
    <w:rPr>
      <w:rFonts w:ascii="Times New Roman" w:hAnsi="Times New Roman" w:eastAsia="宋体" w:cs="Times New Roman"/>
      <w:lang w:val="en-US" w:eastAsia="zh-CN" w:bidi="ar-SA"/>
    </w:rPr>
  </w:style>
  <w:style w:type="paragraph" w:customStyle="1" w:styleId="5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1">
    <w:name w:val="样式 标题 3 + 小四"/>
    <w:basedOn w:val="6"/>
    <w:qFormat/>
    <w:uiPriority w:val="0"/>
    <w:pPr>
      <w:spacing w:before="120" w:after="120"/>
    </w:pPr>
    <w:rPr>
      <w:sz w:val="24"/>
    </w:rPr>
  </w:style>
  <w:style w:type="paragraph" w:customStyle="1" w:styleId="52">
    <w:name w:val="Char"/>
    <w:basedOn w:val="1"/>
    <w:next w:val="1"/>
    <w:qFormat/>
    <w:uiPriority w:val="0"/>
    <w:pPr>
      <w:adjustRightInd w:val="0"/>
      <w:spacing w:line="360" w:lineRule="auto"/>
      <w:ind w:firstLine="200" w:firstLineChars="200"/>
      <w:textAlignment w:val="baseline"/>
    </w:pPr>
    <w:rPr>
      <w:rFonts w:ascii="宋体" w:hAnsi="宋体" w:eastAsia="宋体" w:cs="宋体"/>
      <w:kern w:val="28"/>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fc/AppData/Local/Temp/ksohtml9388/wps1.png" TargetMode="Externa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151</Pages>
  <Words>16962</Words>
  <Characters>96685</Characters>
  <Lines>805</Lines>
  <Paragraphs>226</Paragraphs>
  <TotalTime>4</TotalTime>
  <ScaleCrop>false</ScaleCrop>
  <LinksUpToDate>false</LinksUpToDate>
  <CharactersWithSpaces>113421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2020-03-27T08:50:00Z</dcterms:created>
  <dc:creator>Valar Morghulis</dc:creator>
  <cp:lastModifiedBy>Administrator</cp:lastModifiedBy>
  <dcterms:modified xsi:type="dcterms:W3CDTF">2020-04-22T02:40:20Z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